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A07" w:rsidRPr="00D23B4B" w:rsidRDefault="00D23B4B" w:rsidP="00D23B4B">
      <w:pPr>
        <w:autoSpaceDE w:val="0"/>
        <w:autoSpaceDN w:val="0"/>
        <w:adjustRightInd w:val="0"/>
        <w:spacing w:after="0" w:line="360" w:lineRule="auto"/>
        <w:jc w:val="center"/>
        <w:rPr>
          <w:rFonts w:ascii="Times New Roman" w:hAnsi="Times New Roman" w:cs="Times New Roman"/>
          <w:b/>
          <w:color w:val="111111"/>
          <w:sz w:val="28"/>
          <w:szCs w:val="28"/>
          <w:shd w:val="clear" w:color="auto" w:fill="FFFFFF"/>
        </w:rPr>
      </w:pPr>
      <w:r w:rsidRPr="00D23B4B">
        <w:rPr>
          <w:rFonts w:ascii="Times New Roman" w:hAnsi="Times New Roman" w:cs="Times New Roman"/>
          <w:b/>
          <w:color w:val="111111"/>
          <w:sz w:val="28"/>
          <w:szCs w:val="28"/>
          <w:shd w:val="clear" w:color="auto" w:fill="FFFFFF"/>
        </w:rPr>
        <w:t>Fish cell lines: R</w:t>
      </w:r>
      <w:r w:rsidR="00521A07" w:rsidRPr="00D23B4B">
        <w:rPr>
          <w:rFonts w:ascii="Times New Roman" w:hAnsi="Times New Roman" w:cs="Times New Roman"/>
          <w:b/>
          <w:color w:val="111111"/>
          <w:sz w:val="28"/>
          <w:szCs w:val="28"/>
          <w:shd w:val="clear" w:color="auto" w:fill="FFFFFF"/>
        </w:rPr>
        <w:t>ecent trends</w:t>
      </w:r>
      <w:r w:rsidRPr="00D23B4B">
        <w:rPr>
          <w:rFonts w:ascii="Times New Roman" w:hAnsi="Times New Roman" w:cs="Times New Roman"/>
          <w:b/>
          <w:color w:val="111111"/>
          <w:sz w:val="28"/>
          <w:szCs w:val="28"/>
          <w:shd w:val="clear" w:color="auto" w:fill="FFFFFF"/>
        </w:rPr>
        <w:t xml:space="preserve"> and roles</w:t>
      </w:r>
      <w:r w:rsidR="00521A07" w:rsidRPr="00D23B4B">
        <w:rPr>
          <w:rFonts w:ascii="Times New Roman" w:hAnsi="Times New Roman" w:cs="Times New Roman"/>
          <w:b/>
          <w:color w:val="111111"/>
          <w:sz w:val="28"/>
          <w:szCs w:val="28"/>
          <w:shd w:val="clear" w:color="auto" w:fill="FFFFFF"/>
        </w:rPr>
        <w:t xml:space="preserve"> in biotechnology</w:t>
      </w:r>
    </w:p>
    <w:p w:rsidR="00D23B4B" w:rsidRPr="00D23B4B" w:rsidRDefault="00D23B4B" w:rsidP="00D23B4B">
      <w:pPr>
        <w:spacing w:line="360" w:lineRule="auto"/>
        <w:jc w:val="center"/>
        <w:rPr>
          <w:rFonts w:ascii="Times New Roman" w:hAnsi="Times New Roman"/>
          <w:sz w:val="24"/>
          <w:szCs w:val="24"/>
        </w:rPr>
      </w:pPr>
      <w:r w:rsidRPr="00AB55A7">
        <w:rPr>
          <w:rFonts w:ascii="Times New Roman" w:hAnsi="Times New Roman"/>
          <w:b/>
          <w:bCs/>
          <w:sz w:val="20"/>
          <w:szCs w:val="20"/>
        </w:rPr>
        <w:t xml:space="preserve"> </w:t>
      </w:r>
      <w:r w:rsidRPr="00D23B4B">
        <w:rPr>
          <w:rFonts w:ascii="Times New Roman" w:hAnsi="Times New Roman"/>
          <w:b/>
          <w:bCs/>
          <w:sz w:val="24"/>
          <w:szCs w:val="24"/>
        </w:rPr>
        <w:t>Ankita Salunke</w:t>
      </w:r>
      <w:r w:rsidRPr="00D23B4B">
        <w:rPr>
          <w:rFonts w:ascii="Times New Roman" w:hAnsi="Times New Roman"/>
          <w:b/>
          <w:bCs/>
          <w:sz w:val="24"/>
          <w:szCs w:val="24"/>
          <w:vertAlign w:val="superscript"/>
        </w:rPr>
        <w:t>1</w:t>
      </w:r>
      <w:r w:rsidRPr="00D23B4B">
        <w:rPr>
          <w:rFonts w:ascii="Times New Roman" w:hAnsi="Times New Roman"/>
          <w:sz w:val="24"/>
          <w:szCs w:val="24"/>
        </w:rPr>
        <w:t>, Parth Pandya</w:t>
      </w:r>
      <w:r w:rsidRPr="00D23B4B">
        <w:rPr>
          <w:rFonts w:ascii="Times New Roman" w:hAnsi="Times New Roman"/>
          <w:sz w:val="24"/>
          <w:szCs w:val="24"/>
          <w:vertAlign w:val="superscript"/>
        </w:rPr>
        <w:t>2</w:t>
      </w:r>
      <w:r w:rsidRPr="00D23B4B">
        <w:rPr>
          <w:rFonts w:ascii="Times New Roman" w:hAnsi="Times New Roman"/>
          <w:sz w:val="24"/>
          <w:szCs w:val="24"/>
        </w:rPr>
        <w:t>, Pragna Parikh</w:t>
      </w:r>
      <w:r w:rsidRPr="00D23B4B">
        <w:rPr>
          <w:rFonts w:ascii="Times New Roman" w:hAnsi="Times New Roman"/>
          <w:sz w:val="24"/>
          <w:szCs w:val="24"/>
          <w:vertAlign w:val="superscript"/>
        </w:rPr>
        <w:t>1</w:t>
      </w:r>
      <w:r w:rsidRPr="00D23B4B">
        <w:rPr>
          <w:rFonts w:ascii="Times New Roman" w:hAnsi="Times New Roman"/>
          <w:sz w:val="24"/>
          <w:szCs w:val="24"/>
        </w:rPr>
        <w:t>*</w:t>
      </w:r>
    </w:p>
    <w:p w:rsidR="00D23B4B" w:rsidRPr="00D23B4B" w:rsidRDefault="00D23B4B" w:rsidP="00D23B4B">
      <w:pPr>
        <w:spacing w:after="0" w:line="360" w:lineRule="auto"/>
        <w:jc w:val="center"/>
        <w:rPr>
          <w:rFonts w:ascii="Times New Roman" w:hAnsi="Times New Roman" w:cs="Times New Roman"/>
          <w:sz w:val="20"/>
          <w:szCs w:val="20"/>
        </w:rPr>
      </w:pPr>
      <w:r w:rsidRPr="00D23B4B">
        <w:rPr>
          <w:rFonts w:ascii="Times New Roman" w:hAnsi="Times New Roman" w:cs="Times New Roman"/>
          <w:sz w:val="20"/>
          <w:szCs w:val="20"/>
          <w:vertAlign w:val="superscript"/>
        </w:rPr>
        <w:t>1</w:t>
      </w:r>
      <w:r w:rsidRPr="00D23B4B">
        <w:rPr>
          <w:rFonts w:ascii="Times New Roman" w:hAnsi="Times New Roman" w:cs="Times New Roman"/>
          <w:sz w:val="20"/>
          <w:szCs w:val="20"/>
        </w:rPr>
        <w:t>Department of Zoology, Faculty of Science, The Maharaja Sayajirao University of Baroda, Vadodara-390002</w:t>
      </w:r>
    </w:p>
    <w:p w:rsidR="00D23B4B" w:rsidRPr="00D23B4B" w:rsidRDefault="00D23B4B" w:rsidP="00D23B4B">
      <w:pPr>
        <w:spacing w:after="0" w:line="360" w:lineRule="auto"/>
        <w:jc w:val="center"/>
        <w:rPr>
          <w:rFonts w:ascii="Times New Roman" w:hAnsi="Times New Roman" w:cs="Times New Roman"/>
          <w:sz w:val="20"/>
          <w:szCs w:val="20"/>
        </w:rPr>
      </w:pPr>
      <w:r w:rsidRPr="00D23B4B">
        <w:rPr>
          <w:rFonts w:ascii="Times New Roman" w:hAnsi="Times New Roman" w:cs="Times New Roman"/>
          <w:sz w:val="20"/>
          <w:szCs w:val="20"/>
          <w:vertAlign w:val="superscript"/>
        </w:rPr>
        <w:t>2</w:t>
      </w:r>
      <w:r w:rsidRPr="00D23B4B">
        <w:rPr>
          <w:rFonts w:ascii="Times New Roman" w:hAnsi="Times New Roman" w:cs="Times New Roman"/>
          <w:sz w:val="20"/>
          <w:szCs w:val="20"/>
        </w:rPr>
        <w:t xml:space="preserve">Department of Biomedical and Life Science, School of Science, </w:t>
      </w:r>
      <w:proofErr w:type="spellStart"/>
      <w:r w:rsidRPr="00D23B4B">
        <w:rPr>
          <w:rFonts w:ascii="Times New Roman" w:hAnsi="Times New Roman" w:cs="Times New Roman"/>
          <w:sz w:val="20"/>
          <w:szCs w:val="20"/>
        </w:rPr>
        <w:t>Navrachana</w:t>
      </w:r>
      <w:proofErr w:type="spellEnd"/>
      <w:r w:rsidRPr="00D23B4B">
        <w:rPr>
          <w:rFonts w:ascii="Times New Roman" w:hAnsi="Times New Roman" w:cs="Times New Roman"/>
          <w:sz w:val="20"/>
          <w:szCs w:val="20"/>
        </w:rPr>
        <w:t xml:space="preserve"> University, Vadodara 391410</w:t>
      </w:r>
    </w:p>
    <w:p w:rsidR="00D23B4B" w:rsidRPr="00D23B4B" w:rsidRDefault="001A33B5" w:rsidP="00D23B4B">
      <w:pPr>
        <w:spacing w:after="0" w:line="360" w:lineRule="auto"/>
        <w:jc w:val="center"/>
        <w:rPr>
          <w:rFonts w:ascii="Times New Roman" w:hAnsi="Times New Roman" w:cs="Times New Roman"/>
          <w:sz w:val="20"/>
          <w:szCs w:val="20"/>
        </w:rPr>
      </w:pPr>
      <w:hyperlink r:id="rId6" w:history="1">
        <w:r w:rsidR="00D23B4B" w:rsidRPr="00D23B4B">
          <w:rPr>
            <w:rStyle w:val="Hyperlink"/>
            <w:rFonts w:ascii="Times New Roman" w:hAnsi="Times New Roman" w:cs="Times New Roman"/>
            <w:sz w:val="20"/>
            <w:szCs w:val="20"/>
          </w:rPr>
          <w:t>*php59@yahoo.co.in</w:t>
        </w:r>
      </w:hyperlink>
      <w:r w:rsidR="00D23B4B" w:rsidRPr="00D23B4B">
        <w:rPr>
          <w:rFonts w:ascii="Times New Roman" w:hAnsi="Times New Roman" w:cs="Times New Roman"/>
          <w:sz w:val="20"/>
          <w:szCs w:val="20"/>
        </w:rPr>
        <w:t xml:space="preserve"> </w:t>
      </w:r>
    </w:p>
    <w:p w:rsidR="00521A07" w:rsidRPr="00C23AEB" w:rsidRDefault="00521A07" w:rsidP="00D23B4B">
      <w:pPr>
        <w:pStyle w:val="Heading1"/>
        <w:spacing w:line="360" w:lineRule="auto"/>
        <w:rPr>
          <w:rFonts w:ascii="Times New Roman" w:hAnsi="Times New Roman" w:cs="Times New Roman"/>
          <w:b/>
          <w:color w:val="000000" w:themeColor="text1"/>
          <w:sz w:val="24"/>
          <w:szCs w:val="24"/>
          <w:shd w:val="clear" w:color="auto" w:fill="FFFFFF"/>
        </w:rPr>
      </w:pPr>
      <w:r w:rsidRPr="00C23AEB">
        <w:rPr>
          <w:rFonts w:ascii="Times New Roman" w:hAnsi="Times New Roman" w:cs="Times New Roman"/>
          <w:b/>
          <w:color w:val="000000" w:themeColor="text1"/>
          <w:sz w:val="24"/>
          <w:szCs w:val="24"/>
          <w:shd w:val="clear" w:color="auto" w:fill="FFFFFF"/>
        </w:rPr>
        <w:t>Abstract-</w:t>
      </w:r>
    </w:p>
    <w:p w:rsidR="00425367" w:rsidRDefault="00232897" w:rsidP="00425367">
      <w:pPr>
        <w:autoSpaceDE w:val="0"/>
        <w:autoSpaceDN w:val="0"/>
        <w:adjustRightInd w:val="0"/>
        <w:spacing w:after="0" w:line="360" w:lineRule="auto"/>
        <w:jc w:val="both"/>
        <w:rPr>
          <w:rFonts w:ascii="Times New Roman" w:hAnsi="Times New Roman" w:cs="Times New Roman"/>
          <w:color w:val="111111"/>
          <w:sz w:val="24"/>
          <w:szCs w:val="24"/>
          <w:shd w:val="clear" w:color="auto" w:fill="FFFFFF"/>
        </w:rPr>
      </w:pPr>
      <w:r w:rsidRPr="00C23AEB">
        <w:rPr>
          <w:rFonts w:ascii="Times New Roman" w:hAnsi="Times New Roman" w:cs="Times New Roman"/>
          <w:color w:val="111111"/>
          <w:sz w:val="24"/>
          <w:szCs w:val="24"/>
          <w:shd w:val="clear" w:color="auto" w:fill="FFFFFF"/>
        </w:rPr>
        <w:t xml:space="preserve">Fish cell lines provide an important biological tool for carrying out research in the field of biochemistry, physiology, cancer biology, immunology, genetics, pharmacology, virology, toxicology and transgenic. These </w:t>
      </w:r>
      <w:r w:rsidR="00636E98" w:rsidRPr="00C23AEB">
        <w:rPr>
          <w:rFonts w:ascii="Times New Roman" w:hAnsi="Times New Roman" w:cs="Times New Roman"/>
          <w:color w:val="111111"/>
          <w:sz w:val="24"/>
          <w:szCs w:val="24"/>
          <w:shd w:val="clear" w:color="auto" w:fill="FFFFFF"/>
        </w:rPr>
        <w:t xml:space="preserve">model </w:t>
      </w:r>
      <w:r w:rsidRPr="00C23AEB">
        <w:rPr>
          <w:rFonts w:ascii="Times New Roman" w:hAnsi="Times New Roman" w:cs="Times New Roman"/>
          <w:color w:val="111111"/>
          <w:sz w:val="24"/>
          <w:szCs w:val="24"/>
          <w:shd w:val="clear" w:color="auto" w:fill="FFFFFF"/>
        </w:rPr>
        <w:t xml:space="preserve">systems can be utilized for various vaccine development, pathogenic studies, </w:t>
      </w:r>
      <w:r w:rsidR="00636E98" w:rsidRPr="00C23AEB">
        <w:rPr>
          <w:rFonts w:ascii="Times New Roman" w:hAnsi="Times New Roman" w:cs="Times New Roman"/>
          <w:color w:val="111111"/>
          <w:sz w:val="24"/>
          <w:szCs w:val="24"/>
          <w:shd w:val="clear" w:color="auto" w:fill="FFFFFF"/>
        </w:rPr>
        <w:t>regeneration</w:t>
      </w:r>
      <w:r w:rsidRPr="00C23AEB">
        <w:rPr>
          <w:rFonts w:ascii="Times New Roman" w:hAnsi="Times New Roman" w:cs="Times New Roman"/>
          <w:color w:val="111111"/>
          <w:sz w:val="24"/>
          <w:szCs w:val="24"/>
          <w:shd w:val="clear" w:color="auto" w:fill="FFFFFF"/>
        </w:rPr>
        <w:t xml:space="preserve"> research,</w:t>
      </w:r>
      <w:r w:rsidR="00636E98" w:rsidRPr="00C23AEB">
        <w:rPr>
          <w:rFonts w:ascii="Times New Roman" w:hAnsi="Times New Roman" w:cs="Times New Roman"/>
          <w:color w:val="111111"/>
          <w:sz w:val="24"/>
          <w:szCs w:val="24"/>
          <w:shd w:val="clear" w:color="auto" w:fill="FFFFFF"/>
        </w:rPr>
        <w:t xml:space="preserve"> stem cell research,</w:t>
      </w:r>
      <w:r w:rsidRPr="00C23AEB">
        <w:rPr>
          <w:rFonts w:ascii="Times New Roman" w:hAnsi="Times New Roman" w:cs="Times New Roman"/>
          <w:color w:val="111111"/>
          <w:sz w:val="24"/>
          <w:szCs w:val="24"/>
          <w:shd w:val="clear" w:color="auto" w:fill="FFFFFF"/>
        </w:rPr>
        <w:t xml:space="preserve"> propagation and characterization of viruses, parasitology studies</w:t>
      </w:r>
      <w:r w:rsidR="00636E98" w:rsidRPr="00C23AEB">
        <w:rPr>
          <w:rFonts w:ascii="Times New Roman" w:hAnsi="Times New Roman" w:cs="Times New Roman"/>
          <w:color w:val="111111"/>
          <w:sz w:val="24"/>
          <w:szCs w:val="24"/>
          <w:shd w:val="clear" w:color="auto" w:fill="FFFFFF"/>
        </w:rPr>
        <w:t xml:space="preserve"> and many more. In past decade, there are many fish cell lines developed from freshwater, marine as well as brackish water fishes from a broad range of tissues like ovary, gills, heart, liver, skin, brain, muscles, liver, fin bladder</w:t>
      </w:r>
      <w:r w:rsidR="001D1526" w:rsidRPr="00C23AEB">
        <w:rPr>
          <w:rFonts w:ascii="Times New Roman" w:hAnsi="Times New Roman" w:cs="Times New Roman"/>
          <w:color w:val="111111"/>
          <w:sz w:val="24"/>
          <w:szCs w:val="24"/>
          <w:shd w:val="clear" w:color="auto" w:fill="FFFFFF"/>
        </w:rPr>
        <w:t xml:space="preserve">. The development, characterization, confirmation and applications of fish cell line are becoming most common nowadays </w:t>
      </w:r>
      <w:r w:rsidR="00636E98" w:rsidRPr="00C23AEB">
        <w:rPr>
          <w:rFonts w:ascii="Times New Roman" w:hAnsi="Times New Roman" w:cs="Times New Roman"/>
          <w:color w:val="111111"/>
          <w:sz w:val="24"/>
          <w:szCs w:val="24"/>
          <w:shd w:val="clear" w:color="auto" w:fill="FFFFFF"/>
        </w:rPr>
        <w:t>in the field of fisheries, toxicology, aquatic sci</w:t>
      </w:r>
      <w:r w:rsidR="008F76D2" w:rsidRPr="00C23AEB">
        <w:rPr>
          <w:rFonts w:ascii="Times New Roman" w:hAnsi="Times New Roman" w:cs="Times New Roman"/>
          <w:color w:val="111111"/>
          <w:sz w:val="24"/>
          <w:szCs w:val="24"/>
          <w:shd w:val="clear" w:color="auto" w:fill="FFFFFF"/>
        </w:rPr>
        <w:t>ences and applied biotechnology</w:t>
      </w:r>
      <w:r w:rsidRPr="00C23AEB">
        <w:rPr>
          <w:rFonts w:ascii="Times New Roman" w:hAnsi="Times New Roman" w:cs="Times New Roman"/>
          <w:color w:val="111111"/>
          <w:sz w:val="24"/>
          <w:szCs w:val="24"/>
          <w:shd w:val="clear" w:color="auto" w:fill="FFFFFF"/>
        </w:rPr>
        <w:t>.</w:t>
      </w:r>
      <w:r w:rsidR="008F76D2" w:rsidRPr="00C23AEB">
        <w:rPr>
          <w:rFonts w:ascii="Times New Roman" w:hAnsi="Times New Roman" w:cs="Times New Roman"/>
          <w:color w:val="111111"/>
          <w:sz w:val="24"/>
          <w:szCs w:val="24"/>
          <w:shd w:val="clear" w:color="auto" w:fill="FFFFFF"/>
        </w:rPr>
        <w:t xml:space="preserve"> </w:t>
      </w:r>
      <w:r w:rsidR="00425367" w:rsidRPr="00425367">
        <w:rPr>
          <w:rFonts w:ascii="Times New Roman" w:hAnsi="Times New Roman" w:cs="Times New Roman"/>
          <w:sz w:val="24"/>
          <w:szCs w:val="24"/>
        </w:rPr>
        <w:t xml:space="preserve">The recent rapid growth in cell culture-based research is unquestionably a result of both the development of this field and the growing ethical pressure to replace and reduce the usage of animals in research. Excellent study models for simulating host animals in vivo </w:t>
      </w:r>
      <w:r w:rsidR="00425367">
        <w:rPr>
          <w:rFonts w:ascii="Times New Roman" w:hAnsi="Times New Roman" w:cs="Times New Roman"/>
          <w:sz w:val="24"/>
          <w:szCs w:val="24"/>
        </w:rPr>
        <w:t>are in vitro fish cell cultures</w:t>
      </w:r>
      <w:r w:rsidR="008F76D2" w:rsidRPr="00C23AEB">
        <w:rPr>
          <w:rFonts w:ascii="Times New Roman" w:hAnsi="Times New Roman" w:cs="Times New Roman"/>
          <w:sz w:val="24"/>
          <w:szCs w:val="24"/>
        </w:rPr>
        <w:t xml:space="preserve">. </w:t>
      </w:r>
      <w:r w:rsidR="00425367" w:rsidRPr="00425367">
        <w:rPr>
          <w:rFonts w:ascii="Times New Roman" w:hAnsi="Times New Roman" w:cs="Times New Roman"/>
          <w:sz w:val="24"/>
          <w:szCs w:val="24"/>
        </w:rPr>
        <w:t>Fish cell cultures have a wide range of uses in research, which can be attributed to their adaptability, affordability, ease of handling, and ease of genetic manipulation.</w:t>
      </w:r>
      <w:r w:rsidR="008F76D2" w:rsidRPr="00C23AEB">
        <w:rPr>
          <w:rFonts w:ascii="Times New Roman" w:hAnsi="Times New Roman" w:cs="Times New Roman"/>
          <w:color w:val="111111"/>
          <w:sz w:val="24"/>
          <w:szCs w:val="24"/>
          <w:shd w:val="clear" w:color="auto" w:fill="FFFFFF"/>
        </w:rPr>
        <w:t xml:space="preserve"> </w:t>
      </w:r>
      <w:r w:rsidR="00425367" w:rsidRPr="00425367">
        <w:rPr>
          <w:rFonts w:ascii="Times New Roman" w:hAnsi="Times New Roman" w:cs="Times New Roman"/>
          <w:color w:val="111111"/>
          <w:sz w:val="24"/>
          <w:szCs w:val="24"/>
          <w:shd w:val="clear" w:color="auto" w:fill="FFFFFF"/>
        </w:rPr>
        <w:t>This chapter includes a list of novel cell lines and a scientific update. It also includes information on the significance of authentication, uses, maintenance, cross-contamination, and the effects of over passaging cell lines. The chapter, in the authors' opinion, will serve as a current database for novice and experienced researchers working in the field of fish cell line in-vitro research.</w:t>
      </w:r>
    </w:p>
    <w:p w:rsidR="00425367" w:rsidRDefault="00425367" w:rsidP="00425367">
      <w:pPr>
        <w:autoSpaceDE w:val="0"/>
        <w:autoSpaceDN w:val="0"/>
        <w:adjustRightInd w:val="0"/>
        <w:spacing w:after="0" w:line="360" w:lineRule="auto"/>
        <w:jc w:val="both"/>
        <w:rPr>
          <w:rFonts w:ascii="Times New Roman" w:hAnsi="Times New Roman" w:cs="Times New Roman"/>
          <w:b/>
          <w:color w:val="000000" w:themeColor="text1"/>
          <w:sz w:val="24"/>
          <w:szCs w:val="24"/>
          <w:shd w:val="clear" w:color="auto" w:fill="FFFFFF"/>
        </w:rPr>
      </w:pPr>
    </w:p>
    <w:p w:rsidR="00367E3F" w:rsidRPr="00D23B4B" w:rsidRDefault="008F76D2" w:rsidP="00425367">
      <w:pPr>
        <w:autoSpaceDE w:val="0"/>
        <w:autoSpaceDN w:val="0"/>
        <w:adjustRightInd w:val="0"/>
        <w:spacing w:after="0" w:line="360" w:lineRule="auto"/>
        <w:jc w:val="both"/>
        <w:rPr>
          <w:rFonts w:ascii="Times New Roman" w:hAnsi="Times New Roman" w:cs="Times New Roman"/>
          <w:b/>
          <w:color w:val="000000" w:themeColor="text1"/>
          <w:sz w:val="24"/>
          <w:szCs w:val="24"/>
          <w:shd w:val="clear" w:color="auto" w:fill="FFFFFF"/>
        </w:rPr>
      </w:pPr>
      <w:r w:rsidRPr="005952A2">
        <w:rPr>
          <w:rFonts w:ascii="Times New Roman" w:hAnsi="Times New Roman" w:cs="Times New Roman"/>
          <w:b/>
          <w:color w:val="000000" w:themeColor="text1"/>
          <w:sz w:val="24"/>
          <w:szCs w:val="24"/>
          <w:shd w:val="clear" w:color="auto" w:fill="FFFFFF"/>
        </w:rPr>
        <w:t>Introduction-</w:t>
      </w:r>
    </w:p>
    <w:p w:rsidR="00125A26" w:rsidRPr="00C23AEB" w:rsidRDefault="00367E3F" w:rsidP="00D23B4B">
      <w:pPr>
        <w:pStyle w:val="Default"/>
        <w:spacing w:line="360" w:lineRule="auto"/>
        <w:jc w:val="both"/>
      </w:pPr>
      <w:r w:rsidRPr="00C23AEB">
        <w:rPr>
          <w:color w:val="212121"/>
        </w:rPr>
        <w:t>I</w:t>
      </w:r>
      <w:r w:rsidR="003010C5" w:rsidRPr="00C23AEB">
        <w:rPr>
          <w:color w:val="212121"/>
        </w:rPr>
        <w:t xml:space="preserve">n vivo experiments are traditionally considered the gold standard for determining hazardous effects of components. </w:t>
      </w:r>
      <w:r w:rsidR="00CD6478" w:rsidRPr="00CD6478">
        <w:rPr>
          <w:color w:val="212121"/>
        </w:rPr>
        <w:t xml:space="preserve">On the other hand, due to ethical, commercial, and scientific considerations, companies are moving away from using </w:t>
      </w:r>
      <w:r w:rsidR="00CD6478">
        <w:rPr>
          <w:color w:val="212121"/>
        </w:rPr>
        <w:t>animal models in safety testing</w:t>
      </w:r>
      <w:r w:rsidR="003010C5" w:rsidRPr="00C23AEB">
        <w:rPr>
          <w:color w:val="212121"/>
        </w:rPr>
        <w:t xml:space="preserve">. In Vitro testing can help understand adverse biological effects, but cross-species extrapolation remains. The 3Rs principles, replacing, reducing, and refining animals, aim to minimize in vivo testing and </w:t>
      </w:r>
      <w:r w:rsidR="00195547" w:rsidRPr="00C23AEB">
        <w:rPr>
          <w:color w:val="212121"/>
        </w:rPr>
        <w:t>favour</w:t>
      </w:r>
      <w:r w:rsidR="003010C5" w:rsidRPr="00C23AEB">
        <w:rPr>
          <w:color w:val="212121"/>
        </w:rPr>
        <w:t xml:space="preserve"> robust, predictive in vitro methodologies without compromis</w:t>
      </w:r>
      <w:r w:rsidR="00195547" w:rsidRPr="00C23AEB">
        <w:rPr>
          <w:color w:val="212121"/>
        </w:rPr>
        <w:t xml:space="preserve">ing scientific </w:t>
      </w:r>
      <w:r w:rsidR="00195547" w:rsidRPr="00C23AEB">
        <w:rPr>
          <w:color w:val="212121"/>
        </w:rPr>
        <w:lastRenderedPageBreak/>
        <w:t>safety tests</w:t>
      </w:r>
      <w:r w:rsidR="00C23AEB">
        <w:rPr>
          <w:color w:val="212121"/>
        </w:rPr>
        <w:t xml:space="preserve"> </w:t>
      </w:r>
      <w:r w:rsidR="00C23AEB">
        <w:rPr>
          <w:color w:val="212121"/>
        </w:rPr>
        <w:fldChar w:fldCharType="begin" w:fldLock="1"/>
      </w:r>
      <w:r w:rsidR="00C23AEB">
        <w:rPr>
          <w:color w:val="212121"/>
        </w:rPr>
        <w:instrText>ADDIN CSL_CITATION {"citationItems":[{"id":"ITEM-1","itemData":{"DOI":"10.3390/biotech10020009","ISSN":"26736284","abstract":"The aim of this paper is to describe the essential points of Italian and European legislation governing the use of animals in biomedical experimentation. A close look will be taken at the principles of the 3Rs, which represent the mainstay of the legal architecture based on which a correct interpretation may be drawn of the legislative documents on animal experimentation. Furthermore, this paper will address the ways in which Directive 2010/63/EU is implemented in Italian legislation on the welfare of laboratory animals. In addition to an assessment of legal issues (such as the scope of jurisdiction of supervisory authorities tasked with issuing authorizations), it will include a discussion of cases of inadequate and insufficient implementation of the requirements laid down by Directive 2010/63/EU. Both the consistency of the interpretation of national legislation with the Directive and the direct effectiveness of the Directive in national law, in which animal testing has been and still is the subject of heated debate between supporters and opponents, will be examined.","author":[{"dropping-particle":"","family":"Maestri","given":"Enrico","non-dropping-particle":"","parse-names":false,"suffix":""}],"container-title":"BioTech","id":"ITEM-1","issue":"2","issued":{"date-parts":[["2021"]]},"title":"The 3rs principle in animal experimentation: A legal review of the state of the art in europe and the case in Italy","type":"article-journal","volume":"10"},"uris":["http://www.mendeley.com/documents/?uuid=d4818aac-2272-4527-9851-7ce374b1dc74"]}],"mendeley":{"formattedCitation":"(Maestri, 2021)","plainTextFormattedCitation":"(Maestri, 2021)","previouslyFormattedCitation":"(Maestri, 2021)"},"properties":{"noteIndex":0},"schema":"https://github.com/citation-style-language/schema/raw/master/csl-citation.json"}</w:instrText>
      </w:r>
      <w:r w:rsidR="00C23AEB">
        <w:rPr>
          <w:color w:val="212121"/>
        </w:rPr>
        <w:fldChar w:fldCharType="separate"/>
      </w:r>
      <w:r w:rsidR="00C23AEB" w:rsidRPr="00C23AEB">
        <w:rPr>
          <w:noProof/>
          <w:color w:val="212121"/>
        </w:rPr>
        <w:t>(Maestri, 2021)</w:t>
      </w:r>
      <w:r w:rsidR="00C23AEB">
        <w:rPr>
          <w:color w:val="212121"/>
        </w:rPr>
        <w:fldChar w:fldCharType="end"/>
      </w:r>
      <w:r w:rsidR="00C23AEB">
        <w:rPr>
          <w:color w:val="212121"/>
        </w:rPr>
        <w:t>.</w:t>
      </w:r>
      <w:r w:rsidR="00D23B4B">
        <w:t xml:space="preserve"> </w:t>
      </w:r>
      <w:r w:rsidR="003010C5" w:rsidRPr="00C23AEB">
        <w:rPr>
          <w:color w:val="212121"/>
        </w:rPr>
        <w:t>In-vitro procedures are becoming more popular for economic, practical, and ethical reasons. Cell lines provide benefits such as avoiding contamination on living animals, requiring less upkeep, being cost-effective, non-invasive, using less chemicals, and producing less harmful waste. These approaches also minimise complicated interactions in organisms, resulting in f</w:t>
      </w:r>
      <w:r w:rsidR="00195547" w:rsidRPr="00C23AEB">
        <w:rPr>
          <w:color w:val="212121"/>
        </w:rPr>
        <w:t>indings with little variability</w:t>
      </w:r>
      <w:r w:rsidR="00125A26" w:rsidRPr="00C23AEB">
        <w:rPr>
          <w:color w:val="212121"/>
        </w:rPr>
        <w:t xml:space="preserve"> </w:t>
      </w:r>
      <w:r w:rsidR="00C23AEB">
        <w:rPr>
          <w:color w:val="212121"/>
        </w:rPr>
        <w:t xml:space="preserve"> </w:t>
      </w:r>
      <w:r w:rsidR="00C23AEB">
        <w:rPr>
          <w:color w:val="212121"/>
        </w:rPr>
        <w:fldChar w:fldCharType="begin" w:fldLock="1"/>
      </w:r>
      <w:r w:rsidR="00C23AEB">
        <w:rPr>
          <w:color w:val="212121"/>
        </w:rPr>
        <w:instrText>ADDIN CSL_CITATION {"citationItems":[{"id":"ITEM-1","itemData":{"DOI":"10.4172/2155-6202.1000121","author":[{"dropping-particle":"","family":"Kasi Elumalai","given":"Lakshmanan","non-dropping-particle":"","parse-names":false,"suffix":""}],"container-title":"Journal of Biofertilizers &amp; Biopesticides","id":"ITEM-1","issue":"03","issued":{"date-parts":[["2012"]]},"title":"Synergistic Effect of Seaweed Manure and Bacillus sp. on Growth and Biochemical Constituents of Vigna radiata L","type":"article-journal","volume":"03"},"uris":["http://www.mendeley.com/documents/?uuid=a74fc3d5-5063-4024-b16c-a901a34c32a3"]},{"id":"ITEM-2","itemData":{"DOI":"10.1007/s40009-015-0365-5","ISSN":"0250541X","abstract":"Fish cell line has emerged as an important tool in fishery biotechnology. In recent years, various fish cell lines have been developed by different researchers across the country. National Repository on Fish cell lines, established with the aim to preserve fish cell lines for training and education to stakeholders, has started functioning at National Bureau of Fish Genetic Resources, Lucknow. This repository is supposed to characterize and preserve the fish cell lines developed across the country and serve as a national referral centre for Indian and exotic fish cell lines. Currently, the repository is maintaining 50 fish cell lines deposited by various research institutes in India, including the cell lines developed at cell culture facility of National Bureau of Fish Genetic Resources. The cell lines have been successfully cryopreserved after verifying its authenticity by sequence analysis of two mitochondrial genes, viz. 16S rRNA and cytochrome c oxidase sub-unit I. Chromosomal analysis, transfection efficiency and immunocytochemistry are also being used to characterize the cell lines. The facility is serviceable for the collection, deposition and distribution of fish cell lines. This paper discusses the status as well as the methodology adopted for fish cell lines development, characterization and storage at NRFC.","author":[{"dropping-particle":"","family":"Nagpure","given":"Naresh Sahebrao","non-dropping-particle":"","parse-names":false,"suffix":""},{"dropping-particle":"","family":"Mishra","given":"Akhilesh Kr","non-dropping-particle":"","parse-names":false,"suffix":""},{"dropping-particle":"","family":"Ninawe","given":"A. S.","non-dropping-particle":"","parse-names":false,"suffix":""},{"dropping-particle":"","family":"Rasal","given":"Avinash","non-dropping-particle":"","parse-names":false,"suffix":""},{"dropping-particle":"","family":"Dubey","given":"Akhilesh","non-dropping-particle":"","parse-names":false,"suffix":""},{"dropping-particle":"","family":"Kumar","given":"Amit","non-dropping-particle":"","parse-names":false,"suffix":""},{"dropping-particle":"","family":"Goswami","given":"M.","non-dropping-particle":"","parse-names":false,"suffix":""},{"dropping-particle":"","family":"Kumar","given":"Ravindra","non-dropping-particle":"","parse-names":false,"suffix":""},{"dropping-particle":"","family":"Jena","given":"J. K.","non-dropping-particle":"","parse-names":false,"suffix":""}],"container-title":"National Academy Science Letters","id":"ITEM-2","issue":"1","issued":{"date-parts":[["2016"]]},"page":"11-16","title":"Molecular and Cytogenetic Characterization of Fish Cell Lines and its Application in Aquatic Research","type":"article-journal","volume":"39"},"uris":["http://www.mendeley.com/documents/?uuid=fff74ff1-9b7d-4a9b-9c7c-b656bb41da5e"]},{"id":"ITEM-3","itemData":{"DOI":"10.14573/altex.1905032","ISSN":"18688551","abstract":"Testing chemicals for fish acute toxicity is a legal requirement in many countries as part of environmental risk assessment. To reduce the number of fish used, substantial efforts have been focused on alternative approaches. Prominently, the cell viability assay with the rainbow trout (Oncorhynchus mykiss) gill cell line, RTgill-W1, has proven to be highly predictive and robust. Like the gills, the intestine is considered a major site of chemical uptake and biotransformation, but, in contrast to the gills, it is expected to be exposed to more hydrophobic chemicals, which enter the fish via food. In the present study, we therefore aimed to extend the cell bioassay to the rainbow trout epithelial cell line from intestine, RTgutGC. Using 16 hydrophobic and volatile chemicals from the fragrance palette, we show that also the RTgutGC cell line can be used to predict fish acute toxicity of chemicals and yields intra-laboratory variability in line with other bioassays. By comparing the RTgutGC toxicity to a study employing the RTgill-W1 assay on the same group of chemicals, a fragrance-specific relationship was established that reflects an almost perfect 1:1 relationship between in vitro and in vivo toxicity results. Thus, both cell lines can be used to predict fish acute toxicity, either by extrapolating based on the in vivo-in vitro relationship or by taking the in vitro results at face value. We moreover demonstrate the derivation of non-toxic concentrations for downstream applications that rely on a healthy cell state, such as the assessment of biotransformation or chemical transfer.","author":[{"dropping-particle":"","family":"Schug","given":"Hannah","non-dropping-particle":"","parse-names":false,"suffix":""},{"dropping-particle":"","family":"Maner","given":"Jenny","non-dropping-particle":"","parse-names":false,"suffix":""},{"dropping-particle":"","family":"Hülskamp","given":"Maren","non-dropping-particle":"","parse-names":false,"suffix":""},{"dropping-particle":"","family":"Begnaud","given":"Frédéric","non-dropping-particle":"","parse-names":false,"suffix":""},{"dropping-particle":"","family":"Debonneville","given":"Christian","non-dropping-particle":"","parse-names":false,"suffix":""},{"dropping-particle":"","family":"Berthaud","given":"Fabienne","non-dropping-particle":"","parse-names":false,"suffix":""},{"dropping-particle":"","family":"Gimeno","given":"Sylvia","non-dropping-particle":"","parse-names":false,"suffix":""},{"dropping-particle":"","family":"Schirmer","given":"Kristin","non-dropping-particle":"","parse-names":false,"suffix":""}],"container-title":"Altex","id":"ITEM-3","issue":"1","issued":{"date-parts":[["2020"]]},"title":"Extending the concept of predicting fish acute toxicity in vitro to the intestinal cell line rtgutgc","type":"article-journal","volume":"37"},"uris":["http://www.mendeley.com/documents/?uuid=2ae309a8-31c9-3c2d-8008-0a15c800e687"]}],"mendeley":{"formattedCitation":"(Kasi Elumalai, 2012; Nagpure et al., 2016; Schug et al., 2020)","plainTextFormattedCitation":"(Kasi Elumalai, 2012; Nagpure et al., 2016; Schug et al., 2020)","previouslyFormattedCitation":"(Kasi Elumalai, 2012; Nagpure et al., 2016; Schug et al., 2020)"},"properties":{"noteIndex":0},"schema":"https://github.com/citation-style-language/schema/raw/master/csl-citation.json"}</w:instrText>
      </w:r>
      <w:r w:rsidR="00C23AEB">
        <w:rPr>
          <w:color w:val="212121"/>
        </w:rPr>
        <w:fldChar w:fldCharType="separate"/>
      </w:r>
      <w:r w:rsidR="00C23AEB" w:rsidRPr="00C23AEB">
        <w:rPr>
          <w:noProof/>
          <w:color w:val="212121"/>
        </w:rPr>
        <w:t>(Kasi Elumalai, 2012; Nagpure et al., 2016; Schug et al., 2020)</w:t>
      </w:r>
      <w:r w:rsidR="00C23AEB">
        <w:rPr>
          <w:color w:val="212121"/>
        </w:rPr>
        <w:fldChar w:fldCharType="end"/>
      </w:r>
      <w:r w:rsidR="00C23AEB">
        <w:rPr>
          <w:color w:val="212121"/>
        </w:rPr>
        <w:t>.</w:t>
      </w:r>
    </w:p>
    <w:p w:rsidR="00D23B4B" w:rsidRDefault="00D23B4B" w:rsidP="00D23B4B">
      <w:pPr>
        <w:pStyle w:val="Default"/>
        <w:spacing w:line="360" w:lineRule="auto"/>
        <w:jc w:val="both"/>
        <w:rPr>
          <w:color w:val="212121"/>
        </w:rPr>
      </w:pPr>
    </w:p>
    <w:p w:rsidR="007740A2" w:rsidRDefault="007740A2" w:rsidP="00D23B4B">
      <w:pPr>
        <w:pStyle w:val="Default"/>
        <w:spacing w:line="360" w:lineRule="auto"/>
        <w:jc w:val="both"/>
        <w:rPr>
          <w:color w:val="212121"/>
        </w:rPr>
      </w:pPr>
      <w:r w:rsidRPr="007740A2">
        <w:rPr>
          <w:color w:val="212121"/>
        </w:rPr>
        <w:t xml:space="preserve">For replacing or minimising the use of fish in toxicological testing, in vitro fish cell tests are recognised as an appropriate alternative to fish bioassays. </w:t>
      </w:r>
      <w:r w:rsidR="00CD6478" w:rsidRPr="00CD6478">
        <w:rPr>
          <w:color w:val="212121"/>
        </w:rPr>
        <w:t xml:space="preserve">Fish cells can be exposed to chemicals or water samples at temperatures corresponding to those the fish would experience in the wild. Additionally, it is much simpler to maintain fish cells alive and they are more resistant to standard culture conditions. In order to correlate in vitro cytotoxicity in fish cell lines with in vivo fish toxicity and show its broad applicability, a lot of research on hazardous compounds has been done. To overcome the barrier, </w:t>
      </w:r>
      <w:r w:rsidR="00CD6478">
        <w:rPr>
          <w:color w:val="212121"/>
        </w:rPr>
        <w:fldChar w:fldCharType="begin" w:fldLock="1"/>
      </w:r>
      <w:r w:rsidR="00CD6478">
        <w:rPr>
          <w:color w:val="212121"/>
        </w:rPr>
        <w:instrText>ADDIN CSL_CITATION {"citationItems":[{"id":"ITEM-1","itemData":{"DOI":"10.1016/j.tox.2006.04.042","ISSN":"0300483X","PMID":"16765501","abstract":"Cultures of vertebrate cells are widely applied in mechanistic studies in human toxicology as well as in toxicity identification in ecotoxicology. As in vitro models, they display many advantages over whole animal experimentation, pertaining to such characteristics as availability, reproducibility and costs. As well, they satisfy the societal desire to reduce the number of animals in toxicology. For these reasons vertebrate cell models also appear to be a desirable replacement for animals in regulatory tests. Several vertebrate cell models are now accepted for regulatory purposes in human health sciences, with the test for photocytotoxicity using the 3T3 mouse cell line being one example. However, an in vitro alternative to whole animal tests has not yet been established for regulatory risk assessment in ecotoxicology. This review sets out to outline why such a replacement has not yet been possible and explores avenues to improve vertebrate cell cultures so that a replacement of whole animal tests could more likely be achieved. Inasmuch as fish is the most widely used non-mammalian vertebrate in risk assessment and regulation, focus will be on the replacement, by in vitro vertebrate models, of fish. © 2006 Elsevier Ireland Ltd. All rights reserved.","author":[{"dropping-particle":"","family":"Schirmer","given":"Kristin","non-dropping-particle":"","parse-names":false,"suffix":""}],"container-title":"Toxicology","id":"ITEM-1","issue":"3","issued":{"date-parts":[["2006"]]},"page":"163-183","title":"Proposal to improve vertebrate cell cultures to establish them as substitutes for the regulatory testing of chemicals and effluents using fish","type":"article-journal","volume":"224"},"uris":["http://www.mendeley.com/documents/?uuid=45bab4eb-b7b6-4051-8306-4d4d23dee77f"]}],"mendeley":{"formattedCitation":"(Schirmer, 2006)","manualFormatting":"Schirmer, (2006)","plainTextFormattedCitation":"(Schirmer, 2006)","previouslyFormattedCitation":"(Schirmer, 2006)"},"properties":{"noteIndex":0},"schema":"https://github.com/citation-style-language/schema/raw/master/csl-citation.json"}</w:instrText>
      </w:r>
      <w:r w:rsidR="00CD6478">
        <w:rPr>
          <w:color w:val="212121"/>
        </w:rPr>
        <w:fldChar w:fldCharType="separate"/>
      </w:r>
      <w:r w:rsidR="00CD6478" w:rsidRPr="00C23AEB">
        <w:rPr>
          <w:noProof/>
          <w:color w:val="212121"/>
        </w:rPr>
        <w:t xml:space="preserve">Schirmer, </w:t>
      </w:r>
      <w:r w:rsidR="00CD6478">
        <w:rPr>
          <w:noProof/>
          <w:color w:val="212121"/>
        </w:rPr>
        <w:t>(</w:t>
      </w:r>
      <w:r w:rsidR="00CD6478" w:rsidRPr="00C23AEB">
        <w:rPr>
          <w:noProof/>
          <w:color w:val="212121"/>
        </w:rPr>
        <w:t>2006)</w:t>
      </w:r>
      <w:r w:rsidR="00CD6478">
        <w:rPr>
          <w:color w:val="212121"/>
        </w:rPr>
        <w:fldChar w:fldCharType="end"/>
      </w:r>
      <w:r w:rsidR="00CD6478">
        <w:rPr>
          <w:color w:val="212121"/>
        </w:rPr>
        <w:t xml:space="preserve"> </w:t>
      </w:r>
      <w:r w:rsidR="00CD6478" w:rsidRPr="00CD6478">
        <w:rPr>
          <w:color w:val="212121"/>
        </w:rPr>
        <w:t>proposed a number of methods for creating fish cell line-based toxicity studies, including choosing cell lines derived from tissues that reveal the specific mechanism of action of a given compound, enhancing cellular sensitivity by altering the culture environment to more closely resemble in-vivo exposure, and accou</w:t>
      </w:r>
      <w:r w:rsidR="00CD6478">
        <w:rPr>
          <w:color w:val="212121"/>
        </w:rPr>
        <w:t>nting for the chemical fraction</w:t>
      </w:r>
      <w:r w:rsidRPr="007740A2">
        <w:rPr>
          <w:color w:val="212121"/>
        </w:rPr>
        <w:t xml:space="preserve"> available to the cells. </w:t>
      </w:r>
      <w:r w:rsidR="00CD6478" w:rsidRPr="00CD6478">
        <w:rPr>
          <w:color w:val="212121"/>
        </w:rPr>
        <w:t>According to reports, several experts are developing cutting-edge techniques to identify toxicity using different cell lines.</w:t>
      </w:r>
    </w:p>
    <w:p w:rsidR="006B5EB9" w:rsidRDefault="006B5EB9" w:rsidP="00D23B4B">
      <w:pPr>
        <w:pStyle w:val="Default"/>
        <w:spacing w:line="360" w:lineRule="auto"/>
        <w:jc w:val="both"/>
      </w:pPr>
    </w:p>
    <w:p w:rsidR="00811AE7" w:rsidRPr="00811AE7" w:rsidRDefault="00811AE7" w:rsidP="00D23B4B">
      <w:pPr>
        <w:pStyle w:val="Default"/>
        <w:spacing w:line="360" w:lineRule="auto"/>
        <w:jc w:val="both"/>
        <w:rPr>
          <w:color w:val="auto"/>
        </w:rPr>
      </w:pPr>
      <w:r w:rsidRPr="00811AE7">
        <w:t xml:space="preserve">As soon as ecotoxicology was recognised as a legitimate subject of study, in vitro methods were used to address concerns about fish toxicity. </w:t>
      </w:r>
      <w:r w:rsidR="00B04D3F">
        <w:fldChar w:fldCharType="begin" w:fldLock="1"/>
      </w:r>
      <w:r w:rsidR="00B04D3F">
        <w:instrText>ADDIN CSL_CITATION {"citationItems":[{"id":"ITEM-1","itemData":{"DOI":"https://doi.org/10.1016/0043-1354(68)90060-2","ISSN":"0043-1354","abstract":"A procedure for using fish cells in culture as an additional parameter in the study of aquatic toxicants is described, and a comparison is made between the dose response of the fathead minnow and fathead minnow cells in culture, to zinc intoxication. The cells were found to be more sensitive than were the whole animals. The calculated safe concentration, based on the whole animal studies, was found to reduce the mitotic index of the cell cultures by approxately 50 per cent. A concentration of zinc representing one-tenth of the 96 hr TLm of the fathead minnows was found to have no effect on the cell cultures. Using these tissue culture criteria it is concluded that one-tenth of the 96 hr TLm is a demonstrably safer concentration for determining maximum permissible concentrations than is the calculated biologically safe concentration.","author":[{"dropping-particle":"","family":"Rachlin","given":"Joseph Wolfe","non-dropping-particle":"","parse-names":false,"suffix":""},{"dropping-particle":"","family":"Perlmutter","given":"Alfred","non-dropping-particle":"","parse-names":false,"suffix":""}],"container-title":"Water Research","id":"ITEM-1","issue":"6","issued":{"date-parts":[["1968"]]},"page":"409-414","title":"Fish cells in culture for study of aquatic toxicants","type":"article-journal","volume":"2"},"uris":["http://www.mendeley.com/documents/?uuid=4a41f4b9-ab2c-4610-b22d-1daac3ffa482"]}],"mendeley":{"formattedCitation":"(Rachlin &amp; Perlmutter, 1968)","manualFormatting":"Rachlin &amp; Perlmutter, (1968","plainTextFormattedCitation":"(Rachlin &amp; Perlmutter, 1968)","previouslyFormattedCitation":"(Rachlin &amp; Perlmutter, 1968)"},"properties":{"noteIndex":0},"schema":"https://github.com/citation-style-language/schema/raw/master/csl-citation.json"}</w:instrText>
      </w:r>
      <w:r w:rsidR="00B04D3F">
        <w:fldChar w:fldCharType="separate"/>
      </w:r>
      <w:r w:rsidR="00B04D3F">
        <w:rPr>
          <w:noProof/>
        </w:rPr>
        <w:t>Rachlin &amp; Perlmutter</w:t>
      </w:r>
      <w:r w:rsidR="00B04D3F" w:rsidRPr="00C23AEB">
        <w:rPr>
          <w:noProof/>
        </w:rPr>
        <w:t xml:space="preserve"> </w:t>
      </w:r>
      <w:r w:rsidR="00B04D3F">
        <w:rPr>
          <w:noProof/>
        </w:rPr>
        <w:t>(</w:t>
      </w:r>
      <w:r w:rsidR="00B04D3F" w:rsidRPr="00C23AEB">
        <w:rPr>
          <w:noProof/>
        </w:rPr>
        <w:t>1968</w:t>
      </w:r>
      <w:r w:rsidR="00B04D3F">
        <w:fldChar w:fldCharType="end"/>
      </w:r>
      <w:r w:rsidR="00B04D3F">
        <w:t>)</w:t>
      </w:r>
      <w:r w:rsidRPr="00811AE7">
        <w:t>carried out the first study on metal toxicity for fish utilising an in vitro ex</w:t>
      </w:r>
      <w:r w:rsidR="00B04D3F">
        <w:t>periment with fish cells.</w:t>
      </w:r>
      <w:r w:rsidRPr="00811AE7">
        <w:t xml:space="preserve"> By the middle of the 1990s, fish cell systems had gained popularity as a tool for </w:t>
      </w:r>
      <w:proofErr w:type="spellStart"/>
      <w:r w:rsidRPr="00811AE7">
        <w:t>ecotoxicological</w:t>
      </w:r>
      <w:proofErr w:type="spellEnd"/>
      <w:r w:rsidRPr="00811AE7">
        <w:t xml:space="preserve"> study. In 1962, the first fish cell line, RTG-2, was developed utilising the ovaries of a cold-water species, the rainbow trout (Wolf and </w:t>
      </w:r>
      <w:proofErr w:type="spellStart"/>
      <w:r w:rsidRPr="00811AE7">
        <w:t>Quimby</w:t>
      </w:r>
      <w:proofErr w:type="spellEnd"/>
      <w:r w:rsidRPr="00811AE7">
        <w:t>, 1962). Since then, there has been an increase in the development of fish cell lines from a range of tissues, including fish species from both tropical and temperate waters. In 1980, Wolf and Mann created the first thorough analysis of all fish cell</w:t>
      </w:r>
      <w:r>
        <w:t xml:space="preserve"> </w:t>
      </w:r>
      <w:r w:rsidRPr="00260B03">
        <w:rPr>
          <w:color w:val="auto"/>
        </w:rPr>
        <w:t>and tis</w:t>
      </w:r>
      <w:r>
        <w:rPr>
          <w:color w:val="auto"/>
        </w:rPr>
        <w:t>sue cultures.</w:t>
      </w:r>
      <w:r w:rsidRPr="00811AE7">
        <w:t xml:space="preserve"> </w:t>
      </w:r>
      <w:r w:rsidRPr="00811AE7">
        <w:rPr>
          <w:color w:val="auto"/>
        </w:rPr>
        <w:t xml:space="preserve">In 1994, Fryer and </w:t>
      </w:r>
      <w:proofErr w:type="spellStart"/>
      <w:r w:rsidRPr="00811AE7">
        <w:rPr>
          <w:color w:val="auto"/>
        </w:rPr>
        <w:t>Lannan</w:t>
      </w:r>
      <w:proofErr w:type="spellEnd"/>
      <w:r w:rsidRPr="00811AE7">
        <w:rPr>
          <w:color w:val="auto"/>
        </w:rPr>
        <w:t xml:space="preserve"> published a list of all freshwater and marine fish cell lines from around the world. Later, Niels </w:t>
      </w:r>
      <w:proofErr w:type="spellStart"/>
      <w:r w:rsidRPr="00811AE7">
        <w:rPr>
          <w:color w:val="auto"/>
        </w:rPr>
        <w:t>Bols</w:t>
      </w:r>
      <w:proofErr w:type="spellEnd"/>
      <w:r w:rsidRPr="00811AE7">
        <w:rPr>
          <w:color w:val="auto"/>
        </w:rPr>
        <w:t>' laboratory was successful in creating a variety of fish cell lines, including the RTL-W1 from liver and the RTgill-W1 from rainbow trout (</w:t>
      </w:r>
      <w:proofErr w:type="spellStart"/>
      <w:r w:rsidRPr="00B04D3F">
        <w:rPr>
          <w:i/>
          <w:color w:val="auto"/>
        </w:rPr>
        <w:t>Oncorhynchus</w:t>
      </w:r>
      <w:proofErr w:type="spellEnd"/>
      <w:r w:rsidRPr="00B04D3F">
        <w:rPr>
          <w:i/>
          <w:color w:val="auto"/>
        </w:rPr>
        <w:t xml:space="preserve"> mykiss</w:t>
      </w:r>
      <w:r w:rsidRPr="00811AE7">
        <w:rPr>
          <w:color w:val="auto"/>
        </w:rPr>
        <w:t xml:space="preserve">) gills, which were used to detect distinct toxicant responses </w:t>
      </w:r>
      <w:r w:rsidR="00B04D3F">
        <w:rPr>
          <w:color w:val="auto"/>
        </w:rPr>
        <w:fldChar w:fldCharType="begin" w:fldLock="1"/>
      </w:r>
      <w:r w:rsidR="00B04D3F">
        <w:rPr>
          <w:color w:val="auto"/>
        </w:rPr>
        <w:instrText>ADDIN CSL_CITATION {"citationItems":[{"id":"ITEM-1","itemData":{"ISSN":"0730-7268 (Print)","PMID":"11349866","abstract":"In order to investigate cell-specific differences in the response of in vitro models  to environmental toxicants, we compared the capacity of nine polycyclic aromatic hydrocarbons (PAHs) to induce cytochrome P4501A (CYPIA) in primary rainbow trout (Oncorhynchus mykiss) hepatocytes and a rainbow trout liver cell line, RTL-W1. Induction of CYPIA was estimated from the catalytic activity of 7-ethoxyresorufin-O-deethylase (EROD) and compared by median effective concentration (EC50) values, induction spans, and benzo[a]pyrene induction equivalency factors for inducing PAHs. The influence of culture conditions was investigated with respect to the presence or absence of serum and varying exposure times. Both in vitro systems lead to an identical classification of the PAHs in noninducing (anthracene, fluoranthene, phenanthrene, and pyrene) and inducing compounds with a similar ranking of inducing PAHs. Mean EC50 values in RTL-W1 cells were, respectively, 343 and 266 nM for benzo[a]anthracene, 57 and 92 nM for BaP, 134 and 283 nM for benzo[b]fluoranthene, 455 and 270 nM for chrysene, and 98 and 116 nM for 3-methylcholanthrene. Compared to primary hepatocytes, the RTL-W1 cell line was more sensitive in its EROD response to the presence or absence of serum and to the increase in exposure time, which led to higher EC50 values.","author":[{"dropping-particle":"","family":"Behrens","given":"A","non-dropping-particle":"","parse-names":false,"suffix":""},{"dropping-particle":"","family":"Schirmer","given":"K","non-dropping-particle":"","parse-names":false,"suffix":""},{"dropping-particle":"","family":"Bols","given":"N C","non-dropping-particle":"","parse-names":false,"suffix":""},{"dropping-particle":"","family":"Segner","given":"H","non-dropping-particle":"","parse-names":false,"suffix":""}],"container-title":"Environmental toxicology and chemistry","id":"ITEM-1","issue":"3","issued":{"date-parts":[["2001","3"]]},"language":"eng","page":"632-643","publisher-place":"United States","title":"Polycyclic aromatic hydrocarbons as inducers of cytochrome P4501A enzyme activity in  the rainbow trout liver cell line, RTL-W1, and in primary cultures of rainbow trout hepatocytes.","type":"article-journal","volume":"20"},"uris":["http://www.mendeley.com/documents/?uuid=83e50baf-f058-4b9e-8155-c117e372beae"]},{"id":"ITEM-2","itemData":{"author":[{"dropping-particle":"","family":"Bols","given":"N C","non-dropping-particle":"","parse-names":false,"suffix":""},{"dropping-particle":"","family":"Dayeh","given":"V R","non-dropping-particle":"","parse-names":false,"suffix":""}],"id":"ITEM-2","issued":{"date-parts":[["2005"]]},"title":"Use of fish cell lines in the toxicology and ecotoxicology of fish . Piscine cell lines in environmental toxicology","type":"article-journal","volume":"6"},"uris":["http://www.mendeley.com/documents/?uuid=fcd156bb-f141-4220-8464-250c585e148a"]}],"mendeley":{"formattedCitation":"(Behrens et al., 2001; Bols &amp; Dayeh, 2005)","plainTextFormattedCitation":"(Behrens et al., 2001; Bols &amp; Dayeh, 2005)","previouslyFormattedCitation":"(Behrens et al., 2001; Bols &amp; Dayeh, 2005)"},"properties":{"noteIndex":0},"schema":"https://github.com/citation-style-language/schema/raw/master/csl-citation.json"}</w:instrText>
      </w:r>
      <w:r w:rsidR="00B04D3F">
        <w:rPr>
          <w:color w:val="auto"/>
        </w:rPr>
        <w:fldChar w:fldCharType="separate"/>
      </w:r>
      <w:r w:rsidR="00B04D3F" w:rsidRPr="00C91B79">
        <w:rPr>
          <w:noProof/>
          <w:color w:val="auto"/>
        </w:rPr>
        <w:t>(Behrens et al., 2001; Bols &amp; Dayeh, 2005)</w:t>
      </w:r>
      <w:r w:rsidR="00B04D3F">
        <w:rPr>
          <w:color w:val="auto"/>
        </w:rPr>
        <w:fldChar w:fldCharType="end"/>
      </w:r>
      <w:r w:rsidR="00B04D3F">
        <w:rPr>
          <w:color w:val="auto"/>
        </w:rPr>
        <w:t xml:space="preserve">. </w:t>
      </w:r>
      <w:r w:rsidRPr="00811AE7">
        <w:rPr>
          <w:color w:val="auto"/>
        </w:rPr>
        <w:t xml:space="preserve">Moreover, fish cell lines were </w:t>
      </w:r>
      <w:r w:rsidRPr="00811AE7">
        <w:rPr>
          <w:color w:val="auto"/>
        </w:rPr>
        <w:lastRenderedPageBreak/>
        <w:t xml:space="preserve">used to test the toxicity of complex environmental components such water effluents or sediment extracts as well as to determine whether chemicals had genotoxic or </w:t>
      </w:r>
      <w:proofErr w:type="spellStart"/>
      <w:r w:rsidRPr="00811AE7">
        <w:rPr>
          <w:color w:val="auto"/>
        </w:rPr>
        <w:t>immunotoxic</w:t>
      </w:r>
      <w:proofErr w:type="spellEnd"/>
      <w:r w:rsidRPr="00811AE7">
        <w:rPr>
          <w:color w:val="auto"/>
        </w:rPr>
        <w:t xml:space="preserve"> properties </w:t>
      </w:r>
      <w:r w:rsidR="00B04D3F">
        <w:rPr>
          <w:color w:val="auto"/>
        </w:rPr>
        <w:fldChar w:fldCharType="begin" w:fldLock="1"/>
      </w:r>
      <w:r w:rsidR="00B04D3F">
        <w:rPr>
          <w:color w:val="auto"/>
        </w:rPr>
        <w:instrText>ADDIN CSL_CITATION {"citationItems":[{"id":"ITEM-1","itemData":{"author":[{"dropping-particle":"","family":"Bols","given":"N C","non-dropping-particle":"","parse-names":false,"suffix":""},{"dropping-particle":"","family":"Dayeh","given":"V R","non-dropping-particle":"","parse-names":false,"suffix":""}],"id":"ITEM-1","issued":{"date-parts":[["2005"]]},"title":"Use of fish cell lines in the toxicology and ecotoxicology of fish . Piscine cell lines in environmental toxicology","type":"article-journal","volume":"6"},"uris":["http://www.mendeley.com/documents/?uuid=fcd156bb-f141-4220-8464-250c585e148a"]},{"id":"ITEM-2","itemData":{"DOI":"10.1186/s12302-018-0151-3","ISSN":"2190-4715","author":[{"dropping-particle":"","family":"Rehberger","given":"Kristina","non-dropping-particle":"","parse-names":false,"suffix":""},{"dropping-particle":"","family":"Kropf","given":"Christian","non-dropping-particle":"","parse-names":false,"suffix":""},{"dropping-particle":"","family":"Segner","given":"Helmut","non-dropping-particle":"","parse-names":false,"suffix":""}],"container-title":"Environmental Sciences Europe","id":"ITEM-2","issued":{"date-parts":[["2018"]]},"publisher":"Springer Berlin Heidelberg","title":"In vitro or not in vitro : a short journey through a long history","type":"article-journal"},"uris":["http://www.mendeley.com/documents/?uuid=4b549bac-b464-46cd-821a-726179af500f"]}],"mendeley":{"formattedCitation":"(Bols &amp; Dayeh, 2005; Rehberger et al., 2018)","plainTextFormattedCitation":"(Bols &amp; Dayeh, 2005; Rehberger et al., 2018)","previouslyFormattedCitation":"(Bols &amp; Dayeh, 2005; Rehberger et al., 2018)"},"properties":{"noteIndex":0},"schema":"https://github.com/citation-style-language/schema/raw/master/csl-citation.json"}</w:instrText>
      </w:r>
      <w:r w:rsidR="00B04D3F">
        <w:rPr>
          <w:color w:val="auto"/>
        </w:rPr>
        <w:fldChar w:fldCharType="separate"/>
      </w:r>
      <w:r w:rsidR="00B04D3F" w:rsidRPr="00C91B79">
        <w:rPr>
          <w:noProof/>
          <w:color w:val="auto"/>
        </w:rPr>
        <w:t>(Bols &amp; Dayeh, 2005; Rehberger et al., 2018)</w:t>
      </w:r>
      <w:r w:rsidR="00B04D3F">
        <w:rPr>
          <w:color w:val="auto"/>
        </w:rPr>
        <w:fldChar w:fldCharType="end"/>
      </w:r>
      <w:r w:rsidR="00B04D3F">
        <w:rPr>
          <w:color w:val="auto"/>
        </w:rPr>
        <w:t xml:space="preserve">. </w:t>
      </w:r>
      <w:r w:rsidRPr="00811AE7">
        <w:rPr>
          <w:color w:val="auto"/>
        </w:rPr>
        <w:t xml:space="preserve">Fish hepatocyte cell lines were previously chosen because of their crucial role in </w:t>
      </w:r>
      <w:proofErr w:type="spellStart"/>
      <w:r w:rsidRPr="00811AE7">
        <w:rPr>
          <w:color w:val="auto"/>
        </w:rPr>
        <w:t>toxicokinetic</w:t>
      </w:r>
      <w:proofErr w:type="spellEnd"/>
      <w:r w:rsidRPr="00811AE7">
        <w:rPr>
          <w:color w:val="auto"/>
        </w:rPr>
        <w:t xml:space="preserve"> and </w:t>
      </w:r>
      <w:proofErr w:type="spellStart"/>
      <w:r w:rsidRPr="00811AE7">
        <w:rPr>
          <w:color w:val="auto"/>
        </w:rPr>
        <w:t>toxicodynamic</w:t>
      </w:r>
      <w:proofErr w:type="spellEnd"/>
      <w:r w:rsidRPr="00811AE7">
        <w:rPr>
          <w:color w:val="auto"/>
        </w:rPr>
        <w:t xml:space="preserve"> processes, as well as xenobiotic biotransformation </w:t>
      </w:r>
      <w:r w:rsidR="00B04D3F">
        <w:rPr>
          <w:color w:val="auto"/>
        </w:rPr>
        <w:fldChar w:fldCharType="begin" w:fldLock="1"/>
      </w:r>
      <w:r w:rsidR="00B04D3F">
        <w:rPr>
          <w:color w:val="auto"/>
        </w:rPr>
        <w:instrText>ADDIN CSL_CITATION {"citationItems":[{"id":"ITEM-1","itemData":{"DOI":"10.1177/026119290102900321","ISSN":"0261-1929 (Print)","PMID":"11387022","abstract":"In aquatic toxicology, isolated liver cells from fish can be used as a tool to  generate initial information on the hepatic metabolism of xenobiotics, and on the mechanisms of xenobiotic activation or deactivation. This isolation of teleost liver cells is achieved by enzymic dissociation, and monolayer cultures of fish hepatocytes in serum-free medium maintain good viability for 3-8 days. During in vitro culture, fish liver cells express stable levels of phase I and phase II enzymes, such as cytochrome P4501A or glutathione S-transferase, and the cells show an induction of biotransformation enzymes after exposure to xenobiotics. The xenobiotic metabolite pattern produced by fish hepatocytes in vitro is generally similar to that observed in vivo. Limitations to more-intensive application of cultured fish hepatocytes as a screen in aquatic hazard assessment are partly due to the rather limited scope of existing studies, i.e. the focus on one particular species (rainbow trout), and on one particular biotransformation enzyme (cytochrome P4501A), as well as a lack of comparative in vitro/in vivo studies.","author":[{"dropping-particle":"","family":"Segner","given":"H","non-dropping-particle":"","parse-names":false,"suffix":""},{"dropping-particle":"","family":"Cravedi","given":"J P","non-dropping-particle":"","parse-names":false,"suffix":""}],"container-title":"Alternatives to laboratory animals : ATLA","id":"ITEM-1","issue":"3","issued":{"date-parts":[["2001"]]},"language":"eng","page":"251-257","publisher-place":"England","title":"Metabolic activity in primary cultures of fish hepatocytes.","type":"article-journal","volume":"29"},"uris":["http://www.mendeley.com/documents/?uuid=03add519-45a3-4edc-8904-98c1e8ad80d4"]}],"mendeley":{"formattedCitation":"(Segner &amp; Cravedi, 2001)","plainTextFormattedCitation":"(Segner &amp; Cravedi, 2001)","previouslyFormattedCitation":"(Segner &amp; Cravedi, 2001)"},"properties":{"noteIndex":0},"schema":"https://github.com/citation-style-language/schema/raw/master/csl-citation.json"}</w:instrText>
      </w:r>
      <w:r w:rsidR="00B04D3F">
        <w:rPr>
          <w:color w:val="auto"/>
        </w:rPr>
        <w:fldChar w:fldCharType="separate"/>
      </w:r>
      <w:r w:rsidR="00B04D3F" w:rsidRPr="00C91B79">
        <w:rPr>
          <w:noProof/>
          <w:color w:val="auto"/>
        </w:rPr>
        <w:t>(Segner &amp; Cravedi, 2001)</w:t>
      </w:r>
      <w:r w:rsidR="00B04D3F">
        <w:rPr>
          <w:color w:val="auto"/>
        </w:rPr>
        <w:fldChar w:fldCharType="end"/>
      </w:r>
      <w:r w:rsidR="00B04D3F">
        <w:rPr>
          <w:color w:val="auto"/>
        </w:rPr>
        <w:t>.</w:t>
      </w:r>
      <w:r w:rsidRPr="00811AE7">
        <w:rPr>
          <w:color w:val="auto"/>
        </w:rPr>
        <w:t xml:space="preserve">Two fish cell lines, RTG 2 and PLHC1, were used to examine the harmful potential of </w:t>
      </w:r>
      <w:proofErr w:type="spellStart"/>
      <w:r w:rsidRPr="00811AE7">
        <w:rPr>
          <w:color w:val="auto"/>
        </w:rPr>
        <w:t>fluoroacetate</w:t>
      </w:r>
      <w:proofErr w:type="spellEnd"/>
      <w:r w:rsidRPr="00811AE7">
        <w:rPr>
          <w:color w:val="auto"/>
        </w:rPr>
        <w:t xml:space="preserve"> insecticide for the first time </w:t>
      </w:r>
      <w:r w:rsidR="00B04D3F">
        <w:rPr>
          <w:color w:val="auto"/>
        </w:rPr>
        <w:fldChar w:fldCharType="begin" w:fldLock="1"/>
      </w:r>
      <w:r w:rsidR="00B04D3F">
        <w:rPr>
          <w:color w:val="auto"/>
        </w:rPr>
        <w:instrText>ADDIN CSL_CITATION {"citationItems":[{"id":"ITEM-1","itemData":{"DOI":"10.1016/j.chemosphere.2006.10.027","ISSN":"00456535","PMID":"17157355","abstract":"Sodium monofluoroacetate (compound 1080) is one of the most potent pesticides. It is also a metabolite of many other fluorinated compounds, including anticancer agents, narcotic analgesics, pesticides or industrial chemicals. Other sources of water contamination are the atmospheric degradation of hydrofluorocarbons and hydrochlorofluorocarbons. However, there is little information available about the adverse effects of sodium fluoroacetate in aquatic organisms. Firstly, the bacterium Vibrio fischeri (decomposer), the alga Chlorella vulgaris (1st producer) and the cladoceran Daphnia magna (1st consumer) were used for the ecotoxicological evaluation of SMFA. The most sensitive models were C. vulgaris and D. magna, with a NOAEL of 0.1 and an EC50 of 0.5 mM at 72 h, respectively. According to the results after the acute exposure and due to its high biodegradation rate and low bioaccumulation potential, sodium fluoroacetate is most unlikely to produce deleterious effects to aquatic organisms. Secondly, two fish cell lines were employed to investigate the effects and mechanisms of toxicity in tissues from 2nd consumers. The hepatoma fish cell line PLHC-1 was more sensitive to SMFA than the fibroblast-like fish cell line RTG-2, being the uptake of neutral red the most sensitive bioindicator. Lysosomal function, succinate dehydrogenase and acetylcholinesterase activities were inhibited, glucose-6-phosphate dehydrogenase activity was particularly stimulated, and metallothionein and ethoxyresorufin-O-deethylase levels were not modified. Intense hydropic degeneration, macrovesicular steatosis and death mainly by necrosis but also by apoptosis were observed. Moreover, sulphydryl groups and oxidative stress could be involved in PLHC-1 cell death induced by SMFA more than changes in calcium homeostasis. © 2006 Elsevier Ltd. All rights reserved.","author":[{"dropping-particle":"","family":"Zurita","given":"Jorge L.","non-dropping-particle":"","parse-names":false,"suffix":""},{"dropping-particle":"","family":"Jos","given":"Ángeles","non-dropping-particle":"","parse-names":false,"suffix":""},{"dropping-particle":"","family":"Cameán","given":"Ana M.","non-dropping-particle":"","parse-names":false,"suffix":""},{"dropping-particle":"","family":"Salguero","given":"Manuel","non-dropping-particle":"","parse-names":false,"suffix":""},{"dropping-particle":"","family":"López-Artíguez","given":"Miguel","non-dropping-particle":"","parse-names":false,"suffix":""},{"dropping-particle":"","family":"Repetto","given":"Guillermo","non-dropping-particle":"","parse-names":false,"suffix":""}],"container-title":"Chemosphere","id":"ITEM-1","issue":"1","issued":{"date-parts":[["2007"]]},"page":"1-12","title":"Ecotoxicological evaluation of sodium fluoroacetate on aquatic organisms and investigation of the effects on two fish cell lines","type":"article-journal","volume":"67"},"uris":["http://www.mendeley.com/documents/?uuid=f11de402-e2e0-4250-a84b-e70523e45e78"]}],"mendeley":{"formattedCitation":"(Zurita et al., 2007)","plainTextFormattedCitation":"(Zurita et al., 2007)","previouslyFormattedCitation":"(Zurita et al., 2007)"},"properties":{"noteIndex":0},"schema":"https://github.com/citation-style-language/schema/raw/master/csl-citation.json"}</w:instrText>
      </w:r>
      <w:r w:rsidR="00B04D3F">
        <w:rPr>
          <w:color w:val="auto"/>
        </w:rPr>
        <w:fldChar w:fldCharType="separate"/>
      </w:r>
      <w:r w:rsidR="00B04D3F" w:rsidRPr="00C91B79">
        <w:rPr>
          <w:noProof/>
          <w:color w:val="auto"/>
        </w:rPr>
        <w:t>(Zurita et al., 2007)</w:t>
      </w:r>
      <w:r w:rsidR="00B04D3F">
        <w:rPr>
          <w:color w:val="auto"/>
        </w:rPr>
        <w:fldChar w:fldCharType="end"/>
      </w:r>
      <w:r w:rsidR="00B04D3F">
        <w:rPr>
          <w:color w:val="auto"/>
        </w:rPr>
        <w:t xml:space="preserve">. </w:t>
      </w:r>
      <w:r w:rsidRPr="00811AE7">
        <w:rPr>
          <w:color w:val="auto"/>
        </w:rPr>
        <w:t xml:space="preserve">Later, for an in-vitro investigation, a number of researchers looked into the toxicants on a fish muscle cell line called Wallago </w:t>
      </w:r>
      <w:proofErr w:type="spellStart"/>
      <w:r w:rsidRPr="00811AE7">
        <w:rPr>
          <w:color w:val="auto"/>
        </w:rPr>
        <w:t>attu</w:t>
      </w:r>
      <w:proofErr w:type="spellEnd"/>
      <w:r w:rsidRPr="00811AE7">
        <w:rPr>
          <w:color w:val="auto"/>
        </w:rPr>
        <w:t xml:space="preserve"> muscle (WAM) </w:t>
      </w:r>
      <w:r w:rsidR="00B04D3F">
        <w:rPr>
          <w:color w:val="auto"/>
        </w:rPr>
        <w:fldChar w:fldCharType="begin" w:fldLock="1"/>
      </w:r>
      <w:r w:rsidR="00B04D3F">
        <w:rPr>
          <w:color w:val="auto"/>
        </w:rPr>
        <w:instrText>ADDIN CSL_CITATION {"citationItems":[{"id":"ITEM-1","itemData":{"DOI":"10.1007/s40009-015-0365-5","ISSN":"0250541X","abstract":"Fish cell line has emerged as an important tool in fishery biotechnology. In recent years, various fish cell lines have been developed by different researchers across the country. National Repository on Fish cell lines, established with the aim to preserve fish cell lines for training and education to stakeholders, has started functioning at National Bureau of Fish Genetic Resources, Lucknow. This repository is supposed to characterize and preserve the fish cell lines developed across the country and serve as a national referral centre for Indian and exotic fish cell lines. Currently, the repository is maintaining 50 fish cell lines deposited by various research institutes in India, including the cell lines developed at cell culture facility of National Bureau of Fish Genetic Resources. The cell lines have been successfully cryopreserved after verifying its authenticity by sequence analysis of two mitochondrial genes, viz. 16S rRNA and cytochrome c oxidase sub-unit I. Chromosomal analysis, transfection efficiency and immunocytochemistry are also being used to characterize the cell lines. The facility is serviceable for the collection, deposition and distribution of fish cell lines. This paper discusses the status as well as the methodology adopted for fish cell lines development, characterization and storage at NRFC.","author":[{"dropping-particle":"","family":"Nagpure","given":"Naresh Sahebrao","non-dropping-particle":"","parse-names":false,"suffix":""},{"dropping-particle":"","family":"Mishra","given":"Akhilesh Kr","non-dropping-particle":"","parse-names":false,"suffix":""},{"dropping-particle":"","family":"Ninawe","given":"A. S.","non-dropping-particle":"","parse-names":false,"suffix":""},{"dropping-particle":"","family":"Rasal","given":"Avinash","non-dropping-particle":"","parse-names":false,"suffix":""},{"dropping-particle":"","family":"Dubey","given":"Akhilesh","non-dropping-particle":"","parse-names":false,"suffix":""},{"dropping-particle":"","family":"Kumar","given":"Amit","non-dropping-particle":"","parse-names":false,"suffix":""},{"dropping-particle":"","family":"Goswami","given":"M.","non-dropping-particle":"","parse-names":false,"suffix":""},{"dropping-particle":"","family":"Kumar","given":"Ravindra","non-dropping-particle":"","parse-names":false,"suffix":""},{"dropping-particle":"","family":"Jena","given":"J. K.","non-dropping-particle":"","parse-names":false,"suffix":""}],"container-title":"National Academy Science Letters","id":"ITEM-1","issue":"1","issued":{"date-parts":[["2016"]]},"page":"11-16","title":"Molecular and Cytogenetic Characterization of Fish Cell Lines and its Application in Aquatic Research","type":"article-journal","volume":"39"},"uris":["http://www.mendeley.com/documents/?uuid=fff74ff1-9b7d-4a9b-9c7c-b656bb41da5e"]}],"mendeley":{"formattedCitation":"(Nagpure et al., 2016)","plainTextFormattedCitation":"(Nagpure et al., 2016)","previouslyFormattedCitation":"(Nagpure et al., 2016)"},"properties":{"noteIndex":0},"schema":"https://github.com/citation-style-language/schema/raw/master/csl-citation.json"}</w:instrText>
      </w:r>
      <w:r w:rsidR="00B04D3F">
        <w:rPr>
          <w:color w:val="auto"/>
        </w:rPr>
        <w:fldChar w:fldCharType="separate"/>
      </w:r>
      <w:r w:rsidR="00B04D3F" w:rsidRPr="00C91B79">
        <w:rPr>
          <w:noProof/>
          <w:color w:val="auto"/>
        </w:rPr>
        <w:t>(Nagpure et al., 2016)</w:t>
      </w:r>
      <w:r w:rsidR="00B04D3F">
        <w:rPr>
          <w:color w:val="auto"/>
        </w:rPr>
        <w:fldChar w:fldCharType="end"/>
      </w:r>
      <w:r w:rsidR="00B04D3F">
        <w:rPr>
          <w:color w:val="auto"/>
        </w:rPr>
        <w:t>.</w:t>
      </w:r>
    </w:p>
    <w:p w:rsidR="00811AE7" w:rsidRDefault="00811AE7" w:rsidP="00D23B4B">
      <w:pPr>
        <w:pStyle w:val="Default"/>
        <w:spacing w:line="360" w:lineRule="auto"/>
        <w:jc w:val="both"/>
      </w:pPr>
    </w:p>
    <w:p w:rsidR="00125A26" w:rsidRPr="00C23AEB" w:rsidRDefault="00D23B4B" w:rsidP="00D23B4B">
      <w:pPr>
        <w:pStyle w:val="Default"/>
        <w:spacing w:line="360" w:lineRule="auto"/>
        <w:jc w:val="both"/>
        <w:rPr>
          <w:color w:val="auto"/>
        </w:rPr>
      </w:pPr>
      <w:r w:rsidRPr="00D23B4B">
        <w:rPr>
          <w:color w:val="auto"/>
        </w:rPr>
        <w:t xml:space="preserve">In a comprehensive review by </w:t>
      </w:r>
      <w:r>
        <w:rPr>
          <w:color w:val="auto"/>
        </w:rPr>
        <w:fldChar w:fldCharType="begin" w:fldLock="1"/>
      </w:r>
      <w:r>
        <w:rPr>
          <w:color w:val="auto"/>
        </w:rPr>
        <w:instrText>ADDIN CSL_CITATION {"citationItems":[{"id":"ITEM-1","itemData":{"DOI":"10.1007/s10695-010-9411-x","author":[{"dropping-particle":"","family":"W S Lakra","given":"T RAJA","non-dropping-particle":"","parse-names":false,"suffix":""},{"dropping-particle":"","family":"Swaminathan","given":"K P JOY","non-dropping-particle":"","parse-names":false,"suffix":""}],"id":"ITEM-1","issued":{"date-parts":[["2011"]]},"page":"1-20","title":"Development , characterization , conservation and storage of fish cell lines : a review","type":"article-journal"},"uris":["http://www.mendeley.com/documents/?uuid=978185f5-08b9-48aa-a979-45906f090df5"]}],"mendeley":{"formattedCitation":"(W S Lakra &amp; Swaminathan, 2011)","manualFormatting":"Lakra &amp; Swaminathan (2011)","plainTextFormattedCitation":"(W S Lakra &amp; Swaminathan, 2011)","previouslyFormattedCitation":"(W S Lakra &amp; Swaminathan, 2011)"},"properties":{"noteIndex":0},"schema":"https://github.com/citation-style-language/schema/raw/master/csl-citation.json"}</w:instrText>
      </w:r>
      <w:r>
        <w:rPr>
          <w:color w:val="auto"/>
        </w:rPr>
        <w:fldChar w:fldCharType="separate"/>
      </w:r>
      <w:r>
        <w:rPr>
          <w:noProof/>
          <w:color w:val="auto"/>
        </w:rPr>
        <w:t>Lakra &amp; Swaminathan</w:t>
      </w:r>
      <w:r w:rsidRPr="00C91B79">
        <w:rPr>
          <w:noProof/>
          <w:color w:val="auto"/>
        </w:rPr>
        <w:t xml:space="preserve"> </w:t>
      </w:r>
      <w:r>
        <w:rPr>
          <w:noProof/>
          <w:color w:val="auto"/>
        </w:rPr>
        <w:t>(</w:t>
      </w:r>
      <w:r w:rsidRPr="00C91B79">
        <w:rPr>
          <w:noProof/>
          <w:color w:val="auto"/>
        </w:rPr>
        <w:t>2011)</w:t>
      </w:r>
      <w:r>
        <w:rPr>
          <w:color w:val="auto"/>
        </w:rPr>
        <w:fldChar w:fldCharType="end"/>
      </w:r>
      <w:r>
        <w:rPr>
          <w:color w:val="auto"/>
        </w:rPr>
        <w:t xml:space="preserve">, </w:t>
      </w:r>
      <w:r w:rsidRPr="00D23B4B">
        <w:rPr>
          <w:color w:val="auto"/>
        </w:rPr>
        <w:t xml:space="preserve">it was revealed that there were a total of 283 fish cell lines established worldwide. </w:t>
      </w:r>
      <w:r w:rsidR="00C91B79">
        <w:rPr>
          <w:color w:val="auto"/>
        </w:rPr>
        <w:fldChar w:fldCharType="begin" w:fldLock="1"/>
      </w:r>
      <w:r w:rsidR="00C91B79">
        <w:rPr>
          <w:color w:val="auto"/>
        </w:rPr>
        <w:instrText>ADDIN CSL_CITATION {"citationItems":[{"id":"ITEM-1","itemData":{"DOI":"10.7171/jbt.18-2902-002","ISSN":"1943-4731 (Electronic)","PMID":"29805321","abstract":"The Cellosaurus is a knowledge resource on cell lines. It aims to describe all cell  lines used in biomedical research. Its scope encompasses both vertebrates and invertebrates. Currently, information for &gt;100,000 cell lines is provided. For each cell line, it provides a wealth of information, cross-references, and literature citations. The Cellosaurus is available on the ExPASy server (https://web.expasy.org/cellosaurus/) and can be downloaded in a variety of formats. Among its many uses, the Cellosaurus is a key resource to help researchers identify potentially contaminated/misidentified cell lines, thus contributing to improving the quality of research in the life sciences.","author":[{"dropping-particle":"","family":"Bairoch","given":"Amos","non-dropping-particle":"","parse-names":false,"suffix":""}],"container-title":"Journal of biomolecular techniques : JBT","id":"ITEM-1","issue":"2","issued":{"date-parts":[["2018","7"]]},"language":"eng","page":"25-38","title":"The Cellosaurus, a Cell-Line Knowledge Resource.","type":"article-journal","volume":"29"},"uris":["http://www.mendeley.com/documents/?uuid=4267b02d-8a1a-47b0-a829-9457f2494f5f"]}],"mendeley":{"formattedCitation":"(Bairoch, 2018)","manualFormatting":"Bairoch, (2018)","plainTextFormattedCitation":"(Bairoch, 2018)","previouslyFormattedCitation":"(Bairoch, 2018)"},"properties":{"noteIndex":0},"schema":"https://github.com/citation-style-language/schema/raw/master/csl-citation.json"}</w:instrText>
      </w:r>
      <w:r w:rsidR="00C91B79">
        <w:rPr>
          <w:color w:val="auto"/>
        </w:rPr>
        <w:fldChar w:fldCharType="separate"/>
      </w:r>
      <w:r w:rsidR="00C91B79" w:rsidRPr="00C91B79">
        <w:rPr>
          <w:noProof/>
          <w:color w:val="auto"/>
        </w:rPr>
        <w:t xml:space="preserve">Bairoch, </w:t>
      </w:r>
      <w:r w:rsidR="00C91B79">
        <w:rPr>
          <w:noProof/>
          <w:color w:val="auto"/>
        </w:rPr>
        <w:t>(</w:t>
      </w:r>
      <w:r w:rsidR="00C91B79" w:rsidRPr="00C91B79">
        <w:rPr>
          <w:noProof/>
          <w:color w:val="auto"/>
        </w:rPr>
        <w:t>2018)</w:t>
      </w:r>
      <w:r w:rsidR="00C91B79">
        <w:rPr>
          <w:color w:val="auto"/>
        </w:rPr>
        <w:fldChar w:fldCharType="end"/>
      </w:r>
      <w:r w:rsidR="00125A26" w:rsidRPr="00C23AEB">
        <w:rPr>
          <w:color w:val="auto"/>
        </w:rPr>
        <w:t xml:space="preserve"> </w:t>
      </w:r>
      <w:r w:rsidR="00105521" w:rsidRPr="00105521">
        <w:rPr>
          <w:color w:val="auto"/>
        </w:rPr>
        <w:t xml:space="preserve">presented the most recent information regarding 517 fish cell lines in Cellulosaurus; a repository of data on cell lines. </w:t>
      </w:r>
      <w:r w:rsidR="00142E71" w:rsidRPr="00142E71">
        <w:rPr>
          <w:color w:val="auto"/>
        </w:rPr>
        <w:t>While comprising more than half of the vertebrate species, fish have seen relatively fewer cell lines established and characterized, especially when compared to mammals. However, the last decade has witnessed a notable acceleration in cell line research, particularly in India. During this period, various cell lines originating from organs of different fish species have been cu</w:t>
      </w:r>
      <w:r w:rsidR="00142E71">
        <w:rPr>
          <w:color w:val="auto"/>
        </w:rPr>
        <w:t>ltivated, including the development</w:t>
      </w:r>
      <w:r w:rsidR="00142E71" w:rsidRPr="00142E71">
        <w:rPr>
          <w:color w:val="auto"/>
        </w:rPr>
        <w:t xml:space="preserve"> of the SICH cell line derived from the heart of </w:t>
      </w:r>
      <w:r w:rsidR="00142E71">
        <w:rPr>
          <w:i/>
          <w:color w:val="auto"/>
        </w:rPr>
        <w:t xml:space="preserve">Catla </w:t>
      </w:r>
      <w:proofErr w:type="spellStart"/>
      <w:r w:rsidR="00142E71">
        <w:rPr>
          <w:i/>
          <w:color w:val="auto"/>
        </w:rPr>
        <w:t>catla</w:t>
      </w:r>
      <w:proofErr w:type="spellEnd"/>
      <w:r w:rsidR="00125A26" w:rsidRPr="00C23AEB">
        <w:rPr>
          <w:color w:val="auto"/>
        </w:rPr>
        <w:t xml:space="preserve">, </w:t>
      </w:r>
      <w:r w:rsidR="00142E71">
        <w:rPr>
          <w:color w:val="auto"/>
        </w:rPr>
        <w:t xml:space="preserve">cell lines </w:t>
      </w:r>
      <w:r w:rsidR="00125A26" w:rsidRPr="00C23AEB">
        <w:rPr>
          <w:color w:val="auto"/>
        </w:rPr>
        <w:t xml:space="preserve">RE and CB from the eye of </w:t>
      </w:r>
      <w:proofErr w:type="spellStart"/>
      <w:r w:rsidR="00125A26" w:rsidRPr="00C23AEB">
        <w:rPr>
          <w:i/>
          <w:iCs/>
          <w:color w:val="auto"/>
        </w:rPr>
        <w:t>Labeo</w:t>
      </w:r>
      <w:proofErr w:type="spellEnd"/>
      <w:r w:rsidR="00125A26" w:rsidRPr="00C23AEB">
        <w:rPr>
          <w:i/>
          <w:iCs/>
          <w:color w:val="auto"/>
        </w:rPr>
        <w:t xml:space="preserve"> </w:t>
      </w:r>
      <w:proofErr w:type="spellStart"/>
      <w:r w:rsidR="00125A26" w:rsidRPr="00C23AEB">
        <w:rPr>
          <w:i/>
          <w:iCs/>
          <w:color w:val="auto"/>
        </w:rPr>
        <w:t>rohita</w:t>
      </w:r>
      <w:proofErr w:type="spellEnd"/>
      <w:r w:rsidR="00125A26" w:rsidRPr="00C23AEB">
        <w:rPr>
          <w:i/>
          <w:iCs/>
          <w:color w:val="auto"/>
        </w:rPr>
        <w:t xml:space="preserve"> </w:t>
      </w:r>
      <w:r w:rsidR="00125A26" w:rsidRPr="00C23AEB">
        <w:rPr>
          <w:color w:val="auto"/>
        </w:rPr>
        <w:t xml:space="preserve">and brain of </w:t>
      </w:r>
      <w:r w:rsidR="00125A26" w:rsidRPr="00C23AEB">
        <w:rPr>
          <w:i/>
          <w:iCs/>
          <w:color w:val="auto"/>
        </w:rPr>
        <w:t xml:space="preserve">Catla </w:t>
      </w:r>
      <w:proofErr w:type="spellStart"/>
      <w:r w:rsidR="00125A26" w:rsidRPr="00C23AEB">
        <w:rPr>
          <w:i/>
          <w:iCs/>
          <w:color w:val="auto"/>
        </w:rPr>
        <w:t>catla</w:t>
      </w:r>
      <w:proofErr w:type="spellEnd"/>
      <w:r w:rsidR="00125A26" w:rsidRPr="00C23AEB">
        <w:rPr>
          <w:color w:val="auto"/>
        </w:rPr>
        <w:t>, respectively</w:t>
      </w:r>
      <w:r w:rsidR="00C91B79">
        <w:rPr>
          <w:color w:val="auto"/>
        </w:rPr>
        <w:t xml:space="preserve"> </w:t>
      </w:r>
      <w:r w:rsidR="00C91B79">
        <w:rPr>
          <w:color w:val="auto"/>
        </w:rPr>
        <w:fldChar w:fldCharType="begin" w:fldLock="1"/>
      </w:r>
      <w:r w:rsidR="00C91B79">
        <w:rPr>
          <w:color w:val="auto"/>
        </w:rPr>
        <w:instrText>ADDIN CSL_CITATION {"citationItems":[{"id":"ITEM-1","itemData":{"DOI":"10.1111/j.1365-2761.2008.00966.x","ISSN":"1365-2761 (Electronic)","PMID":"19236559","abstract":"Two new cell lines, designated RE and CB, were derived from the eye of rohu, Labeo  rohita, and the brain of catla, Catla catla, respectively. The cell lines were maintained in Leibovitz's L-15 supplemented with 20% foetal bovine serum. The RE cell line was sub-cultured for more than 70 passages and the CB cell line for more than 35 passages. The RE cells are rounded and consist predominantly of epithelial cells. The CB cell line consists of predominantly fibroblastic-like cells. Both cell lines are able to grow at temperatures between 25 and 32 degrees C with an optimum of 28 degrees C. The growth rate of the cells increased as the foetal bovine serum concentration increased from 2% to 20% at 28 degrees C, with optimum growth at concentrations of 15% or 20% foetal bovine serum. The cells were successfully cryopreserved and revived at different passage levels. The cell lines were not susceptible to four marine fish viruses. Extracellular products from Aeromonas sp. were toxic to the cell lines. When the cells were transfected with plasmid eukaryotic green fluorescent protein (pEGFP [Clontech, Carlsbad, CA, USA]) vector DNA, a significant fluorescent signal was observed suggesting that these cell lines could be a useful tool for transgenic and genetic manipulation studies. Polymerase chain reaction amplification of mitochondrial 12S rRNA from rohu and catla confirmed that the cell lines originated from these fish species. The cell lines were further characterized by immunocytochemistry using confocal laser scanning microscopy.","author":[{"dropping-particle":"","family":"Ahmed","given":"V P Ishaq","non-dropping-particle":"","parse-names":false,"suffix":""},{"dropping-particle":"","family":"Chandra","given":"V","non-dropping-particle":"","parse-names":false,"suffix":""},{"dropping-particle":"","family":"Sudhakaran","given":"R","non-dropping-particle":"","parse-names":false,"suffix":""},{"dropping-particle":"","family":"Kumar","given":"S Rajesh","non-dropping-particle":"","parse-names":false,"suffix":""},{"dropping-particle":"","family":"Sarathi","given":"M","non-dropping-particle":"","parse-names":false,"suffix":""},{"dropping-particle":"","family":"Babu","given":"V Sarath","non-dropping-particle":"","parse-names":false,"suffix":""},{"dropping-particle":"","family":"Ramesh","given":"B","non-dropping-particle":"","parse-names":false,"suffix":""},{"dropping-particle":"","family":"Hameed","given":"A S Sahul","non-dropping-particle":"","parse-names":false,"suffix":""}],"container-title":"Journal of fish diseases","id":"ITEM-1","issue":"3","issued":{"date-parts":[["2009","3"]]},"language":"eng","page":"211-218","publisher-place":"England","title":"Development and characterization of cell lines derived from rohu, Labeo rohita  (Hamilton), and catla, Catla catla (Hamilton).","type":"article-journal","volume":"32"},"uris":["http://www.mendeley.com/documents/?uuid=e924e573-7bac-4cc2-bc16-07d2670c016f"]}],"mendeley":{"formattedCitation":"(Ahmed et al., 2009)","plainTextFormattedCitation":"(Ahmed et al., 2009)","previouslyFormattedCitation":"(Ahmed et al., 2009)"},"properties":{"noteIndex":0},"schema":"https://github.com/citation-style-language/schema/raw/master/csl-citation.json"}</w:instrText>
      </w:r>
      <w:r w:rsidR="00C91B79">
        <w:rPr>
          <w:color w:val="auto"/>
        </w:rPr>
        <w:fldChar w:fldCharType="separate"/>
      </w:r>
      <w:r w:rsidR="00C91B79" w:rsidRPr="00C91B79">
        <w:rPr>
          <w:noProof/>
          <w:color w:val="auto"/>
        </w:rPr>
        <w:t>(Ahmed et al., 2009)</w:t>
      </w:r>
      <w:r w:rsidR="00C91B79">
        <w:rPr>
          <w:color w:val="auto"/>
        </w:rPr>
        <w:fldChar w:fldCharType="end"/>
      </w:r>
      <w:r w:rsidR="00142E71">
        <w:rPr>
          <w:color w:val="auto"/>
        </w:rPr>
        <w:t>. Moreover development of</w:t>
      </w:r>
      <w:r w:rsidR="00125A26" w:rsidRPr="00C23AEB">
        <w:rPr>
          <w:color w:val="auto"/>
        </w:rPr>
        <w:t xml:space="preserve"> three cell lines RF, RH and RSB from heart, fin and swim bladder of </w:t>
      </w:r>
      <w:proofErr w:type="spellStart"/>
      <w:r w:rsidR="00125A26" w:rsidRPr="00C23AEB">
        <w:rPr>
          <w:i/>
          <w:iCs/>
          <w:color w:val="auto"/>
        </w:rPr>
        <w:t>Labeo</w:t>
      </w:r>
      <w:proofErr w:type="spellEnd"/>
      <w:r w:rsidR="00125A26" w:rsidRPr="00C23AEB">
        <w:rPr>
          <w:i/>
          <w:iCs/>
          <w:color w:val="auto"/>
        </w:rPr>
        <w:t xml:space="preserve"> </w:t>
      </w:r>
      <w:proofErr w:type="spellStart"/>
      <w:r w:rsidR="00125A26" w:rsidRPr="00C23AEB">
        <w:rPr>
          <w:i/>
          <w:iCs/>
          <w:color w:val="auto"/>
        </w:rPr>
        <w:t>rohita</w:t>
      </w:r>
      <w:proofErr w:type="spellEnd"/>
      <w:r w:rsidR="00125A26" w:rsidRPr="00C23AEB">
        <w:rPr>
          <w:color w:val="auto"/>
        </w:rPr>
        <w:t xml:space="preserve">, respectively </w:t>
      </w:r>
      <w:r w:rsidR="00C91B79">
        <w:rPr>
          <w:color w:val="auto"/>
        </w:rPr>
        <w:fldChar w:fldCharType="begin" w:fldLock="1"/>
      </w:r>
      <w:r w:rsidR="00C91B79">
        <w:rPr>
          <w:color w:val="auto"/>
        </w:rPr>
        <w:instrText>ADDIN CSL_CITATION {"citationItems":[{"id":"ITEM-1","itemData":{"DOI":"10.1007/s10695-010-9411-x","author":[{"dropping-particle":"","family":"W S Lakra","given":"T RAJA","non-dropping-particle":"","parse-names":false,"suffix":""},{"dropping-particle":"","family":"Swaminathan","given":"K P JOY","non-dropping-particle":"","parse-names":false,"suffix":""}],"id":"ITEM-1","issued":{"date-parts":[["2011"]]},"page":"1-20","title":"Development , characterization , conservation and storage of fish cell lines : a review","type":"article-journal"},"uris":["http://www.mendeley.com/documents/?uuid=978185f5-08b9-48aa-a979-45906f090df5"]}],"mendeley":{"formattedCitation":"(W S Lakra &amp; Swaminathan, 2011)","manualFormatting":"( Lakra &amp; Swaminathan, 2011)","plainTextFormattedCitation":"(W S Lakra &amp; Swaminathan, 2011)","previouslyFormattedCitation":"(W S Lakra &amp; Swaminathan, 2011)"},"properties":{"noteIndex":0},"schema":"https://github.com/citation-style-language/schema/raw/master/csl-citation.json"}</w:instrText>
      </w:r>
      <w:r w:rsidR="00C91B79">
        <w:rPr>
          <w:color w:val="auto"/>
        </w:rPr>
        <w:fldChar w:fldCharType="separate"/>
      </w:r>
      <w:r w:rsidR="00C91B79">
        <w:rPr>
          <w:noProof/>
          <w:color w:val="auto"/>
        </w:rPr>
        <w:t>(</w:t>
      </w:r>
      <w:r w:rsidR="00C91B79" w:rsidRPr="00C91B79">
        <w:rPr>
          <w:noProof/>
          <w:color w:val="auto"/>
        </w:rPr>
        <w:t xml:space="preserve"> Lakra &amp; Swaminathan, 2011)</w:t>
      </w:r>
      <w:r w:rsidR="00C91B79">
        <w:rPr>
          <w:color w:val="auto"/>
        </w:rPr>
        <w:fldChar w:fldCharType="end"/>
      </w:r>
      <w:r w:rsidR="00142E71">
        <w:rPr>
          <w:color w:val="auto"/>
        </w:rPr>
        <w:t>.</w:t>
      </w:r>
      <w:r w:rsidR="00125A26" w:rsidRPr="00C23AEB">
        <w:rPr>
          <w:color w:val="auto"/>
        </w:rPr>
        <w:t xml:space="preserve"> cell lines from the fin tissue of Tor </w:t>
      </w:r>
      <w:proofErr w:type="spellStart"/>
      <w:r w:rsidR="00125A26" w:rsidRPr="00C23AEB">
        <w:rPr>
          <w:color w:val="auto"/>
        </w:rPr>
        <w:t>tor</w:t>
      </w:r>
      <w:proofErr w:type="spellEnd"/>
      <w:r w:rsidR="00125A26" w:rsidRPr="00C23AEB">
        <w:rPr>
          <w:color w:val="auto"/>
        </w:rPr>
        <w:t xml:space="preserve">; two cell lines from fin and eye tissue of </w:t>
      </w:r>
      <w:r w:rsidR="00125A26" w:rsidRPr="00C23AEB">
        <w:rPr>
          <w:i/>
          <w:iCs/>
          <w:color w:val="auto"/>
        </w:rPr>
        <w:t xml:space="preserve">Tor </w:t>
      </w:r>
      <w:proofErr w:type="spellStart"/>
      <w:r w:rsidR="00125A26" w:rsidRPr="00C23AEB">
        <w:rPr>
          <w:i/>
          <w:iCs/>
          <w:color w:val="auto"/>
        </w:rPr>
        <w:t>chelynoides</w:t>
      </w:r>
      <w:proofErr w:type="spellEnd"/>
      <w:r w:rsidR="00125A26" w:rsidRPr="00C23AEB">
        <w:rPr>
          <w:i/>
          <w:iCs/>
          <w:color w:val="auto"/>
        </w:rPr>
        <w:t xml:space="preserve"> </w:t>
      </w:r>
      <w:r w:rsidR="00125A26" w:rsidRPr="00C23AEB">
        <w:rPr>
          <w:color w:val="auto"/>
        </w:rPr>
        <w:t xml:space="preserve">and fin tissue of </w:t>
      </w:r>
      <w:proofErr w:type="spellStart"/>
      <w:r w:rsidR="00125A26" w:rsidRPr="00C23AEB">
        <w:rPr>
          <w:i/>
          <w:iCs/>
          <w:color w:val="auto"/>
        </w:rPr>
        <w:t>Scizothorax</w:t>
      </w:r>
      <w:proofErr w:type="spellEnd"/>
      <w:r w:rsidR="00125A26" w:rsidRPr="00C23AEB">
        <w:rPr>
          <w:i/>
          <w:iCs/>
          <w:color w:val="auto"/>
        </w:rPr>
        <w:t xml:space="preserve"> </w:t>
      </w:r>
      <w:proofErr w:type="spellStart"/>
      <w:r w:rsidR="00125A26" w:rsidRPr="00C23AEB">
        <w:rPr>
          <w:i/>
          <w:iCs/>
          <w:color w:val="auto"/>
        </w:rPr>
        <w:t>richardsonii</w:t>
      </w:r>
      <w:proofErr w:type="spellEnd"/>
      <w:r w:rsidR="00125A26" w:rsidRPr="00C23AEB">
        <w:rPr>
          <w:i/>
          <w:iCs/>
          <w:color w:val="auto"/>
        </w:rPr>
        <w:t xml:space="preserve"> </w:t>
      </w:r>
      <w:r w:rsidR="00C91B79">
        <w:rPr>
          <w:i/>
          <w:iCs/>
          <w:color w:val="auto"/>
        </w:rPr>
        <w:t xml:space="preserve"> </w:t>
      </w:r>
      <w:r w:rsidR="00C91B79">
        <w:rPr>
          <w:i/>
          <w:iCs/>
          <w:color w:val="auto"/>
        </w:rPr>
        <w:fldChar w:fldCharType="begin" w:fldLock="1"/>
      </w:r>
      <w:r w:rsidR="00C91B79">
        <w:rPr>
          <w:i/>
          <w:iCs/>
          <w:color w:val="auto"/>
        </w:rPr>
        <w:instrText>ADDIN CSL_CITATION {"citationItems":[{"id":"ITEM-1","itemData":{"DOI":"10.1016/j.gene.2012.03.016","ISSN":"1879-0038 (Electronic)","PMID":"22465535","abstract":"Puntius (Tor) chelynoides, commonly known as dark mahseer, is a commercially  important coldwater fish species which inhabits fast-flowing hill-streams of India and Nepal. Cell culture systems were developed from eye, fin, heart and swim bladder tissues of P. chelynoides using explant method. The cell culture system developed from eye has been maintained towards a continuous cell line designated as PCE. The cells were grown in 25cm(2) tissue culture flasks with Leibovitz' L-15 media supplemented with 20 % fetal bovine serum (FBS) at 24°C. The PCE cell line consists of predominantly fibroblast-like cells and showed high plating efficiency. The monolayer formed from the fin and heart explants were comprised of epithelial as well as fibroblast-like cells, a prominent and rhythmic heartbeat was also observed in heart explants. Monolayer formed from swim bladder explants showed the morphology of fibroblast-like cells. All the cells from different tissues are able to grow at an optimum temperature of 24°C and growth rate increased as the FBS concentration increased. The PCE cell line was characterized using amplification of mitochondrial cytochrome oxidase subunit I (COI) &amp; 16S rRNA genes which confirmed that the cell line originated from P. chelynoides. Cytogenetic analysis of PCE cell line and cells from fin revealed a diploid count of 100 chromosomes. Upon transfection with pEGFP-C1 plasmid, bright fluorescent signals were observed, suggesting that this cell line can be used for transgenic and genetic manipulation studies. Further, genotoxicity assessment of PCE cells illustrated the utility of this cell line as an in vitro model for aquatic toxicological studies. The PCE cell line was successfully cryopreserved and revived at different passage levels. The cell line and culture systems are being maintained to develop continuous cell lines for further studies.","author":[{"dropping-particle":"","family":"Goswami","given":"M","non-dropping-particle":"","parse-names":false,"suffix":""},{"dropping-particle":"","family":"Sharma","given":"B S","non-dropping-particle":"","parse-names":false,"suffix":""},{"dropping-particle":"","family":"Tripathi","given":"A K","non-dropping-particle":"","parse-names":false,"suffix":""},{"dropping-particle":"","family":"Yadav","given":"Kamalendra","non-dropping-particle":"","parse-names":false,"suffix":""},{"dropping-particle":"","family":"Bahuguna","given":"S N","non-dropping-particle":"","parse-names":false,"suffix":""},{"dropping-particle":"","family":"Nagpure","given":"N S","non-dropping-particle":"","parse-names":false,"suffix":""},{"dropping-particle":"","family":"Lakra","given":"W S","non-dropping-particle":"","parse-names":false,"suffix":""},{"dropping-particle":"","family":"Jena","given":"J K","non-dropping-particle":"","parse-names":false,"suffix":""}],"container-title":"Gene","id":"ITEM-1","issue":"1","issued":{"date-parts":[["2012","5"]]},"language":"eng","page":"140-147","publisher-place":"Netherlands","title":"Development and characterization of cell culture systems from Puntius (Tor)  chelynoides (McClelland).","type":"article-journal","volume":"500"},"uris":["http://www.mendeley.com/documents/?uuid=400742b5-a336-46d9-a0cc-9b6d2b479d40"]}],"mendeley":{"formattedCitation":"(M Goswami et al., 2012)","manualFormatting":"(Goswami et al., 2012","plainTextFormattedCitation":"(M Goswami et al., 2012)","previouslyFormattedCitation":"(M Goswami et al., 2012)"},"properties":{"noteIndex":0},"schema":"https://github.com/citation-style-language/schema/raw/master/csl-citation.json"}</w:instrText>
      </w:r>
      <w:r w:rsidR="00C91B79">
        <w:rPr>
          <w:i/>
          <w:iCs/>
          <w:color w:val="auto"/>
        </w:rPr>
        <w:fldChar w:fldCharType="separate"/>
      </w:r>
      <w:r w:rsidR="00C91B79">
        <w:rPr>
          <w:iCs/>
          <w:noProof/>
          <w:color w:val="auto"/>
        </w:rPr>
        <w:t>(</w:t>
      </w:r>
      <w:r w:rsidR="00C91B79" w:rsidRPr="00C91B79">
        <w:rPr>
          <w:iCs/>
          <w:noProof/>
          <w:color w:val="auto"/>
        </w:rPr>
        <w:t>Goswami et al., 2012</w:t>
      </w:r>
      <w:r w:rsidR="00C91B79">
        <w:rPr>
          <w:i/>
          <w:iCs/>
          <w:color w:val="auto"/>
        </w:rPr>
        <w:fldChar w:fldCharType="end"/>
      </w:r>
      <w:r w:rsidR="00C91B79">
        <w:rPr>
          <w:i/>
          <w:iCs/>
          <w:color w:val="auto"/>
        </w:rPr>
        <w:t>;</w:t>
      </w:r>
      <w:r w:rsidR="00C91B79">
        <w:rPr>
          <w:i/>
          <w:iCs/>
          <w:color w:val="auto"/>
        </w:rPr>
        <w:fldChar w:fldCharType="begin" w:fldLock="1"/>
      </w:r>
      <w:r w:rsidR="00C91B79">
        <w:rPr>
          <w:i/>
          <w:iCs/>
          <w:color w:val="auto"/>
        </w:rPr>
        <w:instrText>ADDIN CSL_CITATION {"citationItems":[{"id":"ITEM-1","itemData":{"DOI":"10.18520/cs/v107/i5/738-739","ISSN":"00113891","author":[{"dropping-particle":"","family":"Goswami","given":"Mukunda","non-dropping-particle":"","parse-names":false,"suffix":""},{"dropping-particle":"","family":"Nagpure","given":"N. S.","non-dropping-particle":"","parse-names":false,"suffix":""},{"dropping-particle":"","family":"Jena","given":"J. K.","non-dropping-particle":"","parse-names":false,"suffix":""}],"container-title":"Current Science","id":"ITEM-1","issue":"5","issued":{"date-parts":[["2014"]]},"page":"738-739","title":"Fish cell line repository: An enduring effort for conservation","type":"article-journal","volume":"107"},"uris":["http://www.mendeley.com/documents/?uuid=080e38b4-5019-48fc-8a52-e073ace126a6"]}],"mendeley":{"formattedCitation":"(Mukunda Goswami et al., 2014)","manualFormatting":" Goswami et al., 2014)","plainTextFormattedCitation":"(Mukunda Goswami et al., 2014)","previouslyFormattedCitation":"(Mukunda Goswami et al., 2014)"},"properties":{"noteIndex":0},"schema":"https://github.com/citation-style-language/schema/raw/master/csl-citation.json"}</w:instrText>
      </w:r>
      <w:r w:rsidR="00C91B79">
        <w:rPr>
          <w:i/>
          <w:iCs/>
          <w:color w:val="auto"/>
        </w:rPr>
        <w:fldChar w:fldCharType="separate"/>
      </w:r>
      <w:r w:rsidR="00C91B79" w:rsidRPr="00C91B79">
        <w:rPr>
          <w:iCs/>
          <w:noProof/>
          <w:color w:val="auto"/>
        </w:rPr>
        <w:t xml:space="preserve"> Goswami et al., 2014)</w:t>
      </w:r>
      <w:r w:rsidR="00C91B79">
        <w:rPr>
          <w:i/>
          <w:iCs/>
          <w:color w:val="auto"/>
        </w:rPr>
        <w:fldChar w:fldCharType="end"/>
      </w:r>
      <w:r w:rsidR="00C91B79">
        <w:rPr>
          <w:color w:val="auto"/>
        </w:rPr>
        <w:t>.</w:t>
      </w:r>
      <w:r w:rsidR="00125A26" w:rsidRPr="00C23AEB">
        <w:rPr>
          <w:color w:val="auto"/>
        </w:rPr>
        <w:t xml:space="preserve"> </w:t>
      </w:r>
      <w:r w:rsidR="00057A79" w:rsidRPr="00057A79">
        <w:rPr>
          <w:color w:val="auto"/>
        </w:rPr>
        <w:t xml:space="preserve">These in vitro cell culture methods have shown to be crucial resources for research in toxicology, biotechnology, and cellular biology. </w:t>
      </w:r>
      <w:r w:rsidR="00C91B79">
        <w:rPr>
          <w:i/>
          <w:iCs/>
          <w:color w:val="auto"/>
        </w:rPr>
        <w:fldChar w:fldCharType="begin" w:fldLock="1"/>
      </w:r>
      <w:r w:rsidR="00C91B79">
        <w:rPr>
          <w:i/>
          <w:iCs/>
          <w:color w:val="auto"/>
        </w:rPr>
        <w:instrText>ADDIN CSL_CITATION {"citationItems":[{"id":"ITEM-1","itemData":{"DOI":"10.1016/j.gene.2012.03.016","ISSN":"1879-0038 (Electronic)","PMID":"22465535","abstract":"Puntius (Tor) chelynoides, commonly known as dark mahseer, is a commercially  important coldwater fish species which inhabits fast-flowing hill-streams of India and Nepal. Cell culture systems were developed from eye, fin, heart and swim bladder tissues of P. chelynoides using explant method. The cell culture system developed from eye has been maintained towards a continuous cell line designated as PCE. The cells were grown in 25cm(2) tissue culture flasks with Leibovitz' L-15 media supplemented with 20 % fetal bovine serum (FBS) at 24°C. The PCE cell line consists of predominantly fibroblast-like cells and showed high plating efficiency. The monolayer formed from the fin and heart explants were comprised of epithelial as well as fibroblast-like cells, a prominent and rhythmic heartbeat was also observed in heart explants. Monolayer formed from swim bladder explants showed the morphology of fibroblast-like cells. All the cells from different tissues are able to grow at an optimum temperature of 24°C and growth rate increased as the FBS concentration increased. The PCE cell line was characterized using amplification of mitochondrial cytochrome oxidase subunit I (COI) &amp; 16S rRNA genes which confirmed that the cell line originated from P. chelynoides. Cytogenetic analysis of PCE cell line and cells from fin revealed a diploid count of 100 chromosomes. Upon transfection with pEGFP-C1 plasmid, bright fluorescent signals were observed, suggesting that this cell line can be used for transgenic and genetic manipulation studies. Further, genotoxicity assessment of PCE cells illustrated the utility of this cell line as an in vitro model for aquatic toxicological studies. The PCE cell line was successfully cryopreserved and revived at different passage levels. The cell line and culture systems are being maintained to develop continuous cell lines for further studies.","author":[{"dropping-particle":"","family":"Goswami","given":"M","non-dropping-particle":"","parse-names":false,"suffix":""},{"dropping-particle":"","family":"Sharma","given":"B S","non-dropping-particle":"","parse-names":false,"suffix":""},{"dropping-particle":"","family":"Tripathi","given":"A K","non-dropping-particle":"","parse-names":false,"suffix":""},{"dropping-particle":"","family":"Yadav","given":"Kamalendra","non-dropping-particle":"","parse-names":false,"suffix":""},{"dropping-particle":"","family":"Bahuguna","given":"S N","non-dropping-particle":"","parse-names":false,"suffix":""},{"dropping-particle":"","family":"Nagpure","given":"N S","non-dropping-particle":"","parse-names":false,"suffix":""},{"dropping-particle":"","family":"Lakra","given":"W S","non-dropping-particle":"","parse-names":false,"suffix":""},{"dropping-particle":"","family":"Jena","given":"J K","non-dropping-particle":"","parse-names":false,"suffix":""}],"container-title":"Gene","id":"ITEM-1","issue":"1","issued":{"date-parts":[["2012","5"]]},"language":"eng","page":"140-147","publisher-place":"Netherlands","title":"Development and characterization of cell culture systems from Puntius (Tor)  chelynoides (McClelland).","type":"article-journal","volume":"500"},"uris":["http://www.mendeley.com/documents/?uuid=400742b5-a336-46d9-a0cc-9b6d2b479d40"]}],"mendeley":{"formattedCitation":"(M Goswami et al., 2012)","manualFormatting":"(Goswami et al., 2012","plainTextFormattedCitation":"(M Goswami et al., 2012)","previouslyFormattedCitation":"(M Goswami et al., 2012)"},"properties":{"noteIndex":0},"schema":"https://github.com/citation-style-language/schema/raw/master/csl-citation.json"}</w:instrText>
      </w:r>
      <w:r w:rsidR="00C91B79">
        <w:rPr>
          <w:i/>
          <w:iCs/>
          <w:color w:val="auto"/>
        </w:rPr>
        <w:fldChar w:fldCharType="separate"/>
      </w:r>
      <w:r w:rsidR="00C91B79">
        <w:rPr>
          <w:iCs/>
          <w:noProof/>
          <w:color w:val="auto"/>
        </w:rPr>
        <w:t>(</w:t>
      </w:r>
      <w:r w:rsidR="00C91B79" w:rsidRPr="00C91B79">
        <w:rPr>
          <w:iCs/>
          <w:noProof/>
          <w:color w:val="auto"/>
        </w:rPr>
        <w:t>Goswami et al., 2012</w:t>
      </w:r>
      <w:r w:rsidR="00C91B79">
        <w:rPr>
          <w:i/>
          <w:iCs/>
          <w:color w:val="auto"/>
        </w:rPr>
        <w:fldChar w:fldCharType="end"/>
      </w:r>
      <w:r w:rsidR="00C91B79">
        <w:rPr>
          <w:i/>
          <w:iCs/>
          <w:color w:val="auto"/>
        </w:rPr>
        <w:t>;</w:t>
      </w:r>
      <w:r w:rsidR="00C91B79">
        <w:rPr>
          <w:i/>
          <w:iCs/>
          <w:color w:val="auto"/>
        </w:rPr>
        <w:fldChar w:fldCharType="begin" w:fldLock="1"/>
      </w:r>
      <w:r w:rsidR="00C91B79">
        <w:rPr>
          <w:i/>
          <w:iCs/>
          <w:color w:val="auto"/>
        </w:rPr>
        <w:instrText>ADDIN CSL_CITATION {"citationItems":[{"id":"ITEM-1","itemData":{"DOI":"10.18520/cs/v107/i5/738-739","ISSN":"00113891","author":[{"dropping-particle":"","family":"Goswami","given":"Mukunda","non-dropping-particle":"","parse-names":false,"suffix":""},{"dropping-particle":"","family":"Nagpure","given":"N. S.","non-dropping-particle":"","parse-names":false,"suffix":""},{"dropping-particle":"","family":"Jena","given":"J. K.","non-dropping-particle":"","parse-names":false,"suffix":""}],"container-title":"Current Science","id":"ITEM-1","issue":"5","issued":{"date-parts":[["2014"]]},"page":"738-739","title":"Fish cell line repository: An enduring effort for conservation","type":"article-journal","volume":"107"},"uris":["http://www.mendeley.com/documents/?uuid=080e38b4-5019-48fc-8a52-e073ace126a6"]}],"mendeley":{"formattedCitation":"(Mukunda Goswami et al., 2014)","manualFormatting":" Goswami et al., 2014","plainTextFormattedCitation":"(Mukunda Goswami et al., 2014)","previouslyFormattedCitation":"(Mukunda Goswami et al., 2014)"},"properties":{"noteIndex":0},"schema":"https://github.com/citation-style-language/schema/raw/master/csl-citation.json"}</w:instrText>
      </w:r>
      <w:r w:rsidR="00C91B79">
        <w:rPr>
          <w:i/>
          <w:iCs/>
          <w:color w:val="auto"/>
        </w:rPr>
        <w:fldChar w:fldCharType="separate"/>
      </w:r>
      <w:r w:rsidR="00C91B79" w:rsidRPr="00C91B79">
        <w:rPr>
          <w:iCs/>
          <w:noProof/>
          <w:color w:val="auto"/>
        </w:rPr>
        <w:t xml:space="preserve"> Goswami et al., 2014</w:t>
      </w:r>
      <w:r w:rsidR="00C91B79">
        <w:rPr>
          <w:i/>
          <w:iCs/>
          <w:color w:val="auto"/>
        </w:rPr>
        <w:fldChar w:fldCharType="end"/>
      </w:r>
      <w:r w:rsidR="00125A26" w:rsidRPr="00C23AEB">
        <w:rPr>
          <w:color w:val="auto"/>
        </w:rPr>
        <w:t xml:space="preserve">; </w:t>
      </w:r>
      <w:r w:rsidR="00C91B79">
        <w:rPr>
          <w:color w:val="auto"/>
        </w:rPr>
        <w:fldChar w:fldCharType="begin" w:fldLock="1"/>
      </w:r>
      <w:r w:rsidR="00C91B79">
        <w:rPr>
          <w:color w:val="auto"/>
        </w:rPr>
        <w:instrText>ADDIN CSL_CITATION {"citationItems":[{"id":"ITEM-1","itemData":{"DOI":"10.1016/j.pestbp.2014.06.006","ISSN":"10959939","PMID":"25052522","abstract":"The indiscriminate use of pesticides and herbicides to enhance crop production has aroused great concern, because these products are likely to reach the aquatic environment, thereby posing a health concern for humans and aquatic species. Cypermethrin (CYP), a type II pyrethroid insecticide, is widely used in agriculture and for other purposes. Therefore a study was conducted for the assessment of cytotoxic, genotoxic and oxidative stress of CYP in IEG, CB, ICG, LRG and CSG cell lines at 24h exposure. The cytotoxic effect of CYP in IEG, CB, ICG, LRG and CSG cell lines was assessed using MTT, NR, AB and CB assays. Linear correlations between each EC50 values, of CYP resulting in 50% inhibition of cytotoxicity parameters after 24h exposure to CYP were calculated for IEG, CB, ICG, LRG and CSG cell lines using MTT, NR, AB and CB assays. Statistical analysis revealed good correlation with R2=0.90-0.939 for all combinations between endpoints employed. The percentage of DNA damage was assessed by comet assay in IEG, CB, ICG, LRG and CSG cells exposed to CYP. The results of antioxidant parameters obtained show a significant increase in lipid peroxidation (LPO) level and decreased level of GSH, SOD and CAT in IEG, CB, ICG, LRG and CSG cell lines after exposure to increasing CYP in a concentration-dependent manner. This work proves that fish cell lines could be used not only for cytotoxicity and genotoxicity studies but also for studying oxidative stress when exposed to environmental contaminants such as pesticides and other pollutants. © 2014 Elsevier Inc.","author":[{"dropping-particle":"","family":"Taju","given":"G.","non-dropping-particle":"","parse-names":false,"suffix":""},{"dropping-particle":"","family":"Abdul Majeed","given":"S.","non-dropping-particle":"","parse-names":false,"suffix":""},{"dropping-particle":"","family":"Nambi","given":"K. S.N.","non-dropping-particle":"","parse-names":false,"suffix":""},{"dropping-particle":"","family":"Farook","given":"M. A.","non-dropping-particle":"","parse-names":false,"suffix":""},{"dropping-particle":"","family":"Vimal","given":"S.","non-dropping-particle":"","parse-names":false,"suffix":""},{"dropping-particle":"","family":"Sahul Hameed","given":"A. S.","non-dropping-particle":"","parse-names":false,"suffix":""}],"container-title":"Pesticide Biochemistry and Physiology","id":"ITEM-1","issue":"1","issued":{"date-parts":[["2014"]]},"page":"15-24","publisher":"Elsevier Inc.","title":"In vitro cytotoxic, genotoxic and oxidative stress of cypermethrin on five fish cell lines","type":"article-journal","volume":"113"},"uris":["http://www.mendeley.com/documents/?uuid=22b0126a-4643-4338-9142-ada623357a4a"]}],"mendeley":{"formattedCitation":"(Taju et al., 2014)","manualFormatting":"Taju et al., 2014)","plainTextFormattedCitation":"(Taju et al., 2014)","previouslyFormattedCitation":"(Taju et al., 2014)"},"properties":{"noteIndex":0},"schema":"https://github.com/citation-style-language/schema/raw/master/csl-citation.json"}</w:instrText>
      </w:r>
      <w:r w:rsidR="00C91B79">
        <w:rPr>
          <w:color w:val="auto"/>
        </w:rPr>
        <w:fldChar w:fldCharType="separate"/>
      </w:r>
      <w:r w:rsidR="00C91B79" w:rsidRPr="00C91B79">
        <w:rPr>
          <w:noProof/>
          <w:color w:val="auto"/>
        </w:rPr>
        <w:t>Taju et al., 2014)</w:t>
      </w:r>
      <w:r w:rsidR="00C91B79">
        <w:rPr>
          <w:color w:val="auto"/>
        </w:rPr>
        <w:fldChar w:fldCharType="end"/>
      </w:r>
      <w:r w:rsidR="00125A26" w:rsidRPr="00C23AEB">
        <w:rPr>
          <w:color w:val="auto"/>
        </w:rPr>
        <w:t xml:space="preserve">. </w:t>
      </w:r>
      <w:r w:rsidR="00057A79" w:rsidRPr="00057A79">
        <w:rPr>
          <w:color w:val="auto"/>
        </w:rPr>
        <w:t xml:space="preserve">The cytotoxicity potential of more than 50 aquatic contaminants, including heavy metals, herbicides, and nanoparticles, has been effectively </w:t>
      </w:r>
      <w:r w:rsidR="00057A79">
        <w:rPr>
          <w:color w:val="auto"/>
        </w:rPr>
        <w:t xml:space="preserve">assessed using fish cell lines and the </w:t>
      </w:r>
      <w:r w:rsidR="00057A79" w:rsidRPr="00057A79">
        <w:rPr>
          <w:color w:val="auto"/>
        </w:rPr>
        <w:t>results reported from fish cell lines in vitro have exhibited good agreemen</w:t>
      </w:r>
      <w:r w:rsidR="00142E71">
        <w:rPr>
          <w:color w:val="auto"/>
        </w:rPr>
        <w:t>t with in vivo toxicity results</w:t>
      </w:r>
      <w:r w:rsidR="00057A79" w:rsidRPr="00057A79">
        <w:rPr>
          <w:color w:val="auto"/>
        </w:rPr>
        <w:t xml:space="preserve"> </w:t>
      </w:r>
      <w:r w:rsidR="00C91B79">
        <w:rPr>
          <w:color w:val="auto"/>
        </w:rPr>
        <w:fldChar w:fldCharType="begin" w:fldLock="1"/>
      </w:r>
      <w:r w:rsidR="00240DA1">
        <w:rPr>
          <w:color w:val="auto"/>
        </w:rPr>
        <w:instrText>ADDIN CSL_CITATION {"citationItems":[{"id":"ITEM-1","itemData":{"DOI":"10.1371/journal.pone.0127493","ISSN":"19326203","PMID":"26011447","abstract":"Metallic nanoparticles are widely used in cosmetics, food products and textile industry. These particles are known to cause respiratory toxicity and epithelial inflammation. They are eventually released to aquatic environment necessitating toxicity studies in cells from respiratory organs of aquatic organisms. Hence, we have developed and characterized a new cell line, WAG, from gill tissue of Wallago attu for toxicity assessment of TiO2 and ZnO nanoparticles. The efficacy of the cell line as an in vitro system for nanoparticles toxicity studies was established using electron microscopy, cytotoxicity assays, genotoxicity assays and oxidative stress biomarkers. Results obtained with MTT assay, neutral red uptake assay and lactate dehydrogenase assay showed acute toxicity to WAG cells with IC50 values of 25.29A±0.12, 34.99A±0.09 and 35.06A±0.09 mg/l for TiO2 and 5.716A±0.1, 3.160A±0.1 and 5.57A±0.12 mg/l for ZnO treatment respectively. The physicochemical properties and size distribution of nanoparticles were characterized using electron microscopy with integrated energy dispersive X-ray spectroscopy and Zetasizer. Dose dependent increase in DNA damage, lipid peroxidation and protein carbonylation along with a significant decrease in activity of Superoxide Dismutase, Catalase, total Glutathione levels and total antioxidant capacity with increasing concentration of exposed nanoparticles indicated that the cells were under oxidative stress. The study established WAG cell line as an in vitro system to study toxicity mechanisms of nanoparticles on aquatic organisms.","author":[{"dropping-particle":"","family":"Dubey","given":"Akhilesh","non-dropping-particle":"","parse-names":false,"suffix":""},{"dropping-particle":"","family":"Goswami","given":"Mukunda","non-dropping-particle":"","parse-names":false,"suffix":""},{"dropping-particle":"","family":"Yadav","given":"Kamalendra","non-dropping-particle":"","parse-names":false,"suffix":""},{"dropping-particle":"","family":"Chaudhary","given":"Dharmendra","non-dropping-particle":"","parse-names":false,"suffix":""}],"container-title":"PLoS ONE","id":"ITEM-1","issue":"5","issued":{"date-parts":[["2015"]]},"page":"1-26","title":"Oxidative Stress and Nano-Toxicity Induced by TiO2 and ZnO on WAG Cell Line","type":"article-journal","volume":"10"},"uris":["http://www.mendeley.com/documents/?uuid=410c5635-d1f7-43fa-aa02-da0bf40738fd"]},{"id":"ITEM-2","itemData":{"DOI":"10.17795/gct-25568","ISSN":"2345-6833","abstract":"Establishment of a Novel Muscle Cell Line From Wallago attu for In Vitro Study of Pesticide Toxicity - Gene, Cell and Tissue - - Zahedan University of Medical Sciences","author":[{"dropping-particle":"","family":"Dubey","given":"Akhilesh","non-dropping-particle":"","parse-names":false,"suffix":""},{"dropping-particle":"","family":"Goswami","given":"Mukunda","non-dropping-particle":"","parse-names":false,"suffix":""},{"dropping-particle":"","family":"Yadav","given":"Kamalendra","non-dropping-particle":"","parse-names":false,"suffix":""},{"dropping-particle":"","family":"Mishra","given":"Amit","non-dropping-particle":"","parse-names":false,"suffix":""},{"dropping-particle":"","family":"Kumar","given":"Ashvini","non-dropping-particle":"","parse-names":false,"suffix":""}],"container-title":"Gene, Cell and Tissue","id":"ITEM-2","issue":"1","issued":{"date-parts":[["2015"]]},"page":"1-7","title":"Establishment of a Novel Muscle Cell Line From Wallago attu for In Vitro Study of Pesticide Toxicity","type":"article-journal","volume":"2"},"uris":["http://www.mendeley.com/documents/?uuid=f8887198-fc7f-4e3e-bf9b-274e54edfe12"]}],"mendeley":{"formattedCitation":"(Dubey, Goswami, Yadav, &amp; Chaudhary, 2015; Dubey, Goswami, Yadav, Mishra, et al., 2015)","manualFormatting":"(Dubey, et al.,  2015; Dubey, et al., 2015)","plainTextFormattedCitation":"(Dubey, Goswami, Yadav, &amp; Chaudhary, 2015; Dubey, Goswami, Yadav, Mishra, et al., 2015)","previouslyFormattedCitation":"(Dubey, Goswami, Yadav, &amp; Chaudhary, 2015; Dubey, Goswami, Yadav, Mishra, et al., 2015)"},"properties":{"noteIndex":0},"schema":"https://github.com/citation-style-language/schema/raw/master/csl-citation.json"}</w:instrText>
      </w:r>
      <w:r w:rsidR="00C91B79">
        <w:rPr>
          <w:color w:val="auto"/>
        </w:rPr>
        <w:fldChar w:fldCharType="separate"/>
      </w:r>
      <w:r w:rsidR="00C91B79" w:rsidRPr="00C91B79">
        <w:rPr>
          <w:noProof/>
          <w:color w:val="auto"/>
        </w:rPr>
        <w:t xml:space="preserve">(Dubey, </w:t>
      </w:r>
      <w:r w:rsidR="00C91B79">
        <w:rPr>
          <w:noProof/>
          <w:color w:val="auto"/>
        </w:rPr>
        <w:t>et al.,  2015; Dubey</w:t>
      </w:r>
      <w:r w:rsidR="00C91B79" w:rsidRPr="00C91B79">
        <w:rPr>
          <w:noProof/>
          <w:color w:val="auto"/>
        </w:rPr>
        <w:t>, et al., 2015)</w:t>
      </w:r>
      <w:r w:rsidR="00C91B79">
        <w:rPr>
          <w:color w:val="auto"/>
        </w:rPr>
        <w:fldChar w:fldCharType="end"/>
      </w:r>
      <w:r w:rsidR="00C91B79">
        <w:rPr>
          <w:color w:val="auto"/>
        </w:rPr>
        <w:t>.</w:t>
      </w:r>
      <w:r w:rsidR="00125A26" w:rsidRPr="00C23AEB">
        <w:rPr>
          <w:color w:val="auto"/>
        </w:rPr>
        <w:t xml:space="preserve"> </w:t>
      </w:r>
    </w:p>
    <w:p w:rsidR="00125A26" w:rsidRPr="00C23AEB" w:rsidRDefault="00125A26" w:rsidP="00D23B4B">
      <w:pPr>
        <w:autoSpaceDE w:val="0"/>
        <w:autoSpaceDN w:val="0"/>
        <w:adjustRightInd w:val="0"/>
        <w:spacing w:after="0" w:line="360" w:lineRule="auto"/>
        <w:jc w:val="both"/>
        <w:rPr>
          <w:rFonts w:ascii="Times New Roman" w:hAnsi="Times New Roman" w:cs="Times New Roman"/>
          <w:sz w:val="24"/>
          <w:szCs w:val="24"/>
        </w:rPr>
      </w:pPr>
    </w:p>
    <w:p w:rsidR="00B6336B" w:rsidRDefault="00057A79"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r w:rsidRPr="00057A79">
        <w:rPr>
          <w:rFonts w:ascii="Times New Roman" w:hAnsi="Times New Roman" w:cs="Times New Roman"/>
          <w:sz w:val="24"/>
          <w:szCs w:val="24"/>
        </w:rPr>
        <w:t xml:space="preserve">Cell culture techniques were gradually improved with the help of the development of chemically defined cell culture media, such as </w:t>
      </w:r>
      <w:proofErr w:type="spellStart"/>
      <w:r w:rsidRPr="00057A79">
        <w:rPr>
          <w:rFonts w:ascii="Times New Roman" w:hAnsi="Times New Roman" w:cs="Times New Roman"/>
          <w:sz w:val="24"/>
          <w:szCs w:val="24"/>
        </w:rPr>
        <w:t>Leibovitz</w:t>
      </w:r>
      <w:proofErr w:type="spellEnd"/>
      <w:r w:rsidRPr="00057A79">
        <w:rPr>
          <w:rFonts w:ascii="Times New Roman" w:hAnsi="Times New Roman" w:cs="Times New Roman"/>
          <w:sz w:val="24"/>
          <w:szCs w:val="24"/>
        </w:rPr>
        <w:t xml:space="preserve"> -15 (L-15) and antibiotics, leading to the eventual production of cultured cells for the production of continuous cell lines. Cell cultures created from fish, shellfish, and seaweed can contribute significantly to the expansion </w:t>
      </w:r>
      <w:r w:rsidRPr="00057A79">
        <w:rPr>
          <w:rFonts w:ascii="Times New Roman" w:hAnsi="Times New Roman" w:cs="Times New Roman"/>
          <w:sz w:val="24"/>
          <w:szCs w:val="24"/>
        </w:rPr>
        <w:lastRenderedPageBreak/>
        <w:t>of aquaculture in addition to being a crucial scientific tool like any other cell line. It is possible to manipulate the entire organism to increase its utility for aquaculture using the scientific information obtained through the cell culture technique. Their cell line may be valuable for revealing fundamental information about development, reproduction, and health. Because it allows for manipulation, their cell line may be utilized to produce biochemical products instead of</w:t>
      </w:r>
      <w:r>
        <w:rPr>
          <w:rFonts w:ascii="Times New Roman" w:hAnsi="Times New Roman" w:cs="Times New Roman"/>
          <w:sz w:val="24"/>
          <w:szCs w:val="24"/>
        </w:rPr>
        <w:t xml:space="preserve"> the organisms</w:t>
      </w:r>
      <w:r w:rsidR="001D458B" w:rsidRPr="00C23AEB">
        <w:rPr>
          <w:rFonts w:ascii="Times New Roman" w:hAnsi="Times New Roman" w:cs="Times New Roman"/>
          <w:sz w:val="24"/>
          <w:szCs w:val="24"/>
        </w:rPr>
        <w:t xml:space="preserve"> </w:t>
      </w:r>
      <w:r w:rsidR="00240DA1">
        <w:rPr>
          <w:rFonts w:ascii="Times New Roman" w:hAnsi="Times New Roman" w:cs="Times New Roman"/>
          <w:sz w:val="24"/>
          <w:szCs w:val="24"/>
        </w:rPr>
        <w:t xml:space="preserve"> </w:t>
      </w:r>
      <w:r w:rsidR="00240DA1">
        <w:rPr>
          <w:rFonts w:ascii="Times New Roman" w:hAnsi="Times New Roman" w:cs="Times New Roman"/>
          <w:sz w:val="24"/>
          <w:szCs w:val="24"/>
        </w:rPr>
        <w:fldChar w:fldCharType="begin" w:fldLock="1"/>
      </w:r>
      <w:r w:rsidR="00240DA1">
        <w:rPr>
          <w:rFonts w:ascii="Times New Roman" w:hAnsi="Times New Roman" w:cs="Times New Roman"/>
          <w:sz w:val="24"/>
          <w:szCs w:val="24"/>
        </w:rPr>
        <w:instrText>ADDIN CSL_CITATION {"citationItems":[{"id":"ITEM-1","itemData":{"DOI":"https://doi.org/10.1016/0734-9750(89)90722-2","ISSN":"0734-9750","abstract":"Some enzymes are inactivated by their natural substrates during catalytic turnover, limiting the ultimate extent of reaction. These enzymes can be separated into three broad classes, depending on the mechanism of the inactivation process. The first type is enzymes which use molecular oxygen as a substrate. The second type is inactivated by hydrogen peroxide, which is present either as a substrate or a product, and are stabilized by high catalase activity. The oxidation of both types of enzymes shares common features with oxidation of other enzymes and proteins. The third type of enzyme is inactivated by non-oxidative processes, mainly reversible loss of cofactors or attached groups. Sub classes are defined within each broad classification based on kinetics and stoichiometry. Reaction-inactivation is in part a regulatory mechanism in vivo, because specific proteolytic systems give rapid turnover of such labelled enzymes. The methods for enhancing the stability of these enzymes under reaction conditions depends on the enzyme type. The kinetics of these inactivation reactions can be used to optimize bioreactor design and operation.","author":[{"dropping-particle":"","family":"Gray","given":"Murray R","non-dropping-particle":"","parse-names":false,"suffix":""}],"container-title":"Biotechnology Advances","id":"ITEM-1","issue":"4","issued":{"date-parts":[["1989"]]},"page":"527-575","title":"Substrate inactivation of enzymes in vitro and in vivo","type":"article-journal","volume":"7"},"uris":["http://www.mendeley.com/documents/?uuid=3c3bf6b0-6399-4817-8d28-3e0a4dd72d1e"]}],"mendeley":{"formattedCitation":"(Gray, 1989)","plainTextFormattedCitation":"(Gray, 1989)","previouslyFormattedCitation":"(Gray, 1989)"},"properties":{"noteIndex":0},"schema":"https://github.com/citation-style-language/schema/raw/master/csl-citation.json"}</w:instrText>
      </w:r>
      <w:r w:rsidR="00240DA1">
        <w:rPr>
          <w:rFonts w:ascii="Times New Roman" w:hAnsi="Times New Roman" w:cs="Times New Roman"/>
          <w:sz w:val="24"/>
          <w:szCs w:val="24"/>
        </w:rPr>
        <w:fldChar w:fldCharType="separate"/>
      </w:r>
      <w:r w:rsidR="00240DA1" w:rsidRPr="00240DA1">
        <w:rPr>
          <w:rFonts w:ascii="Times New Roman" w:hAnsi="Times New Roman" w:cs="Times New Roman"/>
          <w:noProof/>
          <w:sz w:val="24"/>
          <w:szCs w:val="24"/>
        </w:rPr>
        <w:t>(Gray, 1989)</w:t>
      </w:r>
      <w:r w:rsidR="00240DA1">
        <w:rPr>
          <w:rFonts w:ascii="Times New Roman" w:hAnsi="Times New Roman" w:cs="Times New Roman"/>
          <w:sz w:val="24"/>
          <w:szCs w:val="24"/>
        </w:rPr>
        <w:fldChar w:fldCharType="end"/>
      </w:r>
      <w:r w:rsidR="00240DA1">
        <w:rPr>
          <w:rFonts w:ascii="Times New Roman" w:hAnsi="Times New Roman" w:cs="Times New Roman"/>
          <w:sz w:val="24"/>
          <w:szCs w:val="24"/>
        </w:rPr>
        <w:t xml:space="preserve">. </w:t>
      </w:r>
      <w:r w:rsidRPr="00057A79">
        <w:rPr>
          <w:rFonts w:ascii="Times New Roman" w:hAnsi="Times New Roman" w:cs="Times New Roman"/>
          <w:color w:val="0D0D0D" w:themeColor="text1" w:themeTint="F2"/>
          <w:sz w:val="24"/>
          <w:szCs w:val="24"/>
        </w:rPr>
        <w:t xml:space="preserve">To fulfil the demands of the world's expanding population, cell-based aquaculture systems based on cell cultures may be a game changer in the production of seafood and other aqua foods across a variety of species </w:t>
      </w:r>
      <w:r w:rsidR="00240DA1">
        <w:rPr>
          <w:rFonts w:ascii="Times New Roman" w:hAnsi="Times New Roman" w:cs="Times New Roman"/>
          <w:color w:val="0D0D0D" w:themeColor="text1" w:themeTint="F2"/>
          <w:sz w:val="24"/>
          <w:szCs w:val="24"/>
        </w:rPr>
        <w:fldChar w:fldCharType="begin" w:fldLock="1"/>
      </w:r>
      <w:r w:rsidR="00240DA1">
        <w:rPr>
          <w:rFonts w:ascii="Times New Roman" w:hAnsi="Times New Roman" w:cs="Times New Roman"/>
          <w:color w:val="0D0D0D" w:themeColor="text1" w:themeTint="F2"/>
          <w:sz w:val="24"/>
          <w:szCs w:val="24"/>
        </w:rPr>
        <w:instrText>ADDIN CSL_CITATION {"citationItems":[{"id":"ITEM-1","itemData":{"DOI":"10.3389/fsufs.2019.00043","ISSN":"2571581X","abstract":"Cellular agriculture is defined as the production of agricultural products from cell cultures rather than from whole plants or animals. With growing interest in cellular agriculture as a means to address public health, environmental, and animal welfare challenges of animal agriculture, the concept of producing seafood from fish cell- and tissue-cultures is emerging as an approach to address similar challenges with industrial aquaculture systems and marine capture. Cell-based seafood—as opposed to animal-based seafood—can combine developments in biomedical engineering with modern aquaculture techniques. Biomedical engineering developments such as closed-system bioreactor production of land animal cells create a basis for the large scale production of marine animal cells. Aquaculture techniques such as genetic modification and closed system aquaculture have achieved significant gains in production that can pave the way for innovations in cell-based seafood production. Here, we present the current state of innovation relevant to the development of cell-based seafood across multiple species, as well as specific opportunities and challenges that exist for advancing this science. The authors find that the physiological properties of fish cell- and tissue- culture may be uniquely suited to cultivation in vitro. These physiological properties, including tolerance to hypoxia, high buffering capacity, and low-temperature growth conditions, make marine cell culture an attractive opportunity for scaled production of cell-based seafood; perhaps even more so than mammalian and avian cell cultures for cell-based meats. This opportunity, coupled with the unique capabilities of crustacean tissue-friendly scaffolding such as chitosan, a common seafood waste product and mushroom derivative, presents promise for cell-based seafood production via bioreactor cultivation. To become fully realized, cell-based seafood research will require more understanding of fish muscle cell and tissue cultivation; more investigation into serum-free media formulations optimized for fish cell culture; and bioreactor designs tuned to the needs of fish cells for large scale production.","author":[{"dropping-particle":"","family":"Rubio","given":"Natalie","non-dropping-particle":"","parse-names":false,"suffix":""},{"dropping-particle":"","family":"Datar","given":"Isha","non-dropping-particle":"","parse-names":false,"suffix":""},{"dropping-particle":"","family":"Stachura","given":"David","non-dropping-particle":"","parse-names":false,"suffix":""},{"dropping-particle":"","family":"Kaplan","given":"David","non-dropping-particle":"","parse-names":false,"suffix":""},{"dropping-particle":"","family":"Krueger","given":"Kate","non-dropping-particle":"","parse-names":false,"suffix":""}],"container-title":"Frontiers in Sustainable Food Systems","id":"ITEM-1","issue":"June","issued":{"date-parts":[["2019"]]},"page":"1-13","title":"Cell-Based Fish: A Novel Approach to Seafood Production and an Opportunity for Cellular Agriculture","type":"article-journal","volume":"3"},"uris":["http://www.mendeley.com/documents/?uuid=85ff7a88-7fbe-487c-9e41-3ebd73c40603"]}],"mendeley":{"formattedCitation":"(Rubio et al., 2019)","plainTextFormattedCitation":"(Rubio et al., 2019)","previouslyFormattedCitation":"(Rubio et al., 2019)"},"properties":{"noteIndex":0},"schema":"https://github.com/citation-style-language/schema/raw/master/csl-citation.json"}</w:instrText>
      </w:r>
      <w:r w:rsidR="00240DA1">
        <w:rPr>
          <w:rFonts w:ascii="Times New Roman" w:hAnsi="Times New Roman" w:cs="Times New Roman"/>
          <w:color w:val="0D0D0D" w:themeColor="text1" w:themeTint="F2"/>
          <w:sz w:val="24"/>
          <w:szCs w:val="24"/>
        </w:rPr>
        <w:fldChar w:fldCharType="separate"/>
      </w:r>
      <w:r w:rsidR="00240DA1" w:rsidRPr="00240DA1">
        <w:rPr>
          <w:rFonts w:ascii="Times New Roman" w:hAnsi="Times New Roman" w:cs="Times New Roman"/>
          <w:noProof/>
          <w:color w:val="0D0D0D" w:themeColor="text1" w:themeTint="F2"/>
          <w:sz w:val="24"/>
          <w:szCs w:val="24"/>
        </w:rPr>
        <w:t>(Rubio et al., 2019)</w:t>
      </w:r>
      <w:r w:rsidR="00240DA1">
        <w:rPr>
          <w:rFonts w:ascii="Times New Roman" w:hAnsi="Times New Roman" w:cs="Times New Roman"/>
          <w:color w:val="0D0D0D" w:themeColor="text1" w:themeTint="F2"/>
          <w:sz w:val="24"/>
          <w:szCs w:val="24"/>
        </w:rPr>
        <w:fldChar w:fldCharType="end"/>
      </w:r>
      <w:r w:rsidR="00240DA1">
        <w:rPr>
          <w:rFonts w:ascii="Times New Roman" w:hAnsi="Times New Roman" w:cs="Times New Roman"/>
          <w:color w:val="0D0D0D" w:themeColor="text1" w:themeTint="F2"/>
          <w:sz w:val="24"/>
          <w:szCs w:val="24"/>
        </w:rPr>
        <w:t xml:space="preserve">. </w:t>
      </w:r>
      <w:r w:rsidRPr="00057A79">
        <w:rPr>
          <w:rFonts w:ascii="Times New Roman" w:hAnsi="Times New Roman" w:cs="Times New Roman"/>
          <w:color w:val="0D0D0D" w:themeColor="text1" w:themeTint="F2"/>
          <w:sz w:val="24"/>
          <w:szCs w:val="24"/>
        </w:rPr>
        <w:t>An aqua food manufacturing technique based on fish cells rather than whole fish might help improve the conservation of aquatic ecosystems. For the safety of food produced using such animal cell culture technologies, the procedure must go by the FDA's regulator</w:t>
      </w:r>
      <w:r w:rsidR="00425AB9">
        <w:rPr>
          <w:rFonts w:ascii="Times New Roman" w:hAnsi="Times New Roman" w:cs="Times New Roman"/>
          <w:color w:val="0D0D0D" w:themeColor="text1" w:themeTint="F2"/>
          <w:sz w:val="24"/>
          <w:szCs w:val="24"/>
        </w:rPr>
        <w:t>y framework and recommendations</w:t>
      </w:r>
      <w:r w:rsidR="001D458B" w:rsidRPr="00C23AEB">
        <w:rPr>
          <w:rFonts w:ascii="Times New Roman" w:hAnsi="Times New Roman" w:cs="Times New Roman"/>
          <w:color w:val="0D0D0D" w:themeColor="text1" w:themeTint="F2"/>
          <w:sz w:val="24"/>
          <w:szCs w:val="24"/>
        </w:rPr>
        <w:t xml:space="preserve"> </w:t>
      </w:r>
      <w:r w:rsidR="00240DA1" w:rsidRPr="00240DA1">
        <w:rPr>
          <w:rFonts w:ascii="Times New Roman" w:hAnsi="Times New Roman" w:cs="Times New Roman"/>
          <w:color w:val="000000" w:themeColor="text1"/>
          <w:sz w:val="24"/>
          <w:szCs w:val="24"/>
        </w:rPr>
        <w:t>(FDA, 2018).</w:t>
      </w:r>
    </w:p>
    <w:p w:rsidR="00425AB9" w:rsidRPr="00FE1ECD" w:rsidRDefault="00425AB9" w:rsidP="00425AB9">
      <w:pPr>
        <w:pStyle w:val="Caption"/>
        <w:keepNext/>
        <w:rPr>
          <w:i w:val="0"/>
        </w:rPr>
      </w:pPr>
    </w:p>
    <w:p w:rsidR="00FE1ECD" w:rsidRPr="00FE1ECD" w:rsidRDefault="00FE1ECD" w:rsidP="00FE1ECD">
      <w:pPr>
        <w:pStyle w:val="Caption"/>
        <w:spacing w:after="0"/>
        <w:rPr>
          <w:rFonts w:ascii="Times New Roman" w:hAnsi="Times New Roman" w:cs="Times New Roman"/>
          <w:i w:val="0"/>
          <w:color w:val="000000" w:themeColor="text1"/>
          <w:sz w:val="24"/>
          <w:szCs w:val="24"/>
        </w:rPr>
      </w:pPr>
      <w:r w:rsidRPr="00FE1ECD">
        <w:rPr>
          <w:rFonts w:ascii="Times New Roman" w:hAnsi="Times New Roman" w:cs="Times New Roman"/>
          <w:i w:val="0"/>
          <w:color w:val="000000" w:themeColor="text1"/>
          <w:sz w:val="24"/>
          <w:szCs w:val="24"/>
        </w:rPr>
        <w:t xml:space="preserve">Table </w:t>
      </w:r>
      <w:r w:rsidRPr="00FE1ECD">
        <w:rPr>
          <w:rFonts w:ascii="Times New Roman" w:hAnsi="Times New Roman" w:cs="Times New Roman"/>
          <w:i w:val="0"/>
          <w:color w:val="000000" w:themeColor="text1"/>
          <w:sz w:val="24"/>
          <w:szCs w:val="24"/>
        </w:rPr>
        <w:fldChar w:fldCharType="begin"/>
      </w:r>
      <w:r w:rsidRPr="00FE1ECD">
        <w:rPr>
          <w:rFonts w:ascii="Times New Roman" w:hAnsi="Times New Roman" w:cs="Times New Roman"/>
          <w:i w:val="0"/>
          <w:color w:val="000000" w:themeColor="text1"/>
          <w:sz w:val="24"/>
          <w:szCs w:val="24"/>
        </w:rPr>
        <w:instrText xml:space="preserve"> SEQ Table \* ARABIC </w:instrText>
      </w:r>
      <w:r w:rsidRPr="00FE1ECD">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1</w:t>
      </w:r>
      <w:r w:rsidRPr="00FE1ECD">
        <w:rPr>
          <w:rFonts w:ascii="Times New Roman" w:hAnsi="Times New Roman" w:cs="Times New Roman"/>
          <w:i w:val="0"/>
          <w:color w:val="000000" w:themeColor="text1"/>
          <w:sz w:val="24"/>
          <w:szCs w:val="24"/>
        </w:rPr>
        <w:fldChar w:fldCharType="end"/>
      </w:r>
      <w:r w:rsidRPr="00FE1ECD">
        <w:rPr>
          <w:color w:val="000000" w:themeColor="text1"/>
        </w:rPr>
        <w:t xml:space="preserve"> </w:t>
      </w:r>
      <w:r w:rsidRPr="00FE1ECD">
        <w:rPr>
          <w:rFonts w:ascii="Times New Roman" w:hAnsi="Times New Roman" w:cs="Times New Roman"/>
          <w:i w:val="0"/>
          <w:color w:val="000000" w:themeColor="text1"/>
          <w:sz w:val="24"/>
          <w:szCs w:val="24"/>
        </w:rPr>
        <w:t xml:space="preserve"> List of Fish cell line repository</w:t>
      </w:r>
    </w:p>
    <w:tbl>
      <w:tblPr>
        <w:tblStyle w:val="TableGrid"/>
        <w:tblW w:w="0" w:type="auto"/>
        <w:tblLayout w:type="fixed"/>
        <w:tblLook w:val="04A0" w:firstRow="1" w:lastRow="0" w:firstColumn="1" w:lastColumn="0" w:noHBand="0" w:noVBand="1"/>
      </w:tblPr>
      <w:tblGrid>
        <w:gridCol w:w="555"/>
        <w:gridCol w:w="2701"/>
        <w:gridCol w:w="3402"/>
        <w:gridCol w:w="1275"/>
        <w:gridCol w:w="1083"/>
      </w:tblGrid>
      <w:tr w:rsidR="00425AB9" w:rsidRPr="00D11E1D" w:rsidTr="001A33B5">
        <w:tc>
          <w:tcPr>
            <w:tcW w:w="555" w:type="dxa"/>
          </w:tcPr>
          <w:p w:rsidR="00425AB9" w:rsidRPr="00D11E1D" w:rsidRDefault="00425AB9" w:rsidP="00FE1ECD">
            <w:pPr>
              <w:rPr>
                <w:rFonts w:ascii="Times New Roman" w:hAnsi="Times New Roman" w:cs="Times New Roman"/>
                <w:sz w:val="24"/>
                <w:szCs w:val="24"/>
              </w:rPr>
            </w:pPr>
            <w:proofErr w:type="spellStart"/>
            <w:r w:rsidRPr="00D11E1D">
              <w:rPr>
                <w:rFonts w:ascii="Times New Roman" w:hAnsi="Times New Roman" w:cs="Times New Roman"/>
                <w:sz w:val="24"/>
                <w:szCs w:val="24"/>
              </w:rPr>
              <w:t>Sr</w:t>
            </w:r>
            <w:proofErr w:type="spellEnd"/>
            <w:r w:rsidRPr="00D11E1D">
              <w:rPr>
                <w:rFonts w:ascii="Times New Roman" w:hAnsi="Times New Roman" w:cs="Times New Roman"/>
                <w:sz w:val="24"/>
                <w:szCs w:val="24"/>
              </w:rPr>
              <w:t xml:space="preserve"> No</w:t>
            </w:r>
          </w:p>
        </w:tc>
        <w:tc>
          <w:tcPr>
            <w:tcW w:w="2701" w:type="dxa"/>
          </w:tcPr>
          <w:p w:rsidR="00425AB9" w:rsidRPr="00D11E1D" w:rsidRDefault="00425AB9" w:rsidP="00FE1ECD">
            <w:pPr>
              <w:rPr>
                <w:rFonts w:ascii="Times New Roman" w:hAnsi="Times New Roman" w:cs="Times New Roman"/>
                <w:sz w:val="24"/>
                <w:szCs w:val="24"/>
              </w:rPr>
            </w:pPr>
          </w:p>
        </w:tc>
        <w:tc>
          <w:tcPr>
            <w:tcW w:w="3402" w:type="dxa"/>
          </w:tcPr>
          <w:p w:rsidR="00425AB9" w:rsidRPr="00D11E1D" w:rsidRDefault="00425AB9" w:rsidP="00FE1ECD">
            <w:pPr>
              <w:rPr>
                <w:rFonts w:ascii="Times New Roman" w:hAnsi="Times New Roman" w:cs="Times New Roman"/>
                <w:sz w:val="24"/>
                <w:szCs w:val="24"/>
              </w:rPr>
            </w:pPr>
            <w:r w:rsidRPr="00D11E1D">
              <w:rPr>
                <w:rFonts w:ascii="Times New Roman" w:hAnsi="Times New Roman" w:cs="Times New Roman"/>
                <w:sz w:val="24"/>
                <w:szCs w:val="24"/>
              </w:rPr>
              <w:t>Website</w:t>
            </w:r>
          </w:p>
        </w:tc>
        <w:tc>
          <w:tcPr>
            <w:tcW w:w="1275" w:type="dxa"/>
          </w:tcPr>
          <w:p w:rsidR="00425AB9" w:rsidRPr="00D11E1D" w:rsidRDefault="00425AB9" w:rsidP="00FE1ECD">
            <w:pPr>
              <w:rPr>
                <w:rFonts w:ascii="Times New Roman" w:hAnsi="Times New Roman" w:cs="Times New Roman"/>
                <w:sz w:val="24"/>
                <w:szCs w:val="24"/>
              </w:rPr>
            </w:pPr>
            <w:r w:rsidRPr="00D11E1D">
              <w:rPr>
                <w:rFonts w:ascii="Times New Roman" w:hAnsi="Times New Roman" w:cs="Times New Roman"/>
                <w:sz w:val="24"/>
                <w:szCs w:val="24"/>
              </w:rPr>
              <w:t>Place</w:t>
            </w:r>
          </w:p>
        </w:tc>
        <w:tc>
          <w:tcPr>
            <w:tcW w:w="1083" w:type="dxa"/>
          </w:tcPr>
          <w:p w:rsidR="00425AB9" w:rsidRPr="00D11E1D" w:rsidRDefault="00425AB9" w:rsidP="00FE1ECD">
            <w:pPr>
              <w:rPr>
                <w:rFonts w:ascii="Times New Roman" w:hAnsi="Times New Roman" w:cs="Times New Roman"/>
                <w:sz w:val="24"/>
                <w:szCs w:val="24"/>
              </w:rPr>
            </w:pPr>
            <w:r w:rsidRPr="00D11E1D">
              <w:rPr>
                <w:rFonts w:ascii="Times New Roman" w:hAnsi="Times New Roman" w:cs="Times New Roman"/>
                <w:sz w:val="24"/>
                <w:szCs w:val="24"/>
              </w:rPr>
              <w:t>No of fish</w:t>
            </w:r>
            <w:r>
              <w:rPr>
                <w:rFonts w:ascii="Times New Roman" w:hAnsi="Times New Roman" w:cs="Times New Roman"/>
                <w:sz w:val="24"/>
                <w:szCs w:val="24"/>
              </w:rPr>
              <w:t xml:space="preserve"> </w:t>
            </w:r>
            <w:r w:rsidRPr="00D11E1D">
              <w:rPr>
                <w:rFonts w:ascii="Times New Roman" w:hAnsi="Times New Roman" w:cs="Times New Roman"/>
                <w:sz w:val="24"/>
                <w:szCs w:val="24"/>
              </w:rPr>
              <w:t>cell line</w:t>
            </w:r>
            <w:r>
              <w:rPr>
                <w:rFonts w:ascii="Times New Roman" w:hAnsi="Times New Roman" w:cs="Times New Roman"/>
                <w:sz w:val="24"/>
                <w:szCs w:val="24"/>
              </w:rPr>
              <w:t xml:space="preserve"> </w:t>
            </w:r>
          </w:p>
        </w:tc>
      </w:tr>
      <w:tr w:rsidR="00425AB9" w:rsidRPr="00D11E1D" w:rsidTr="001A33B5">
        <w:tc>
          <w:tcPr>
            <w:tcW w:w="555" w:type="dxa"/>
          </w:tcPr>
          <w:p w:rsidR="00425AB9" w:rsidRPr="00D11E1D" w:rsidRDefault="00425AB9" w:rsidP="001A33B5">
            <w:pPr>
              <w:rPr>
                <w:rFonts w:ascii="Times New Roman" w:hAnsi="Times New Roman" w:cs="Times New Roman"/>
                <w:sz w:val="24"/>
                <w:szCs w:val="24"/>
              </w:rPr>
            </w:pPr>
            <w:r w:rsidRPr="00D11E1D">
              <w:rPr>
                <w:rFonts w:ascii="Times New Roman" w:hAnsi="Times New Roman" w:cs="Times New Roman"/>
                <w:sz w:val="24"/>
                <w:szCs w:val="24"/>
              </w:rPr>
              <w:t>1.</w:t>
            </w:r>
          </w:p>
        </w:tc>
        <w:tc>
          <w:tcPr>
            <w:tcW w:w="2701" w:type="dxa"/>
          </w:tcPr>
          <w:p w:rsidR="00425AB9" w:rsidRPr="00D11E1D" w:rsidRDefault="00425AB9" w:rsidP="001A33B5">
            <w:pPr>
              <w:rPr>
                <w:rFonts w:ascii="Times New Roman" w:hAnsi="Times New Roman" w:cs="Times New Roman"/>
                <w:sz w:val="24"/>
                <w:szCs w:val="24"/>
              </w:rPr>
            </w:pPr>
            <w:r w:rsidRPr="00D11E1D">
              <w:rPr>
                <w:rFonts w:ascii="Times New Roman" w:hAnsi="Times New Roman" w:cs="Times New Roman"/>
                <w:sz w:val="24"/>
                <w:szCs w:val="24"/>
              </w:rPr>
              <w:t>American Type Culture Collection (ATCC), USA</w:t>
            </w:r>
          </w:p>
        </w:tc>
        <w:tc>
          <w:tcPr>
            <w:tcW w:w="3402" w:type="dxa"/>
          </w:tcPr>
          <w:p w:rsidR="00425AB9" w:rsidRPr="00D11E1D" w:rsidRDefault="00425AB9" w:rsidP="001A33B5">
            <w:pPr>
              <w:rPr>
                <w:rFonts w:ascii="Times New Roman" w:hAnsi="Times New Roman" w:cs="Times New Roman"/>
                <w:color w:val="2F5496" w:themeColor="accent5" w:themeShade="BF"/>
                <w:sz w:val="24"/>
                <w:szCs w:val="24"/>
              </w:rPr>
            </w:pPr>
            <w:r w:rsidRPr="00D11E1D">
              <w:rPr>
                <w:rFonts w:ascii="Times New Roman" w:hAnsi="Times New Roman" w:cs="Times New Roman"/>
                <w:color w:val="2F5496" w:themeColor="accent5" w:themeShade="BF"/>
                <w:sz w:val="24"/>
                <w:szCs w:val="24"/>
              </w:rPr>
              <w:t>http:// www.atcc.org</w:t>
            </w:r>
          </w:p>
        </w:tc>
        <w:tc>
          <w:tcPr>
            <w:tcW w:w="1275" w:type="dxa"/>
          </w:tcPr>
          <w:p w:rsidR="00425AB9" w:rsidRPr="00D11E1D" w:rsidRDefault="00425AB9" w:rsidP="001A33B5">
            <w:pPr>
              <w:rPr>
                <w:rFonts w:ascii="Times New Roman" w:hAnsi="Times New Roman" w:cs="Times New Roman"/>
                <w:sz w:val="24"/>
                <w:szCs w:val="24"/>
              </w:rPr>
            </w:pPr>
            <w:r w:rsidRPr="00D11E1D">
              <w:rPr>
                <w:rFonts w:ascii="Times New Roman" w:hAnsi="Times New Roman" w:cs="Times New Roman"/>
                <w:sz w:val="24"/>
                <w:szCs w:val="24"/>
              </w:rPr>
              <w:t>USA</w:t>
            </w:r>
          </w:p>
        </w:tc>
        <w:tc>
          <w:tcPr>
            <w:tcW w:w="1083" w:type="dxa"/>
          </w:tcPr>
          <w:p w:rsidR="00425AB9" w:rsidRPr="00D11E1D" w:rsidRDefault="00425AB9" w:rsidP="001A33B5">
            <w:pPr>
              <w:rPr>
                <w:rFonts w:ascii="Times New Roman" w:hAnsi="Times New Roman" w:cs="Times New Roman"/>
                <w:sz w:val="24"/>
                <w:szCs w:val="24"/>
              </w:rPr>
            </w:pPr>
            <w:r>
              <w:rPr>
                <w:rFonts w:ascii="Times New Roman" w:hAnsi="Times New Roman" w:cs="Times New Roman"/>
                <w:sz w:val="24"/>
                <w:szCs w:val="24"/>
              </w:rPr>
              <w:t>8</w:t>
            </w:r>
          </w:p>
        </w:tc>
      </w:tr>
      <w:tr w:rsidR="00425AB9" w:rsidRPr="00D11E1D" w:rsidTr="001A33B5">
        <w:tc>
          <w:tcPr>
            <w:tcW w:w="555" w:type="dxa"/>
          </w:tcPr>
          <w:p w:rsidR="00425AB9" w:rsidRPr="00D11E1D" w:rsidRDefault="00425AB9" w:rsidP="001A33B5">
            <w:pPr>
              <w:rPr>
                <w:rFonts w:ascii="Times New Roman" w:hAnsi="Times New Roman" w:cs="Times New Roman"/>
                <w:sz w:val="24"/>
                <w:szCs w:val="24"/>
              </w:rPr>
            </w:pPr>
            <w:r w:rsidRPr="00D11E1D">
              <w:rPr>
                <w:rFonts w:ascii="Times New Roman" w:hAnsi="Times New Roman" w:cs="Times New Roman"/>
                <w:sz w:val="24"/>
                <w:szCs w:val="24"/>
              </w:rPr>
              <w:t>2.</w:t>
            </w:r>
          </w:p>
        </w:tc>
        <w:tc>
          <w:tcPr>
            <w:tcW w:w="2701" w:type="dxa"/>
          </w:tcPr>
          <w:p w:rsidR="00425AB9" w:rsidRPr="00D11E1D" w:rsidRDefault="00425AB9" w:rsidP="001A33B5">
            <w:pPr>
              <w:rPr>
                <w:rFonts w:ascii="Times New Roman" w:hAnsi="Times New Roman" w:cs="Times New Roman"/>
                <w:sz w:val="24"/>
                <w:szCs w:val="24"/>
              </w:rPr>
            </w:pPr>
            <w:r w:rsidRPr="00D11E1D">
              <w:rPr>
                <w:rFonts w:ascii="Times New Roman" w:hAnsi="Times New Roman" w:cs="Times New Roman"/>
                <w:sz w:val="24"/>
                <w:szCs w:val="24"/>
              </w:rPr>
              <w:t xml:space="preserve">Cell Bank Australia </w:t>
            </w:r>
          </w:p>
        </w:tc>
        <w:tc>
          <w:tcPr>
            <w:tcW w:w="3402" w:type="dxa"/>
          </w:tcPr>
          <w:p w:rsidR="00425AB9" w:rsidRPr="00D11E1D" w:rsidRDefault="00425AB9" w:rsidP="001A33B5">
            <w:pPr>
              <w:rPr>
                <w:rFonts w:ascii="Times New Roman" w:hAnsi="Times New Roman" w:cs="Times New Roman"/>
                <w:color w:val="2F5496" w:themeColor="accent5" w:themeShade="BF"/>
                <w:sz w:val="24"/>
                <w:szCs w:val="24"/>
              </w:rPr>
            </w:pPr>
            <w:r w:rsidRPr="00D11E1D">
              <w:rPr>
                <w:rFonts w:ascii="Times New Roman" w:hAnsi="Times New Roman" w:cs="Times New Roman"/>
                <w:color w:val="2F5496" w:themeColor="accent5" w:themeShade="BF"/>
                <w:sz w:val="24"/>
                <w:szCs w:val="24"/>
              </w:rPr>
              <w:t>www. cellbankaustralia.com</w:t>
            </w:r>
          </w:p>
        </w:tc>
        <w:tc>
          <w:tcPr>
            <w:tcW w:w="1275" w:type="dxa"/>
          </w:tcPr>
          <w:p w:rsidR="00425AB9" w:rsidRPr="00D11E1D" w:rsidRDefault="00425AB9" w:rsidP="001A33B5">
            <w:pPr>
              <w:rPr>
                <w:rFonts w:ascii="Times New Roman" w:hAnsi="Times New Roman" w:cs="Times New Roman"/>
                <w:sz w:val="24"/>
                <w:szCs w:val="24"/>
              </w:rPr>
            </w:pPr>
            <w:r w:rsidRPr="00D11E1D">
              <w:rPr>
                <w:rFonts w:ascii="Times New Roman" w:hAnsi="Times New Roman" w:cs="Times New Roman"/>
                <w:sz w:val="24"/>
                <w:szCs w:val="24"/>
              </w:rPr>
              <w:t>Australia</w:t>
            </w:r>
          </w:p>
        </w:tc>
        <w:tc>
          <w:tcPr>
            <w:tcW w:w="1083" w:type="dxa"/>
          </w:tcPr>
          <w:p w:rsidR="00425AB9" w:rsidRPr="00D11E1D" w:rsidRDefault="00425AB9" w:rsidP="001A33B5">
            <w:pPr>
              <w:rPr>
                <w:rFonts w:ascii="Times New Roman" w:hAnsi="Times New Roman" w:cs="Times New Roman"/>
                <w:sz w:val="24"/>
                <w:szCs w:val="24"/>
              </w:rPr>
            </w:pPr>
          </w:p>
        </w:tc>
      </w:tr>
      <w:tr w:rsidR="00425AB9" w:rsidRPr="00D11E1D" w:rsidTr="001A33B5">
        <w:tc>
          <w:tcPr>
            <w:tcW w:w="555" w:type="dxa"/>
          </w:tcPr>
          <w:p w:rsidR="00425AB9" w:rsidRPr="00D11E1D" w:rsidRDefault="00425AB9" w:rsidP="001A33B5">
            <w:pPr>
              <w:rPr>
                <w:rFonts w:ascii="Times New Roman" w:hAnsi="Times New Roman" w:cs="Times New Roman"/>
                <w:sz w:val="24"/>
                <w:szCs w:val="24"/>
              </w:rPr>
            </w:pPr>
            <w:r>
              <w:rPr>
                <w:rFonts w:ascii="Times New Roman" w:hAnsi="Times New Roman" w:cs="Times New Roman"/>
                <w:sz w:val="24"/>
                <w:szCs w:val="24"/>
              </w:rPr>
              <w:t>3.</w:t>
            </w:r>
          </w:p>
        </w:tc>
        <w:tc>
          <w:tcPr>
            <w:tcW w:w="2701" w:type="dxa"/>
          </w:tcPr>
          <w:p w:rsidR="00425AB9" w:rsidRPr="00D11E1D" w:rsidRDefault="00425AB9" w:rsidP="001A33B5">
            <w:pPr>
              <w:rPr>
                <w:rFonts w:ascii="Times New Roman" w:hAnsi="Times New Roman" w:cs="Times New Roman"/>
                <w:sz w:val="24"/>
                <w:szCs w:val="24"/>
              </w:rPr>
            </w:pPr>
            <w:r w:rsidRPr="00D11E1D">
              <w:rPr>
                <w:rFonts w:ascii="Times New Roman" w:hAnsi="Times New Roman" w:cs="Times New Roman"/>
                <w:sz w:val="24"/>
                <w:szCs w:val="24"/>
              </w:rPr>
              <w:t>National Repository of Fish Cell Line (NRFC)</w:t>
            </w:r>
          </w:p>
        </w:tc>
        <w:tc>
          <w:tcPr>
            <w:tcW w:w="3402" w:type="dxa"/>
          </w:tcPr>
          <w:p w:rsidR="00425AB9" w:rsidRPr="00D11E1D" w:rsidRDefault="001A33B5" w:rsidP="001A33B5">
            <w:pPr>
              <w:rPr>
                <w:rFonts w:ascii="Times New Roman" w:hAnsi="Times New Roman" w:cs="Times New Roman"/>
                <w:color w:val="2F5496" w:themeColor="accent5" w:themeShade="BF"/>
                <w:sz w:val="24"/>
                <w:szCs w:val="24"/>
              </w:rPr>
            </w:pPr>
            <w:hyperlink r:id="rId7" w:history="1">
              <w:r w:rsidR="00425AB9" w:rsidRPr="00D11E1D">
                <w:rPr>
                  <w:rStyle w:val="Hyperlink"/>
                  <w:rFonts w:ascii="Times New Roman" w:hAnsi="Times New Roman" w:cs="Times New Roman"/>
                  <w:color w:val="2F5496" w:themeColor="accent5" w:themeShade="BF"/>
                  <w:sz w:val="24"/>
                  <w:szCs w:val="24"/>
                </w:rPr>
                <w:t>https://mail.nbfgr.res.in/nrfc/index.php</w:t>
              </w:r>
            </w:hyperlink>
          </w:p>
        </w:tc>
        <w:tc>
          <w:tcPr>
            <w:tcW w:w="1275" w:type="dxa"/>
          </w:tcPr>
          <w:p w:rsidR="00425AB9" w:rsidRPr="00D11E1D" w:rsidRDefault="00425AB9" w:rsidP="001A33B5">
            <w:pPr>
              <w:rPr>
                <w:rFonts w:ascii="Times New Roman" w:hAnsi="Times New Roman" w:cs="Times New Roman"/>
                <w:sz w:val="24"/>
                <w:szCs w:val="24"/>
              </w:rPr>
            </w:pPr>
            <w:r w:rsidRPr="00D11E1D">
              <w:rPr>
                <w:rFonts w:ascii="Times New Roman" w:hAnsi="Times New Roman" w:cs="Times New Roman"/>
                <w:sz w:val="24"/>
                <w:szCs w:val="24"/>
              </w:rPr>
              <w:t>Lucknow, India</w:t>
            </w:r>
          </w:p>
        </w:tc>
        <w:tc>
          <w:tcPr>
            <w:tcW w:w="1083" w:type="dxa"/>
          </w:tcPr>
          <w:p w:rsidR="00425AB9" w:rsidRPr="00D11E1D" w:rsidRDefault="00425AB9" w:rsidP="001A33B5">
            <w:pPr>
              <w:keepNext/>
              <w:rPr>
                <w:rFonts w:ascii="Times New Roman" w:hAnsi="Times New Roman" w:cs="Times New Roman"/>
                <w:sz w:val="24"/>
                <w:szCs w:val="24"/>
              </w:rPr>
            </w:pPr>
            <w:r>
              <w:rPr>
                <w:rFonts w:ascii="Times New Roman" w:hAnsi="Times New Roman" w:cs="Times New Roman"/>
                <w:sz w:val="24"/>
                <w:szCs w:val="24"/>
              </w:rPr>
              <w:t>50</w:t>
            </w:r>
          </w:p>
        </w:tc>
      </w:tr>
      <w:tr w:rsidR="00425AB9" w:rsidRPr="00D11E1D" w:rsidTr="001A33B5">
        <w:tc>
          <w:tcPr>
            <w:tcW w:w="555" w:type="dxa"/>
          </w:tcPr>
          <w:p w:rsidR="00425AB9" w:rsidRPr="00D11E1D" w:rsidRDefault="00425AB9" w:rsidP="001A33B5">
            <w:pPr>
              <w:rPr>
                <w:rFonts w:ascii="Times New Roman" w:hAnsi="Times New Roman" w:cs="Times New Roman"/>
                <w:sz w:val="24"/>
                <w:szCs w:val="24"/>
              </w:rPr>
            </w:pPr>
            <w:r>
              <w:rPr>
                <w:rFonts w:ascii="Times New Roman" w:hAnsi="Times New Roman" w:cs="Times New Roman"/>
                <w:sz w:val="24"/>
                <w:szCs w:val="24"/>
              </w:rPr>
              <w:t>4</w:t>
            </w:r>
            <w:r w:rsidRPr="00D11E1D">
              <w:rPr>
                <w:rFonts w:ascii="Times New Roman" w:hAnsi="Times New Roman" w:cs="Times New Roman"/>
                <w:sz w:val="24"/>
                <w:szCs w:val="24"/>
              </w:rPr>
              <w:t>.</w:t>
            </w:r>
          </w:p>
        </w:tc>
        <w:tc>
          <w:tcPr>
            <w:tcW w:w="2701" w:type="dxa"/>
          </w:tcPr>
          <w:p w:rsidR="00425AB9" w:rsidRPr="00D11E1D" w:rsidRDefault="00425AB9" w:rsidP="001A33B5">
            <w:pPr>
              <w:rPr>
                <w:rFonts w:ascii="Times New Roman" w:hAnsi="Times New Roman" w:cs="Times New Roman"/>
                <w:sz w:val="24"/>
                <w:szCs w:val="24"/>
              </w:rPr>
            </w:pPr>
            <w:r w:rsidRPr="00D11E1D">
              <w:rPr>
                <w:rFonts w:ascii="Times New Roman" w:hAnsi="Times New Roman" w:cs="Times New Roman"/>
                <w:sz w:val="24"/>
                <w:szCs w:val="24"/>
              </w:rPr>
              <w:t>Aquatic animal health</w:t>
            </w:r>
            <w:r>
              <w:rPr>
                <w:rFonts w:ascii="Times New Roman" w:hAnsi="Times New Roman" w:cs="Times New Roman"/>
                <w:sz w:val="24"/>
                <w:szCs w:val="24"/>
              </w:rPr>
              <w:t xml:space="preserve"> </w:t>
            </w:r>
            <w:r w:rsidRPr="00D11E1D">
              <w:rPr>
                <w:rFonts w:ascii="Times New Roman" w:hAnsi="Times New Roman" w:cs="Times New Roman"/>
                <w:sz w:val="24"/>
                <w:szCs w:val="24"/>
              </w:rPr>
              <w:t>laboratory- Abdul</w:t>
            </w:r>
            <w:r>
              <w:rPr>
                <w:rFonts w:ascii="Times New Roman" w:hAnsi="Times New Roman" w:cs="Times New Roman"/>
                <w:sz w:val="24"/>
                <w:szCs w:val="24"/>
              </w:rPr>
              <w:t xml:space="preserve"> </w:t>
            </w:r>
            <w:r w:rsidRPr="00D11E1D">
              <w:rPr>
                <w:rFonts w:ascii="Times New Roman" w:hAnsi="Times New Roman" w:cs="Times New Roman"/>
                <w:sz w:val="24"/>
                <w:szCs w:val="24"/>
              </w:rPr>
              <w:t>Hakeem College</w:t>
            </w:r>
            <w:r>
              <w:rPr>
                <w:rFonts w:ascii="Times New Roman" w:hAnsi="Times New Roman" w:cs="Times New Roman"/>
                <w:sz w:val="24"/>
                <w:szCs w:val="24"/>
              </w:rPr>
              <w:t xml:space="preserve"> </w:t>
            </w:r>
          </w:p>
        </w:tc>
        <w:tc>
          <w:tcPr>
            <w:tcW w:w="3402" w:type="dxa"/>
          </w:tcPr>
          <w:p w:rsidR="00425AB9" w:rsidRPr="00D11E1D" w:rsidRDefault="001A33B5" w:rsidP="001A33B5">
            <w:pPr>
              <w:rPr>
                <w:rFonts w:ascii="Times New Roman" w:hAnsi="Times New Roman" w:cs="Times New Roman"/>
                <w:color w:val="2F5496" w:themeColor="accent5" w:themeShade="BF"/>
                <w:sz w:val="24"/>
                <w:szCs w:val="24"/>
              </w:rPr>
            </w:pPr>
            <w:hyperlink r:id="rId8" w:history="1">
              <w:r w:rsidR="00425AB9" w:rsidRPr="00D11E1D">
                <w:rPr>
                  <w:rStyle w:val="Hyperlink"/>
                  <w:rFonts w:ascii="Times New Roman" w:hAnsi="Times New Roman" w:cs="Times New Roman"/>
                  <w:color w:val="2F5496" w:themeColor="accent5" w:themeShade="BF"/>
                  <w:sz w:val="24"/>
                  <w:szCs w:val="24"/>
                </w:rPr>
                <w:t>https://aahl.res.in/</w:t>
              </w:r>
            </w:hyperlink>
          </w:p>
          <w:p w:rsidR="00425AB9" w:rsidRPr="00D11E1D" w:rsidRDefault="00425AB9" w:rsidP="001A33B5">
            <w:pPr>
              <w:rPr>
                <w:rFonts w:ascii="Times New Roman" w:hAnsi="Times New Roman" w:cs="Times New Roman"/>
                <w:color w:val="2F5496" w:themeColor="accent5" w:themeShade="BF"/>
                <w:sz w:val="24"/>
                <w:szCs w:val="24"/>
              </w:rPr>
            </w:pPr>
          </w:p>
        </w:tc>
        <w:tc>
          <w:tcPr>
            <w:tcW w:w="1275" w:type="dxa"/>
          </w:tcPr>
          <w:p w:rsidR="00425AB9" w:rsidRPr="00D11E1D" w:rsidRDefault="00425AB9" w:rsidP="001A33B5">
            <w:pPr>
              <w:rPr>
                <w:rFonts w:ascii="Times New Roman" w:hAnsi="Times New Roman" w:cs="Times New Roman"/>
                <w:sz w:val="24"/>
                <w:szCs w:val="24"/>
              </w:rPr>
            </w:pPr>
            <w:r>
              <w:rPr>
                <w:rFonts w:ascii="Times New Roman" w:hAnsi="Times New Roman" w:cs="Times New Roman"/>
                <w:sz w:val="24"/>
                <w:szCs w:val="24"/>
              </w:rPr>
              <w:t xml:space="preserve">Vellore, </w:t>
            </w:r>
            <w:proofErr w:type="spellStart"/>
            <w:r>
              <w:rPr>
                <w:rFonts w:ascii="Times New Roman" w:hAnsi="Times New Roman" w:cs="Times New Roman"/>
                <w:sz w:val="24"/>
                <w:szCs w:val="24"/>
              </w:rPr>
              <w:t>Tamilnadu</w:t>
            </w:r>
            <w:r w:rsidRPr="004F0F5E">
              <w:rPr>
                <w:rFonts w:ascii="Times New Roman" w:hAnsi="Times New Roman" w:cs="Times New Roman"/>
                <w:sz w:val="24"/>
                <w:szCs w:val="24"/>
              </w:rPr>
              <w:t>India</w:t>
            </w:r>
            <w:proofErr w:type="spellEnd"/>
            <w:r w:rsidRPr="004F0F5E">
              <w:rPr>
                <w:rFonts w:ascii="Times New Roman" w:hAnsi="Times New Roman" w:cs="Times New Roman"/>
                <w:sz w:val="24"/>
                <w:szCs w:val="24"/>
              </w:rPr>
              <w:t>.</w:t>
            </w:r>
          </w:p>
        </w:tc>
        <w:tc>
          <w:tcPr>
            <w:tcW w:w="1083" w:type="dxa"/>
          </w:tcPr>
          <w:p w:rsidR="00425AB9" w:rsidRPr="00D11E1D" w:rsidRDefault="00425AB9" w:rsidP="001A33B5">
            <w:pPr>
              <w:keepNext/>
              <w:rPr>
                <w:rFonts w:ascii="Times New Roman" w:hAnsi="Times New Roman" w:cs="Times New Roman"/>
                <w:sz w:val="24"/>
                <w:szCs w:val="24"/>
              </w:rPr>
            </w:pPr>
            <w:r>
              <w:rPr>
                <w:rFonts w:ascii="Times New Roman" w:hAnsi="Times New Roman" w:cs="Times New Roman"/>
                <w:sz w:val="24"/>
                <w:szCs w:val="24"/>
              </w:rPr>
              <w:t>23</w:t>
            </w:r>
          </w:p>
        </w:tc>
      </w:tr>
    </w:tbl>
    <w:p w:rsidR="00425AB9" w:rsidRPr="00FE1ECD" w:rsidRDefault="00425AB9" w:rsidP="00425AB9">
      <w:pPr>
        <w:rPr>
          <w:rFonts w:ascii="Times New Roman" w:hAnsi="Times New Roman" w:cs="Times New Roman"/>
          <w:color w:val="000000" w:themeColor="text1"/>
          <w:sz w:val="24"/>
          <w:szCs w:val="24"/>
        </w:rPr>
      </w:pPr>
    </w:p>
    <w:p w:rsidR="00FE1ECD" w:rsidRPr="00FE1ECD" w:rsidRDefault="00FE1ECD" w:rsidP="00FE1ECD">
      <w:pPr>
        <w:pStyle w:val="Caption"/>
        <w:keepNext/>
        <w:spacing w:after="0"/>
        <w:rPr>
          <w:rFonts w:ascii="Times New Roman" w:hAnsi="Times New Roman" w:cs="Times New Roman"/>
          <w:i w:val="0"/>
          <w:color w:val="000000" w:themeColor="text1"/>
          <w:sz w:val="24"/>
          <w:szCs w:val="24"/>
        </w:rPr>
      </w:pPr>
      <w:r w:rsidRPr="00FE1ECD">
        <w:rPr>
          <w:rFonts w:ascii="Times New Roman" w:hAnsi="Times New Roman" w:cs="Times New Roman"/>
          <w:i w:val="0"/>
          <w:color w:val="000000" w:themeColor="text1"/>
          <w:sz w:val="24"/>
          <w:szCs w:val="24"/>
        </w:rPr>
        <w:t xml:space="preserve">Table </w:t>
      </w:r>
      <w:r w:rsidRPr="00FE1ECD">
        <w:rPr>
          <w:rFonts w:ascii="Times New Roman" w:hAnsi="Times New Roman" w:cs="Times New Roman"/>
          <w:i w:val="0"/>
          <w:color w:val="000000" w:themeColor="text1"/>
          <w:sz w:val="24"/>
          <w:szCs w:val="24"/>
        </w:rPr>
        <w:fldChar w:fldCharType="begin"/>
      </w:r>
      <w:r w:rsidRPr="00FE1ECD">
        <w:rPr>
          <w:rFonts w:ascii="Times New Roman" w:hAnsi="Times New Roman" w:cs="Times New Roman"/>
          <w:i w:val="0"/>
          <w:color w:val="000000" w:themeColor="text1"/>
          <w:sz w:val="24"/>
          <w:szCs w:val="24"/>
        </w:rPr>
        <w:instrText xml:space="preserve"> SEQ Table \* ARABIC </w:instrText>
      </w:r>
      <w:r w:rsidRPr="00FE1ECD">
        <w:rPr>
          <w:rFonts w:ascii="Times New Roman" w:hAnsi="Times New Roman" w:cs="Times New Roman"/>
          <w:i w:val="0"/>
          <w:color w:val="000000" w:themeColor="text1"/>
          <w:sz w:val="24"/>
          <w:szCs w:val="24"/>
        </w:rPr>
        <w:fldChar w:fldCharType="separate"/>
      </w:r>
      <w:r>
        <w:rPr>
          <w:rFonts w:ascii="Times New Roman" w:hAnsi="Times New Roman" w:cs="Times New Roman"/>
          <w:i w:val="0"/>
          <w:noProof/>
          <w:color w:val="000000" w:themeColor="text1"/>
          <w:sz w:val="24"/>
          <w:szCs w:val="24"/>
        </w:rPr>
        <w:t>2</w:t>
      </w:r>
      <w:r w:rsidRPr="00FE1ECD">
        <w:rPr>
          <w:rFonts w:ascii="Times New Roman" w:hAnsi="Times New Roman" w:cs="Times New Roman"/>
          <w:i w:val="0"/>
          <w:color w:val="000000" w:themeColor="text1"/>
          <w:sz w:val="24"/>
          <w:szCs w:val="24"/>
        </w:rPr>
        <w:fldChar w:fldCharType="end"/>
      </w:r>
      <w:r w:rsidRPr="00FE1ECD">
        <w:rPr>
          <w:rFonts w:ascii="Times New Roman" w:hAnsi="Times New Roman" w:cs="Times New Roman"/>
          <w:i w:val="0"/>
          <w:color w:val="000000" w:themeColor="text1"/>
          <w:sz w:val="24"/>
          <w:szCs w:val="24"/>
        </w:rPr>
        <w:t xml:space="preserve"> List of Fish cell lines reposited at Aquatic animal health laboratory- Abdul Hakeem College</w:t>
      </w:r>
    </w:p>
    <w:tbl>
      <w:tblPr>
        <w:tblStyle w:val="TableGrid"/>
        <w:tblW w:w="9067" w:type="dxa"/>
        <w:tblLook w:val="04A0" w:firstRow="1" w:lastRow="0" w:firstColumn="1" w:lastColumn="0" w:noHBand="0" w:noVBand="1"/>
      </w:tblPr>
      <w:tblGrid>
        <w:gridCol w:w="988"/>
        <w:gridCol w:w="3827"/>
        <w:gridCol w:w="1701"/>
        <w:gridCol w:w="2551"/>
      </w:tblGrid>
      <w:tr w:rsidR="00425AB9" w:rsidRPr="009119C0" w:rsidTr="001A33B5">
        <w:tc>
          <w:tcPr>
            <w:tcW w:w="988" w:type="dxa"/>
          </w:tcPr>
          <w:p w:rsidR="00425AB9" w:rsidRPr="009119C0" w:rsidRDefault="00425AB9" w:rsidP="00FE1ECD">
            <w:pPr>
              <w:rPr>
                <w:rFonts w:ascii="Times New Roman" w:hAnsi="Times New Roman" w:cs="Times New Roman"/>
                <w:sz w:val="24"/>
                <w:szCs w:val="24"/>
              </w:rPr>
            </w:pPr>
            <w:r w:rsidRPr="009119C0">
              <w:rPr>
                <w:rFonts w:ascii="Times New Roman" w:hAnsi="Times New Roman" w:cs="Times New Roman"/>
                <w:sz w:val="24"/>
                <w:szCs w:val="24"/>
              </w:rPr>
              <w:t>Sr</w:t>
            </w:r>
            <w:r>
              <w:rPr>
                <w:rFonts w:ascii="Times New Roman" w:hAnsi="Times New Roman" w:cs="Times New Roman"/>
                <w:sz w:val="24"/>
                <w:szCs w:val="24"/>
              </w:rPr>
              <w:t>.</w:t>
            </w:r>
            <w:r w:rsidRPr="009119C0">
              <w:rPr>
                <w:rFonts w:ascii="Times New Roman" w:hAnsi="Times New Roman" w:cs="Times New Roman"/>
                <w:sz w:val="24"/>
                <w:szCs w:val="24"/>
              </w:rPr>
              <w:t xml:space="preserve"> No</w:t>
            </w:r>
          </w:p>
        </w:tc>
        <w:tc>
          <w:tcPr>
            <w:tcW w:w="3827" w:type="dxa"/>
          </w:tcPr>
          <w:p w:rsidR="00425AB9" w:rsidRPr="009119C0" w:rsidRDefault="00425AB9" w:rsidP="00FE1ECD">
            <w:pPr>
              <w:rPr>
                <w:rFonts w:ascii="Times New Roman" w:hAnsi="Times New Roman" w:cs="Times New Roman"/>
                <w:sz w:val="24"/>
                <w:szCs w:val="24"/>
              </w:rPr>
            </w:pPr>
            <w:r w:rsidRPr="009119C0">
              <w:rPr>
                <w:rFonts w:ascii="Times New Roman" w:hAnsi="Times New Roman" w:cs="Times New Roman"/>
                <w:sz w:val="24"/>
                <w:szCs w:val="24"/>
              </w:rPr>
              <w:t>Name of the Fish</w:t>
            </w:r>
          </w:p>
        </w:tc>
        <w:tc>
          <w:tcPr>
            <w:tcW w:w="1701" w:type="dxa"/>
          </w:tcPr>
          <w:p w:rsidR="00425AB9" w:rsidRPr="009119C0" w:rsidRDefault="00425AB9" w:rsidP="00FE1ECD">
            <w:pPr>
              <w:rPr>
                <w:rFonts w:ascii="Times New Roman" w:hAnsi="Times New Roman" w:cs="Times New Roman"/>
                <w:sz w:val="24"/>
                <w:szCs w:val="24"/>
              </w:rPr>
            </w:pPr>
            <w:r w:rsidRPr="009119C0">
              <w:rPr>
                <w:rFonts w:ascii="Times New Roman" w:hAnsi="Times New Roman" w:cs="Times New Roman"/>
                <w:sz w:val="24"/>
                <w:szCs w:val="24"/>
              </w:rPr>
              <w:t>Organs used</w:t>
            </w:r>
          </w:p>
        </w:tc>
        <w:tc>
          <w:tcPr>
            <w:tcW w:w="2551" w:type="dxa"/>
          </w:tcPr>
          <w:p w:rsidR="00425AB9" w:rsidRPr="009119C0" w:rsidRDefault="00425AB9" w:rsidP="00FE1ECD">
            <w:pPr>
              <w:rPr>
                <w:rFonts w:ascii="Times New Roman" w:hAnsi="Times New Roman" w:cs="Times New Roman"/>
                <w:sz w:val="24"/>
                <w:szCs w:val="24"/>
              </w:rPr>
            </w:pPr>
            <w:r w:rsidRPr="009119C0">
              <w:rPr>
                <w:rFonts w:ascii="Times New Roman" w:hAnsi="Times New Roman" w:cs="Times New Roman"/>
                <w:sz w:val="24"/>
                <w:szCs w:val="24"/>
              </w:rPr>
              <w:t>Name of the cell line</w:t>
            </w:r>
          </w:p>
        </w:tc>
      </w:tr>
      <w:tr w:rsidR="00425AB9" w:rsidRPr="009119C0" w:rsidTr="001A33B5">
        <w:tc>
          <w:tcPr>
            <w:tcW w:w="988"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1.</w:t>
            </w:r>
          </w:p>
        </w:tc>
        <w:tc>
          <w:tcPr>
            <w:tcW w:w="3827" w:type="dxa"/>
            <w:vMerge w:val="restart"/>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Asian sea bass (</w:t>
            </w:r>
            <w:proofErr w:type="spellStart"/>
            <w:r w:rsidRPr="009119C0">
              <w:rPr>
                <w:rFonts w:ascii="Times New Roman" w:hAnsi="Times New Roman" w:cs="Times New Roman"/>
                <w:i/>
                <w:sz w:val="24"/>
                <w:szCs w:val="24"/>
              </w:rPr>
              <w:t>Lates</w:t>
            </w:r>
            <w:proofErr w:type="spellEnd"/>
            <w:r w:rsidRPr="009119C0">
              <w:rPr>
                <w:rFonts w:ascii="Times New Roman" w:hAnsi="Times New Roman" w:cs="Times New Roman"/>
                <w:i/>
                <w:sz w:val="24"/>
                <w:szCs w:val="24"/>
              </w:rPr>
              <w:t xml:space="preserve"> </w:t>
            </w:r>
            <w:proofErr w:type="spellStart"/>
            <w:r w:rsidRPr="009119C0">
              <w:rPr>
                <w:rFonts w:ascii="Times New Roman" w:hAnsi="Times New Roman" w:cs="Times New Roman"/>
                <w:i/>
                <w:sz w:val="24"/>
                <w:szCs w:val="24"/>
              </w:rPr>
              <w:t>calcarifer</w:t>
            </w:r>
            <w:proofErr w:type="spellEnd"/>
            <w:r w:rsidRPr="009119C0">
              <w:rPr>
                <w:rFonts w:ascii="Times New Roman" w:hAnsi="Times New Roman" w:cs="Times New Roman"/>
                <w:sz w:val="24"/>
                <w:szCs w:val="24"/>
              </w:rPr>
              <w:t>)</w:t>
            </w:r>
          </w:p>
        </w:tc>
        <w:tc>
          <w:tcPr>
            <w:tcW w:w="170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Kidney</w:t>
            </w:r>
          </w:p>
        </w:tc>
        <w:tc>
          <w:tcPr>
            <w:tcW w:w="255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SISK</w:t>
            </w:r>
          </w:p>
        </w:tc>
      </w:tr>
      <w:tr w:rsidR="00425AB9" w:rsidRPr="009119C0" w:rsidTr="001A33B5">
        <w:tc>
          <w:tcPr>
            <w:tcW w:w="988"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2.</w:t>
            </w:r>
          </w:p>
        </w:tc>
        <w:tc>
          <w:tcPr>
            <w:tcW w:w="3827" w:type="dxa"/>
            <w:vMerge/>
          </w:tcPr>
          <w:p w:rsidR="00425AB9" w:rsidRPr="009119C0" w:rsidRDefault="00425AB9" w:rsidP="001A33B5">
            <w:pPr>
              <w:rPr>
                <w:rFonts w:ascii="Times New Roman" w:hAnsi="Times New Roman" w:cs="Times New Roman"/>
                <w:sz w:val="24"/>
                <w:szCs w:val="24"/>
              </w:rPr>
            </w:pPr>
          </w:p>
        </w:tc>
        <w:tc>
          <w:tcPr>
            <w:tcW w:w="170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Spleen</w:t>
            </w:r>
          </w:p>
        </w:tc>
        <w:tc>
          <w:tcPr>
            <w:tcW w:w="2551" w:type="dxa"/>
          </w:tcPr>
          <w:p w:rsidR="00425AB9" w:rsidRPr="009119C0" w:rsidRDefault="00425AB9" w:rsidP="001A33B5">
            <w:pPr>
              <w:rPr>
                <w:rFonts w:ascii="Times New Roman" w:hAnsi="Times New Roman" w:cs="Times New Roman"/>
                <w:b/>
                <w:sz w:val="24"/>
                <w:szCs w:val="24"/>
              </w:rPr>
            </w:pPr>
            <w:r w:rsidRPr="009119C0">
              <w:rPr>
                <w:rFonts w:ascii="Times New Roman" w:hAnsi="Times New Roman" w:cs="Times New Roman"/>
                <w:sz w:val="24"/>
                <w:szCs w:val="24"/>
              </w:rPr>
              <w:t>SISS</w:t>
            </w:r>
          </w:p>
        </w:tc>
      </w:tr>
      <w:tr w:rsidR="00425AB9" w:rsidRPr="009119C0" w:rsidTr="001A33B5">
        <w:tc>
          <w:tcPr>
            <w:tcW w:w="988"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3.</w:t>
            </w:r>
          </w:p>
        </w:tc>
        <w:tc>
          <w:tcPr>
            <w:tcW w:w="3827" w:type="dxa"/>
            <w:vMerge w:val="restart"/>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Grouper (</w:t>
            </w:r>
            <w:proofErr w:type="spellStart"/>
            <w:r w:rsidRPr="009119C0">
              <w:rPr>
                <w:rFonts w:ascii="Times New Roman" w:hAnsi="Times New Roman" w:cs="Times New Roman"/>
                <w:i/>
                <w:sz w:val="24"/>
                <w:szCs w:val="24"/>
              </w:rPr>
              <w:t>Epinephelus</w:t>
            </w:r>
            <w:proofErr w:type="spellEnd"/>
            <w:r w:rsidRPr="009119C0">
              <w:rPr>
                <w:rFonts w:ascii="Times New Roman" w:hAnsi="Times New Roman" w:cs="Times New Roman"/>
                <w:i/>
                <w:sz w:val="24"/>
                <w:szCs w:val="24"/>
              </w:rPr>
              <w:t xml:space="preserve"> </w:t>
            </w:r>
            <w:proofErr w:type="spellStart"/>
            <w:r w:rsidRPr="009119C0">
              <w:rPr>
                <w:rFonts w:ascii="Times New Roman" w:hAnsi="Times New Roman" w:cs="Times New Roman"/>
                <w:i/>
                <w:sz w:val="24"/>
                <w:szCs w:val="24"/>
              </w:rPr>
              <w:t>coioides</w:t>
            </w:r>
            <w:proofErr w:type="spellEnd"/>
            <w:r>
              <w:rPr>
                <w:rFonts w:ascii="Times New Roman" w:hAnsi="Times New Roman" w:cs="Times New Roman"/>
                <w:sz w:val="24"/>
                <w:szCs w:val="24"/>
              </w:rPr>
              <w:t>)</w:t>
            </w:r>
          </w:p>
        </w:tc>
        <w:tc>
          <w:tcPr>
            <w:tcW w:w="170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Eye</w:t>
            </w:r>
          </w:p>
        </w:tc>
        <w:tc>
          <w:tcPr>
            <w:tcW w:w="255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SIGE</w:t>
            </w:r>
          </w:p>
        </w:tc>
      </w:tr>
      <w:tr w:rsidR="00425AB9" w:rsidRPr="009119C0" w:rsidTr="001A33B5">
        <w:tc>
          <w:tcPr>
            <w:tcW w:w="988"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4.</w:t>
            </w:r>
          </w:p>
        </w:tc>
        <w:tc>
          <w:tcPr>
            <w:tcW w:w="3827" w:type="dxa"/>
            <w:vMerge/>
          </w:tcPr>
          <w:p w:rsidR="00425AB9" w:rsidRPr="009119C0" w:rsidRDefault="00425AB9" w:rsidP="001A33B5">
            <w:pPr>
              <w:rPr>
                <w:rFonts w:ascii="Times New Roman" w:hAnsi="Times New Roman" w:cs="Times New Roman"/>
                <w:sz w:val="24"/>
                <w:szCs w:val="24"/>
              </w:rPr>
            </w:pPr>
          </w:p>
        </w:tc>
        <w:tc>
          <w:tcPr>
            <w:tcW w:w="170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Kidney</w:t>
            </w:r>
          </w:p>
        </w:tc>
        <w:tc>
          <w:tcPr>
            <w:tcW w:w="255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GK</w:t>
            </w:r>
          </w:p>
        </w:tc>
      </w:tr>
      <w:tr w:rsidR="00425AB9" w:rsidRPr="009119C0" w:rsidTr="001A33B5">
        <w:tc>
          <w:tcPr>
            <w:tcW w:w="988"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5.</w:t>
            </w:r>
          </w:p>
        </w:tc>
        <w:tc>
          <w:tcPr>
            <w:tcW w:w="3827" w:type="dxa"/>
            <w:vMerge/>
          </w:tcPr>
          <w:p w:rsidR="00425AB9" w:rsidRPr="009119C0" w:rsidRDefault="00425AB9" w:rsidP="001A33B5">
            <w:pPr>
              <w:rPr>
                <w:rFonts w:ascii="Times New Roman" w:hAnsi="Times New Roman" w:cs="Times New Roman"/>
                <w:sz w:val="24"/>
                <w:szCs w:val="24"/>
              </w:rPr>
            </w:pPr>
          </w:p>
        </w:tc>
        <w:tc>
          <w:tcPr>
            <w:tcW w:w="170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Heart</w:t>
            </w:r>
          </w:p>
        </w:tc>
        <w:tc>
          <w:tcPr>
            <w:tcW w:w="255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GH</w:t>
            </w:r>
          </w:p>
        </w:tc>
      </w:tr>
      <w:tr w:rsidR="00425AB9" w:rsidRPr="009119C0" w:rsidTr="001A33B5">
        <w:tc>
          <w:tcPr>
            <w:tcW w:w="988"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6.</w:t>
            </w:r>
          </w:p>
        </w:tc>
        <w:tc>
          <w:tcPr>
            <w:tcW w:w="3827" w:type="dxa"/>
            <w:vMerge/>
          </w:tcPr>
          <w:p w:rsidR="00425AB9" w:rsidRPr="009119C0" w:rsidRDefault="00425AB9" w:rsidP="001A33B5">
            <w:pPr>
              <w:rPr>
                <w:rFonts w:ascii="Times New Roman" w:hAnsi="Times New Roman" w:cs="Times New Roman"/>
                <w:sz w:val="24"/>
                <w:szCs w:val="24"/>
              </w:rPr>
            </w:pPr>
          </w:p>
        </w:tc>
        <w:tc>
          <w:tcPr>
            <w:tcW w:w="170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Brain</w:t>
            </w:r>
          </w:p>
        </w:tc>
        <w:tc>
          <w:tcPr>
            <w:tcW w:w="255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GB</w:t>
            </w:r>
          </w:p>
        </w:tc>
      </w:tr>
      <w:tr w:rsidR="00425AB9" w:rsidRPr="009119C0" w:rsidTr="001A33B5">
        <w:tc>
          <w:tcPr>
            <w:tcW w:w="988"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7.</w:t>
            </w:r>
          </w:p>
        </w:tc>
        <w:tc>
          <w:tcPr>
            <w:tcW w:w="3827" w:type="dxa"/>
            <w:vMerge w:val="restart"/>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Catla (</w:t>
            </w:r>
            <w:r w:rsidRPr="009119C0">
              <w:rPr>
                <w:rFonts w:ascii="Times New Roman" w:hAnsi="Times New Roman" w:cs="Times New Roman"/>
                <w:i/>
                <w:sz w:val="24"/>
                <w:szCs w:val="24"/>
              </w:rPr>
              <w:t>Catla catla</w:t>
            </w:r>
            <w:r w:rsidRPr="009119C0">
              <w:rPr>
                <w:rFonts w:ascii="Times New Roman" w:hAnsi="Times New Roman" w:cs="Times New Roman"/>
                <w:sz w:val="24"/>
                <w:szCs w:val="24"/>
              </w:rPr>
              <w:t>)</w:t>
            </w:r>
          </w:p>
        </w:tc>
        <w:tc>
          <w:tcPr>
            <w:tcW w:w="170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Heart</w:t>
            </w:r>
          </w:p>
        </w:tc>
        <w:tc>
          <w:tcPr>
            <w:tcW w:w="255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SICH</w:t>
            </w:r>
          </w:p>
        </w:tc>
      </w:tr>
      <w:tr w:rsidR="00425AB9" w:rsidRPr="009119C0" w:rsidTr="001A33B5">
        <w:tc>
          <w:tcPr>
            <w:tcW w:w="988"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8.</w:t>
            </w:r>
          </w:p>
        </w:tc>
        <w:tc>
          <w:tcPr>
            <w:tcW w:w="3827" w:type="dxa"/>
            <w:vMerge/>
          </w:tcPr>
          <w:p w:rsidR="00425AB9" w:rsidRPr="009119C0" w:rsidRDefault="00425AB9" w:rsidP="001A33B5">
            <w:pPr>
              <w:rPr>
                <w:rFonts w:ascii="Times New Roman" w:hAnsi="Times New Roman" w:cs="Times New Roman"/>
                <w:sz w:val="24"/>
                <w:szCs w:val="24"/>
              </w:rPr>
            </w:pPr>
          </w:p>
        </w:tc>
        <w:tc>
          <w:tcPr>
            <w:tcW w:w="170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Brain</w:t>
            </w:r>
          </w:p>
        </w:tc>
        <w:tc>
          <w:tcPr>
            <w:tcW w:w="255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CB</w:t>
            </w:r>
          </w:p>
        </w:tc>
      </w:tr>
      <w:tr w:rsidR="00425AB9" w:rsidRPr="009119C0" w:rsidTr="001A33B5">
        <w:tc>
          <w:tcPr>
            <w:tcW w:w="988"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9.</w:t>
            </w:r>
          </w:p>
        </w:tc>
        <w:tc>
          <w:tcPr>
            <w:tcW w:w="3827" w:type="dxa"/>
            <w:vMerge/>
          </w:tcPr>
          <w:p w:rsidR="00425AB9" w:rsidRPr="009119C0" w:rsidRDefault="00425AB9" w:rsidP="001A33B5">
            <w:pPr>
              <w:rPr>
                <w:rFonts w:ascii="Times New Roman" w:hAnsi="Times New Roman" w:cs="Times New Roman"/>
                <w:sz w:val="24"/>
                <w:szCs w:val="24"/>
              </w:rPr>
            </w:pPr>
          </w:p>
        </w:tc>
        <w:tc>
          <w:tcPr>
            <w:tcW w:w="170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Gill</w:t>
            </w:r>
          </w:p>
        </w:tc>
        <w:tc>
          <w:tcPr>
            <w:tcW w:w="255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ICG</w:t>
            </w:r>
          </w:p>
        </w:tc>
      </w:tr>
      <w:tr w:rsidR="00425AB9" w:rsidRPr="009119C0" w:rsidTr="001A33B5">
        <w:tc>
          <w:tcPr>
            <w:tcW w:w="988"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10.</w:t>
            </w:r>
          </w:p>
        </w:tc>
        <w:tc>
          <w:tcPr>
            <w:tcW w:w="3827" w:type="dxa"/>
            <w:vMerge/>
          </w:tcPr>
          <w:p w:rsidR="00425AB9" w:rsidRPr="009119C0" w:rsidRDefault="00425AB9" w:rsidP="001A33B5">
            <w:pPr>
              <w:rPr>
                <w:rFonts w:ascii="Times New Roman" w:hAnsi="Times New Roman" w:cs="Times New Roman"/>
                <w:sz w:val="24"/>
                <w:szCs w:val="24"/>
              </w:rPr>
            </w:pPr>
          </w:p>
        </w:tc>
        <w:tc>
          <w:tcPr>
            <w:tcW w:w="170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Eye</w:t>
            </w:r>
          </w:p>
        </w:tc>
        <w:tc>
          <w:tcPr>
            <w:tcW w:w="255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SICE</w:t>
            </w:r>
          </w:p>
        </w:tc>
      </w:tr>
      <w:tr w:rsidR="00425AB9" w:rsidRPr="009119C0" w:rsidTr="001A33B5">
        <w:tc>
          <w:tcPr>
            <w:tcW w:w="988"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11.</w:t>
            </w:r>
          </w:p>
        </w:tc>
        <w:tc>
          <w:tcPr>
            <w:tcW w:w="3827" w:type="dxa"/>
            <w:vMerge w:val="restart"/>
          </w:tcPr>
          <w:p w:rsidR="00425AB9" w:rsidRPr="009119C0" w:rsidRDefault="00425AB9" w:rsidP="001A33B5">
            <w:pPr>
              <w:rPr>
                <w:rFonts w:ascii="Times New Roman" w:hAnsi="Times New Roman" w:cs="Times New Roman"/>
                <w:sz w:val="24"/>
                <w:szCs w:val="24"/>
              </w:rPr>
            </w:pPr>
            <w:proofErr w:type="spellStart"/>
            <w:r w:rsidRPr="009119C0">
              <w:rPr>
                <w:rFonts w:ascii="Times New Roman" w:hAnsi="Times New Roman" w:cs="Times New Roman"/>
                <w:sz w:val="24"/>
                <w:szCs w:val="24"/>
              </w:rPr>
              <w:t>Rohu</w:t>
            </w:r>
            <w:proofErr w:type="spellEnd"/>
            <w:r w:rsidRPr="009119C0">
              <w:rPr>
                <w:rFonts w:ascii="Times New Roman" w:hAnsi="Times New Roman" w:cs="Times New Roman"/>
                <w:sz w:val="24"/>
                <w:szCs w:val="24"/>
              </w:rPr>
              <w:t xml:space="preserve"> (</w:t>
            </w:r>
            <w:proofErr w:type="spellStart"/>
            <w:r w:rsidRPr="009119C0">
              <w:rPr>
                <w:rFonts w:ascii="Times New Roman" w:hAnsi="Times New Roman" w:cs="Times New Roman"/>
                <w:i/>
                <w:sz w:val="24"/>
                <w:szCs w:val="24"/>
              </w:rPr>
              <w:t>Labeo</w:t>
            </w:r>
            <w:proofErr w:type="spellEnd"/>
            <w:r w:rsidRPr="009119C0">
              <w:rPr>
                <w:rFonts w:ascii="Times New Roman" w:hAnsi="Times New Roman" w:cs="Times New Roman"/>
                <w:i/>
                <w:sz w:val="24"/>
                <w:szCs w:val="24"/>
              </w:rPr>
              <w:t xml:space="preserve"> </w:t>
            </w:r>
            <w:proofErr w:type="spellStart"/>
            <w:r w:rsidRPr="009119C0">
              <w:rPr>
                <w:rFonts w:ascii="Times New Roman" w:hAnsi="Times New Roman" w:cs="Times New Roman"/>
                <w:i/>
                <w:sz w:val="24"/>
                <w:szCs w:val="24"/>
              </w:rPr>
              <w:t>rohita</w:t>
            </w:r>
            <w:proofErr w:type="spellEnd"/>
            <w:r w:rsidRPr="009119C0">
              <w:rPr>
                <w:rFonts w:ascii="Times New Roman" w:hAnsi="Times New Roman" w:cs="Times New Roman"/>
                <w:sz w:val="24"/>
                <w:szCs w:val="24"/>
              </w:rPr>
              <w:t>)</w:t>
            </w:r>
          </w:p>
        </w:tc>
        <w:tc>
          <w:tcPr>
            <w:tcW w:w="170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Eye</w:t>
            </w:r>
          </w:p>
        </w:tc>
        <w:tc>
          <w:tcPr>
            <w:tcW w:w="255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RE</w:t>
            </w:r>
          </w:p>
        </w:tc>
      </w:tr>
      <w:tr w:rsidR="00425AB9" w:rsidRPr="009119C0" w:rsidTr="001A33B5">
        <w:tc>
          <w:tcPr>
            <w:tcW w:w="988"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12.</w:t>
            </w:r>
          </w:p>
        </w:tc>
        <w:tc>
          <w:tcPr>
            <w:tcW w:w="3827" w:type="dxa"/>
            <w:vMerge/>
          </w:tcPr>
          <w:p w:rsidR="00425AB9" w:rsidRPr="009119C0" w:rsidRDefault="00425AB9" w:rsidP="001A33B5">
            <w:pPr>
              <w:rPr>
                <w:rFonts w:ascii="Times New Roman" w:hAnsi="Times New Roman" w:cs="Times New Roman"/>
                <w:sz w:val="24"/>
                <w:szCs w:val="24"/>
              </w:rPr>
            </w:pPr>
          </w:p>
        </w:tc>
        <w:tc>
          <w:tcPr>
            <w:tcW w:w="170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Gill</w:t>
            </w:r>
          </w:p>
        </w:tc>
        <w:tc>
          <w:tcPr>
            <w:tcW w:w="255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LRG</w:t>
            </w:r>
          </w:p>
        </w:tc>
      </w:tr>
      <w:tr w:rsidR="00425AB9" w:rsidRPr="009119C0" w:rsidTr="001A33B5">
        <w:tc>
          <w:tcPr>
            <w:tcW w:w="988"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13.</w:t>
            </w:r>
          </w:p>
        </w:tc>
        <w:tc>
          <w:tcPr>
            <w:tcW w:w="3827" w:type="dxa"/>
            <w:vMerge w:val="restart"/>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Pearl spot fish (</w:t>
            </w:r>
            <w:proofErr w:type="spellStart"/>
            <w:r w:rsidRPr="009119C0">
              <w:rPr>
                <w:rFonts w:ascii="Times New Roman" w:hAnsi="Times New Roman" w:cs="Times New Roman"/>
                <w:i/>
                <w:sz w:val="24"/>
                <w:szCs w:val="24"/>
              </w:rPr>
              <w:t>Etroplus</w:t>
            </w:r>
            <w:proofErr w:type="spellEnd"/>
            <w:r w:rsidRPr="009119C0">
              <w:rPr>
                <w:rFonts w:ascii="Times New Roman" w:hAnsi="Times New Roman" w:cs="Times New Roman"/>
                <w:i/>
                <w:sz w:val="24"/>
                <w:szCs w:val="24"/>
              </w:rPr>
              <w:t xml:space="preserve"> </w:t>
            </w:r>
            <w:proofErr w:type="spellStart"/>
            <w:r w:rsidRPr="009119C0">
              <w:rPr>
                <w:rFonts w:ascii="Times New Roman" w:hAnsi="Times New Roman" w:cs="Times New Roman"/>
                <w:i/>
                <w:sz w:val="24"/>
                <w:szCs w:val="24"/>
              </w:rPr>
              <w:t>suratensis</w:t>
            </w:r>
            <w:proofErr w:type="spellEnd"/>
            <w:r w:rsidRPr="009119C0">
              <w:rPr>
                <w:rFonts w:ascii="Times New Roman" w:hAnsi="Times New Roman" w:cs="Times New Roman"/>
                <w:sz w:val="24"/>
                <w:szCs w:val="24"/>
              </w:rPr>
              <w:t>)</w:t>
            </w:r>
          </w:p>
        </w:tc>
        <w:tc>
          <w:tcPr>
            <w:tcW w:w="170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Eye</w:t>
            </w:r>
          </w:p>
        </w:tc>
        <w:tc>
          <w:tcPr>
            <w:tcW w:w="255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IEE</w:t>
            </w:r>
          </w:p>
        </w:tc>
      </w:tr>
      <w:tr w:rsidR="00425AB9" w:rsidRPr="009119C0" w:rsidTr="001A33B5">
        <w:tc>
          <w:tcPr>
            <w:tcW w:w="988"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lastRenderedPageBreak/>
              <w:t>14.</w:t>
            </w:r>
          </w:p>
        </w:tc>
        <w:tc>
          <w:tcPr>
            <w:tcW w:w="3827" w:type="dxa"/>
            <w:vMerge/>
          </w:tcPr>
          <w:p w:rsidR="00425AB9" w:rsidRPr="009119C0" w:rsidRDefault="00425AB9" w:rsidP="001A33B5">
            <w:pPr>
              <w:rPr>
                <w:rFonts w:ascii="Times New Roman" w:hAnsi="Times New Roman" w:cs="Times New Roman"/>
                <w:sz w:val="24"/>
                <w:szCs w:val="24"/>
              </w:rPr>
            </w:pPr>
          </w:p>
        </w:tc>
        <w:tc>
          <w:tcPr>
            <w:tcW w:w="170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Gill</w:t>
            </w:r>
          </w:p>
        </w:tc>
        <w:tc>
          <w:tcPr>
            <w:tcW w:w="255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IEG</w:t>
            </w:r>
          </w:p>
        </w:tc>
      </w:tr>
      <w:tr w:rsidR="00425AB9" w:rsidRPr="009119C0" w:rsidTr="001A33B5">
        <w:tc>
          <w:tcPr>
            <w:tcW w:w="988"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lastRenderedPageBreak/>
              <w:t>15.</w:t>
            </w:r>
          </w:p>
        </w:tc>
        <w:tc>
          <w:tcPr>
            <w:tcW w:w="3827" w:type="dxa"/>
            <w:vMerge/>
          </w:tcPr>
          <w:p w:rsidR="00425AB9" w:rsidRPr="009119C0" w:rsidRDefault="00425AB9" w:rsidP="001A33B5">
            <w:pPr>
              <w:rPr>
                <w:rFonts w:ascii="Times New Roman" w:hAnsi="Times New Roman" w:cs="Times New Roman"/>
                <w:sz w:val="24"/>
                <w:szCs w:val="24"/>
              </w:rPr>
            </w:pPr>
          </w:p>
        </w:tc>
        <w:tc>
          <w:tcPr>
            <w:tcW w:w="170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Kidney</w:t>
            </w:r>
          </w:p>
        </w:tc>
        <w:tc>
          <w:tcPr>
            <w:tcW w:w="255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IEK</w:t>
            </w:r>
          </w:p>
        </w:tc>
      </w:tr>
      <w:tr w:rsidR="00425AB9" w:rsidRPr="009119C0" w:rsidTr="001A33B5">
        <w:tc>
          <w:tcPr>
            <w:tcW w:w="988"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16.</w:t>
            </w:r>
          </w:p>
        </w:tc>
        <w:tc>
          <w:tcPr>
            <w:tcW w:w="3827" w:type="dxa"/>
            <w:vMerge/>
          </w:tcPr>
          <w:p w:rsidR="00425AB9" w:rsidRPr="009119C0" w:rsidRDefault="00425AB9" w:rsidP="001A33B5">
            <w:pPr>
              <w:rPr>
                <w:rFonts w:ascii="Times New Roman" w:hAnsi="Times New Roman" w:cs="Times New Roman"/>
                <w:sz w:val="24"/>
                <w:szCs w:val="24"/>
              </w:rPr>
            </w:pPr>
          </w:p>
        </w:tc>
        <w:tc>
          <w:tcPr>
            <w:tcW w:w="170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Brain</w:t>
            </w:r>
          </w:p>
        </w:tc>
        <w:tc>
          <w:tcPr>
            <w:tcW w:w="255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IEB</w:t>
            </w:r>
          </w:p>
        </w:tc>
      </w:tr>
      <w:tr w:rsidR="00425AB9" w:rsidRPr="009119C0" w:rsidTr="001A33B5">
        <w:tc>
          <w:tcPr>
            <w:tcW w:w="988"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17.</w:t>
            </w:r>
          </w:p>
        </w:tc>
        <w:tc>
          <w:tcPr>
            <w:tcW w:w="3827"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Catfish (</w:t>
            </w:r>
            <w:proofErr w:type="spellStart"/>
            <w:r w:rsidRPr="009119C0">
              <w:rPr>
                <w:rFonts w:ascii="Times New Roman" w:hAnsi="Times New Roman" w:cs="Times New Roman"/>
                <w:i/>
                <w:sz w:val="24"/>
                <w:szCs w:val="24"/>
              </w:rPr>
              <w:t>Clarius</w:t>
            </w:r>
            <w:proofErr w:type="spellEnd"/>
            <w:r w:rsidRPr="009119C0">
              <w:rPr>
                <w:rFonts w:ascii="Times New Roman" w:hAnsi="Times New Roman" w:cs="Times New Roman"/>
                <w:i/>
                <w:sz w:val="24"/>
                <w:szCs w:val="24"/>
              </w:rPr>
              <w:t xml:space="preserve"> </w:t>
            </w:r>
            <w:proofErr w:type="spellStart"/>
            <w:r w:rsidRPr="009119C0">
              <w:rPr>
                <w:rFonts w:ascii="Times New Roman" w:hAnsi="Times New Roman" w:cs="Times New Roman"/>
                <w:i/>
                <w:sz w:val="24"/>
                <w:szCs w:val="24"/>
              </w:rPr>
              <w:t>batrachus</w:t>
            </w:r>
            <w:proofErr w:type="spellEnd"/>
            <w:r w:rsidRPr="009119C0">
              <w:rPr>
                <w:rFonts w:ascii="Times New Roman" w:hAnsi="Times New Roman" w:cs="Times New Roman"/>
                <w:sz w:val="24"/>
                <w:szCs w:val="24"/>
              </w:rPr>
              <w:t>)</w:t>
            </w:r>
          </w:p>
        </w:tc>
        <w:tc>
          <w:tcPr>
            <w:tcW w:w="170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Fin</w:t>
            </w:r>
          </w:p>
        </w:tc>
        <w:tc>
          <w:tcPr>
            <w:tcW w:w="255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ICF</w:t>
            </w:r>
          </w:p>
        </w:tc>
      </w:tr>
      <w:tr w:rsidR="00425AB9" w:rsidRPr="009119C0" w:rsidTr="001A33B5">
        <w:tc>
          <w:tcPr>
            <w:tcW w:w="988"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18.</w:t>
            </w:r>
          </w:p>
        </w:tc>
        <w:tc>
          <w:tcPr>
            <w:tcW w:w="3827" w:type="dxa"/>
            <w:vMerge w:val="restart"/>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Zebra fish (</w:t>
            </w:r>
            <w:r w:rsidRPr="009119C0">
              <w:rPr>
                <w:rFonts w:ascii="Times New Roman" w:hAnsi="Times New Roman" w:cs="Times New Roman"/>
                <w:i/>
                <w:sz w:val="24"/>
                <w:szCs w:val="24"/>
              </w:rPr>
              <w:t xml:space="preserve">Danio </w:t>
            </w:r>
            <w:proofErr w:type="spellStart"/>
            <w:r w:rsidRPr="009119C0">
              <w:rPr>
                <w:rFonts w:ascii="Times New Roman" w:hAnsi="Times New Roman" w:cs="Times New Roman"/>
                <w:i/>
                <w:sz w:val="24"/>
                <w:szCs w:val="24"/>
              </w:rPr>
              <w:t>rerio</w:t>
            </w:r>
            <w:proofErr w:type="spellEnd"/>
            <w:r w:rsidRPr="009119C0">
              <w:rPr>
                <w:rFonts w:ascii="Times New Roman" w:hAnsi="Times New Roman" w:cs="Times New Roman"/>
                <w:sz w:val="24"/>
                <w:szCs w:val="24"/>
              </w:rPr>
              <w:t>)</w:t>
            </w:r>
          </w:p>
        </w:tc>
        <w:tc>
          <w:tcPr>
            <w:tcW w:w="170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Eye</w:t>
            </w:r>
          </w:p>
        </w:tc>
        <w:tc>
          <w:tcPr>
            <w:tcW w:w="255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DRE</w:t>
            </w:r>
          </w:p>
        </w:tc>
      </w:tr>
      <w:tr w:rsidR="00425AB9" w:rsidRPr="009119C0" w:rsidTr="001A33B5">
        <w:tc>
          <w:tcPr>
            <w:tcW w:w="988"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19.</w:t>
            </w:r>
          </w:p>
        </w:tc>
        <w:tc>
          <w:tcPr>
            <w:tcW w:w="3827" w:type="dxa"/>
            <w:vMerge/>
          </w:tcPr>
          <w:p w:rsidR="00425AB9" w:rsidRPr="009119C0" w:rsidRDefault="00425AB9" w:rsidP="001A33B5">
            <w:pPr>
              <w:rPr>
                <w:rFonts w:ascii="Times New Roman" w:hAnsi="Times New Roman" w:cs="Times New Roman"/>
                <w:sz w:val="24"/>
                <w:szCs w:val="24"/>
              </w:rPr>
            </w:pPr>
          </w:p>
        </w:tc>
        <w:tc>
          <w:tcPr>
            <w:tcW w:w="170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Fin</w:t>
            </w:r>
          </w:p>
        </w:tc>
        <w:tc>
          <w:tcPr>
            <w:tcW w:w="255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DRF</w:t>
            </w:r>
          </w:p>
        </w:tc>
      </w:tr>
      <w:tr w:rsidR="00425AB9" w:rsidRPr="009119C0" w:rsidTr="001A33B5">
        <w:tc>
          <w:tcPr>
            <w:tcW w:w="988"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20.</w:t>
            </w:r>
          </w:p>
        </w:tc>
        <w:tc>
          <w:tcPr>
            <w:tcW w:w="3827" w:type="dxa"/>
            <w:vMerge/>
          </w:tcPr>
          <w:p w:rsidR="00425AB9" w:rsidRPr="009119C0" w:rsidRDefault="00425AB9" w:rsidP="001A33B5">
            <w:pPr>
              <w:rPr>
                <w:rFonts w:ascii="Times New Roman" w:hAnsi="Times New Roman" w:cs="Times New Roman"/>
                <w:sz w:val="24"/>
                <w:szCs w:val="24"/>
              </w:rPr>
            </w:pPr>
          </w:p>
        </w:tc>
        <w:tc>
          <w:tcPr>
            <w:tcW w:w="170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Gill</w:t>
            </w:r>
          </w:p>
        </w:tc>
        <w:tc>
          <w:tcPr>
            <w:tcW w:w="255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DRG</w:t>
            </w:r>
          </w:p>
        </w:tc>
      </w:tr>
      <w:tr w:rsidR="00425AB9" w:rsidRPr="009119C0" w:rsidTr="001A33B5">
        <w:tc>
          <w:tcPr>
            <w:tcW w:w="988"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21.</w:t>
            </w:r>
          </w:p>
        </w:tc>
        <w:tc>
          <w:tcPr>
            <w:tcW w:w="3827" w:type="dxa"/>
            <w:vMerge w:val="restart"/>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Snakehead fish (</w:t>
            </w:r>
            <w:proofErr w:type="spellStart"/>
            <w:r w:rsidRPr="009119C0">
              <w:rPr>
                <w:rFonts w:ascii="Times New Roman" w:hAnsi="Times New Roman" w:cs="Times New Roman"/>
                <w:i/>
                <w:sz w:val="24"/>
                <w:szCs w:val="24"/>
              </w:rPr>
              <w:t>Channa</w:t>
            </w:r>
            <w:proofErr w:type="spellEnd"/>
            <w:r w:rsidRPr="009119C0">
              <w:rPr>
                <w:rFonts w:ascii="Times New Roman" w:hAnsi="Times New Roman" w:cs="Times New Roman"/>
                <w:i/>
                <w:sz w:val="24"/>
                <w:szCs w:val="24"/>
              </w:rPr>
              <w:t xml:space="preserve"> </w:t>
            </w:r>
            <w:proofErr w:type="spellStart"/>
            <w:r w:rsidRPr="009119C0">
              <w:rPr>
                <w:rFonts w:ascii="Times New Roman" w:hAnsi="Times New Roman" w:cs="Times New Roman"/>
                <w:i/>
                <w:sz w:val="24"/>
                <w:szCs w:val="24"/>
              </w:rPr>
              <w:t>striatus</w:t>
            </w:r>
            <w:proofErr w:type="spellEnd"/>
            <w:r w:rsidRPr="009119C0">
              <w:rPr>
                <w:rFonts w:ascii="Times New Roman" w:hAnsi="Times New Roman" w:cs="Times New Roman"/>
                <w:sz w:val="24"/>
                <w:szCs w:val="24"/>
              </w:rPr>
              <w:t>)</w:t>
            </w:r>
          </w:p>
        </w:tc>
        <w:tc>
          <w:tcPr>
            <w:tcW w:w="170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Kidney</w:t>
            </w:r>
          </w:p>
        </w:tc>
        <w:tc>
          <w:tcPr>
            <w:tcW w:w="255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SHK</w:t>
            </w:r>
          </w:p>
        </w:tc>
      </w:tr>
      <w:tr w:rsidR="00425AB9" w:rsidRPr="009119C0" w:rsidTr="001A33B5">
        <w:tc>
          <w:tcPr>
            <w:tcW w:w="988"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22.</w:t>
            </w:r>
          </w:p>
        </w:tc>
        <w:tc>
          <w:tcPr>
            <w:tcW w:w="3827" w:type="dxa"/>
            <w:vMerge/>
          </w:tcPr>
          <w:p w:rsidR="00425AB9" w:rsidRPr="009119C0" w:rsidRDefault="00425AB9" w:rsidP="001A33B5">
            <w:pPr>
              <w:rPr>
                <w:rFonts w:ascii="Times New Roman" w:hAnsi="Times New Roman" w:cs="Times New Roman"/>
                <w:sz w:val="24"/>
                <w:szCs w:val="24"/>
              </w:rPr>
            </w:pPr>
          </w:p>
        </w:tc>
        <w:tc>
          <w:tcPr>
            <w:tcW w:w="170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Gill</w:t>
            </w:r>
          </w:p>
        </w:tc>
        <w:tc>
          <w:tcPr>
            <w:tcW w:w="255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SHG</w:t>
            </w:r>
          </w:p>
        </w:tc>
      </w:tr>
      <w:tr w:rsidR="00425AB9" w:rsidRPr="009119C0" w:rsidTr="001A33B5">
        <w:tc>
          <w:tcPr>
            <w:tcW w:w="988"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23.</w:t>
            </w:r>
          </w:p>
        </w:tc>
        <w:tc>
          <w:tcPr>
            <w:tcW w:w="3827" w:type="dxa"/>
            <w:vMerge/>
          </w:tcPr>
          <w:p w:rsidR="00425AB9" w:rsidRPr="009119C0" w:rsidRDefault="00425AB9" w:rsidP="001A33B5">
            <w:pPr>
              <w:rPr>
                <w:rFonts w:ascii="Times New Roman" w:hAnsi="Times New Roman" w:cs="Times New Roman"/>
                <w:sz w:val="24"/>
                <w:szCs w:val="24"/>
              </w:rPr>
            </w:pPr>
          </w:p>
        </w:tc>
        <w:tc>
          <w:tcPr>
            <w:tcW w:w="1701" w:type="dxa"/>
          </w:tcPr>
          <w:p w:rsidR="00425AB9" w:rsidRPr="009119C0" w:rsidRDefault="00425AB9" w:rsidP="001A33B5">
            <w:pPr>
              <w:rPr>
                <w:rFonts w:ascii="Times New Roman" w:hAnsi="Times New Roman" w:cs="Times New Roman"/>
                <w:sz w:val="24"/>
                <w:szCs w:val="24"/>
              </w:rPr>
            </w:pPr>
            <w:r w:rsidRPr="009119C0">
              <w:rPr>
                <w:rFonts w:ascii="Times New Roman" w:hAnsi="Times New Roman" w:cs="Times New Roman"/>
                <w:sz w:val="24"/>
                <w:szCs w:val="24"/>
              </w:rPr>
              <w:t>Heart</w:t>
            </w:r>
          </w:p>
        </w:tc>
        <w:tc>
          <w:tcPr>
            <w:tcW w:w="2551" w:type="dxa"/>
          </w:tcPr>
          <w:p w:rsidR="00425AB9" w:rsidRPr="009119C0" w:rsidRDefault="00425AB9" w:rsidP="001A33B5">
            <w:pPr>
              <w:keepNext/>
              <w:rPr>
                <w:rFonts w:ascii="Times New Roman" w:hAnsi="Times New Roman" w:cs="Times New Roman"/>
                <w:sz w:val="24"/>
                <w:szCs w:val="24"/>
              </w:rPr>
            </w:pPr>
            <w:r w:rsidRPr="009119C0">
              <w:rPr>
                <w:rFonts w:ascii="Times New Roman" w:hAnsi="Times New Roman" w:cs="Times New Roman"/>
                <w:sz w:val="24"/>
                <w:szCs w:val="24"/>
              </w:rPr>
              <w:t>SHH</w:t>
            </w:r>
          </w:p>
        </w:tc>
      </w:tr>
    </w:tbl>
    <w:p w:rsidR="00425AB9" w:rsidRPr="00FE1ECD" w:rsidRDefault="00425AB9" w:rsidP="00FE1ECD">
      <w:pPr>
        <w:spacing w:before="240" w:after="0"/>
        <w:rPr>
          <w:rFonts w:ascii="Times New Roman" w:hAnsi="Times New Roman" w:cs="Times New Roman"/>
          <w:sz w:val="24"/>
          <w:szCs w:val="24"/>
        </w:rPr>
      </w:pPr>
    </w:p>
    <w:p w:rsidR="00FE1ECD" w:rsidRPr="00FE1ECD" w:rsidRDefault="00FE1ECD" w:rsidP="00FE1ECD">
      <w:pPr>
        <w:pStyle w:val="Caption"/>
        <w:keepNext/>
        <w:spacing w:after="0"/>
        <w:rPr>
          <w:rFonts w:ascii="Times New Roman" w:hAnsi="Times New Roman" w:cs="Times New Roman"/>
          <w:i w:val="0"/>
          <w:color w:val="000000" w:themeColor="text1"/>
          <w:sz w:val="24"/>
          <w:szCs w:val="24"/>
        </w:rPr>
      </w:pPr>
      <w:r w:rsidRPr="00FE1ECD">
        <w:rPr>
          <w:rFonts w:ascii="Times New Roman" w:hAnsi="Times New Roman" w:cs="Times New Roman"/>
          <w:i w:val="0"/>
          <w:color w:val="000000" w:themeColor="text1"/>
          <w:sz w:val="24"/>
          <w:szCs w:val="24"/>
        </w:rPr>
        <w:t xml:space="preserve">Table </w:t>
      </w:r>
      <w:r w:rsidRPr="00FE1ECD">
        <w:rPr>
          <w:rFonts w:ascii="Times New Roman" w:hAnsi="Times New Roman" w:cs="Times New Roman"/>
          <w:i w:val="0"/>
          <w:color w:val="000000" w:themeColor="text1"/>
          <w:sz w:val="24"/>
          <w:szCs w:val="24"/>
        </w:rPr>
        <w:fldChar w:fldCharType="begin"/>
      </w:r>
      <w:r w:rsidRPr="00FE1ECD">
        <w:rPr>
          <w:rFonts w:ascii="Times New Roman" w:hAnsi="Times New Roman" w:cs="Times New Roman"/>
          <w:i w:val="0"/>
          <w:color w:val="000000" w:themeColor="text1"/>
          <w:sz w:val="24"/>
          <w:szCs w:val="24"/>
        </w:rPr>
        <w:instrText xml:space="preserve"> SEQ Table \* ARABIC </w:instrText>
      </w:r>
      <w:r w:rsidRPr="00FE1ECD">
        <w:rPr>
          <w:rFonts w:ascii="Times New Roman" w:hAnsi="Times New Roman" w:cs="Times New Roman"/>
          <w:i w:val="0"/>
          <w:color w:val="000000" w:themeColor="text1"/>
          <w:sz w:val="24"/>
          <w:szCs w:val="24"/>
        </w:rPr>
        <w:fldChar w:fldCharType="separate"/>
      </w:r>
      <w:r w:rsidRPr="00FE1ECD">
        <w:rPr>
          <w:rFonts w:ascii="Times New Roman" w:hAnsi="Times New Roman" w:cs="Times New Roman"/>
          <w:i w:val="0"/>
          <w:noProof/>
          <w:color w:val="000000" w:themeColor="text1"/>
          <w:sz w:val="24"/>
          <w:szCs w:val="24"/>
        </w:rPr>
        <w:t>3</w:t>
      </w:r>
      <w:r w:rsidRPr="00FE1ECD">
        <w:rPr>
          <w:rFonts w:ascii="Times New Roman" w:hAnsi="Times New Roman" w:cs="Times New Roman"/>
          <w:i w:val="0"/>
          <w:color w:val="000000" w:themeColor="text1"/>
          <w:sz w:val="24"/>
          <w:szCs w:val="24"/>
        </w:rPr>
        <w:fldChar w:fldCharType="end"/>
      </w:r>
      <w:r w:rsidRPr="00FE1ECD">
        <w:rPr>
          <w:rFonts w:ascii="Times New Roman" w:hAnsi="Times New Roman" w:cs="Times New Roman"/>
          <w:i w:val="0"/>
          <w:color w:val="000000" w:themeColor="text1"/>
          <w:sz w:val="24"/>
          <w:szCs w:val="24"/>
        </w:rPr>
        <w:t xml:space="preserve"> List of Fish cell lines reposited at National Repository of Fish Cell line at NBFGR, ICAR-National Bureau of Fish Genetic Resources, Lucknow</w:t>
      </w:r>
    </w:p>
    <w:tbl>
      <w:tblPr>
        <w:tblStyle w:val="TableGrid"/>
        <w:tblW w:w="0" w:type="auto"/>
        <w:tblLook w:val="04A0" w:firstRow="1" w:lastRow="0" w:firstColumn="1" w:lastColumn="0" w:noHBand="0" w:noVBand="1"/>
      </w:tblPr>
      <w:tblGrid>
        <w:gridCol w:w="864"/>
        <w:gridCol w:w="2959"/>
        <w:gridCol w:w="2551"/>
        <w:gridCol w:w="1276"/>
        <w:gridCol w:w="1366"/>
      </w:tblGrid>
      <w:tr w:rsidR="00425AB9" w:rsidRPr="00781D00" w:rsidTr="001A33B5">
        <w:trPr>
          <w:trHeight w:val="884"/>
        </w:trPr>
        <w:tc>
          <w:tcPr>
            <w:tcW w:w="864" w:type="dxa"/>
          </w:tcPr>
          <w:p w:rsidR="00425AB9" w:rsidRPr="00781D00" w:rsidRDefault="00425AB9" w:rsidP="00FE1ECD">
            <w:pPr>
              <w:rPr>
                <w:rFonts w:ascii="Times New Roman" w:hAnsi="Times New Roman" w:cs="Times New Roman"/>
                <w:sz w:val="24"/>
                <w:szCs w:val="24"/>
              </w:rPr>
            </w:pPr>
            <w:r w:rsidRPr="00781D00">
              <w:rPr>
                <w:rFonts w:ascii="Times New Roman" w:hAnsi="Times New Roman" w:cs="Times New Roman"/>
                <w:sz w:val="24"/>
                <w:szCs w:val="24"/>
              </w:rPr>
              <w:t>Sr. No</w:t>
            </w:r>
          </w:p>
        </w:tc>
        <w:tc>
          <w:tcPr>
            <w:tcW w:w="2959" w:type="dxa"/>
          </w:tcPr>
          <w:p w:rsidR="00425AB9" w:rsidRPr="00781D00" w:rsidRDefault="00425AB9" w:rsidP="00FE1ECD">
            <w:pPr>
              <w:rPr>
                <w:rFonts w:ascii="Times New Roman" w:hAnsi="Times New Roman" w:cs="Times New Roman"/>
                <w:sz w:val="24"/>
                <w:szCs w:val="24"/>
              </w:rPr>
            </w:pPr>
            <w:r w:rsidRPr="00781D00">
              <w:rPr>
                <w:rFonts w:ascii="Times New Roman" w:hAnsi="Times New Roman" w:cs="Times New Roman"/>
                <w:sz w:val="24"/>
                <w:szCs w:val="24"/>
              </w:rPr>
              <w:t>Name of the Fish</w:t>
            </w:r>
          </w:p>
        </w:tc>
        <w:tc>
          <w:tcPr>
            <w:tcW w:w="2551" w:type="dxa"/>
          </w:tcPr>
          <w:p w:rsidR="00425AB9" w:rsidRPr="00781D00" w:rsidRDefault="00425AB9" w:rsidP="00FE1ECD">
            <w:pPr>
              <w:rPr>
                <w:rFonts w:ascii="Times New Roman" w:hAnsi="Times New Roman" w:cs="Times New Roman"/>
                <w:sz w:val="24"/>
                <w:szCs w:val="24"/>
              </w:rPr>
            </w:pPr>
            <w:r w:rsidRPr="00781D00">
              <w:rPr>
                <w:rFonts w:ascii="Times New Roman" w:hAnsi="Times New Roman" w:cs="Times New Roman"/>
                <w:sz w:val="24"/>
                <w:szCs w:val="24"/>
              </w:rPr>
              <w:t>Organs used</w:t>
            </w:r>
          </w:p>
        </w:tc>
        <w:tc>
          <w:tcPr>
            <w:tcW w:w="1276" w:type="dxa"/>
          </w:tcPr>
          <w:p w:rsidR="00425AB9" w:rsidRPr="00781D00" w:rsidRDefault="00425AB9" w:rsidP="00FE1ECD">
            <w:pPr>
              <w:rPr>
                <w:rFonts w:ascii="Times New Roman" w:hAnsi="Times New Roman" w:cs="Times New Roman"/>
                <w:sz w:val="24"/>
                <w:szCs w:val="24"/>
              </w:rPr>
            </w:pPr>
            <w:r w:rsidRPr="00781D00">
              <w:rPr>
                <w:rFonts w:ascii="Times New Roman" w:hAnsi="Times New Roman" w:cs="Times New Roman"/>
                <w:sz w:val="24"/>
                <w:szCs w:val="24"/>
              </w:rPr>
              <w:t>Name of the cell line</w:t>
            </w:r>
          </w:p>
        </w:tc>
        <w:tc>
          <w:tcPr>
            <w:tcW w:w="1366" w:type="dxa"/>
          </w:tcPr>
          <w:p w:rsidR="00425AB9" w:rsidRPr="00781D00" w:rsidRDefault="00425AB9" w:rsidP="00FE1ECD">
            <w:pPr>
              <w:rPr>
                <w:rFonts w:ascii="Times New Roman" w:hAnsi="Times New Roman" w:cs="Times New Roman"/>
                <w:sz w:val="24"/>
                <w:szCs w:val="24"/>
              </w:rPr>
            </w:pPr>
            <w:r w:rsidRPr="00781D00">
              <w:rPr>
                <w:rFonts w:ascii="Times New Roman" w:hAnsi="Times New Roman" w:cs="Times New Roman"/>
                <w:sz w:val="24"/>
                <w:szCs w:val="24"/>
              </w:rPr>
              <w:t>NRFC Accession</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hAnsi="Times New Roman" w:cs="Times New Roman"/>
                <w:sz w:val="24"/>
                <w:szCs w:val="24"/>
              </w:rPr>
            </w:pPr>
          </w:p>
        </w:tc>
        <w:tc>
          <w:tcPr>
            <w:tcW w:w="2959" w:type="dxa"/>
            <w:vMerge w:val="restart"/>
            <w:hideMark/>
          </w:tcPr>
          <w:p w:rsidR="00425AB9" w:rsidRPr="00781D00" w:rsidRDefault="00425AB9" w:rsidP="001A33B5">
            <w:pPr>
              <w:rPr>
                <w:rFonts w:ascii="Times New Roman" w:eastAsia="Times New Roman" w:hAnsi="Times New Roman" w:cs="Times New Roman"/>
                <w:color w:val="000000"/>
                <w:sz w:val="24"/>
                <w:szCs w:val="24"/>
                <w:lang w:eastAsia="en-IN"/>
              </w:rPr>
            </w:pPr>
            <w:proofErr w:type="spellStart"/>
            <w:r w:rsidRPr="00781D00">
              <w:rPr>
                <w:rFonts w:ascii="Times New Roman" w:eastAsia="Times New Roman" w:hAnsi="Times New Roman" w:cs="Times New Roman"/>
                <w:i/>
                <w:iCs/>
                <w:color w:val="000000"/>
                <w:sz w:val="24"/>
                <w:szCs w:val="24"/>
                <w:lang w:eastAsia="en-IN"/>
              </w:rPr>
              <w:t>Amphiprion</w:t>
            </w:r>
            <w:proofErr w:type="spellEnd"/>
            <w:r w:rsidRPr="00781D00">
              <w:rPr>
                <w:rFonts w:ascii="Times New Roman" w:eastAsia="Times New Roman" w:hAnsi="Times New Roman" w:cs="Times New Roman"/>
                <w:i/>
                <w:iCs/>
                <w:color w:val="000000"/>
                <w:sz w:val="24"/>
                <w:szCs w:val="24"/>
                <w:lang w:eastAsia="en-IN"/>
              </w:rPr>
              <w:t xml:space="preserve"> </w:t>
            </w:r>
            <w:proofErr w:type="spellStart"/>
            <w:r w:rsidRPr="00781D00">
              <w:rPr>
                <w:rFonts w:ascii="Times New Roman" w:eastAsia="Times New Roman" w:hAnsi="Times New Roman" w:cs="Times New Roman"/>
                <w:i/>
                <w:iCs/>
                <w:color w:val="000000"/>
                <w:sz w:val="24"/>
                <w:szCs w:val="24"/>
                <w:lang w:eastAsia="en-IN"/>
              </w:rPr>
              <w:t>sebae</w:t>
            </w:r>
            <w:proofErr w:type="spellEnd"/>
          </w:p>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Dorsal Fin</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NRFC010</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CFFN2</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hAnsi="Times New Roman" w:cs="Times New Roman"/>
                <w:sz w:val="24"/>
                <w:szCs w:val="24"/>
              </w:rPr>
            </w:pPr>
          </w:p>
        </w:tc>
        <w:tc>
          <w:tcPr>
            <w:tcW w:w="2959" w:type="dxa"/>
            <w:vMerge/>
            <w:hideMark/>
          </w:tcPr>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Caudal Peduncle</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NRFC013</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CFCP1</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hAnsi="Times New Roman" w:cs="Times New Roman"/>
                <w:sz w:val="24"/>
                <w:szCs w:val="24"/>
              </w:rPr>
            </w:pPr>
          </w:p>
        </w:tc>
        <w:tc>
          <w:tcPr>
            <w:tcW w:w="2959" w:type="dxa"/>
            <w:hideMark/>
          </w:tcPr>
          <w:p w:rsidR="00425AB9" w:rsidRPr="009C67E7" w:rsidRDefault="00425AB9" w:rsidP="001A33B5">
            <w:pPr>
              <w:rPr>
                <w:rFonts w:ascii="Times New Roman" w:eastAsia="Times New Roman" w:hAnsi="Times New Roman" w:cs="Times New Roman"/>
                <w:color w:val="000000"/>
                <w:sz w:val="24"/>
                <w:szCs w:val="24"/>
                <w:lang w:eastAsia="en-IN"/>
              </w:rPr>
            </w:pPr>
            <w:proofErr w:type="spellStart"/>
            <w:r w:rsidRPr="009C67E7">
              <w:rPr>
                <w:rFonts w:ascii="Times New Roman" w:eastAsia="Times New Roman" w:hAnsi="Times New Roman" w:cs="Times New Roman"/>
                <w:i/>
                <w:iCs/>
                <w:color w:val="000000"/>
                <w:sz w:val="24"/>
                <w:szCs w:val="24"/>
                <w:lang w:eastAsia="en-IN"/>
              </w:rPr>
              <w:t>Barilius</w:t>
            </w:r>
            <w:proofErr w:type="spellEnd"/>
            <w:r w:rsidRPr="009C67E7">
              <w:rPr>
                <w:rFonts w:ascii="Times New Roman" w:eastAsia="Times New Roman" w:hAnsi="Times New Roman" w:cs="Times New Roman"/>
                <w:i/>
                <w:iCs/>
                <w:color w:val="000000"/>
                <w:sz w:val="24"/>
                <w:szCs w:val="24"/>
                <w:lang w:eastAsia="en-IN"/>
              </w:rPr>
              <w:t xml:space="preserve"> </w:t>
            </w:r>
            <w:proofErr w:type="spellStart"/>
            <w:r w:rsidRPr="009C67E7">
              <w:rPr>
                <w:rFonts w:ascii="Times New Roman" w:eastAsia="Times New Roman" w:hAnsi="Times New Roman" w:cs="Times New Roman"/>
                <w:i/>
                <w:iCs/>
                <w:color w:val="000000"/>
                <w:sz w:val="24"/>
                <w:szCs w:val="24"/>
                <w:lang w:eastAsia="en-IN"/>
              </w:rPr>
              <w:t>bendelisis</w:t>
            </w:r>
            <w:proofErr w:type="spellEnd"/>
          </w:p>
        </w:tc>
        <w:tc>
          <w:tcPr>
            <w:tcW w:w="2551" w:type="dxa"/>
            <w:hideMark/>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Fin</w:t>
            </w:r>
          </w:p>
        </w:tc>
        <w:tc>
          <w:tcPr>
            <w:tcW w:w="127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NRFC061</w:t>
            </w:r>
          </w:p>
        </w:tc>
        <w:tc>
          <w:tcPr>
            <w:tcW w:w="136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BBdF-1</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hAnsi="Times New Roman" w:cs="Times New Roman"/>
                <w:sz w:val="24"/>
                <w:szCs w:val="24"/>
              </w:rPr>
            </w:pPr>
          </w:p>
        </w:tc>
        <w:tc>
          <w:tcPr>
            <w:tcW w:w="2959" w:type="dxa"/>
            <w:hideMark/>
          </w:tcPr>
          <w:p w:rsidR="00425AB9" w:rsidRPr="009C67E7" w:rsidRDefault="00425AB9" w:rsidP="001A33B5">
            <w:pPr>
              <w:rPr>
                <w:rFonts w:ascii="Times New Roman" w:eastAsia="Times New Roman" w:hAnsi="Times New Roman" w:cs="Times New Roman"/>
                <w:color w:val="000000"/>
                <w:sz w:val="24"/>
                <w:szCs w:val="24"/>
                <w:lang w:eastAsia="en-IN"/>
              </w:rPr>
            </w:pPr>
            <w:proofErr w:type="spellStart"/>
            <w:r w:rsidRPr="009C67E7">
              <w:rPr>
                <w:rFonts w:ascii="Times New Roman" w:eastAsia="Times New Roman" w:hAnsi="Times New Roman" w:cs="Times New Roman"/>
                <w:i/>
                <w:iCs/>
                <w:color w:val="000000"/>
                <w:sz w:val="24"/>
                <w:szCs w:val="24"/>
                <w:lang w:eastAsia="en-IN"/>
              </w:rPr>
              <w:t>Carassius</w:t>
            </w:r>
            <w:proofErr w:type="spellEnd"/>
            <w:r w:rsidRPr="009C67E7">
              <w:rPr>
                <w:rFonts w:ascii="Times New Roman" w:eastAsia="Times New Roman" w:hAnsi="Times New Roman" w:cs="Times New Roman"/>
                <w:i/>
                <w:iCs/>
                <w:color w:val="000000"/>
                <w:sz w:val="24"/>
                <w:szCs w:val="24"/>
                <w:lang w:eastAsia="en-IN"/>
              </w:rPr>
              <w:t xml:space="preserve"> </w:t>
            </w:r>
            <w:proofErr w:type="spellStart"/>
            <w:r w:rsidRPr="009C67E7">
              <w:rPr>
                <w:rFonts w:ascii="Times New Roman" w:eastAsia="Times New Roman" w:hAnsi="Times New Roman" w:cs="Times New Roman"/>
                <w:i/>
                <w:iCs/>
                <w:color w:val="000000"/>
                <w:sz w:val="24"/>
                <w:szCs w:val="24"/>
                <w:lang w:eastAsia="en-IN"/>
              </w:rPr>
              <w:t>auratus</w:t>
            </w:r>
            <w:proofErr w:type="spellEnd"/>
          </w:p>
        </w:tc>
        <w:tc>
          <w:tcPr>
            <w:tcW w:w="2551" w:type="dxa"/>
            <w:hideMark/>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Caudal fin</w:t>
            </w:r>
          </w:p>
        </w:tc>
        <w:tc>
          <w:tcPr>
            <w:tcW w:w="127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NRFC058</w:t>
            </w:r>
          </w:p>
        </w:tc>
        <w:tc>
          <w:tcPr>
            <w:tcW w:w="1366" w:type="dxa"/>
          </w:tcPr>
          <w:p w:rsidR="00425AB9" w:rsidRPr="009C67E7" w:rsidRDefault="00425AB9" w:rsidP="001A33B5">
            <w:pPr>
              <w:rPr>
                <w:rFonts w:ascii="Times New Roman" w:eastAsia="Times New Roman" w:hAnsi="Times New Roman" w:cs="Times New Roman"/>
                <w:color w:val="000000"/>
                <w:sz w:val="24"/>
                <w:szCs w:val="24"/>
                <w:lang w:eastAsia="en-IN"/>
              </w:rPr>
            </w:pPr>
            <w:proofErr w:type="spellStart"/>
            <w:r w:rsidRPr="009C67E7">
              <w:rPr>
                <w:rFonts w:ascii="Times New Roman" w:eastAsia="Times New Roman" w:hAnsi="Times New Roman" w:cs="Times New Roman"/>
                <w:color w:val="000000"/>
                <w:sz w:val="24"/>
                <w:szCs w:val="24"/>
                <w:lang w:eastAsia="en-IN"/>
              </w:rPr>
              <w:t>FtGF</w:t>
            </w:r>
            <w:proofErr w:type="spellEnd"/>
          </w:p>
        </w:tc>
      </w:tr>
      <w:tr w:rsidR="00425AB9" w:rsidRPr="00781D00" w:rsidTr="001A33B5">
        <w:tc>
          <w:tcPr>
            <w:tcW w:w="864" w:type="dxa"/>
          </w:tcPr>
          <w:p w:rsidR="00425AB9" w:rsidRPr="00781D00" w:rsidRDefault="00425AB9" w:rsidP="00425AB9">
            <w:pPr>
              <w:pStyle w:val="ListParagraph"/>
              <w:numPr>
                <w:ilvl w:val="0"/>
                <w:numId w:val="1"/>
              </w:numPr>
              <w:rPr>
                <w:rFonts w:ascii="Times New Roman" w:hAnsi="Times New Roman" w:cs="Times New Roman"/>
                <w:sz w:val="24"/>
                <w:szCs w:val="24"/>
              </w:rPr>
            </w:pPr>
          </w:p>
        </w:tc>
        <w:tc>
          <w:tcPr>
            <w:tcW w:w="2959" w:type="dxa"/>
            <w:vMerge w:val="restart"/>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i/>
                <w:iCs/>
                <w:color w:val="000000"/>
                <w:sz w:val="24"/>
                <w:szCs w:val="24"/>
                <w:lang w:eastAsia="en-IN"/>
              </w:rPr>
              <w:t xml:space="preserve">Catla </w:t>
            </w:r>
            <w:proofErr w:type="spellStart"/>
            <w:r w:rsidRPr="00781D00">
              <w:rPr>
                <w:rFonts w:ascii="Times New Roman" w:eastAsia="Times New Roman" w:hAnsi="Times New Roman" w:cs="Times New Roman"/>
                <w:i/>
                <w:iCs/>
                <w:color w:val="000000"/>
                <w:sz w:val="24"/>
                <w:szCs w:val="24"/>
                <w:lang w:eastAsia="en-IN"/>
              </w:rPr>
              <w:t>catla</w:t>
            </w:r>
            <w:proofErr w:type="spellEnd"/>
          </w:p>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Eye, Muscle</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NRFC018</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SICE</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hAnsi="Times New Roman" w:cs="Times New Roman"/>
                <w:sz w:val="24"/>
                <w:szCs w:val="24"/>
              </w:rPr>
            </w:pPr>
          </w:p>
        </w:tc>
        <w:tc>
          <w:tcPr>
            <w:tcW w:w="2959" w:type="dxa"/>
            <w:vMerge/>
            <w:hideMark/>
          </w:tcPr>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Heart, Muscle</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NRFC019</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SICH</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Brain</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NRFC020</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CB</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Gills</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NRFC021</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ICG</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Thymus(Macrophage)</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NRFC028</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CTM</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Thymus(Epithelial)</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NRFC029</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CTE</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Blood (Lymphocyte)</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NRFC034</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CCM</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781D00" w:rsidRDefault="00425AB9" w:rsidP="001A33B5">
            <w:pPr>
              <w:rPr>
                <w:rFonts w:ascii="Times New Roman" w:eastAsia="Times New Roman" w:hAnsi="Times New Roman" w:cs="Times New Roman"/>
                <w:color w:val="000000"/>
                <w:sz w:val="24"/>
                <w:szCs w:val="24"/>
                <w:lang w:eastAsia="en-IN"/>
              </w:rPr>
            </w:pPr>
            <w:proofErr w:type="spellStart"/>
            <w:r w:rsidRPr="00781D00">
              <w:rPr>
                <w:rFonts w:ascii="Times New Roman" w:eastAsia="Times New Roman" w:hAnsi="Times New Roman" w:cs="Times New Roman"/>
                <w:i/>
                <w:iCs/>
                <w:color w:val="000000"/>
                <w:sz w:val="24"/>
                <w:szCs w:val="24"/>
                <w:lang w:eastAsia="en-IN"/>
              </w:rPr>
              <w:t>Channa</w:t>
            </w:r>
            <w:proofErr w:type="spellEnd"/>
            <w:r w:rsidRPr="00781D00">
              <w:rPr>
                <w:rFonts w:ascii="Times New Roman" w:eastAsia="Times New Roman" w:hAnsi="Times New Roman" w:cs="Times New Roman"/>
                <w:i/>
                <w:iCs/>
                <w:color w:val="000000"/>
                <w:sz w:val="24"/>
                <w:szCs w:val="24"/>
                <w:lang w:eastAsia="en-IN"/>
              </w:rPr>
              <w:t xml:space="preserve"> punctatus</w:t>
            </w: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Gill</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NRFC049</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CPG</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val="restart"/>
            <w:hideMark/>
          </w:tcPr>
          <w:p w:rsidR="00425AB9" w:rsidRPr="00781D00" w:rsidRDefault="00425AB9" w:rsidP="001A33B5">
            <w:pPr>
              <w:rPr>
                <w:rFonts w:ascii="Times New Roman" w:eastAsia="Times New Roman" w:hAnsi="Times New Roman" w:cs="Times New Roman"/>
                <w:color w:val="000000"/>
                <w:sz w:val="24"/>
                <w:szCs w:val="24"/>
                <w:lang w:eastAsia="en-IN"/>
              </w:rPr>
            </w:pPr>
            <w:proofErr w:type="spellStart"/>
            <w:r w:rsidRPr="00781D00">
              <w:rPr>
                <w:rFonts w:ascii="Times New Roman" w:eastAsia="Times New Roman" w:hAnsi="Times New Roman" w:cs="Times New Roman"/>
                <w:i/>
                <w:iCs/>
                <w:color w:val="000000"/>
                <w:sz w:val="24"/>
                <w:szCs w:val="24"/>
                <w:lang w:eastAsia="en-IN"/>
              </w:rPr>
              <w:t>Channa</w:t>
            </w:r>
            <w:proofErr w:type="spellEnd"/>
            <w:r w:rsidRPr="00781D00">
              <w:rPr>
                <w:rFonts w:ascii="Times New Roman" w:eastAsia="Times New Roman" w:hAnsi="Times New Roman" w:cs="Times New Roman"/>
                <w:i/>
                <w:iCs/>
                <w:color w:val="000000"/>
                <w:sz w:val="24"/>
                <w:szCs w:val="24"/>
                <w:lang w:eastAsia="en-IN"/>
              </w:rPr>
              <w:t xml:space="preserve"> </w:t>
            </w:r>
            <w:proofErr w:type="spellStart"/>
            <w:r w:rsidRPr="00781D00">
              <w:rPr>
                <w:rFonts w:ascii="Times New Roman" w:eastAsia="Times New Roman" w:hAnsi="Times New Roman" w:cs="Times New Roman"/>
                <w:i/>
                <w:iCs/>
                <w:color w:val="000000"/>
                <w:sz w:val="24"/>
                <w:szCs w:val="24"/>
                <w:lang w:eastAsia="en-IN"/>
              </w:rPr>
              <w:t>striatus</w:t>
            </w:r>
            <w:proofErr w:type="spellEnd"/>
          </w:p>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Kidney</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NRFC045</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CSK</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Gill</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NRFC046</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CSG</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9C67E7"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Thymus macrophage</w:t>
            </w:r>
          </w:p>
        </w:tc>
        <w:tc>
          <w:tcPr>
            <w:tcW w:w="127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NRFC055</w:t>
            </w:r>
          </w:p>
        </w:tc>
        <w:tc>
          <w:tcPr>
            <w:tcW w:w="136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OST</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9C67E7" w:rsidRDefault="00425AB9" w:rsidP="001A33B5">
            <w:pPr>
              <w:rPr>
                <w:rFonts w:ascii="Times New Roman" w:eastAsia="Times New Roman" w:hAnsi="Times New Roman" w:cs="Times New Roman"/>
                <w:color w:val="000000"/>
                <w:sz w:val="24"/>
                <w:szCs w:val="24"/>
                <w:lang w:eastAsia="en-IN"/>
              </w:rPr>
            </w:pPr>
            <w:proofErr w:type="spellStart"/>
            <w:r w:rsidRPr="009C67E7">
              <w:rPr>
                <w:rFonts w:ascii="Times New Roman" w:eastAsia="Times New Roman" w:hAnsi="Times New Roman" w:cs="Times New Roman"/>
                <w:i/>
                <w:iCs/>
                <w:color w:val="000000"/>
                <w:sz w:val="24"/>
                <w:szCs w:val="24"/>
                <w:lang w:eastAsia="en-IN"/>
              </w:rPr>
              <w:t>Cirrhinus</w:t>
            </w:r>
            <w:proofErr w:type="spellEnd"/>
            <w:r w:rsidRPr="009C67E7">
              <w:rPr>
                <w:rFonts w:ascii="Times New Roman" w:eastAsia="Times New Roman" w:hAnsi="Times New Roman" w:cs="Times New Roman"/>
                <w:i/>
                <w:iCs/>
                <w:color w:val="000000"/>
                <w:sz w:val="24"/>
                <w:szCs w:val="24"/>
                <w:lang w:eastAsia="en-IN"/>
              </w:rPr>
              <w:t xml:space="preserve"> </w:t>
            </w:r>
            <w:proofErr w:type="spellStart"/>
            <w:r w:rsidRPr="009C67E7">
              <w:rPr>
                <w:rFonts w:ascii="Times New Roman" w:eastAsia="Times New Roman" w:hAnsi="Times New Roman" w:cs="Times New Roman"/>
                <w:i/>
                <w:iCs/>
                <w:color w:val="000000"/>
                <w:sz w:val="24"/>
                <w:szCs w:val="24"/>
                <w:lang w:eastAsia="en-IN"/>
              </w:rPr>
              <w:t>mrigala</w:t>
            </w:r>
            <w:proofErr w:type="spellEnd"/>
          </w:p>
        </w:tc>
        <w:tc>
          <w:tcPr>
            <w:tcW w:w="2551" w:type="dxa"/>
            <w:hideMark/>
          </w:tcPr>
          <w:p w:rsidR="00425AB9" w:rsidRPr="009C67E7" w:rsidRDefault="00425AB9" w:rsidP="001A33B5">
            <w:pPr>
              <w:rPr>
                <w:rFonts w:ascii="Times New Roman" w:eastAsia="Times New Roman" w:hAnsi="Times New Roman" w:cs="Times New Roman"/>
                <w:color w:val="000000"/>
                <w:sz w:val="24"/>
                <w:szCs w:val="24"/>
                <w:lang w:eastAsia="en-IN"/>
              </w:rPr>
            </w:pPr>
            <w:proofErr w:type="spellStart"/>
            <w:r w:rsidRPr="009C67E7">
              <w:rPr>
                <w:rFonts w:ascii="Times New Roman" w:eastAsia="Times New Roman" w:hAnsi="Times New Roman" w:cs="Times New Roman"/>
                <w:color w:val="000000"/>
                <w:sz w:val="24"/>
                <w:szCs w:val="24"/>
                <w:lang w:eastAsia="en-IN"/>
              </w:rPr>
              <w:t>Peritonal</w:t>
            </w:r>
            <w:proofErr w:type="spellEnd"/>
          </w:p>
        </w:tc>
        <w:tc>
          <w:tcPr>
            <w:tcW w:w="127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NRFC056</w:t>
            </w:r>
          </w:p>
        </w:tc>
        <w:tc>
          <w:tcPr>
            <w:tcW w:w="136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CMP</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9C67E7" w:rsidRDefault="00425AB9" w:rsidP="001A33B5">
            <w:pPr>
              <w:rPr>
                <w:rFonts w:ascii="Times New Roman" w:eastAsia="Times New Roman" w:hAnsi="Times New Roman" w:cs="Times New Roman"/>
                <w:color w:val="000000"/>
                <w:sz w:val="24"/>
                <w:szCs w:val="24"/>
                <w:lang w:eastAsia="en-IN"/>
              </w:rPr>
            </w:pPr>
            <w:proofErr w:type="spellStart"/>
            <w:r w:rsidRPr="009C67E7">
              <w:rPr>
                <w:rFonts w:ascii="Times New Roman" w:eastAsia="Times New Roman" w:hAnsi="Times New Roman" w:cs="Times New Roman"/>
                <w:i/>
                <w:iCs/>
                <w:color w:val="000000"/>
                <w:sz w:val="24"/>
                <w:szCs w:val="24"/>
                <w:lang w:eastAsia="en-IN"/>
              </w:rPr>
              <w:t>Clarias</w:t>
            </w:r>
            <w:proofErr w:type="spellEnd"/>
            <w:r w:rsidRPr="009C67E7">
              <w:rPr>
                <w:rFonts w:ascii="Times New Roman" w:eastAsia="Times New Roman" w:hAnsi="Times New Roman" w:cs="Times New Roman"/>
                <w:i/>
                <w:iCs/>
                <w:color w:val="000000"/>
                <w:sz w:val="24"/>
                <w:szCs w:val="24"/>
                <w:lang w:eastAsia="en-IN"/>
              </w:rPr>
              <w:t xml:space="preserve"> </w:t>
            </w:r>
            <w:proofErr w:type="spellStart"/>
            <w:r w:rsidRPr="009C67E7">
              <w:rPr>
                <w:rFonts w:ascii="Times New Roman" w:eastAsia="Times New Roman" w:hAnsi="Times New Roman" w:cs="Times New Roman"/>
                <w:i/>
                <w:iCs/>
                <w:color w:val="000000"/>
                <w:sz w:val="24"/>
                <w:szCs w:val="24"/>
                <w:lang w:eastAsia="en-IN"/>
              </w:rPr>
              <w:t>dussumieri</w:t>
            </w:r>
            <w:proofErr w:type="spellEnd"/>
          </w:p>
        </w:tc>
        <w:tc>
          <w:tcPr>
            <w:tcW w:w="2551" w:type="dxa"/>
            <w:hideMark/>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Fin</w:t>
            </w:r>
          </w:p>
        </w:tc>
        <w:tc>
          <w:tcPr>
            <w:tcW w:w="127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NRFC059</w:t>
            </w:r>
          </w:p>
        </w:tc>
        <w:tc>
          <w:tcPr>
            <w:tcW w:w="1366" w:type="dxa"/>
          </w:tcPr>
          <w:p w:rsidR="00425AB9" w:rsidRPr="009C67E7" w:rsidRDefault="00425AB9" w:rsidP="001A33B5">
            <w:pPr>
              <w:rPr>
                <w:rFonts w:ascii="Times New Roman" w:eastAsia="Times New Roman" w:hAnsi="Times New Roman" w:cs="Times New Roman"/>
                <w:color w:val="000000"/>
                <w:sz w:val="24"/>
                <w:szCs w:val="24"/>
                <w:lang w:eastAsia="en-IN"/>
              </w:rPr>
            </w:pPr>
            <w:proofErr w:type="spellStart"/>
            <w:r w:rsidRPr="009C67E7">
              <w:rPr>
                <w:rFonts w:ascii="Times New Roman" w:eastAsia="Times New Roman" w:hAnsi="Times New Roman" w:cs="Times New Roman"/>
                <w:color w:val="000000"/>
                <w:sz w:val="24"/>
                <w:szCs w:val="24"/>
                <w:lang w:eastAsia="en-IN"/>
              </w:rPr>
              <w:t>CIDu</w:t>
            </w:r>
            <w:proofErr w:type="spellEnd"/>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val="restart"/>
            <w:hideMark/>
          </w:tcPr>
          <w:p w:rsidR="00425AB9" w:rsidRPr="00781D00" w:rsidRDefault="00425AB9" w:rsidP="001A33B5">
            <w:pPr>
              <w:rPr>
                <w:rFonts w:ascii="Times New Roman" w:eastAsia="Times New Roman" w:hAnsi="Times New Roman" w:cs="Times New Roman"/>
                <w:color w:val="000000"/>
                <w:sz w:val="24"/>
                <w:szCs w:val="24"/>
                <w:lang w:eastAsia="en-IN"/>
              </w:rPr>
            </w:pPr>
            <w:proofErr w:type="spellStart"/>
            <w:r w:rsidRPr="009C67E7">
              <w:rPr>
                <w:rFonts w:ascii="Times New Roman" w:eastAsia="Times New Roman" w:hAnsi="Times New Roman" w:cs="Times New Roman"/>
                <w:i/>
                <w:iCs/>
                <w:color w:val="000000"/>
                <w:sz w:val="24"/>
                <w:szCs w:val="24"/>
                <w:lang w:eastAsia="en-IN"/>
              </w:rPr>
              <w:t>Clarias</w:t>
            </w:r>
            <w:proofErr w:type="spellEnd"/>
            <w:r w:rsidRPr="009C67E7">
              <w:rPr>
                <w:rFonts w:ascii="Times New Roman" w:eastAsia="Times New Roman" w:hAnsi="Times New Roman" w:cs="Times New Roman"/>
                <w:i/>
                <w:iCs/>
                <w:color w:val="000000"/>
                <w:sz w:val="24"/>
                <w:szCs w:val="24"/>
                <w:lang w:eastAsia="en-IN"/>
              </w:rPr>
              <w:t xml:space="preserve"> </w:t>
            </w:r>
            <w:proofErr w:type="spellStart"/>
            <w:r w:rsidRPr="009C67E7">
              <w:rPr>
                <w:rFonts w:ascii="Times New Roman" w:eastAsia="Times New Roman" w:hAnsi="Times New Roman" w:cs="Times New Roman"/>
                <w:i/>
                <w:iCs/>
                <w:color w:val="000000"/>
                <w:sz w:val="24"/>
                <w:szCs w:val="24"/>
                <w:lang w:eastAsia="en-IN"/>
              </w:rPr>
              <w:t>magur</w:t>
            </w:r>
            <w:proofErr w:type="spellEnd"/>
          </w:p>
          <w:p w:rsidR="00425AB9" w:rsidRPr="009C67E7"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Testes</w:t>
            </w:r>
          </w:p>
        </w:tc>
        <w:tc>
          <w:tcPr>
            <w:tcW w:w="127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NRFC062</w:t>
            </w:r>
          </w:p>
        </w:tc>
        <w:tc>
          <w:tcPr>
            <w:tcW w:w="136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CMgT-1</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9C67E7"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Muscle</w:t>
            </w:r>
          </w:p>
        </w:tc>
        <w:tc>
          <w:tcPr>
            <w:tcW w:w="127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NRFC066</w:t>
            </w:r>
          </w:p>
        </w:tc>
        <w:tc>
          <w:tcPr>
            <w:tcW w:w="136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CMgM-1</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9C67E7"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1A33B5">
            <w:pPr>
              <w:rPr>
                <w:rFonts w:ascii="Times New Roman" w:eastAsia="Times New Roman" w:hAnsi="Times New Roman" w:cs="Times New Roman"/>
                <w:color w:val="000000"/>
                <w:sz w:val="24"/>
                <w:szCs w:val="24"/>
                <w:lang w:eastAsia="en-IN"/>
              </w:rPr>
            </w:pPr>
            <w:proofErr w:type="spellStart"/>
            <w:r w:rsidRPr="009C67E7">
              <w:rPr>
                <w:rFonts w:ascii="Times New Roman" w:eastAsia="Times New Roman" w:hAnsi="Times New Roman" w:cs="Times New Roman"/>
                <w:color w:val="000000"/>
                <w:sz w:val="24"/>
                <w:szCs w:val="24"/>
                <w:lang w:eastAsia="en-IN"/>
              </w:rPr>
              <w:t>Barbel</w:t>
            </w:r>
            <w:proofErr w:type="spellEnd"/>
          </w:p>
        </w:tc>
        <w:tc>
          <w:tcPr>
            <w:tcW w:w="127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NRFC067</w:t>
            </w:r>
          </w:p>
        </w:tc>
        <w:tc>
          <w:tcPr>
            <w:tcW w:w="136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CMgB-1</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Fin</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NRFC022</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ICF</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val="restart"/>
            <w:hideMark/>
          </w:tcPr>
          <w:p w:rsidR="00425AB9" w:rsidRPr="00781D00" w:rsidRDefault="00425AB9" w:rsidP="001A33B5">
            <w:pPr>
              <w:rPr>
                <w:rFonts w:ascii="Times New Roman" w:eastAsia="Times New Roman" w:hAnsi="Times New Roman" w:cs="Times New Roman"/>
                <w:color w:val="000000"/>
                <w:sz w:val="24"/>
                <w:szCs w:val="24"/>
                <w:lang w:eastAsia="en-IN"/>
              </w:rPr>
            </w:pPr>
            <w:proofErr w:type="spellStart"/>
            <w:r w:rsidRPr="00781D00">
              <w:rPr>
                <w:rFonts w:ascii="Times New Roman" w:eastAsia="Times New Roman" w:hAnsi="Times New Roman" w:cs="Times New Roman"/>
                <w:i/>
                <w:iCs/>
                <w:color w:val="000000"/>
                <w:sz w:val="24"/>
                <w:szCs w:val="24"/>
                <w:lang w:eastAsia="en-IN"/>
              </w:rPr>
              <w:t>Cyprinus</w:t>
            </w:r>
            <w:proofErr w:type="spellEnd"/>
            <w:r w:rsidRPr="00781D00">
              <w:rPr>
                <w:rFonts w:ascii="Times New Roman" w:eastAsia="Times New Roman" w:hAnsi="Times New Roman" w:cs="Times New Roman"/>
                <w:i/>
                <w:iCs/>
                <w:color w:val="000000"/>
                <w:sz w:val="24"/>
                <w:szCs w:val="24"/>
                <w:lang w:eastAsia="en-IN"/>
              </w:rPr>
              <w:t xml:space="preserve"> </w:t>
            </w:r>
            <w:proofErr w:type="spellStart"/>
            <w:r w:rsidRPr="00781D00">
              <w:rPr>
                <w:rFonts w:ascii="Times New Roman" w:eastAsia="Times New Roman" w:hAnsi="Times New Roman" w:cs="Times New Roman"/>
                <w:i/>
                <w:iCs/>
                <w:color w:val="000000"/>
                <w:sz w:val="24"/>
                <w:szCs w:val="24"/>
                <w:lang w:eastAsia="en-IN"/>
              </w:rPr>
              <w:t>carpio</w:t>
            </w:r>
            <w:proofErr w:type="spellEnd"/>
          </w:p>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Fin</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NRFC004</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CCF</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9C67E7"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Gill</w:t>
            </w:r>
          </w:p>
        </w:tc>
        <w:tc>
          <w:tcPr>
            <w:tcW w:w="127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NRFC064</w:t>
            </w:r>
          </w:p>
        </w:tc>
        <w:tc>
          <w:tcPr>
            <w:tcW w:w="1366" w:type="dxa"/>
          </w:tcPr>
          <w:p w:rsidR="00425AB9" w:rsidRPr="009C67E7" w:rsidRDefault="00425AB9" w:rsidP="001A33B5">
            <w:pPr>
              <w:rPr>
                <w:rFonts w:ascii="Times New Roman" w:eastAsia="Times New Roman" w:hAnsi="Times New Roman" w:cs="Times New Roman"/>
                <w:color w:val="000000"/>
                <w:sz w:val="24"/>
                <w:szCs w:val="24"/>
                <w:lang w:eastAsia="en-IN"/>
              </w:rPr>
            </w:pPr>
            <w:proofErr w:type="spellStart"/>
            <w:r w:rsidRPr="009C67E7">
              <w:rPr>
                <w:rFonts w:ascii="Times New Roman" w:eastAsia="Times New Roman" w:hAnsi="Times New Roman" w:cs="Times New Roman"/>
                <w:color w:val="000000"/>
                <w:sz w:val="24"/>
                <w:szCs w:val="24"/>
                <w:lang w:eastAsia="en-IN"/>
              </w:rPr>
              <w:t>CyCKG</w:t>
            </w:r>
            <w:proofErr w:type="spellEnd"/>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9C67E7" w:rsidRDefault="00425AB9" w:rsidP="001A33B5">
            <w:pPr>
              <w:rPr>
                <w:rFonts w:ascii="Times New Roman" w:eastAsia="Times New Roman" w:hAnsi="Times New Roman" w:cs="Times New Roman"/>
                <w:color w:val="000000"/>
                <w:sz w:val="24"/>
                <w:szCs w:val="24"/>
                <w:lang w:eastAsia="en-IN"/>
              </w:rPr>
            </w:pPr>
            <w:proofErr w:type="spellStart"/>
            <w:r w:rsidRPr="009C67E7">
              <w:rPr>
                <w:rFonts w:ascii="Times New Roman" w:eastAsia="Times New Roman" w:hAnsi="Times New Roman" w:cs="Times New Roman"/>
                <w:i/>
                <w:iCs/>
                <w:color w:val="000000"/>
                <w:sz w:val="24"/>
                <w:szCs w:val="24"/>
                <w:lang w:eastAsia="en-IN"/>
              </w:rPr>
              <w:t>Cyprinus</w:t>
            </w:r>
            <w:proofErr w:type="spellEnd"/>
            <w:r w:rsidRPr="009C67E7">
              <w:rPr>
                <w:rFonts w:ascii="Times New Roman" w:eastAsia="Times New Roman" w:hAnsi="Times New Roman" w:cs="Times New Roman"/>
                <w:i/>
                <w:iCs/>
                <w:color w:val="000000"/>
                <w:sz w:val="24"/>
                <w:szCs w:val="24"/>
                <w:lang w:eastAsia="en-IN"/>
              </w:rPr>
              <w:t xml:space="preserve"> </w:t>
            </w:r>
            <w:proofErr w:type="spellStart"/>
            <w:r w:rsidRPr="009C67E7">
              <w:rPr>
                <w:rFonts w:ascii="Times New Roman" w:eastAsia="Times New Roman" w:hAnsi="Times New Roman" w:cs="Times New Roman"/>
                <w:i/>
                <w:iCs/>
                <w:color w:val="000000"/>
                <w:sz w:val="24"/>
                <w:szCs w:val="24"/>
                <w:lang w:eastAsia="en-IN"/>
              </w:rPr>
              <w:t>carpio</w:t>
            </w:r>
            <w:proofErr w:type="spellEnd"/>
            <w:r w:rsidRPr="009C67E7">
              <w:rPr>
                <w:rFonts w:ascii="Times New Roman" w:eastAsia="Times New Roman" w:hAnsi="Times New Roman" w:cs="Times New Roman"/>
                <w:i/>
                <w:iCs/>
                <w:color w:val="000000"/>
                <w:sz w:val="24"/>
                <w:szCs w:val="24"/>
                <w:lang w:eastAsia="en-IN"/>
              </w:rPr>
              <w:t xml:space="preserve"> koi</w:t>
            </w:r>
          </w:p>
        </w:tc>
        <w:tc>
          <w:tcPr>
            <w:tcW w:w="2551" w:type="dxa"/>
            <w:hideMark/>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Fin</w:t>
            </w:r>
          </w:p>
        </w:tc>
        <w:tc>
          <w:tcPr>
            <w:tcW w:w="127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NRFC007</w:t>
            </w:r>
          </w:p>
        </w:tc>
        <w:tc>
          <w:tcPr>
            <w:tcW w:w="136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CCKF</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val="restart"/>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i/>
                <w:iCs/>
                <w:color w:val="000000"/>
                <w:sz w:val="24"/>
                <w:szCs w:val="24"/>
                <w:lang w:eastAsia="en-IN"/>
              </w:rPr>
              <w:t xml:space="preserve">Danio </w:t>
            </w:r>
            <w:proofErr w:type="spellStart"/>
            <w:r w:rsidRPr="00781D00">
              <w:rPr>
                <w:rFonts w:ascii="Times New Roman" w:eastAsia="Times New Roman" w:hAnsi="Times New Roman" w:cs="Times New Roman"/>
                <w:i/>
                <w:iCs/>
                <w:color w:val="000000"/>
                <w:sz w:val="24"/>
                <w:szCs w:val="24"/>
                <w:lang w:eastAsia="en-IN"/>
              </w:rPr>
              <w:t>rerio</w:t>
            </w:r>
            <w:proofErr w:type="spellEnd"/>
          </w:p>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Gill</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NRFC053</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DRG</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9C67E7"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Retinal</w:t>
            </w:r>
          </w:p>
        </w:tc>
        <w:tc>
          <w:tcPr>
            <w:tcW w:w="127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NRFC054</w:t>
            </w:r>
          </w:p>
        </w:tc>
        <w:tc>
          <w:tcPr>
            <w:tcW w:w="1366" w:type="dxa"/>
          </w:tcPr>
          <w:p w:rsidR="00425AB9" w:rsidRPr="009C67E7" w:rsidRDefault="00425AB9" w:rsidP="001A33B5">
            <w:pPr>
              <w:rPr>
                <w:rFonts w:ascii="Times New Roman" w:eastAsia="Times New Roman" w:hAnsi="Times New Roman" w:cs="Times New Roman"/>
                <w:color w:val="000000"/>
                <w:sz w:val="24"/>
                <w:szCs w:val="24"/>
                <w:lang w:eastAsia="en-IN"/>
              </w:rPr>
            </w:pPr>
            <w:proofErr w:type="spellStart"/>
            <w:r w:rsidRPr="009C67E7">
              <w:rPr>
                <w:rFonts w:ascii="Times New Roman" w:eastAsia="Times New Roman" w:hAnsi="Times New Roman" w:cs="Times New Roman"/>
                <w:color w:val="000000"/>
                <w:sz w:val="24"/>
                <w:szCs w:val="24"/>
                <w:lang w:eastAsia="en-IN"/>
              </w:rPr>
              <w:t>DrRPE</w:t>
            </w:r>
            <w:proofErr w:type="spellEnd"/>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9C67E7"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Muscle</w:t>
            </w:r>
          </w:p>
        </w:tc>
        <w:tc>
          <w:tcPr>
            <w:tcW w:w="127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NRFC069</w:t>
            </w:r>
          </w:p>
        </w:tc>
        <w:tc>
          <w:tcPr>
            <w:tcW w:w="136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ZFiM-1</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9C67E7"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Fin</w:t>
            </w:r>
          </w:p>
        </w:tc>
        <w:tc>
          <w:tcPr>
            <w:tcW w:w="127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NRFC068</w:t>
            </w:r>
          </w:p>
        </w:tc>
        <w:tc>
          <w:tcPr>
            <w:tcW w:w="136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DDaF-1</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val="restart"/>
            <w:hideMark/>
          </w:tcPr>
          <w:p w:rsidR="00425AB9" w:rsidRPr="00781D00" w:rsidRDefault="00425AB9" w:rsidP="001A33B5">
            <w:pPr>
              <w:rPr>
                <w:rFonts w:ascii="Times New Roman" w:eastAsia="Times New Roman" w:hAnsi="Times New Roman" w:cs="Times New Roman"/>
                <w:color w:val="000000"/>
                <w:sz w:val="24"/>
                <w:szCs w:val="24"/>
                <w:lang w:eastAsia="en-IN"/>
              </w:rPr>
            </w:pPr>
            <w:proofErr w:type="spellStart"/>
            <w:r w:rsidRPr="00781D00">
              <w:rPr>
                <w:rFonts w:ascii="Times New Roman" w:eastAsia="Times New Roman" w:hAnsi="Times New Roman" w:cs="Times New Roman"/>
                <w:i/>
                <w:iCs/>
                <w:color w:val="000000"/>
                <w:sz w:val="24"/>
                <w:szCs w:val="24"/>
                <w:lang w:eastAsia="en-IN"/>
              </w:rPr>
              <w:t>Dascyllus</w:t>
            </w:r>
            <w:proofErr w:type="spellEnd"/>
            <w:r w:rsidRPr="00781D00">
              <w:rPr>
                <w:rFonts w:ascii="Times New Roman" w:eastAsia="Times New Roman" w:hAnsi="Times New Roman" w:cs="Times New Roman"/>
                <w:i/>
                <w:iCs/>
                <w:color w:val="000000"/>
                <w:sz w:val="24"/>
                <w:szCs w:val="24"/>
                <w:lang w:eastAsia="en-IN"/>
              </w:rPr>
              <w:t xml:space="preserve"> </w:t>
            </w:r>
            <w:proofErr w:type="spellStart"/>
            <w:r w:rsidRPr="00781D00">
              <w:rPr>
                <w:rFonts w:ascii="Times New Roman" w:eastAsia="Times New Roman" w:hAnsi="Times New Roman" w:cs="Times New Roman"/>
                <w:i/>
                <w:iCs/>
                <w:color w:val="000000"/>
                <w:sz w:val="24"/>
                <w:szCs w:val="24"/>
                <w:lang w:eastAsia="en-IN"/>
              </w:rPr>
              <w:t>trimaculatus</w:t>
            </w:r>
            <w:proofErr w:type="spellEnd"/>
          </w:p>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Caudal Peduncle</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NRFC024</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DT1CPEx</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Fin</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NRFC025</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DT1F4Ex</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Caudal Peduncle</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NRFC026</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DT1CPTr</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val="restart"/>
            <w:hideMark/>
          </w:tcPr>
          <w:p w:rsidR="00425AB9" w:rsidRPr="00781D00" w:rsidRDefault="00425AB9" w:rsidP="001A33B5">
            <w:pPr>
              <w:rPr>
                <w:rFonts w:ascii="Times New Roman" w:eastAsia="Times New Roman" w:hAnsi="Times New Roman" w:cs="Times New Roman"/>
                <w:color w:val="000000"/>
                <w:sz w:val="24"/>
                <w:szCs w:val="24"/>
                <w:lang w:eastAsia="en-IN"/>
              </w:rPr>
            </w:pPr>
            <w:proofErr w:type="spellStart"/>
            <w:r w:rsidRPr="00781D00">
              <w:rPr>
                <w:rFonts w:ascii="Times New Roman" w:eastAsia="Times New Roman" w:hAnsi="Times New Roman" w:cs="Times New Roman"/>
                <w:i/>
                <w:iCs/>
                <w:color w:val="000000"/>
                <w:sz w:val="24"/>
                <w:szCs w:val="24"/>
                <w:lang w:eastAsia="en-IN"/>
              </w:rPr>
              <w:t>Epinephelus</w:t>
            </w:r>
            <w:proofErr w:type="spellEnd"/>
            <w:r w:rsidRPr="00781D00">
              <w:rPr>
                <w:rFonts w:ascii="Times New Roman" w:eastAsia="Times New Roman" w:hAnsi="Times New Roman" w:cs="Times New Roman"/>
                <w:i/>
                <w:iCs/>
                <w:color w:val="000000"/>
                <w:sz w:val="24"/>
                <w:szCs w:val="24"/>
                <w:lang w:eastAsia="en-IN"/>
              </w:rPr>
              <w:t xml:space="preserve"> </w:t>
            </w:r>
            <w:proofErr w:type="spellStart"/>
            <w:r w:rsidRPr="00781D00">
              <w:rPr>
                <w:rFonts w:ascii="Times New Roman" w:eastAsia="Times New Roman" w:hAnsi="Times New Roman" w:cs="Times New Roman"/>
                <w:i/>
                <w:iCs/>
                <w:color w:val="000000"/>
                <w:sz w:val="24"/>
                <w:szCs w:val="24"/>
                <w:lang w:eastAsia="en-IN"/>
              </w:rPr>
              <w:t>coioides</w:t>
            </w:r>
            <w:proofErr w:type="spellEnd"/>
          </w:p>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Eye, Muscle</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NRFC016</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SIGE</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Kidney</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NRFC017</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IGK</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val="restart"/>
            <w:hideMark/>
          </w:tcPr>
          <w:p w:rsidR="00425AB9" w:rsidRPr="00781D00" w:rsidRDefault="00425AB9" w:rsidP="001A33B5">
            <w:pPr>
              <w:rPr>
                <w:rFonts w:ascii="Times New Roman" w:eastAsia="Times New Roman" w:hAnsi="Times New Roman" w:cs="Times New Roman"/>
                <w:color w:val="000000"/>
                <w:sz w:val="24"/>
                <w:szCs w:val="24"/>
                <w:lang w:eastAsia="en-IN"/>
              </w:rPr>
            </w:pPr>
            <w:proofErr w:type="spellStart"/>
            <w:r w:rsidRPr="00781D00">
              <w:rPr>
                <w:rFonts w:ascii="Times New Roman" w:eastAsia="Times New Roman" w:hAnsi="Times New Roman" w:cs="Times New Roman"/>
                <w:i/>
                <w:iCs/>
                <w:color w:val="000000"/>
                <w:sz w:val="24"/>
                <w:szCs w:val="24"/>
                <w:lang w:eastAsia="en-IN"/>
              </w:rPr>
              <w:t>Epinephelus</w:t>
            </w:r>
            <w:proofErr w:type="spellEnd"/>
            <w:r w:rsidRPr="00781D00">
              <w:rPr>
                <w:rFonts w:ascii="Times New Roman" w:eastAsia="Times New Roman" w:hAnsi="Times New Roman" w:cs="Times New Roman"/>
                <w:i/>
                <w:iCs/>
                <w:color w:val="000000"/>
                <w:sz w:val="24"/>
                <w:szCs w:val="24"/>
                <w:lang w:eastAsia="en-IN"/>
              </w:rPr>
              <w:t xml:space="preserve"> </w:t>
            </w:r>
            <w:proofErr w:type="spellStart"/>
            <w:r w:rsidRPr="00781D00">
              <w:rPr>
                <w:rFonts w:ascii="Times New Roman" w:eastAsia="Times New Roman" w:hAnsi="Times New Roman" w:cs="Times New Roman"/>
                <w:i/>
                <w:iCs/>
                <w:color w:val="000000"/>
                <w:sz w:val="24"/>
                <w:szCs w:val="24"/>
                <w:lang w:eastAsia="en-IN"/>
              </w:rPr>
              <w:t>malabaricus</w:t>
            </w:r>
            <w:proofErr w:type="spellEnd"/>
          </w:p>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Gills</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NRFC031</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EM2GEx a</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Gills</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NRFC032</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EM3GEx</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Spleen</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NRFC033</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EM4SpEx</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781D00" w:rsidRDefault="00425AB9" w:rsidP="001A33B5">
            <w:pPr>
              <w:rPr>
                <w:rFonts w:ascii="Times New Roman" w:eastAsia="Times New Roman" w:hAnsi="Times New Roman" w:cs="Times New Roman"/>
                <w:color w:val="000000"/>
                <w:sz w:val="24"/>
                <w:szCs w:val="24"/>
                <w:lang w:eastAsia="en-IN"/>
              </w:rPr>
            </w:pPr>
            <w:proofErr w:type="spellStart"/>
            <w:r w:rsidRPr="00781D00">
              <w:rPr>
                <w:rFonts w:ascii="Times New Roman" w:eastAsia="Times New Roman" w:hAnsi="Times New Roman" w:cs="Times New Roman"/>
                <w:i/>
                <w:iCs/>
                <w:color w:val="000000"/>
                <w:sz w:val="24"/>
                <w:szCs w:val="24"/>
                <w:lang w:eastAsia="en-IN"/>
              </w:rPr>
              <w:t>Epinephelus</w:t>
            </w:r>
            <w:proofErr w:type="spellEnd"/>
            <w:r w:rsidRPr="00781D00">
              <w:rPr>
                <w:rFonts w:ascii="Times New Roman" w:eastAsia="Times New Roman" w:hAnsi="Times New Roman" w:cs="Times New Roman"/>
                <w:i/>
                <w:iCs/>
                <w:color w:val="000000"/>
                <w:sz w:val="24"/>
                <w:szCs w:val="24"/>
                <w:lang w:eastAsia="en-IN"/>
              </w:rPr>
              <w:t xml:space="preserve"> </w:t>
            </w:r>
            <w:proofErr w:type="spellStart"/>
            <w:r w:rsidRPr="00781D00">
              <w:rPr>
                <w:rFonts w:ascii="Times New Roman" w:eastAsia="Times New Roman" w:hAnsi="Times New Roman" w:cs="Times New Roman"/>
                <w:i/>
                <w:iCs/>
                <w:color w:val="000000"/>
                <w:sz w:val="24"/>
                <w:szCs w:val="24"/>
                <w:lang w:eastAsia="en-IN"/>
              </w:rPr>
              <w:t>merra</w:t>
            </w:r>
            <w:proofErr w:type="spellEnd"/>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Spleen</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NRFC038</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HC2SPEx</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val="restart"/>
            <w:hideMark/>
          </w:tcPr>
          <w:p w:rsidR="00425AB9" w:rsidRPr="00781D00" w:rsidRDefault="00425AB9" w:rsidP="001A33B5">
            <w:pPr>
              <w:rPr>
                <w:rFonts w:ascii="Times New Roman" w:eastAsia="Times New Roman" w:hAnsi="Times New Roman" w:cs="Times New Roman"/>
                <w:color w:val="000000"/>
                <w:sz w:val="24"/>
                <w:szCs w:val="24"/>
                <w:lang w:eastAsia="en-IN"/>
              </w:rPr>
            </w:pPr>
            <w:proofErr w:type="spellStart"/>
            <w:r w:rsidRPr="00781D00">
              <w:rPr>
                <w:rFonts w:ascii="Times New Roman" w:eastAsia="Times New Roman" w:hAnsi="Times New Roman" w:cs="Times New Roman"/>
                <w:i/>
                <w:iCs/>
                <w:color w:val="000000"/>
                <w:sz w:val="24"/>
                <w:szCs w:val="24"/>
                <w:lang w:eastAsia="en-IN"/>
              </w:rPr>
              <w:t>Etroplus</w:t>
            </w:r>
            <w:proofErr w:type="spellEnd"/>
            <w:r w:rsidRPr="00781D00">
              <w:rPr>
                <w:rFonts w:ascii="Times New Roman" w:eastAsia="Times New Roman" w:hAnsi="Times New Roman" w:cs="Times New Roman"/>
                <w:i/>
                <w:iCs/>
                <w:color w:val="000000"/>
                <w:sz w:val="24"/>
                <w:szCs w:val="24"/>
                <w:lang w:eastAsia="en-IN"/>
              </w:rPr>
              <w:t xml:space="preserve"> </w:t>
            </w:r>
            <w:proofErr w:type="spellStart"/>
            <w:r w:rsidRPr="00781D00">
              <w:rPr>
                <w:rFonts w:ascii="Times New Roman" w:eastAsia="Times New Roman" w:hAnsi="Times New Roman" w:cs="Times New Roman"/>
                <w:i/>
                <w:iCs/>
                <w:color w:val="000000"/>
                <w:sz w:val="24"/>
                <w:szCs w:val="24"/>
                <w:lang w:eastAsia="en-IN"/>
              </w:rPr>
              <w:t>suratensis</w:t>
            </w:r>
            <w:proofErr w:type="spellEnd"/>
          </w:p>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Eye</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NRFC040</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IEE</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Kidney</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NRFC041</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IEK</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Gill</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NRFC042</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IEG</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Brain</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NRFC043</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IEB</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9C67E7"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Fin</w:t>
            </w:r>
          </w:p>
        </w:tc>
        <w:tc>
          <w:tcPr>
            <w:tcW w:w="127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NRFC065</w:t>
            </w:r>
          </w:p>
        </w:tc>
        <w:tc>
          <w:tcPr>
            <w:tcW w:w="136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PSF</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9C67E7" w:rsidRDefault="00425AB9" w:rsidP="001A33B5">
            <w:pPr>
              <w:rPr>
                <w:rFonts w:ascii="Times New Roman" w:eastAsia="Times New Roman" w:hAnsi="Times New Roman" w:cs="Times New Roman"/>
                <w:color w:val="000000"/>
                <w:sz w:val="24"/>
                <w:szCs w:val="24"/>
                <w:lang w:eastAsia="en-IN"/>
              </w:rPr>
            </w:pPr>
            <w:proofErr w:type="spellStart"/>
            <w:r w:rsidRPr="009C67E7">
              <w:rPr>
                <w:rFonts w:ascii="Times New Roman" w:eastAsia="Times New Roman" w:hAnsi="Times New Roman" w:cs="Times New Roman"/>
                <w:i/>
                <w:iCs/>
                <w:color w:val="000000"/>
                <w:sz w:val="24"/>
                <w:szCs w:val="24"/>
                <w:lang w:eastAsia="en-IN"/>
              </w:rPr>
              <w:t>Helostoma</w:t>
            </w:r>
            <w:proofErr w:type="spellEnd"/>
            <w:r w:rsidRPr="009C67E7">
              <w:rPr>
                <w:rFonts w:ascii="Times New Roman" w:eastAsia="Times New Roman" w:hAnsi="Times New Roman" w:cs="Times New Roman"/>
                <w:i/>
                <w:iCs/>
                <w:color w:val="000000"/>
                <w:sz w:val="24"/>
                <w:szCs w:val="24"/>
                <w:lang w:eastAsia="en-IN"/>
              </w:rPr>
              <w:t xml:space="preserve"> </w:t>
            </w:r>
            <w:proofErr w:type="spellStart"/>
            <w:r w:rsidRPr="009C67E7">
              <w:rPr>
                <w:rFonts w:ascii="Times New Roman" w:eastAsia="Times New Roman" w:hAnsi="Times New Roman" w:cs="Times New Roman"/>
                <w:i/>
                <w:iCs/>
                <w:color w:val="000000"/>
                <w:sz w:val="24"/>
                <w:szCs w:val="24"/>
                <w:lang w:eastAsia="en-IN"/>
              </w:rPr>
              <w:t>temminckii</w:t>
            </w:r>
            <w:proofErr w:type="spellEnd"/>
          </w:p>
        </w:tc>
        <w:tc>
          <w:tcPr>
            <w:tcW w:w="2551" w:type="dxa"/>
            <w:hideMark/>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Fin</w:t>
            </w:r>
          </w:p>
        </w:tc>
        <w:tc>
          <w:tcPr>
            <w:tcW w:w="127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NRFC080</w:t>
            </w:r>
          </w:p>
        </w:tc>
        <w:tc>
          <w:tcPr>
            <w:tcW w:w="136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KGF</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781D00" w:rsidRDefault="00425AB9" w:rsidP="001A33B5">
            <w:pPr>
              <w:rPr>
                <w:rFonts w:ascii="Times New Roman" w:eastAsia="Times New Roman" w:hAnsi="Times New Roman" w:cs="Times New Roman"/>
                <w:color w:val="000000"/>
                <w:sz w:val="24"/>
                <w:szCs w:val="24"/>
                <w:lang w:eastAsia="en-IN"/>
              </w:rPr>
            </w:pPr>
            <w:proofErr w:type="spellStart"/>
            <w:r w:rsidRPr="00781D00">
              <w:rPr>
                <w:rFonts w:ascii="Times New Roman" w:eastAsia="Times New Roman" w:hAnsi="Times New Roman" w:cs="Times New Roman"/>
                <w:i/>
                <w:iCs/>
                <w:color w:val="000000"/>
                <w:sz w:val="24"/>
                <w:szCs w:val="24"/>
                <w:lang w:eastAsia="en-IN"/>
              </w:rPr>
              <w:t>Horabagrus</w:t>
            </w:r>
            <w:proofErr w:type="spellEnd"/>
            <w:r w:rsidRPr="00781D00">
              <w:rPr>
                <w:rFonts w:ascii="Times New Roman" w:eastAsia="Times New Roman" w:hAnsi="Times New Roman" w:cs="Times New Roman"/>
                <w:i/>
                <w:iCs/>
                <w:color w:val="000000"/>
                <w:sz w:val="24"/>
                <w:szCs w:val="24"/>
                <w:lang w:eastAsia="en-IN"/>
              </w:rPr>
              <w:t xml:space="preserve"> </w:t>
            </w:r>
            <w:proofErr w:type="spellStart"/>
            <w:r w:rsidRPr="00781D00">
              <w:rPr>
                <w:rFonts w:ascii="Times New Roman" w:eastAsia="Times New Roman" w:hAnsi="Times New Roman" w:cs="Times New Roman"/>
                <w:i/>
                <w:iCs/>
                <w:color w:val="000000"/>
                <w:sz w:val="24"/>
                <w:szCs w:val="24"/>
                <w:lang w:eastAsia="en-IN"/>
              </w:rPr>
              <w:t>brachysoma</w:t>
            </w:r>
            <w:proofErr w:type="spellEnd"/>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Fin</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NRFC008</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HBF</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9C67E7" w:rsidRDefault="00425AB9" w:rsidP="001A33B5">
            <w:pPr>
              <w:rPr>
                <w:rFonts w:ascii="Times New Roman" w:eastAsia="Times New Roman" w:hAnsi="Times New Roman" w:cs="Times New Roman"/>
                <w:color w:val="000000"/>
                <w:sz w:val="24"/>
                <w:szCs w:val="24"/>
                <w:lang w:eastAsia="en-IN"/>
              </w:rPr>
            </w:pPr>
            <w:proofErr w:type="spellStart"/>
            <w:r w:rsidRPr="009C67E7">
              <w:rPr>
                <w:rFonts w:ascii="Times New Roman" w:eastAsia="Times New Roman" w:hAnsi="Times New Roman" w:cs="Times New Roman"/>
                <w:i/>
                <w:iCs/>
                <w:color w:val="000000"/>
                <w:sz w:val="24"/>
                <w:szCs w:val="24"/>
                <w:lang w:eastAsia="en-IN"/>
              </w:rPr>
              <w:t>Labeo</w:t>
            </w:r>
            <w:proofErr w:type="spellEnd"/>
            <w:r w:rsidRPr="009C67E7">
              <w:rPr>
                <w:rFonts w:ascii="Times New Roman" w:eastAsia="Times New Roman" w:hAnsi="Times New Roman" w:cs="Times New Roman"/>
                <w:i/>
                <w:iCs/>
                <w:color w:val="000000"/>
                <w:sz w:val="24"/>
                <w:szCs w:val="24"/>
                <w:lang w:eastAsia="en-IN"/>
              </w:rPr>
              <w:t xml:space="preserve"> </w:t>
            </w:r>
            <w:proofErr w:type="spellStart"/>
            <w:r w:rsidRPr="009C67E7">
              <w:rPr>
                <w:rFonts w:ascii="Times New Roman" w:eastAsia="Times New Roman" w:hAnsi="Times New Roman" w:cs="Times New Roman"/>
                <w:i/>
                <w:iCs/>
                <w:color w:val="000000"/>
                <w:sz w:val="24"/>
                <w:szCs w:val="24"/>
                <w:lang w:eastAsia="en-IN"/>
              </w:rPr>
              <w:t>calbasu</w:t>
            </w:r>
            <w:proofErr w:type="spellEnd"/>
          </w:p>
        </w:tc>
        <w:tc>
          <w:tcPr>
            <w:tcW w:w="2551" w:type="dxa"/>
            <w:hideMark/>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Fin</w:t>
            </w:r>
          </w:p>
        </w:tc>
        <w:tc>
          <w:tcPr>
            <w:tcW w:w="127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NRFC063</w:t>
            </w:r>
          </w:p>
        </w:tc>
        <w:tc>
          <w:tcPr>
            <w:tcW w:w="136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LCF</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val="restart"/>
            <w:hideMark/>
          </w:tcPr>
          <w:p w:rsidR="00425AB9" w:rsidRPr="00781D00" w:rsidRDefault="00425AB9" w:rsidP="001A33B5">
            <w:pPr>
              <w:rPr>
                <w:rFonts w:ascii="Times New Roman" w:eastAsia="Times New Roman" w:hAnsi="Times New Roman" w:cs="Times New Roman"/>
                <w:color w:val="000000"/>
                <w:sz w:val="24"/>
                <w:szCs w:val="24"/>
                <w:lang w:eastAsia="en-IN"/>
              </w:rPr>
            </w:pPr>
            <w:proofErr w:type="spellStart"/>
            <w:r w:rsidRPr="00781D00">
              <w:rPr>
                <w:rFonts w:ascii="Times New Roman" w:eastAsia="Times New Roman" w:hAnsi="Times New Roman" w:cs="Times New Roman"/>
                <w:i/>
                <w:iCs/>
                <w:color w:val="000000"/>
                <w:sz w:val="24"/>
                <w:szCs w:val="24"/>
                <w:lang w:eastAsia="en-IN"/>
              </w:rPr>
              <w:t>Labeo</w:t>
            </w:r>
            <w:proofErr w:type="spellEnd"/>
            <w:r w:rsidRPr="00781D00">
              <w:rPr>
                <w:rFonts w:ascii="Times New Roman" w:eastAsia="Times New Roman" w:hAnsi="Times New Roman" w:cs="Times New Roman"/>
                <w:i/>
                <w:iCs/>
                <w:color w:val="000000"/>
                <w:sz w:val="24"/>
                <w:szCs w:val="24"/>
                <w:lang w:eastAsia="en-IN"/>
              </w:rPr>
              <w:t xml:space="preserve"> </w:t>
            </w:r>
            <w:proofErr w:type="spellStart"/>
            <w:r w:rsidRPr="00781D00">
              <w:rPr>
                <w:rFonts w:ascii="Times New Roman" w:eastAsia="Times New Roman" w:hAnsi="Times New Roman" w:cs="Times New Roman"/>
                <w:i/>
                <w:iCs/>
                <w:color w:val="000000"/>
                <w:sz w:val="24"/>
                <w:szCs w:val="24"/>
                <w:lang w:eastAsia="en-IN"/>
              </w:rPr>
              <w:t>rohita</w:t>
            </w:r>
            <w:proofErr w:type="spellEnd"/>
          </w:p>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Eye</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NRFC044</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RE</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9C67E7"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Fin</w:t>
            </w:r>
          </w:p>
        </w:tc>
        <w:tc>
          <w:tcPr>
            <w:tcW w:w="127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NRFC070</w:t>
            </w:r>
          </w:p>
        </w:tc>
        <w:tc>
          <w:tcPr>
            <w:tcW w:w="136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LRoF-1</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val="restart"/>
            <w:hideMark/>
          </w:tcPr>
          <w:p w:rsidR="00425AB9" w:rsidRPr="00781D00" w:rsidRDefault="00425AB9" w:rsidP="001A33B5">
            <w:pPr>
              <w:rPr>
                <w:rFonts w:ascii="Times New Roman" w:eastAsia="Times New Roman" w:hAnsi="Times New Roman" w:cs="Times New Roman"/>
                <w:color w:val="000000"/>
                <w:sz w:val="24"/>
                <w:szCs w:val="24"/>
                <w:lang w:eastAsia="en-IN"/>
              </w:rPr>
            </w:pPr>
            <w:proofErr w:type="spellStart"/>
            <w:r w:rsidRPr="00781D00">
              <w:rPr>
                <w:rFonts w:ascii="Times New Roman" w:eastAsia="Times New Roman" w:hAnsi="Times New Roman" w:cs="Times New Roman"/>
                <w:i/>
                <w:iCs/>
                <w:color w:val="000000"/>
                <w:sz w:val="24"/>
                <w:szCs w:val="24"/>
                <w:lang w:eastAsia="en-IN"/>
              </w:rPr>
              <w:t>Lates</w:t>
            </w:r>
            <w:proofErr w:type="spellEnd"/>
            <w:r w:rsidRPr="00781D00">
              <w:rPr>
                <w:rFonts w:ascii="Times New Roman" w:eastAsia="Times New Roman" w:hAnsi="Times New Roman" w:cs="Times New Roman"/>
                <w:i/>
                <w:iCs/>
                <w:color w:val="000000"/>
                <w:sz w:val="24"/>
                <w:szCs w:val="24"/>
                <w:lang w:eastAsia="en-IN"/>
              </w:rPr>
              <w:t xml:space="preserve"> </w:t>
            </w:r>
            <w:proofErr w:type="spellStart"/>
            <w:r w:rsidRPr="00781D00">
              <w:rPr>
                <w:rFonts w:ascii="Times New Roman" w:eastAsia="Times New Roman" w:hAnsi="Times New Roman" w:cs="Times New Roman"/>
                <w:i/>
                <w:iCs/>
                <w:color w:val="000000"/>
                <w:sz w:val="24"/>
                <w:szCs w:val="24"/>
                <w:lang w:eastAsia="en-IN"/>
              </w:rPr>
              <w:t>calcarifer</w:t>
            </w:r>
            <w:proofErr w:type="spellEnd"/>
          </w:p>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Kidney</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NRFC014</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SISK</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Spleen</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NRFC015</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SISS</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9C67E7" w:rsidRDefault="00425AB9" w:rsidP="001A33B5">
            <w:pPr>
              <w:rPr>
                <w:rFonts w:ascii="Times New Roman" w:eastAsia="Times New Roman" w:hAnsi="Times New Roman" w:cs="Times New Roman"/>
                <w:color w:val="000000"/>
                <w:sz w:val="24"/>
                <w:szCs w:val="24"/>
                <w:lang w:eastAsia="en-IN"/>
              </w:rPr>
            </w:pPr>
            <w:proofErr w:type="spellStart"/>
            <w:r w:rsidRPr="009C67E7">
              <w:rPr>
                <w:rFonts w:ascii="Times New Roman" w:eastAsia="Times New Roman" w:hAnsi="Times New Roman" w:cs="Times New Roman"/>
                <w:i/>
                <w:iCs/>
                <w:color w:val="000000"/>
                <w:sz w:val="24"/>
                <w:szCs w:val="24"/>
                <w:lang w:eastAsia="en-IN"/>
              </w:rPr>
              <w:t>Oncorhynchus</w:t>
            </w:r>
            <w:proofErr w:type="spellEnd"/>
            <w:r w:rsidRPr="009C67E7">
              <w:rPr>
                <w:rFonts w:ascii="Times New Roman" w:eastAsia="Times New Roman" w:hAnsi="Times New Roman" w:cs="Times New Roman"/>
                <w:i/>
                <w:iCs/>
                <w:color w:val="000000"/>
                <w:sz w:val="24"/>
                <w:szCs w:val="24"/>
                <w:lang w:eastAsia="en-IN"/>
              </w:rPr>
              <w:t xml:space="preserve"> mykiss</w:t>
            </w:r>
          </w:p>
        </w:tc>
        <w:tc>
          <w:tcPr>
            <w:tcW w:w="2551" w:type="dxa"/>
            <w:hideMark/>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Heart</w:t>
            </w:r>
          </w:p>
        </w:tc>
        <w:tc>
          <w:tcPr>
            <w:tcW w:w="127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NRFC075</w:t>
            </w:r>
          </w:p>
        </w:tc>
        <w:tc>
          <w:tcPr>
            <w:tcW w:w="136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RBT-H</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9C67E7" w:rsidRDefault="00425AB9" w:rsidP="001A33B5">
            <w:pPr>
              <w:rPr>
                <w:rFonts w:ascii="Times New Roman" w:eastAsia="Times New Roman" w:hAnsi="Times New Roman" w:cs="Times New Roman"/>
                <w:color w:val="000000"/>
                <w:sz w:val="24"/>
                <w:szCs w:val="24"/>
                <w:lang w:eastAsia="en-IN"/>
              </w:rPr>
            </w:pPr>
            <w:proofErr w:type="spellStart"/>
            <w:r w:rsidRPr="009C67E7">
              <w:rPr>
                <w:rFonts w:ascii="Times New Roman" w:eastAsia="Times New Roman" w:hAnsi="Times New Roman" w:cs="Times New Roman"/>
                <w:i/>
                <w:iCs/>
                <w:color w:val="000000"/>
                <w:sz w:val="24"/>
                <w:szCs w:val="24"/>
                <w:lang w:eastAsia="en-IN"/>
              </w:rPr>
              <w:t>Oreichthys</w:t>
            </w:r>
            <w:proofErr w:type="spellEnd"/>
            <w:r w:rsidRPr="009C67E7">
              <w:rPr>
                <w:rFonts w:ascii="Times New Roman" w:eastAsia="Times New Roman" w:hAnsi="Times New Roman" w:cs="Times New Roman"/>
                <w:i/>
                <w:iCs/>
                <w:color w:val="000000"/>
                <w:sz w:val="24"/>
                <w:szCs w:val="24"/>
                <w:lang w:eastAsia="en-IN"/>
              </w:rPr>
              <w:t xml:space="preserve"> </w:t>
            </w:r>
            <w:proofErr w:type="spellStart"/>
            <w:r w:rsidRPr="009C67E7">
              <w:rPr>
                <w:rFonts w:ascii="Times New Roman" w:eastAsia="Times New Roman" w:hAnsi="Times New Roman" w:cs="Times New Roman"/>
                <w:i/>
                <w:iCs/>
                <w:color w:val="000000"/>
                <w:sz w:val="24"/>
                <w:szCs w:val="24"/>
                <w:lang w:eastAsia="en-IN"/>
              </w:rPr>
              <w:t>orenuchoides</w:t>
            </w:r>
            <w:proofErr w:type="spellEnd"/>
          </w:p>
        </w:tc>
        <w:tc>
          <w:tcPr>
            <w:tcW w:w="2551" w:type="dxa"/>
            <w:hideMark/>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Fin</w:t>
            </w:r>
          </w:p>
        </w:tc>
        <w:tc>
          <w:tcPr>
            <w:tcW w:w="127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NRFC077</w:t>
            </w:r>
          </w:p>
        </w:tc>
        <w:tc>
          <w:tcPr>
            <w:tcW w:w="136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OCrF-1</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val="restart"/>
            <w:hideMark/>
          </w:tcPr>
          <w:p w:rsidR="00425AB9" w:rsidRPr="00781D00" w:rsidRDefault="00425AB9" w:rsidP="001A33B5">
            <w:pPr>
              <w:rPr>
                <w:rFonts w:ascii="Times New Roman" w:eastAsia="Times New Roman" w:hAnsi="Times New Roman" w:cs="Times New Roman"/>
                <w:color w:val="000000"/>
                <w:sz w:val="24"/>
                <w:szCs w:val="24"/>
                <w:lang w:eastAsia="en-IN"/>
              </w:rPr>
            </w:pPr>
            <w:proofErr w:type="spellStart"/>
            <w:r w:rsidRPr="00781D00">
              <w:rPr>
                <w:rFonts w:ascii="Times New Roman" w:eastAsia="Times New Roman" w:hAnsi="Times New Roman" w:cs="Times New Roman"/>
                <w:i/>
                <w:iCs/>
                <w:color w:val="000000"/>
                <w:sz w:val="24"/>
                <w:szCs w:val="24"/>
                <w:lang w:eastAsia="en-IN"/>
              </w:rPr>
              <w:t>Oreochromis</w:t>
            </w:r>
            <w:proofErr w:type="spellEnd"/>
            <w:r w:rsidRPr="00781D00">
              <w:rPr>
                <w:rFonts w:ascii="Times New Roman" w:eastAsia="Times New Roman" w:hAnsi="Times New Roman" w:cs="Times New Roman"/>
                <w:i/>
                <w:iCs/>
                <w:color w:val="000000"/>
                <w:sz w:val="24"/>
                <w:szCs w:val="24"/>
                <w:lang w:eastAsia="en-IN"/>
              </w:rPr>
              <w:t xml:space="preserve"> </w:t>
            </w:r>
            <w:proofErr w:type="spellStart"/>
            <w:r w:rsidRPr="00781D00">
              <w:rPr>
                <w:rFonts w:ascii="Times New Roman" w:eastAsia="Times New Roman" w:hAnsi="Times New Roman" w:cs="Times New Roman"/>
                <w:i/>
                <w:iCs/>
                <w:color w:val="000000"/>
                <w:sz w:val="24"/>
                <w:szCs w:val="24"/>
                <w:lang w:eastAsia="en-IN"/>
              </w:rPr>
              <w:t>niloticus</w:t>
            </w:r>
            <w:proofErr w:type="spellEnd"/>
          </w:p>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Liver</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NRFC052</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proofErr w:type="spellStart"/>
            <w:r w:rsidRPr="00781D00">
              <w:rPr>
                <w:rFonts w:ascii="Times New Roman" w:eastAsia="Times New Roman" w:hAnsi="Times New Roman" w:cs="Times New Roman"/>
                <w:color w:val="000000"/>
                <w:sz w:val="24"/>
                <w:szCs w:val="24"/>
                <w:lang w:eastAsia="en-IN"/>
              </w:rPr>
              <w:t>OnlL</w:t>
            </w:r>
            <w:proofErr w:type="spellEnd"/>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9C67E7"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Heart</w:t>
            </w:r>
          </w:p>
        </w:tc>
        <w:tc>
          <w:tcPr>
            <w:tcW w:w="127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NRFC071</w:t>
            </w:r>
          </w:p>
        </w:tc>
        <w:tc>
          <w:tcPr>
            <w:tcW w:w="1366" w:type="dxa"/>
          </w:tcPr>
          <w:p w:rsidR="00425AB9" w:rsidRPr="009C67E7" w:rsidRDefault="00425AB9" w:rsidP="001A33B5">
            <w:pPr>
              <w:rPr>
                <w:rFonts w:ascii="Times New Roman" w:eastAsia="Times New Roman" w:hAnsi="Times New Roman" w:cs="Times New Roman"/>
                <w:color w:val="000000"/>
                <w:sz w:val="24"/>
                <w:szCs w:val="24"/>
                <w:lang w:eastAsia="en-IN"/>
              </w:rPr>
            </w:pPr>
            <w:proofErr w:type="spellStart"/>
            <w:r w:rsidRPr="009C67E7">
              <w:rPr>
                <w:rFonts w:ascii="Times New Roman" w:eastAsia="Times New Roman" w:hAnsi="Times New Roman" w:cs="Times New Roman"/>
                <w:color w:val="000000"/>
                <w:sz w:val="24"/>
                <w:szCs w:val="24"/>
                <w:lang w:eastAsia="en-IN"/>
              </w:rPr>
              <w:t>OnH</w:t>
            </w:r>
            <w:proofErr w:type="spellEnd"/>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val="restart"/>
            <w:hideMark/>
          </w:tcPr>
          <w:p w:rsidR="00425AB9" w:rsidRPr="00781D00" w:rsidRDefault="00425AB9" w:rsidP="001A33B5">
            <w:pPr>
              <w:rPr>
                <w:rFonts w:ascii="Times New Roman" w:eastAsia="Times New Roman" w:hAnsi="Times New Roman" w:cs="Times New Roman"/>
                <w:color w:val="000000"/>
                <w:sz w:val="24"/>
                <w:szCs w:val="24"/>
                <w:lang w:eastAsia="en-IN"/>
              </w:rPr>
            </w:pPr>
            <w:proofErr w:type="spellStart"/>
            <w:r w:rsidRPr="009C67E7">
              <w:rPr>
                <w:rFonts w:ascii="Times New Roman" w:eastAsia="Times New Roman" w:hAnsi="Times New Roman" w:cs="Times New Roman"/>
                <w:i/>
                <w:iCs/>
                <w:color w:val="000000"/>
                <w:sz w:val="24"/>
                <w:szCs w:val="24"/>
                <w:lang w:eastAsia="en-IN"/>
              </w:rPr>
              <w:t>Pangasianodon</w:t>
            </w:r>
            <w:proofErr w:type="spellEnd"/>
            <w:r w:rsidRPr="009C67E7">
              <w:rPr>
                <w:rFonts w:ascii="Times New Roman" w:eastAsia="Times New Roman" w:hAnsi="Times New Roman" w:cs="Times New Roman"/>
                <w:i/>
                <w:iCs/>
                <w:color w:val="000000"/>
                <w:sz w:val="24"/>
                <w:szCs w:val="24"/>
                <w:lang w:eastAsia="en-IN"/>
              </w:rPr>
              <w:t xml:space="preserve"> </w:t>
            </w:r>
            <w:proofErr w:type="spellStart"/>
            <w:r w:rsidRPr="009C67E7">
              <w:rPr>
                <w:rFonts w:ascii="Times New Roman" w:eastAsia="Times New Roman" w:hAnsi="Times New Roman" w:cs="Times New Roman"/>
                <w:i/>
                <w:iCs/>
                <w:color w:val="000000"/>
                <w:sz w:val="24"/>
                <w:szCs w:val="24"/>
                <w:lang w:eastAsia="en-IN"/>
              </w:rPr>
              <w:t>hypophthalmus</w:t>
            </w:r>
            <w:proofErr w:type="spellEnd"/>
          </w:p>
          <w:p w:rsidR="00425AB9" w:rsidRPr="009C67E7"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Fin</w:t>
            </w:r>
          </w:p>
        </w:tc>
        <w:tc>
          <w:tcPr>
            <w:tcW w:w="127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NRFC057</w:t>
            </w:r>
          </w:p>
        </w:tc>
        <w:tc>
          <w:tcPr>
            <w:tcW w:w="136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PHF</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9C67E7"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Thymus</w:t>
            </w:r>
          </w:p>
        </w:tc>
        <w:tc>
          <w:tcPr>
            <w:tcW w:w="127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NRFC078</w:t>
            </w:r>
          </w:p>
        </w:tc>
        <w:tc>
          <w:tcPr>
            <w:tcW w:w="136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PHT</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val="restart"/>
            <w:hideMark/>
          </w:tcPr>
          <w:p w:rsidR="00425AB9" w:rsidRPr="00781D00" w:rsidRDefault="00425AB9" w:rsidP="001A33B5">
            <w:pPr>
              <w:rPr>
                <w:rFonts w:ascii="Times New Roman" w:eastAsia="Times New Roman" w:hAnsi="Times New Roman" w:cs="Times New Roman"/>
                <w:color w:val="000000"/>
                <w:sz w:val="24"/>
                <w:szCs w:val="24"/>
                <w:lang w:eastAsia="en-IN"/>
              </w:rPr>
            </w:pPr>
            <w:proofErr w:type="spellStart"/>
            <w:r w:rsidRPr="009C67E7">
              <w:rPr>
                <w:rFonts w:ascii="Times New Roman" w:eastAsia="Times New Roman" w:hAnsi="Times New Roman" w:cs="Times New Roman"/>
                <w:i/>
                <w:iCs/>
                <w:color w:val="000000"/>
                <w:sz w:val="24"/>
                <w:szCs w:val="24"/>
                <w:lang w:eastAsia="en-IN"/>
              </w:rPr>
              <w:t>Paraneetroplus</w:t>
            </w:r>
            <w:proofErr w:type="spellEnd"/>
            <w:r w:rsidRPr="009C67E7">
              <w:rPr>
                <w:rFonts w:ascii="Times New Roman" w:eastAsia="Times New Roman" w:hAnsi="Times New Roman" w:cs="Times New Roman"/>
                <w:i/>
                <w:iCs/>
                <w:color w:val="000000"/>
                <w:sz w:val="24"/>
                <w:szCs w:val="24"/>
                <w:lang w:eastAsia="en-IN"/>
              </w:rPr>
              <w:t xml:space="preserve"> </w:t>
            </w:r>
            <w:proofErr w:type="spellStart"/>
            <w:r w:rsidRPr="009C67E7">
              <w:rPr>
                <w:rFonts w:ascii="Times New Roman" w:eastAsia="Times New Roman" w:hAnsi="Times New Roman" w:cs="Times New Roman"/>
                <w:i/>
                <w:iCs/>
                <w:color w:val="000000"/>
                <w:sz w:val="24"/>
                <w:szCs w:val="24"/>
                <w:lang w:eastAsia="en-IN"/>
              </w:rPr>
              <w:t>synspilus</w:t>
            </w:r>
            <w:proofErr w:type="spellEnd"/>
            <w:r w:rsidRPr="009C67E7">
              <w:rPr>
                <w:rFonts w:ascii="Times New Roman" w:eastAsia="Times New Roman" w:hAnsi="Times New Roman" w:cs="Times New Roman"/>
                <w:i/>
                <w:iCs/>
                <w:color w:val="000000"/>
                <w:sz w:val="24"/>
                <w:szCs w:val="24"/>
                <w:lang w:eastAsia="en-IN"/>
              </w:rPr>
              <w:t xml:space="preserve"> X </w:t>
            </w:r>
            <w:proofErr w:type="spellStart"/>
            <w:r w:rsidRPr="009C67E7">
              <w:rPr>
                <w:rFonts w:ascii="Times New Roman" w:eastAsia="Times New Roman" w:hAnsi="Times New Roman" w:cs="Times New Roman"/>
                <w:i/>
                <w:iCs/>
                <w:color w:val="000000"/>
                <w:sz w:val="24"/>
                <w:szCs w:val="24"/>
                <w:lang w:eastAsia="en-IN"/>
              </w:rPr>
              <w:t>Amphilophus</w:t>
            </w:r>
            <w:proofErr w:type="spellEnd"/>
            <w:r w:rsidRPr="009C67E7">
              <w:rPr>
                <w:rFonts w:ascii="Times New Roman" w:eastAsia="Times New Roman" w:hAnsi="Times New Roman" w:cs="Times New Roman"/>
                <w:i/>
                <w:iCs/>
                <w:color w:val="000000"/>
                <w:sz w:val="24"/>
                <w:szCs w:val="24"/>
                <w:lang w:eastAsia="en-IN"/>
              </w:rPr>
              <w:t xml:space="preserve"> </w:t>
            </w:r>
            <w:proofErr w:type="spellStart"/>
            <w:r w:rsidRPr="009C67E7">
              <w:rPr>
                <w:rFonts w:ascii="Times New Roman" w:eastAsia="Times New Roman" w:hAnsi="Times New Roman" w:cs="Times New Roman"/>
                <w:i/>
                <w:iCs/>
                <w:color w:val="000000"/>
                <w:sz w:val="24"/>
                <w:szCs w:val="24"/>
                <w:lang w:eastAsia="en-IN"/>
              </w:rPr>
              <w:t>citrinellus</w:t>
            </w:r>
            <w:proofErr w:type="spellEnd"/>
          </w:p>
          <w:p w:rsidR="00425AB9" w:rsidRPr="009C67E7"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Brain</w:t>
            </w:r>
          </w:p>
        </w:tc>
        <w:tc>
          <w:tcPr>
            <w:tcW w:w="127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NRFC072</w:t>
            </w:r>
          </w:p>
        </w:tc>
        <w:tc>
          <w:tcPr>
            <w:tcW w:w="136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PFB</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9C67E7"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Heart</w:t>
            </w:r>
          </w:p>
        </w:tc>
        <w:tc>
          <w:tcPr>
            <w:tcW w:w="127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NRFC073</w:t>
            </w:r>
          </w:p>
        </w:tc>
        <w:tc>
          <w:tcPr>
            <w:tcW w:w="136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PFH</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9C67E7"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Spleen</w:t>
            </w:r>
          </w:p>
        </w:tc>
        <w:tc>
          <w:tcPr>
            <w:tcW w:w="127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NRFC074</w:t>
            </w:r>
          </w:p>
        </w:tc>
        <w:tc>
          <w:tcPr>
            <w:tcW w:w="136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PFS</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val="restart"/>
            <w:hideMark/>
          </w:tcPr>
          <w:p w:rsidR="00425AB9" w:rsidRPr="00781D00" w:rsidRDefault="00425AB9" w:rsidP="001A33B5">
            <w:pPr>
              <w:rPr>
                <w:rFonts w:ascii="Times New Roman" w:eastAsia="Times New Roman" w:hAnsi="Times New Roman" w:cs="Times New Roman"/>
                <w:color w:val="000000"/>
                <w:sz w:val="24"/>
                <w:szCs w:val="24"/>
                <w:lang w:eastAsia="en-IN"/>
              </w:rPr>
            </w:pPr>
            <w:proofErr w:type="spellStart"/>
            <w:r w:rsidRPr="00781D00">
              <w:rPr>
                <w:rFonts w:ascii="Times New Roman" w:eastAsia="Times New Roman" w:hAnsi="Times New Roman" w:cs="Times New Roman"/>
                <w:i/>
                <w:iCs/>
                <w:color w:val="000000"/>
                <w:sz w:val="24"/>
                <w:szCs w:val="24"/>
                <w:lang w:eastAsia="en-IN"/>
              </w:rPr>
              <w:t>Pomacentrus</w:t>
            </w:r>
            <w:proofErr w:type="spellEnd"/>
            <w:r w:rsidRPr="00781D00">
              <w:rPr>
                <w:rFonts w:ascii="Times New Roman" w:eastAsia="Times New Roman" w:hAnsi="Times New Roman" w:cs="Times New Roman"/>
                <w:i/>
                <w:iCs/>
                <w:color w:val="000000"/>
                <w:sz w:val="24"/>
                <w:szCs w:val="24"/>
                <w:lang w:eastAsia="en-IN"/>
              </w:rPr>
              <w:t xml:space="preserve"> </w:t>
            </w:r>
            <w:proofErr w:type="spellStart"/>
            <w:r w:rsidRPr="00781D00">
              <w:rPr>
                <w:rFonts w:ascii="Times New Roman" w:eastAsia="Times New Roman" w:hAnsi="Times New Roman" w:cs="Times New Roman"/>
                <w:i/>
                <w:iCs/>
                <w:color w:val="000000"/>
                <w:sz w:val="24"/>
                <w:szCs w:val="24"/>
                <w:lang w:eastAsia="en-IN"/>
              </w:rPr>
              <w:t>caeruleus</w:t>
            </w:r>
            <w:proofErr w:type="spellEnd"/>
          </w:p>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Caudal Peduncle</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NRFC035</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PC1CpTr</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Fin</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NRFC036</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PC1F1Ex</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781D00"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Liver</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NRFC037</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PC1L1Tr</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781D00" w:rsidRDefault="00425AB9" w:rsidP="001A33B5">
            <w:pPr>
              <w:rPr>
                <w:rFonts w:ascii="Times New Roman" w:eastAsia="Times New Roman" w:hAnsi="Times New Roman" w:cs="Times New Roman"/>
                <w:color w:val="000000"/>
                <w:sz w:val="24"/>
                <w:szCs w:val="24"/>
                <w:lang w:eastAsia="en-IN"/>
              </w:rPr>
            </w:pPr>
            <w:proofErr w:type="spellStart"/>
            <w:r w:rsidRPr="00781D00">
              <w:rPr>
                <w:rFonts w:ascii="Times New Roman" w:eastAsia="Times New Roman" w:hAnsi="Times New Roman" w:cs="Times New Roman"/>
                <w:i/>
                <w:iCs/>
                <w:color w:val="000000"/>
                <w:sz w:val="24"/>
                <w:szCs w:val="24"/>
                <w:lang w:eastAsia="en-IN"/>
              </w:rPr>
              <w:t>Pristolepis</w:t>
            </w:r>
            <w:proofErr w:type="spellEnd"/>
            <w:r w:rsidRPr="00781D00">
              <w:rPr>
                <w:rFonts w:ascii="Times New Roman" w:eastAsia="Times New Roman" w:hAnsi="Times New Roman" w:cs="Times New Roman"/>
                <w:i/>
                <w:iCs/>
                <w:color w:val="000000"/>
                <w:sz w:val="24"/>
                <w:szCs w:val="24"/>
                <w:lang w:eastAsia="en-IN"/>
              </w:rPr>
              <w:t xml:space="preserve"> </w:t>
            </w:r>
            <w:proofErr w:type="spellStart"/>
            <w:r w:rsidRPr="00781D00">
              <w:rPr>
                <w:rFonts w:ascii="Times New Roman" w:eastAsia="Times New Roman" w:hAnsi="Times New Roman" w:cs="Times New Roman"/>
                <w:i/>
                <w:iCs/>
                <w:color w:val="000000"/>
                <w:sz w:val="24"/>
                <w:szCs w:val="24"/>
                <w:lang w:eastAsia="en-IN"/>
              </w:rPr>
              <w:t>fasciata</w:t>
            </w:r>
            <w:proofErr w:type="spellEnd"/>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Fin</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NRFC039</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CFF</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9C67E7" w:rsidRDefault="00425AB9" w:rsidP="001A33B5">
            <w:pPr>
              <w:rPr>
                <w:rFonts w:ascii="Times New Roman" w:eastAsia="Times New Roman" w:hAnsi="Times New Roman" w:cs="Times New Roman"/>
                <w:color w:val="000000"/>
                <w:sz w:val="24"/>
                <w:szCs w:val="24"/>
                <w:lang w:eastAsia="en-IN"/>
              </w:rPr>
            </w:pPr>
            <w:proofErr w:type="spellStart"/>
            <w:r w:rsidRPr="009C67E7">
              <w:rPr>
                <w:rFonts w:ascii="Times New Roman" w:eastAsia="Times New Roman" w:hAnsi="Times New Roman" w:cs="Times New Roman"/>
                <w:i/>
                <w:iCs/>
                <w:color w:val="000000"/>
                <w:sz w:val="24"/>
                <w:szCs w:val="24"/>
                <w:lang w:eastAsia="en-IN"/>
              </w:rPr>
              <w:t>Pseudetroplus</w:t>
            </w:r>
            <w:proofErr w:type="spellEnd"/>
            <w:r w:rsidRPr="009C67E7">
              <w:rPr>
                <w:rFonts w:ascii="Times New Roman" w:eastAsia="Times New Roman" w:hAnsi="Times New Roman" w:cs="Times New Roman"/>
                <w:i/>
                <w:iCs/>
                <w:color w:val="000000"/>
                <w:sz w:val="24"/>
                <w:szCs w:val="24"/>
                <w:lang w:eastAsia="en-IN"/>
              </w:rPr>
              <w:t xml:space="preserve"> </w:t>
            </w:r>
            <w:proofErr w:type="spellStart"/>
            <w:r w:rsidRPr="009C67E7">
              <w:rPr>
                <w:rFonts w:ascii="Times New Roman" w:eastAsia="Times New Roman" w:hAnsi="Times New Roman" w:cs="Times New Roman"/>
                <w:i/>
                <w:iCs/>
                <w:color w:val="000000"/>
                <w:sz w:val="24"/>
                <w:szCs w:val="24"/>
                <w:lang w:eastAsia="en-IN"/>
              </w:rPr>
              <w:t>maculatus</w:t>
            </w:r>
            <w:proofErr w:type="spellEnd"/>
          </w:p>
        </w:tc>
        <w:tc>
          <w:tcPr>
            <w:tcW w:w="2551" w:type="dxa"/>
            <w:hideMark/>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Fin</w:t>
            </w:r>
          </w:p>
        </w:tc>
        <w:tc>
          <w:tcPr>
            <w:tcW w:w="127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NRFC076</w:t>
            </w:r>
          </w:p>
        </w:tc>
        <w:tc>
          <w:tcPr>
            <w:tcW w:w="136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OCF</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781D00" w:rsidRDefault="00425AB9" w:rsidP="001A33B5">
            <w:pPr>
              <w:rPr>
                <w:rFonts w:ascii="Times New Roman" w:eastAsia="Times New Roman" w:hAnsi="Times New Roman" w:cs="Times New Roman"/>
                <w:color w:val="000000"/>
                <w:sz w:val="24"/>
                <w:szCs w:val="24"/>
                <w:lang w:eastAsia="en-IN"/>
              </w:rPr>
            </w:pPr>
            <w:proofErr w:type="spellStart"/>
            <w:r w:rsidRPr="00781D00">
              <w:rPr>
                <w:rFonts w:ascii="Times New Roman" w:eastAsia="Times New Roman" w:hAnsi="Times New Roman" w:cs="Times New Roman"/>
                <w:i/>
                <w:iCs/>
                <w:color w:val="000000"/>
                <w:sz w:val="24"/>
                <w:szCs w:val="24"/>
                <w:lang w:eastAsia="en-IN"/>
              </w:rPr>
              <w:t>Pterophyllum</w:t>
            </w:r>
            <w:proofErr w:type="spellEnd"/>
            <w:r w:rsidRPr="00781D00">
              <w:rPr>
                <w:rFonts w:ascii="Times New Roman" w:eastAsia="Times New Roman" w:hAnsi="Times New Roman" w:cs="Times New Roman"/>
                <w:i/>
                <w:iCs/>
                <w:color w:val="000000"/>
                <w:sz w:val="24"/>
                <w:szCs w:val="24"/>
                <w:lang w:eastAsia="en-IN"/>
              </w:rPr>
              <w:t xml:space="preserve"> </w:t>
            </w:r>
            <w:proofErr w:type="spellStart"/>
            <w:r w:rsidRPr="00781D00">
              <w:rPr>
                <w:rFonts w:ascii="Times New Roman" w:eastAsia="Times New Roman" w:hAnsi="Times New Roman" w:cs="Times New Roman"/>
                <w:i/>
                <w:iCs/>
                <w:color w:val="000000"/>
                <w:sz w:val="24"/>
                <w:szCs w:val="24"/>
                <w:lang w:eastAsia="en-IN"/>
              </w:rPr>
              <w:t>scalare</w:t>
            </w:r>
            <w:proofErr w:type="spellEnd"/>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Fin</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NRFC051</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AFF</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val="restart"/>
            <w:hideMark/>
          </w:tcPr>
          <w:p w:rsidR="00425AB9" w:rsidRPr="009C67E7" w:rsidRDefault="00425AB9" w:rsidP="001A33B5">
            <w:pPr>
              <w:rPr>
                <w:rFonts w:ascii="Times New Roman" w:eastAsia="Times New Roman" w:hAnsi="Times New Roman" w:cs="Times New Roman"/>
                <w:color w:val="000000"/>
                <w:sz w:val="24"/>
                <w:szCs w:val="24"/>
                <w:lang w:eastAsia="en-IN"/>
              </w:rPr>
            </w:pPr>
            <w:proofErr w:type="spellStart"/>
            <w:r w:rsidRPr="009C67E7">
              <w:rPr>
                <w:rFonts w:ascii="Times New Roman" w:eastAsia="Times New Roman" w:hAnsi="Times New Roman" w:cs="Times New Roman"/>
                <w:i/>
                <w:iCs/>
                <w:color w:val="000000"/>
                <w:sz w:val="24"/>
                <w:szCs w:val="24"/>
                <w:lang w:eastAsia="en-IN"/>
              </w:rPr>
              <w:t>Schizothorax</w:t>
            </w:r>
            <w:proofErr w:type="spellEnd"/>
            <w:r w:rsidRPr="009C67E7">
              <w:rPr>
                <w:rFonts w:ascii="Times New Roman" w:eastAsia="Times New Roman" w:hAnsi="Times New Roman" w:cs="Times New Roman"/>
                <w:i/>
                <w:iCs/>
                <w:color w:val="000000"/>
                <w:sz w:val="24"/>
                <w:szCs w:val="24"/>
                <w:lang w:eastAsia="en-IN"/>
              </w:rPr>
              <w:t xml:space="preserve"> </w:t>
            </w:r>
            <w:proofErr w:type="spellStart"/>
            <w:r w:rsidRPr="009C67E7">
              <w:rPr>
                <w:rFonts w:ascii="Times New Roman" w:eastAsia="Times New Roman" w:hAnsi="Times New Roman" w:cs="Times New Roman"/>
                <w:i/>
                <w:iCs/>
                <w:color w:val="000000"/>
                <w:sz w:val="24"/>
                <w:szCs w:val="24"/>
                <w:lang w:eastAsia="en-IN"/>
              </w:rPr>
              <w:t>richardsonii</w:t>
            </w:r>
            <w:proofErr w:type="spellEnd"/>
          </w:p>
        </w:tc>
        <w:tc>
          <w:tcPr>
            <w:tcW w:w="2551" w:type="dxa"/>
            <w:hideMark/>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Eye</w:t>
            </w:r>
          </w:p>
        </w:tc>
        <w:tc>
          <w:tcPr>
            <w:tcW w:w="127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NRFC060</w:t>
            </w:r>
          </w:p>
        </w:tc>
        <w:tc>
          <w:tcPr>
            <w:tcW w:w="136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SREM-1</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vMerge/>
            <w:hideMark/>
          </w:tcPr>
          <w:p w:rsidR="00425AB9" w:rsidRPr="009C67E7" w:rsidRDefault="00425AB9" w:rsidP="001A33B5">
            <w:pPr>
              <w:rPr>
                <w:rFonts w:ascii="Times New Roman" w:eastAsia="Times New Roman" w:hAnsi="Times New Roman" w:cs="Times New Roman"/>
                <w:color w:val="000000"/>
                <w:sz w:val="24"/>
                <w:szCs w:val="24"/>
                <w:lang w:eastAsia="en-IN"/>
              </w:rPr>
            </w:pPr>
          </w:p>
        </w:tc>
        <w:tc>
          <w:tcPr>
            <w:tcW w:w="2551" w:type="dxa"/>
            <w:hideMark/>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Muscle</w:t>
            </w:r>
          </w:p>
        </w:tc>
        <w:tc>
          <w:tcPr>
            <w:tcW w:w="127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NRFC079</w:t>
            </w:r>
          </w:p>
        </w:tc>
        <w:tc>
          <w:tcPr>
            <w:tcW w:w="136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SRM-1</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i/>
                <w:iCs/>
                <w:color w:val="000000"/>
                <w:sz w:val="24"/>
                <w:szCs w:val="24"/>
                <w:lang w:eastAsia="en-IN"/>
              </w:rPr>
              <w:t xml:space="preserve">Tor </w:t>
            </w:r>
            <w:proofErr w:type="spellStart"/>
            <w:r w:rsidRPr="00781D00">
              <w:rPr>
                <w:rFonts w:ascii="Times New Roman" w:eastAsia="Times New Roman" w:hAnsi="Times New Roman" w:cs="Times New Roman"/>
                <w:i/>
                <w:iCs/>
                <w:color w:val="000000"/>
                <w:sz w:val="24"/>
                <w:szCs w:val="24"/>
                <w:lang w:eastAsia="en-IN"/>
              </w:rPr>
              <w:t>tor</w:t>
            </w:r>
            <w:proofErr w:type="spellEnd"/>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Fin</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NRFC003</w:t>
            </w:r>
          </w:p>
        </w:tc>
        <w:tc>
          <w:tcPr>
            <w:tcW w:w="136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TTCF</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9C67E7" w:rsidRDefault="00425AB9" w:rsidP="001A33B5">
            <w:pPr>
              <w:rPr>
                <w:rFonts w:ascii="Times New Roman" w:eastAsia="Times New Roman" w:hAnsi="Times New Roman" w:cs="Times New Roman"/>
                <w:color w:val="000000"/>
                <w:sz w:val="24"/>
                <w:szCs w:val="24"/>
                <w:lang w:eastAsia="en-IN"/>
              </w:rPr>
            </w:pPr>
            <w:proofErr w:type="spellStart"/>
            <w:r w:rsidRPr="009C67E7">
              <w:rPr>
                <w:rFonts w:ascii="Times New Roman" w:eastAsia="Times New Roman" w:hAnsi="Times New Roman" w:cs="Times New Roman"/>
                <w:i/>
                <w:iCs/>
                <w:color w:val="000000"/>
                <w:sz w:val="24"/>
                <w:szCs w:val="24"/>
                <w:lang w:eastAsia="en-IN"/>
              </w:rPr>
              <w:t>Trichopodus</w:t>
            </w:r>
            <w:proofErr w:type="spellEnd"/>
            <w:r w:rsidRPr="009C67E7">
              <w:rPr>
                <w:rFonts w:ascii="Times New Roman" w:eastAsia="Times New Roman" w:hAnsi="Times New Roman" w:cs="Times New Roman"/>
                <w:i/>
                <w:iCs/>
                <w:color w:val="000000"/>
                <w:sz w:val="24"/>
                <w:szCs w:val="24"/>
                <w:lang w:eastAsia="en-IN"/>
              </w:rPr>
              <w:t xml:space="preserve"> </w:t>
            </w:r>
            <w:proofErr w:type="spellStart"/>
            <w:r w:rsidRPr="009C67E7">
              <w:rPr>
                <w:rFonts w:ascii="Times New Roman" w:eastAsia="Times New Roman" w:hAnsi="Times New Roman" w:cs="Times New Roman"/>
                <w:i/>
                <w:iCs/>
                <w:color w:val="000000"/>
                <w:sz w:val="24"/>
                <w:szCs w:val="24"/>
                <w:lang w:eastAsia="en-IN"/>
              </w:rPr>
              <w:t>trichopterus</w:t>
            </w:r>
            <w:proofErr w:type="spellEnd"/>
          </w:p>
        </w:tc>
        <w:tc>
          <w:tcPr>
            <w:tcW w:w="2551" w:type="dxa"/>
            <w:hideMark/>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Heart</w:t>
            </w:r>
          </w:p>
        </w:tc>
        <w:tc>
          <w:tcPr>
            <w:tcW w:w="127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NRFC081</w:t>
            </w:r>
          </w:p>
        </w:tc>
        <w:tc>
          <w:tcPr>
            <w:tcW w:w="1366" w:type="dxa"/>
          </w:tcPr>
          <w:p w:rsidR="00425AB9" w:rsidRPr="009C67E7" w:rsidRDefault="00425AB9" w:rsidP="001A33B5">
            <w:pPr>
              <w:rPr>
                <w:rFonts w:ascii="Times New Roman" w:eastAsia="Times New Roman" w:hAnsi="Times New Roman" w:cs="Times New Roman"/>
                <w:color w:val="000000"/>
                <w:sz w:val="24"/>
                <w:szCs w:val="24"/>
                <w:lang w:eastAsia="en-IN"/>
              </w:rPr>
            </w:pPr>
            <w:r w:rsidRPr="009C67E7">
              <w:rPr>
                <w:rFonts w:ascii="Times New Roman" w:eastAsia="Times New Roman" w:hAnsi="Times New Roman" w:cs="Times New Roman"/>
                <w:color w:val="000000"/>
                <w:sz w:val="24"/>
                <w:szCs w:val="24"/>
                <w:lang w:eastAsia="en-IN"/>
              </w:rPr>
              <w:t>TSGH</w:t>
            </w:r>
          </w:p>
        </w:tc>
      </w:tr>
      <w:tr w:rsidR="00425AB9" w:rsidRPr="00781D00" w:rsidTr="001A33B5">
        <w:tc>
          <w:tcPr>
            <w:tcW w:w="864" w:type="dxa"/>
          </w:tcPr>
          <w:p w:rsidR="00425AB9" w:rsidRPr="00781D00" w:rsidRDefault="00425AB9" w:rsidP="00425AB9">
            <w:pPr>
              <w:pStyle w:val="ListParagraph"/>
              <w:numPr>
                <w:ilvl w:val="0"/>
                <w:numId w:val="1"/>
              </w:numPr>
              <w:rPr>
                <w:rFonts w:ascii="Times New Roman" w:eastAsia="Times New Roman" w:hAnsi="Times New Roman" w:cs="Times New Roman"/>
                <w:iCs/>
                <w:color w:val="000000"/>
                <w:sz w:val="24"/>
                <w:szCs w:val="24"/>
                <w:lang w:eastAsia="en-IN"/>
              </w:rPr>
            </w:pPr>
          </w:p>
        </w:tc>
        <w:tc>
          <w:tcPr>
            <w:tcW w:w="2959"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i/>
                <w:iCs/>
                <w:color w:val="000000"/>
                <w:sz w:val="24"/>
                <w:szCs w:val="24"/>
                <w:lang w:eastAsia="en-IN"/>
              </w:rPr>
              <w:t xml:space="preserve">Wallago </w:t>
            </w:r>
            <w:proofErr w:type="spellStart"/>
            <w:r w:rsidRPr="00781D00">
              <w:rPr>
                <w:rFonts w:ascii="Times New Roman" w:eastAsia="Times New Roman" w:hAnsi="Times New Roman" w:cs="Times New Roman"/>
                <w:i/>
                <w:iCs/>
                <w:color w:val="000000"/>
                <w:sz w:val="24"/>
                <w:szCs w:val="24"/>
                <w:lang w:eastAsia="en-IN"/>
              </w:rPr>
              <w:t>attu</w:t>
            </w:r>
            <w:proofErr w:type="spellEnd"/>
          </w:p>
        </w:tc>
        <w:tc>
          <w:tcPr>
            <w:tcW w:w="2551" w:type="dxa"/>
            <w:hideMark/>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Gill</w:t>
            </w:r>
          </w:p>
        </w:tc>
        <w:tc>
          <w:tcPr>
            <w:tcW w:w="1276" w:type="dxa"/>
          </w:tcPr>
          <w:p w:rsidR="00425AB9" w:rsidRPr="00781D00" w:rsidRDefault="00425AB9" w:rsidP="001A33B5">
            <w:pPr>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NRFC048</w:t>
            </w:r>
          </w:p>
        </w:tc>
        <w:tc>
          <w:tcPr>
            <w:tcW w:w="1366" w:type="dxa"/>
          </w:tcPr>
          <w:p w:rsidR="00425AB9" w:rsidRPr="00781D00" w:rsidRDefault="00425AB9" w:rsidP="001A33B5">
            <w:pPr>
              <w:keepNext/>
              <w:rPr>
                <w:rFonts w:ascii="Times New Roman" w:eastAsia="Times New Roman" w:hAnsi="Times New Roman" w:cs="Times New Roman"/>
                <w:color w:val="000000"/>
                <w:sz w:val="24"/>
                <w:szCs w:val="24"/>
                <w:lang w:eastAsia="en-IN"/>
              </w:rPr>
            </w:pPr>
            <w:r w:rsidRPr="00781D00">
              <w:rPr>
                <w:rFonts w:ascii="Times New Roman" w:eastAsia="Times New Roman" w:hAnsi="Times New Roman" w:cs="Times New Roman"/>
                <w:color w:val="000000"/>
                <w:sz w:val="24"/>
                <w:szCs w:val="24"/>
                <w:lang w:eastAsia="en-IN"/>
              </w:rPr>
              <w:t>WAG</w:t>
            </w:r>
          </w:p>
        </w:tc>
      </w:tr>
    </w:tbl>
    <w:p w:rsidR="00425AB9" w:rsidRPr="00781D00" w:rsidRDefault="00425AB9" w:rsidP="00425AB9">
      <w:pPr>
        <w:pStyle w:val="Caption"/>
        <w:rPr>
          <w:rFonts w:ascii="Times New Roman" w:hAnsi="Times New Roman" w:cs="Times New Roman"/>
          <w:b/>
          <w:i w:val="0"/>
          <w:color w:val="000000" w:themeColor="text1"/>
          <w:sz w:val="24"/>
          <w:szCs w:val="24"/>
        </w:rPr>
      </w:pPr>
    </w:p>
    <w:p w:rsidR="00BC7BF2" w:rsidRPr="005952A2" w:rsidRDefault="00B6336B" w:rsidP="00D23B4B">
      <w:pPr>
        <w:pStyle w:val="Heading1"/>
        <w:spacing w:line="360" w:lineRule="auto"/>
        <w:rPr>
          <w:rFonts w:ascii="Times New Roman" w:hAnsi="Times New Roman" w:cs="Times New Roman"/>
          <w:b/>
          <w:color w:val="000000" w:themeColor="text1"/>
          <w:sz w:val="24"/>
          <w:szCs w:val="24"/>
          <w:shd w:val="clear" w:color="auto" w:fill="FFFFFF"/>
        </w:rPr>
      </w:pPr>
      <w:r w:rsidRPr="002356E4">
        <w:rPr>
          <w:rFonts w:ascii="Times New Roman" w:hAnsi="Times New Roman" w:cs="Times New Roman"/>
          <w:b/>
          <w:color w:val="000000" w:themeColor="text1"/>
          <w:sz w:val="24"/>
          <w:szCs w:val="24"/>
          <w:shd w:val="clear" w:color="auto" w:fill="FFFFFF"/>
        </w:rPr>
        <w:t>Applications of fish cell cultures</w:t>
      </w:r>
      <w:r w:rsidR="00BC7BF2" w:rsidRPr="002356E4">
        <w:rPr>
          <w:rFonts w:ascii="Times New Roman" w:hAnsi="Times New Roman" w:cs="Times New Roman"/>
          <w:b/>
          <w:color w:val="000000" w:themeColor="text1"/>
          <w:sz w:val="24"/>
          <w:szCs w:val="24"/>
          <w:shd w:val="clear" w:color="auto" w:fill="FFFFFF"/>
        </w:rPr>
        <w:t>-</w:t>
      </w:r>
      <w:r w:rsidR="00BC7BF2" w:rsidRPr="005952A2">
        <w:rPr>
          <w:rFonts w:ascii="Times New Roman" w:hAnsi="Times New Roman" w:cs="Times New Roman"/>
          <w:b/>
          <w:color w:val="000000" w:themeColor="text1"/>
          <w:sz w:val="24"/>
          <w:szCs w:val="24"/>
          <w:shd w:val="clear" w:color="auto" w:fill="FFFFFF"/>
        </w:rPr>
        <w:t xml:space="preserve"> </w:t>
      </w:r>
    </w:p>
    <w:p w:rsidR="005952A2" w:rsidRDefault="002356E4" w:rsidP="00D23B4B">
      <w:pPr>
        <w:autoSpaceDE w:val="0"/>
        <w:autoSpaceDN w:val="0"/>
        <w:adjustRightInd w:val="0"/>
        <w:spacing w:after="0" w:line="360" w:lineRule="auto"/>
        <w:jc w:val="both"/>
        <w:rPr>
          <w:rFonts w:ascii="Times New Roman" w:hAnsi="Times New Roman" w:cs="Times New Roman"/>
          <w:sz w:val="24"/>
          <w:szCs w:val="24"/>
        </w:rPr>
      </w:pPr>
      <w:r w:rsidRPr="002356E4">
        <w:rPr>
          <w:rFonts w:ascii="Times New Roman" w:hAnsi="Times New Roman" w:cs="Times New Roman"/>
          <w:sz w:val="24"/>
          <w:szCs w:val="24"/>
        </w:rPr>
        <w:t>Numerous fish cell lines derived from various fish species have been used in many areas of study, including toxicological studies, immunological research</w:t>
      </w:r>
      <w:r>
        <w:rPr>
          <w:rFonts w:ascii="Times New Roman" w:hAnsi="Times New Roman" w:cs="Times New Roman"/>
          <w:sz w:val="24"/>
          <w:szCs w:val="24"/>
        </w:rPr>
        <w:t>, genetic engineering, genetics</w:t>
      </w:r>
      <w:r w:rsidRPr="002356E4">
        <w:rPr>
          <w:rFonts w:ascii="Times New Roman" w:hAnsi="Times New Roman" w:cs="Times New Roman"/>
          <w:sz w:val="24"/>
          <w:szCs w:val="24"/>
        </w:rPr>
        <w:t>, endocrine disorders, medical research and disease control, biotechnol</w:t>
      </w:r>
      <w:r>
        <w:rPr>
          <w:rFonts w:ascii="Times New Roman" w:hAnsi="Times New Roman" w:cs="Times New Roman"/>
          <w:sz w:val="24"/>
          <w:szCs w:val="24"/>
        </w:rPr>
        <w:t>ogy, and radiation biology</w:t>
      </w:r>
      <w:r w:rsidRPr="002356E4">
        <w:rPr>
          <w:rFonts w:ascii="Times New Roman" w:hAnsi="Times New Roman" w:cs="Times New Roman"/>
          <w:sz w:val="24"/>
          <w:szCs w:val="24"/>
        </w:rPr>
        <w:t xml:space="preserve"> </w:t>
      </w:r>
      <w:r w:rsidR="00240DA1">
        <w:rPr>
          <w:rFonts w:ascii="Times New Roman" w:hAnsi="Times New Roman" w:cs="Times New Roman"/>
          <w:sz w:val="24"/>
          <w:szCs w:val="24"/>
        </w:rPr>
        <w:fldChar w:fldCharType="begin" w:fldLock="1"/>
      </w:r>
      <w:r w:rsidR="00240DA1">
        <w:rPr>
          <w:rFonts w:ascii="Times New Roman" w:hAnsi="Times New Roman" w:cs="Times New Roman"/>
          <w:sz w:val="24"/>
          <w:szCs w:val="24"/>
        </w:rPr>
        <w:instrText>ADDIN CSL_CITATION {"citationItems":[{"id":"ITEM-1","itemData":{"DOI":"10.1016/j.dci.2017.01.013","ISSN":"1879-0089 (Electronic)","PMID":"28108246","abstract":"As fish farming continues to increase worldwide, the related research areas of  fish disease and immunology are also expanding, aided by the revolution in access to genomic information and molecular technology. The genomes of most fish species of economic importance are now available and annotation based on sequence homology with characterised genomes is underway. However, while useful, functional homology is more difficult to determine, there being a lack of widely distributed and well characterised reagents such as monoclonal antibodies, traditionally used in mammalian studies, to help with confirming functions and cellular interactions of fish molecules. In this context, fish cell lines and the possibility of their genetic engineering offer good prospects for studying functional genomics with respect to fish diseases. In this review, we will give an overview of available permanently genetically engineered fish cell lines, as cell-based reporter systems or platforms for expression of endogenous immune or pathogen genes, to investigate interactions and function. The advantages of such systems and the technical challenge for their development will be discussed.","author":[{"dropping-particle":"","family":"Collet","given":"Bertrand","non-dropping-particle":"","parse-names":false,"suffix":""},{"dropping-particle":"","family":"Collins","given":"Catherine","non-dropping-particle":"","parse-names":false,"suffix":""},{"dropping-particle":"","family":"Lester","given":"Katherine","non-dropping-particle":"","parse-names":false,"suffix":""}],"container-title":"Developmental and comparative immunology","id":"ITEM-1","issued":{"date-parts":[["2018","3"]]},"language":"eng","page":"34-40","publisher-place":"United States","title":"Engineered cell lines for fish health research.","type":"article-journal","volume":"80"},"uris":["http://www.mendeley.com/documents/?uuid=2c30e678-48bc-4b93-a65c-d989670c8792"]}],"mendeley":{"formattedCitation":"(Collet et al., 2018)","plainTextFormattedCitation":"(Collet et al., 2018)","previouslyFormattedCitation":"(Collet et al., 2018)"},"properties":{"noteIndex":0},"schema":"https://github.com/citation-style-language/schema/raw/master/csl-citation.json"}</w:instrText>
      </w:r>
      <w:r w:rsidR="00240DA1">
        <w:rPr>
          <w:rFonts w:ascii="Times New Roman" w:hAnsi="Times New Roman" w:cs="Times New Roman"/>
          <w:sz w:val="24"/>
          <w:szCs w:val="24"/>
        </w:rPr>
        <w:fldChar w:fldCharType="separate"/>
      </w:r>
      <w:r w:rsidR="00240DA1" w:rsidRPr="00240DA1">
        <w:rPr>
          <w:rFonts w:ascii="Times New Roman" w:hAnsi="Times New Roman" w:cs="Times New Roman"/>
          <w:noProof/>
          <w:sz w:val="24"/>
          <w:szCs w:val="24"/>
        </w:rPr>
        <w:t>(Collet et al., 2018)</w:t>
      </w:r>
      <w:r w:rsidR="00240DA1">
        <w:rPr>
          <w:rFonts w:ascii="Times New Roman" w:hAnsi="Times New Roman" w:cs="Times New Roman"/>
          <w:sz w:val="24"/>
          <w:szCs w:val="24"/>
        </w:rPr>
        <w:fldChar w:fldCharType="end"/>
      </w:r>
      <w:r w:rsidR="00240DA1">
        <w:rPr>
          <w:rFonts w:ascii="Times New Roman" w:hAnsi="Times New Roman" w:cs="Times New Roman"/>
          <w:color w:val="2F5496" w:themeColor="accent5" w:themeShade="BF"/>
          <w:sz w:val="24"/>
          <w:szCs w:val="24"/>
        </w:rPr>
        <w:t>.</w:t>
      </w:r>
      <w:r w:rsidR="00057A79" w:rsidRPr="00057A79">
        <w:t xml:space="preserve"> </w:t>
      </w:r>
      <w:r w:rsidR="005952A2" w:rsidRPr="005952A2">
        <w:rPr>
          <w:rFonts w:ascii="Times New Roman" w:hAnsi="Times New Roman" w:cs="Times New Roman"/>
          <w:sz w:val="24"/>
          <w:szCs w:val="24"/>
        </w:rPr>
        <w:t xml:space="preserve">Due to growing concerns about animal welfare, there is </w:t>
      </w:r>
      <w:r w:rsidR="005952A2" w:rsidRPr="005952A2">
        <w:rPr>
          <w:rFonts w:ascii="Times New Roman" w:hAnsi="Times New Roman" w:cs="Times New Roman"/>
          <w:sz w:val="24"/>
          <w:szCs w:val="24"/>
        </w:rPr>
        <w:lastRenderedPageBreak/>
        <w:t>a greater need than ever to find alternatives to employing animals in research, and cell cultures may be the best option. Established cell lines typically originate from cancerous tumours (malignant tumours), spontaneous transformation, or oncogenic cells. Fis</w:t>
      </w:r>
      <w:r w:rsidR="005952A2">
        <w:rPr>
          <w:rFonts w:ascii="Times New Roman" w:hAnsi="Times New Roman" w:cs="Times New Roman"/>
          <w:sz w:val="24"/>
          <w:szCs w:val="24"/>
        </w:rPr>
        <w:t>h cell cultures are</w:t>
      </w:r>
      <w:r w:rsidR="005952A2" w:rsidRPr="005952A2">
        <w:rPr>
          <w:rFonts w:ascii="Times New Roman" w:hAnsi="Times New Roman" w:cs="Times New Roman"/>
          <w:sz w:val="24"/>
          <w:szCs w:val="24"/>
        </w:rPr>
        <w:t xml:space="preserve"> often employed as model systems, for in vitro research, and for the large-scale production of biologicals due to an increase in their utilisation in recent years. Several applications for fish cell cultures are listed below.</w:t>
      </w:r>
    </w:p>
    <w:p w:rsidR="005952A2" w:rsidRDefault="005952A2" w:rsidP="00D23B4B">
      <w:pPr>
        <w:autoSpaceDE w:val="0"/>
        <w:autoSpaceDN w:val="0"/>
        <w:adjustRightInd w:val="0"/>
        <w:spacing w:after="0" w:line="360" w:lineRule="auto"/>
        <w:jc w:val="both"/>
        <w:rPr>
          <w:rFonts w:ascii="Times New Roman" w:hAnsi="Times New Roman" w:cs="Times New Roman"/>
          <w:sz w:val="24"/>
          <w:szCs w:val="24"/>
        </w:rPr>
      </w:pPr>
    </w:p>
    <w:p w:rsidR="005952A2" w:rsidRDefault="00A5542B" w:rsidP="00D23B4B">
      <w:pPr>
        <w:autoSpaceDE w:val="0"/>
        <w:autoSpaceDN w:val="0"/>
        <w:adjustRightInd w:val="0"/>
        <w:spacing w:after="0" w:line="360" w:lineRule="auto"/>
        <w:jc w:val="both"/>
        <w:rPr>
          <w:rFonts w:ascii="Times New Roman" w:eastAsiaTheme="majorEastAsia" w:hAnsi="Times New Roman" w:cs="Times New Roman"/>
          <w:b/>
          <w:color w:val="000000" w:themeColor="text1"/>
          <w:sz w:val="24"/>
          <w:szCs w:val="24"/>
          <w:shd w:val="clear" w:color="auto" w:fill="FFFFFF"/>
        </w:rPr>
      </w:pPr>
      <w:r w:rsidRPr="005952A2">
        <w:rPr>
          <w:rFonts w:ascii="Times New Roman" w:eastAsiaTheme="majorEastAsia" w:hAnsi="Times New Roman" w:cs="Times New Roman"/>
          <w:b/>
          <w:color w:val="000000" w:themeColor="text1"/>
          <w:sz w:val="24"/>
          <w:szCs w:val="24"/>
          <w:shd w:val="clear" w:color="auto" w:fill="FFFFFF"/>
        </w:rPr>
        <w:t xml:space="preserve">Fish cell lines as </w:t>
      </w:r>
      <w:r w:rsidR="00B6336B" w:rsidRPr="005952A2">
        <w:rPr>
          <w:rFonts w:ascii="Times New Roman" w:eastAsiaTheme="majorEastAsia" w:hAnsi="Times New Roman" w:cs="Times New Roman"/>
          <w:b/>
          <w:color w:val="000000" w:themeColor="text1"/>
          <w:sz w:val="24"/>
          <w:szCs w:val="24"/>
          <w:shd w:val="clear" w:color="auto" w:fill="FFFFFF"/>
        </w:rPr>
        <w:t>Model systems</w:t>
      </w:r>
    </w:p>
    <w:p w:rsidR="00B6336B" w:rsidRPr="00563750" w:rsidRDefault="0097099E" w:rsidP="00D23B4B">
      <w:pPr>
        <w:autoSpaceDE w:val="0"/>
        <w:autoSpaceDN w:val="0"/>
        <w:adjustRightInd w:val="0"/>
        <w:spacing w:after="0" w:line="360" w:lineRule="auto"/>
        <w:jc w:val="both"/>
        <w:rPr>
          <w:rFonts w:ascii="Times New Roman" w:hAnsi="Times New Roman" w:cs="Times New Roman"/>
          <w:sz w:val="24"/>
          <w:szCs w:val="24"/>
        </w:rPr>
      </w:pPr>
      <w:r w:rsidRPr="0097099E">
        <w:rPr>
          <w:rFonts w:ascii="Times New Roman" w:hAnsi="Times New Roman" w:cs="Times New Roman"/>
          <w:sz w:val="24"/>
          <w:szCs w:val="24"/>
        </w:rPr>
        <w:t>For a variety of in vitro studies in the biological sciences, fish cell lines have shown to be a great platform. It differs from mammalian cell lines in that they have more adaptable culture schedules, which makes it a useful tool for many in vitro fisheries investigations. Fish cell cultures provide great research models because they mimic the host species in vivo</w:t>
      </w:r>
      <w:r w:rsidR="00B6336B" w:rsidRPr="00C23AEB">
        <w:rPr>
          <w:rFonts w:ascii="Times New Roman" w:hAnsi="Times New Roman" w:cs="Times New Roman"/>
          <w:sz w:val="24"/>
          <w:szCs w:val="24"/>
        </w:rPr>
        <w:t xml:space="preserve">. </w:t>
      </w:r>
      <w:r w:rsidRPr="0097099E">
        <w:rPr>
          <w:rFonts w:ascii="Times New Roman" w:hAnsi="Times New Roman" w:cs="Times New Roman"/>
          <w:sz w:val="24"/>
          <w:szCs w:val="24"/>
        </w:rPr>
        <w:t xml:space="preserve">However, it is simple to manipulate a cell's genetic makeup in order to analyse how certain genes and/or proteins express themselves differently. Results consistency and repeatability are further benefits. For studying viral genetics and replication as well as for creating experimental vaccines for use in aquaculture, in vitro models have been employed. Studies on in vivo development were found to be supplemented by fish cell lines, demonstrating the importance of signalling pathways in the developmental processes </w:t>
      </w:r>
      <w:r w:rsidR="00240DA1">
        <w:rPr>
          <w:rFonts w:ascii="Times New Roman" w:hAnsi="Times New Roman" w:cs="Times New Roman"/>
          <w:sz w:val="24"/>
          <w:szCs w:val="24"/>
        </w:rPr>
        <w:fldChar w:fldCharType="begin" w:fldLock="1"/>
      </w:r>
      <w:r w:rsidR="00C9116F">
        <w:rPr>
          <w:rFonts w:ascii="Times New Roman" w:hAnsi="Times New Roman" w:cs="Times New Roman"/>
          <w:sz w:val="24"/>
          <w:szCs w:val="24"/>
        </w:rPr>
        <w:instrText>ADDIN CSL_CITATION {"citationItems":[{"id":"ITEM-1","itemData":{"author":[{"dropping-particle":"","family":"Bloch","given":"Sophia R","non-dropping-particle":"","parse-names":false,"suffix":""},{"dropping-particle":"","family":"Vo","given":"Nguyen T K","non-dropping-particle":"","parse-names":false,"suffix":""},{"dropping-particle":"","family":"Walsh","given":"Sarah K","non-dropping-particle":"","parse-names":false,"suffix":""},{"dropping-particle":"","family":"Chen","given":"Cici","non-dropping-particle":"","parse-names":false,"suffix":""},{"dropping-particle":"","family":"Lee","given":"Lucy E J","non-dropping-particle":"","parse-names":false,"suffix":""},{"dropping-particle":"V","family":"Hodson","given":"Peter","non-dropping-particle":"","parse-names":false,"suffix":""},{"dropping-particle":"","family":"Bols","given":"Niels C","non-dropping-particle":"","parse-names":false,"suffix":""}],"container-title":"In Vitro Cellular \\&amp; Developmental Biology - Animal","id":"ITEM-1","issued":{"date-parts":[["2015"]]},"page":"395-409","title":"Development of a cell line from the American eel brain expressing endothelial cell properties","type":"article-journal","volume":"52"},"uris":["http://www.mendeley.com/documents/?uuid=37a923fc-77d8-4d85-862d-95ab070d54d3"]}],"mendeley":{"formattedCitation":"(Bloch et al., 2015)","plainTextFormattedCitation":"(Bloch et al., 2015)","previouslyFormattedCitation":"(Bloch et al., 2015)"},"properties":{"noteIndex":0},"schema":"https://github.com/citation-style-language/schema/raw/master/csl-citation.json"}</w:instrText>
      </w:r>
      <w:r w:rsidR="00240DA1">
        <w:rPr>
          <w:rFonts w:ascii="Times New Roman" w:hAnsi="Times New Roman" w:cs="Times New Roman"/>
          <w:sz w:val="24"/>
          <w:szCs w:val="24"/>
        </w:rPr>
        <w:fldChar w:fldCharType="separate"/>
      </w:r>
      <w:r w:rsidR="00240DA1" w:rsidRPr="00240DA1">
        <w:rPr>
          <w:rFonts w:ascii="Times New Roman" w:hAnsi="Times New Roman" w:cs="Times New Roman"/>
          <w:noProof/>
          <w:sz w:val="24"/>
          <w:szCs w:val="24"/>
        </w:rPr>
        <w:t>(Bloch et al., 2015)</w:t>
      </w:r>
      <w:r w:rsidR="00240DA1">
        <w:rPr>
          <w:rFonts w:ascii="Times New Roman" w:hAnsi="Times New Roman" w:cs="Times New Roman"/>
          <w:sz w:val="24"/>
          <w:szCs w:val="24"/>
        </w:rPr>
        <w:fldChar w:fldCharType="end"/>
      </w:r>
      <w:r w:rsidR="00240DA1">
        <w:rPr>
          <w:rFonts w:ascii="Times New Roman" w:hAnsi="Times New Roman" w:cs="Times New Roman"/>
          <w:sz w:val="24"/>
          <w:szCs w:val="24"/>
        </w:rPr>
        <w:t xml:space="preserve">. </w:t>
      </w:r>
      <w:r w:rsidR="00B6336B" w:rsidRPr="00C23AEB">
        <w:rPr>
          <w:rFonts w:ascii="Times New Roman" w:hAnsi="Times New Roman" w:cs="Times New Roman"/>
          <w:sz w:val="24"/>
          <w:szCs w:val="24"/>
        </w:rPr>
        <w:t xml:space="preserve"> </w:t>
      </w:r>
      <w:r w:rsidR="002356E4" w:rsidRPr="002356E4">
        <w:rPr>
          <w:rFonts w:ascii="Times New Roman" w:hAnsi="Times New Roman" w:cs="Times New Roman"/>
          <w:sz w:val="24"/>
          <w:szCs w:val="24"/>
        </w:rPr>
        <w:t>The increased use of cell cultures as model systems has been beneficial for the study of basic cell and molecular biology processes, physiological science, cellular interactions, signalling pathways, expression profiling, apoptotic pathways, interactions with infectious agents, drug effects, metabolic effects of diet</w:t>
      </w:r>
      <w:r w:rsidR="002356E4">
        <w:rPr>
          <w:rFonts w:ascii="Times New Roman" w:hAnsi="Times New Roman" w:cs="Times New Roman"/>
          <w:sz w:val="24"/>
          <w:szCs w:val="24"/>
        </w:rPr>
        <w:t>ary components, and mutagenesis</w:t>
      </w:r>
      <w:r w:rsidRPr="0097099E">
        <w:rPr>
          <w:rFonts w:ascii="Times New Roman" w:hAnsi="Times New Roman" w:cs="Times New Roman"/>
          <w:sz w:val="24"/>
          <w:szCs w:val="24"/>
        </w:rPr>
        <w:t>. They serve as crucial model systems for research in endocrinology, environmental biology, neuroscience, and embryology. Zebra fish cell lines are a potential in vitro model for studying illnesses and cellular processes due to their ease of manipulation and resemblance with functional genes involved in human diseases</w:t>
      </w:r>
      <w:r w:rsidR="00563750">
        <w:rPr>
          <w:rFonts w:ascii="Times New Roman" w:hAnsi="Times New Roman" w:cs="Times New Roman"/>
          <w:sz w:val="24"/>
          <w:szCs w:val="24"/>
        </w:rPr>
        <w:t xml:space="preserve"> and cellular processes too</w:t>
      </w:r>
      <w:r w:rsidRPr="0097099E">
        <w:rPr>
          <w:rFonts w:ascii="Times New Roman" w:hAnsi="Times New Roman" w:cs="Times New Roman"/>
          <w:sz w:val="24"/>
          <w:szCs w:val="24"/>
        </w:rPr>
        <w:t xml:space="preserve"> </w:t>
      </w:r>
      <w:r w:rsidR="00C9116F">
        <w:rPr>
          <w:rFonts w:ascii="Times New Roman" w:hAnsi="Times New Roman" w:cs="Times New Roman"/>
          <w:sz w:val="24"/>
          <w:szCs w:val="24"/>
        </w:rPr>
        <w:fldChar w:fldCharType="begin" w:fldLock="1"/>
      </w:r>
      <w:r w:rsidR="00C9116F">
        <w:rPr>
          <w:rFonts w:ascii="Times New Roman" w:hAnsi="Times New Roman" w:cs="Times New Roman"/>
          <w:sz w:val="24"/>
          <w:szCs w:val="24"/>
        </w:rPr>
        <w:instrText>ADDIN CSL_CITATION {"citationItems":[{"id":"ITEM-1","itemData":{"DOI":"10.1158/0008-5472.CAN-14-3319","ISSN":"1538-7445 (Electronic)","PMID":"26282170","abstract":"Metastasis is the defining feature of advanced malignancy, yet remains  challenging to study in laboratory environments. Here, we describe a high-throughput zebrafish system for comprehensive, in vivo assessment of metastatic biology. First, we generated several stable cell lines from melanomas of transgenic mitfa-BRAF(V600E);p53(-/-) fish. We then transplanted the melanoma cells into the transparent casper strain to enable highly quantitative measurement of the metastatic process at single-cell resolution. Using computational image analysis of the resulting metastases, we generated a metastasis score, μ, that can be applied to quantitative comparison of metastatic capacity between experimental conditions. Furthermore, image analysis also provided estimates of the frequency of metastasis-initiating cells (</w:instrText>
      </w:r>
      <w:r w:rsidR="00C9116F">
        <w:rPr>
          <w:rFonts w:ascii="Cambria Math" w:hAnsi="Cambria Math" w:cs="Cambria Math"/>
          <w:sz w:val="24"/>
          <w:szCs w:val="24"/>
        </w:rPr>
        <w:instrText>∼</w:instrText>
      </w:r>
      <w:r w:rsidR="00C9116F">
        <w:rPr>
          <w:rFonts w:ascii="Times New Roman" w:hAnsi="Times New Roman" w:cs="Times New Roman"/>
          <w:sz w:val="24"/>
          <w:szCs w:val="24"/>
        </w:rPr>
        <w:instrText>1/120,000 cells). Finally, we determined that the degree of pigmentation is a key feature defining cells with metastatic capability. The small size and rapid generation of progeny combined with superior imaging tools make zebrafish ideal for unbiased high-throughput investigations of cell-intrinsic or microenvironmental modifiers of metastasis. The approaches described here are readily applicable to other tumor types and thus serve to complement studies also employing murine and human cell culture systems.","author":[{"dropping-particle":"","family":"Heilmann","given":"Silja","non-dropping-particle":"","parse-names":false,"suffix":""},{"dropping-particle":"","family":"Ratnakumar","given":"Kajan","non-dropping-particle":"","parse-names":false,"suffix":""},{"dropping-particle":"","family":"Langdon","given":"Erin","non-dropping-particle":"","parse-names":false,"suffix":""},{"dropping-particle":"","family":"Kansler","given":"Emily","non-dropping-particle":"","parse-names":false,"suffix":""},{"dropping-particle":"","family":"Kim","given":"Isabella","non-dropping-particle":"","parse-names":false,"suffix":""},{"dropping-particle":"","family":"Campbell","given":"Nathaniel R","non-dropping-particle":"","parse-names":false,"suffix":""},{"dropping-particle":"","family":"Perry","given":"Elizabeth","non-dropping-particle":"","parse-names":false,"suffix":""},{"dropping-particle":"","family":"McMahon","given":"Amy","non-dropping-particle":"","parse-names":false,"suffix":""},{"dropping-particle":"","family":"Kaufman","given":"Charles","non-dropping-particle":"","parse-names":false,"suffix":""},{"dropping-particle":"","family":"Rooijen","given":"Ellen","non-dropping-particle":"van","parse-names":false,"suffix":""},{"dropping-particle":"","family":"Lee","given":"William","non-dropping-particle":"","parse-names":false,"suffix":""},{"dropping-particle":"","family":"Iacobuzio-Donahue","given":"Christine","non-dropping-particle":"","parse-names":false,"suffix":""},{"dropping-particle":"","family":"Hynes","given":"Richard","non-dropping-particle":"","parse-names":false,"suffix":""},{"dropping-particle":"","family":"Zon","given":"Leonard","non-dropping-particle":"","parse-names":false,"suffix":""},{"dropping-particle":"","family":"Xavier","given":"Joao","non-dropping-particle":"","parse-names":false,"suffix":""},{"dropping-particle":"","family":"White","given":"Richard","non-dropping-particle":"","parse-names":false,"suffix":""}],"container-title":"Cancer research","id":"ITEM-1","issue":"20","issued":{"date-parts":[["2015","10"]]},"language":"eng","page":"4272-4282","publisher-place":"United States","title":"A Quantitative System for Studying Metastasis Using Transparent Zebrafish.","type":"article-journal","volume":"75"},"uris":["http://www.mendeley.com/documents/?uuid=fbc11af3-dbae-427d-a4ed-5c289f2ded79"]}],"mendeley":{"formattedCitation":"(Heilmann et al., 2015)","manualFormatting":"(Heilmann et al., 2015","plainTextFormattedCitation":"(Heilmann et al., 2015)","previouslyFormattedCitation":"(Heilmann et al., 2015)"},"properties":{"noteIndex":0},"schema":"https://github.com/citation-style-language/schema/raw/master/csl-citation.json"}</w:instrText>
      </w:r>
      <w:r w:rsidR="00C9116F">
        <w:rPr>
          <w:rFonts w:ascii="Times New Roman" w:hAnsi="Times New Roman" w:cs="Times New Roman"/>
          <w:sz w:val="24"/>
          <w:szCs w:val="24"/>
        </w:rPr>
        <w:fldChar w:fldCharType="separate"/>
      </w:r>
      <w:r w:rsidR="00C9116F" w:rsidRPr="00C9116F">
        <w:rPr>
          <w:rFonts w:ascii="Times New Roman" w:hAnsi="Times New Roman" w:cs="Times New Roman"/>
          <w:noProof/>
          <w:sz w:val="24"/>
          <w:szCs w:val="24"/>
        </w:rPr>
        <w:t>(Heilmann et al., 2015</w:t>
      </w:r>
      <w:r w:rsidR="00C9116F">
        <w:rPr>
          <w:rFonts w:ascii="Times New Roman" w:hAnsi="Times New Roman" w:cs="Times New Roman"/>
          <w:sz w:val="24"/>
          <w:szCs w:val="24"/>
        </w:rPr>
        <w:fldChar w:fldCharType="end"/>
      </w:r>
      <w:r w:rsidR="00C9116F">
        <w:rPr>
          <w:rFonts w:ascii="Times New Roman" w:hAnsi="Times New Roman" w:cs="Times New Roman"/>
          <w:sz w:val="24"/>
          <w:szCs w:val="24"/>
        </w:rPr>
        <w:t xml:space="preserve">; </w:t>
      </w:r>
      <w:r w:rsidR="00B6336B" w:rsidRPr="00C23AEB">
        <w:rPr>
          <w:rFonts w:ascii="Times New Roman" w:hAnsi="Times New Roman" w:cs="Times New Roman"/>
          <w:sz w:val="24"/>
          <w:szCs w:val="24"/>
        </w:rPr>
        <w:t xml:space="preserve"> </w:t>
      </w:r>
      <w:r w:rsidR="00C9116F">
        <w:rPr>
          <w:rFonts w:ascii="Times New Roman" w:hAnsi="Times New Roman" w:cs="Times New Roman"/>
          <w:sz w:val="24"/>
          <w:szCs w:val="24"/>
        </w:rPr>
        <w:fldChar w:fldCharType="begin" w:fldLock="1"/>
      </w:r>
      <w:r w:rsidR="00C9116F">
        <w:rPr>
          <w:rFonts w:ascii="Times New Roman" w:hAnsi="Times New Roman" w:cs="Times New Roman"/>
          <w:sz w:val="24"/>
          <w:szCs w:val="24"/>
        </w:rPr>
        <w:instrText>ADDIN CSL_CITATION {"citationItems":[{"id":"ITEM-1","itemData":{"DOI":"10.3791/52489","ISSN":"1940-087X (Electronic)","PMID":"25742068","abstract":"Due to their unique motile properties, fish keratocytes dissociated from explant  cultures have long been used to study the mechanisms of single cell migration. However, when explants are established, these cells also move collectively, maintaining many of the features which make individual keratocytes an attractive model to study migration: rapid rates of motility, extensive actin-rich lamellae with a perpendicular actin cable, and relatively constant speed and direction of migration. In early explants, the rapid interconversion of cells migrating individually with those migrating collectively allows the study of the role of cell-cell adhesions in determining the mode of migration, and emphasizes the molecular links between the two modes of migration. Cells in later explants lose their ability to migrate rapidly and collectively as an epithelial to mesenchymal transition occurs and genes associated with wound healing and inflammation are differentially expressed. Thus, keratocyte explants can serve as an in vitro model for the reepithelialization that occurs during cutaneous wound healing and can represent a unique system to study mechanisms of collective cell migration in the context of a defined program of gene expression changes. A variety of mutant and transgenic zebrafish lines are available, which allows explants to be established from fish with different genetic backgrounds. This allows the role of different proteins within these processes to be uniquely addressed. The protocols outlined here describe an easy and effective method for establishing these explant cultures for use in a variety of assays related to collective cell migration.","author":[{"dropping-particle":"","family":"Rapanan","given":"Jose L","non-dropping-particle":"","parse-names":false,"suffix":""},{"dropping-particle":"","family":"Pascual","given":"Agnes S","non-dropping-particle":"","parse-names":false,"suffix":""},{"dropping-particle":"","family":"Uppalapati","given":"Chandana K","non-dropping-particle":"","parse-names":false,"suffix":""},{"dropping-particle":"","family":"Cooper","given":"Kimbal E","non-dropping-particle":"","parse-names":false,"suffix":""},{"dropping-particle":"","family":"Leyva","given":"Kathryn J","non-dropping-particle":"","parse-names":false,"suffix":""},{"dropping-particle":"","family":"Hull","given":"Elizabeth E","non-dropping-particle":"","parse-names":false,"suffix":""}],"container-title":"Journal of visualized experiments : JoVE","id":"ITEM-1","issue":"96","issued":{"date-parts":[["2015","2"]]},"language":"eng","publisher-place":"United States","title":"Zebrafish keratocyte explants to study collective cell migration and  reepithelialization in cutaneous wound healing.","type":"article-journal"},"uris":["http://www.mendeley.com/documents/?uuid=abff88aa-fa17-4e82-a2c0-881143a1093c"]}],"mendeley":{"formattedCitation":"(Rapanan et al., 2015)","manualFormatting":"Rapanan et al., 2015)","plainTextFormattedCitation":"(Rapanan et al., 2015)","previouslyFormattedCitation":"(Rapanan et al., 2015)"},"properties":{"noteIndex":0},"schema":"https://github.com/citation-style-language/schema/raw/master/csl-citation.json"}</w:instrText>
      </w:r>
      <w:r w:rsidR="00C9116F">
        <w:rPr>
          <w:rFonts w:ascii="Times New Roman" w:hAnsi="Times New Roman" w:cs="Times New Roman"/>
          <w:sz w:val="24"/>
          <w:szCs w:val="24"/>
        </w:rPr>
        <w:fldChar w:fldCharType="separate"/>
      </w:r>
      <w:r w:rsidR="00C9116F" w:rsidRPr="00C9116F">
        <w:rPr>
          <w:rFonts w:ascii="Times New Roman" w:hAnsi="Times New Roman" w:cs="Times New Roman"/>
          <w:noProof/>
          <w:sz w:val="24"/>
          <w:szCs w:val="24"/>
        </w:rPr>
        <w:t>Rapanan et al., 2015)</w:t>
      </w:r>
      <w:r w:rsidR="00C9116F">
        <w:rPr>
          <w:rFonts w:ascii="Times New Roman" w:hAnsi="Times New Roman" w:cs="Times New Roman"/>
          <w:sz w:val="24"/>
          <w:szCs w:val="24"/>
        </w:rPr>
        <w:fldChar w:fldCharType="end"/>
      </w:r>
      <w:r w:rsidR="00C9116F">
        <w:rPr>
          <w:rFonts w:ascii="Times New Roman" w:hAnsi="Times New Roman" w:cs="Times New Roman"/>
          <w:sz w:val="24"/>
          <w:szCs w:val="24"/>
        </w:rPr>
        <w:t xml:space="preserve">. </w:t>
      </w:r>
      <w:r w:rsidR="00563750" w:rsidRPr="00563750">
        <w:rPr>
          <w:rFonts w:ascii="Times New Roman" w:hAnsi="Times New Roman" w:cs="Times New Roman"/>
          <w:sz w:val="24"/>
          <w:szCs w:val="24"/>
        </w:rPr>
        <w:t>To investigate the topic of fish endocrinology, several cell lines origi</w:t>
      </w:r>
      <w:r w:rsidR="00563750">
        <w:rPr>
          <w:rFonts w:ascii="Times New Roman" w:hAnsi="Times New Roman" w:cs="Times New Roman"/>
          <w:sz w:val="24"/>
          <w:szCs w:val="24"/>
        </w:rPr>
        <w:t>nating from fish were employed</w:t>
      </w:r>
      <w:r w:rsidR="00C9116F">
        <w:rPr>
          <w:rFonts w:ascii="Times New Roman" w:hAnsi="Times New Roman" w:cs="Times New Roman"/>
          <w:sz w:val="24"/>
          <w:szCs w:val="24"/>
        </w:rPr>
        <w:t xml:space="preserve"> </w:t>
      </w:r>
      <w:r w:rsidR="00C9116F">
        <w:rPr>
          <w:rFonts w:ascii="Times New Roman" w:hAnsi="Times New Roman" w:cs="Times New Roman"/>
          <w:sz w:val="24"/>
          <w:szCs w:val="24"/>
        </w:rPr>
        <w:fldChar w:fldCharType="begin" w:fldLock="1"/>
      </w:r>
      <w:r w:rsidR="002E1502">
        <w:rPr>
          <w:rFonts w:ascii="Times New Roman" w:hAnsi="Times New Roman" w:cs="Times New Roman"/>
          <w:sz w:val="24"/>
          <w:szCs w:val="24"/>
        </w:rPr>
        <w:instrText>ADDIN CSL_CITATION {"citationItems":[{"id":"ITEM-1","itemData":{"DOI":"10.1677/JOE-09-0315","ISSN":"1479-6805 (Electronic)","PMID":"20093282","abstract":"Five single-cell clone lines (mRTP1B, mRTP1E, mRTP1F, mRTP1K, and mRTP2A) have  been developed from adult rainbow trout pituitary glands. These cell lines have been maintained in a CO(2)-independent medium supplemented with 10% fetal bovine serum (FBS) for more than 150 passages. At about 150 passages, the doubling time of each single-cell clone in a CO(2)-independent medium supplemented with 10% FBS at 20 degrees C was 3.6+/-0.7, 2.8+/-0.7, 3.2+/-0.8, 5.5+/-0.6, and 6.6+/-0.6 days respectively. Each single-cell clone contains 60+/-2 chromosomes, which is within the range of the 2N chromosome numbers reported for rainbow trout. Reverse transcription-PCR analysis revealed that in addition to expressing gh, prolactin (prl), and estradiol (E(2)) receptor alpha (e2ralpha or esr1) genes, each single-cell clone line also expressed other pituitary-specific genes such as tsh, gonadotropin 1 (gth-1 or fshb), gonadotropin 2 (gth-2 or lhb), somatolactin (sl or smtl), proopiomelanocortin-B (pomcb), and corticosteroid receptor (cr or nr3c1). Immunocytochemical analysis showed that all the five single-cell clones produced both Gh and Prl. Furthermore, the expression of gh and prl genes in the single-cell clone lines is responsive to induction by E(2), dexamethasone, and o,p'-dichlorodiphenyltrichloroethane. All together, these results confirm that each of the single-cell clones was derived from rainbow trout pituitary glands. These single-cell clone lines not only can be used to study factors that regulate the expression of pituitary hormone genes, but can also be developed as a rapid screening system for identifying environmental endocrine disruptors.","author":[{"dropping-particle":"","family":"Chen","given":"Maria J","non-dropping-particle":"","parse-names":false,"suffix":""},{"dropping-particle":"","family":"Chiou","given":"Pinwen Peter","non-dropping-particle":"","parse-names":false,"suffix":""},{"dropping-particle":"","family":"Liao","given":"Yu-Hsian","non-dropping-particle":"","parse-names":false,"suffix":""},{"dropping-particle":"","family":"Lin","given":"Chun-Mean","non-dropping-particle":"","parse-names":false,"suffix":""},{"dropping-particle":"","family":"Chen","given":"Thomas T","non-dropping-particle":"","parse-names":false,"suffix":""}],"container-title":"The Journal of endocrinology","id":"ITEM-1","issue":"1","issued":{"date-parts":[["2010","4"]]},"language":"eng","page":"69-78","publisher-place":"England","title":"Development and characterization of five rainbow trout pituitary single-cell  clone lines capable of producing pituitary hormones.","type":"article-journal","volume":"205"},"uris":["http://www.mendeley.com/documents/?uuid=aca92f73-c061-45b2-b3c9-de3bce85de96"]}],"mendeley":{"formattedCitation":"(M. J. Chen et al., 2010)","manualFormatting":"(Chen et al., 2010","plainTextFormattedCitation":"(M. J. Chen et al., 2010)","previouslyFormattedCitation":"(M. J. Chen et al., 2010)"},"properties":{"noteIndex":0},"schema":"https://github.com/citation-style-language/schema/raw/master/csl-citation.json"}</w:instrText>
      </w:r>
      <w:r w:rsidR="00C9116F">
        <w:rPr>
          <w:rFonts w:ascii="Times New Roman" w:hAnsi="Times New Roman" w:cs="Times New Roman"/>
          <w:sz w:val="24"/>
          <w:szCs w:val="24"/>
        </w:rPr>
        <w:fldChar w:fldCharType="separate"/>
      </w:r>
      <w:r w:rsidR="00C9116F" w:rsidRPr="00C9116F">
        <w:rPr>
          <w:rFonts w:ascii="Times New Roman" w:hAnsi="Times New Roman" w:cs="Times New Roman"/>
          <w:noProof/>
          <w:sz w:val="24"/>
          <w:szCs w:val="24"/>
        </w:rPr>
        <w:t>(Chen et al., 2010</w:t>
      </w:r>
      <w:r w:rsidR="00C9116F">
        <w:rPr>
          <w:rFonts w:ascii="Times New Roman" w:hAnsi="Times New Roman" w:cs="Times New Roman"/>
          <w:sz w:val="24"/>
          <w:szCs w:val="24"/>
        </w:rPr>
        <w:fldChar w:fldCharType="end"/>
      </w:r>
      <w:r w:rsidR="00C9116F">
        <w:rPr>
          <w:rFonts w:ascii="Times New Roman" w:hAnsi="Times New Roman" w:cs="Times New Roman"/>
          <w:sz w:val="24"/>
          <w:szCs w:val="24"/>
        </w:rPr>
        <w:t xml:space="preserve">; </w:t>
      </w:r>
      <w:r w:rsidR="00C9116F">
        <w:rPr>
          <w:rFonts w:ascii="Times New Roman" w:hAnsi="Times New Roman" w:cs="Times New Roman"/>
          <w:sz w:val="24"/>
          <w:szCs w:val="24"/>
        </w:rPr>
        <w:fldChar w:fldCharType="begin" w:fldLock="1"/>
      </w:r>
      <w:r w:rsidR="00C9116F">
        <w:rPr>
          <w:rFonts w:ascii="Times New Roman" w:hAnsi="Times New Roman" w:cs="Times New Roman"/>
          <w:sz w:val="24"/>
          <w:szCs w:val="24"/>
        </w:rPr>
        <w:instrText>ADDIN CSL_CITATION {"citationItems":[{"id":"ITEM-1","itemData":{"DOI":"10.1016/j.ygcen.2013.06.002","ISSN":"1095-6840 (Electronic)","PMID":"23770217","abstract":"Fish Sertoli cells play a critical role in spermatogenesis by mediating androgen  and progestogen signaling. Their hormonal response, however, considerably differ among species. Therefore it would be ideal to use Sertoli cells originated from the fish of interest to investigate the effects of hormones as well as endocrine disrupting chemicals (EDCs). The aim of this study was to investigate the responses to reproductive hormones and EDCs of a Sertoli cell line that we established from an endemic cyprinid Gnathopogon caerulescens. As the Sertoli cell line expressed endogenous androgen and progestogen receptors, we were able to detect hormone responses by transfecting only a reporter vector (pGL4.36) expressing luciferase under the control of the mouse mammary tumor virus-long terminal repeat (MMTV-LTR) promoter into the cell line. Unlike previous reporter gene assays using fish steroid hormone receptors expressed in mammalian cell lines, luciferase activities were induced by the fish specific androgen (11-ketotestosterone) and progestogen (17α,20β-dihydroxy-4-pregnen-3-one), but not by testosterone and progesterone, at physiologically relevant concentrations. Furthermore, we found 4-nonylphenol (NP) but not bisphenol A showed strong anti-androgenic effects, implying that NP may have direct anti-androgenic effects on fish Sertoli cells in vivo. This is the first evidence, to the best of our knowledge, of anti-androgenic effects of NP in a fish Sertoli cell line. In addition, neither NP nor BPA showed anti-progestogenic effects. These results suggest that the Sertoli cell line established from the fish of interest can be a useful in vitro tool for investigating the mechanisms of reproductive hormones and EDCs in the specific fish.","author":[{"dropping-particle":"","family":"Higaki","given":"Shogo","non-dropping-particle":"","parse-names":false,"suffix":""},{"dropping-particle":"","family":"Koyama","given":"Yoshie","non-dropping-particle":"","parse-names":false,"suffix":""},{"dropping-particle":"","family":"Shimada","given":"Manami","non-dropping-particle":"","parse-names":false,"suffix":""},{"dropping-particle":"","family":"Ono","given":"Yuriko","non-dropping-particle":"","parse-names":false,"suffix":""},{"dropping-particle":"","family":"Tooyama","given":"Ikuo","non-dropping-particle":"","parse-names":false,"suffix":""},{"dropping-particle":"","family":"Fujioka","given":"Yasuhiro","non-dropping-particle":"","parse-names":false,"suffix":""},{"dropping-particle":"","family":"Sakai","given":"Noriyoshi","non-dropping-particle":"","parse-names":false,"suffix":""},{"dropping-particle":"","family":"Ikeuchi","given":"Toshitaka","non-dropping-particle":"","parse-names":false,"suffix":""},{"dropping-particle":"","family":"Takada","given":"Tatsuyuki","non-dropping-particle":"","parse-names":false,"suffix":""}],"container-title":"General and comparative endocrinology","id":"ITEM-1","issued":{"date-parts":[["2013","9"]]},"language":"eng","page":"65-73","publisher-place":"United States","title":"Response to fish specific reproductive hormones and endocrine disrupting  chemicals of a Sertoli cell line expressing endogenous receptors from an endemic cyprinid Gnathopogon caerulescens.","type":"article-journal","volume":"191"},"uris":["http://www.mendeley.com/documents/?uuid=83916605-0911-4770-9c67-0be6e649a184"]}],"mendeley":{"formattedCitation":"(Higaki et al., 2013)","manualFormatting":"Higaki et al., 2013)","plainTextFormattedCitation":"(Higaki et al., 2013)","previouslyFormattedCitation":"(Higaki et al., 2013)"},"properties":{"noteIndex":0},"schema":"https://github.com/citation-style-language/schema/raw/master/csl-citation.json"}</w:instrText>
      </w:r>
      <w:r w:rsidR="00C9116F">
        <w:rPr>
          <w:rFonts w:ascii="Times New Roman" w:hAnsi="Times New Roman" w:cs="Times New Roman"/>
          <w:sz w:val="24"/>
          <w:szCs w:val="24"/>
        </w:rPr>
        <w:fldChar w:fldCharType="separate"/>
      </w:r>
      <w:r w:rsidR="00C9116F" w:rsidRPr="00C9116F">
        <w:rPr>
          <w:rFonts w:ascii="Times New Roman" w:hAnsi="Times New Roman" w:cs="Times New Roman"/>
          <w:noProof/>
          <w:sz w:val="24"/>
          <w:szCs w:val="24"/>
        </w:rPr>
        <w:t>Higaki et al., 2013)</w:t>
      </w:r>
      <w:r w:rsidR="00C9116F">
        <w:rPr>
          <w:rFonts w:ascii="Times New Roman" w:hAnsi="Times New Roman" w:cs="Times New Roman"/>
          <w:sz w:val="24"/>
          <w:szCs w:val="24"/>
        </w:rPr>
        <w:fldChar w:fldCharType="end"/>
      </w:r>
      <w:r w:rsidR="00BC7BF2">
        <w:rPr>
          <w:rFonts w:ascii="Times New Roman" w:hAnsi="Times New Roman" w:cs="Times New Roman"/>
          <w:sz w:val="24"/>
          <w:szCs w:val="24"/>
        </w:rPr>
        <w:t xml:space="preserve">. </w:t>
      </w:r>
      <w:r w:rsidR="00563750" w:rsidRPr="00563750">
        <w:rPr>
          <w:rFonts w:ascii="Times New Roman" w:hAnsi="Times New Roman" w:cs="Times New Roman"/>
          <w:sz w:val="24"/>
          <w:szCs w:val="24"/>
        </w:rPr>
        <w:t>An in vitro model for the synthesis of the growth hormone prolactin was created using organ cultures made from the pituitary gla</w:t>
      </w:r>
      <w:r w:rsidR="00563750">
        <w:rPr>
          <w:rFonts w:ascii="Times New Roman" w:hAnsi="Times New Roman" w:cs="Times New Roman"/>
          <w:sz w:val="24"/>
          <w:szCs w:val="24"/>
        </w:rPr>
        <w:t>nds of tilapia, eels, and trout</w:t>
      </w:r>
      <w:r w:rsidR="00BC7BF2">
        <w:rPr>
          <w:rFonts w:ascii="Times New Roman" w:hAnsi="Times New Roman" w:cs="Times New Roman"/>
          <w:sz w:val="24"/>
          <w:szCs w:val="24"/>
        </w:rPr>
        <w:t xml:space="preserve"> </w:t>
      </w:r>
      <w:r w:rsidR="00BC7BF2">
        <w:rPr>
          <w:rFonts w:ascii="Times New Roman" w:hAnsi="Times New Roman" w:cs="Times New Roman"/>
          <w:sz w:val="24"/>
          <w:szCs w:val="24"/>
        </w:rPr>
        <w:fldChar w:fldCharType="begin" w:fldLock="1"/>
      </w:r>
      <w:r w:rsidR="00BC7BF2">
        <w:rPr>
          <w:rFonts w:ascii="Times New Roman" w:hAnsi="Times New Roman" w:cs="Times New Roman"/>
          <w:sz w:val="24"/>
          <w:szCs w:val="24"/>
        </w:rPr>
        <w:instrText>ADDIN CSL_CITATION {"citationItems":[{"id":"ITEM-1","itemData":{"author":[{"dropping-particle":"","family":"Baker","given":"Bridget I","non-dropping-particle":"","parse-names":false,"suffix":""},{"dropping-particle":"","family":"Ingleton","given":"Patricia M","non-dropping-particle":"","parse-names":false,"suffix":""}],"container-title":"Journal of comparative physiology","id":"ITEM-1","issued":{"date-parts":[["1975"]]},"page":"269-282","title":"Secretion of prolactin and growth hormone by teleost pituitariesin vitro","type":"article-journal","volume":"100"},"uris":["http://www.mendeley.com/documents/?uuid=e02c990c-f3e8-4346-9a96-76634e588ddf"]}],"mendeley":{"formattedCitation":"(Baker &amp; Ingleton, 1975)","plainTextFormattedCitation":"(Baker &amp; Ingleton, 1975)","previouslyFormattedCitation":"(Baker &amp; Ingleton, 1975)"},"properties":{"noteIndex":0},"schema":"https://github.com/citation-style-language/schema/raw/master/csl-citation.json"}</w:instrText>
      </w:r>
      <w:r w:rsidR="00BC7BF2">
        <w:rPr>
          <w:rFonts w:ascii="Times New Roman" w:hAnsi="Times New Roman" w:cs="Times New Roman"/>
          <w:sz w:val="24"/>
          <w:szCs w:val="24"/>
        </w:rPr>
        <w:fldChar w:fldCharType="separate"/>
      </w:r>
      <w:r w:rsidR="00BC7BF2" w:rsidRPr="00BC7BF2">
        <w:rPr>
          <w:rFonts w:ascii="Times New Roman" w:hAnsi="Times New Roman" w:cs="Times New Roman"/>
          <w:noProof/>
          <w:sz w:val="24"/>
          <w:szCs w:val="24"/>
        </w:rPr>
        <w:t>(Baker &amp; Ingleton, 1975)</w:t>
      </w:r>
      <w:r w:rsidR="00BC7BF2">
        <w:rPr>
          <w:rFonts w:ascii="Times New Roman" w:hAnsi="Times New Roman" w:cs="Times New Roman"/>
          <w:sz w:val="24"/>
          <w:szCs w:val="24"/>
        </w:rPr>
        <w:fldChar w:fldCharType="end"/>
      </w:r>
      <w:r w:rsidR="00BC7BF2">
        <w:rPr>
          <w:rFonts w:ascii="Times New Roman" w:hAnsi="Times New Roman" w:cs="Times New Roman"/>
          <w:sz w:val="24"/>
          <w:szCs w:val="24"/>
        </w:rPr>
        <w:t>.</w:t>
      </w:r>
    </w:p>
    <w:p w:rsidR="00B6336B" w:rsidRPr="00C23AEB" w:rsidRDefault="00B6336B" w:rsidP="00D23B4B">
      <w:pPr>
        <w:autoSpaceDE w:val="0"/>
        <w:autoSpaceDN w:val="0"/>
        <w:adjustRightInd w:val="0"/>
        <w:spacing w:after="0" w:line="360" w:lineRule="auto"/>
        <w:jc w:val="both"/>
        <w:rPr>
          <w:rFonts w:ascii="Times New Roman" w:hAnsi="Times New Roman" w:cs="Times New Roman"/>
          <w:sz w:val="24"/>
          <w:szCs w:val="24"/>
        </w:rPr>
      </w:pPr>
    </w:p>
    <w:p w:rsidR="00710F14" w:rsidRPr="00C23AEB" w:rsidRDefault="00507B89" w:rsidP="00D23B4B">
      <w:pPr>
        <w:autoSpaceDE w:val="0"/>
        <w:autoSpaceDN w:val="0"/>
        <w:adjustRightInd w:val="0"/>
        <w:spacing w:after="0" w:line="360" w:lineRule="auto"/>
        <w:rPr>
          <w:rFonts w:ascii="Times New Roman" w:hAnsi="Times New Roman" w:cs="Times New Roman"/>
          <w:b/>
          <w:sz w:val="24"/>
          <w:szCs w:val="24"/>
        </w:rPr>
      </w:pPr>
      <w:r w:rsidRPr="00C23AEB">
        <w:rPr>
          <w:rFonts w:ascii="Times New Roman" w:hAnsi="Times New Roman" w:cs="Times New Roman"/>
          <w:b/>
          <w:sz w:val="24"/>
          <w:szCs w:val="24"/>
        </w:rPr>
        <w:t xml:space="preserve">Research on virology and </w:t>
      </w:r>
      <w:r w:rsidR="00710F14" w:rsidRPr="00C23AEB">
        <w:rPr>
          <w:rFonts w:ascii="Times New Roman" w:hAnsi="Times New Roman" w:cs="Times New Roman"/>
          <w:b/>
          <w:sz w:val="24"/>
          <w:szCs w:val="24"/>
        </w:rPr>
        <w:t>Screening and Identification of Antiviral Agents</w:t>
      </w:r>
    </w:p>
    <w:p w:rsidR="000C67FA" w:rsidRDefault="0088515C" w:rsidP="00D23B4B">
      <w:pPr>
        <w:spacing w:line="360" w:lineRule="auto"/>
        <w:jc w:val="both"/>
        <w:rPr>
          <w:rFonts w:ascii="Times New Roman" w:hAnsi="Times New Roman" w:cs="Times New Roman"/>
          <w:color w:val="2F5496" w:themeColor="accent5" w:themeShade="BF"/>
          <w:sz w:val="24"/>
          <w:szCs w:val="24"/>
        </w:rPr>
      </w:pPr>
      <w:r w:rsidRPr="0088515C">
        <w:rPr>
          <w:rFonts w:ascii="Times New Roman" w:hAnsi="Times New Roman" w:cs="Times New Roman"/>
          <w:sz w:val="24"/>
          <w:szCs w:val="24"/>
        </w:rPr>
        <w:t xml:space="preserve">As obligate intracellular parasites, viruses depend on the machinery of the host cell to replicate and propagate. Since cell cultures play so many different functions in virology, including the </w:t>
      </w:r>
      <w:r w:rsidRPr="0088515C">
        <w:rPr>
          <w:rFonts w:ascii="Times New Roman" w:hAnsi="Times New Roman" w:cs="Times New Roman"/>
          <w:sz w:val="24"/>
          <w:szCs w:val="24"/>
        </w:rPr>
        <w:lastRenderedPageBreak/>
        <w:t>detection, identification, propagation, isolation, confirmation, and characterisation of viruses, they are re</w:t>
      </w:r>
      <w:r>
        <w:rPr>
          <w:rFonts w:ascii="Times New Roman" w:hAnsi="Times New Roman" w:cs="Times New Roman"/>
          <w:sz w:val="24"/>
          <w:szCs w:val="24"/>
        </w:rPr>
        <w:t>ferred to as "the gold standard</w:t>
      </w:r>
      <w:r w:rsidRPr="0088515C">
        <w:rPr>
          <w:rFonts w:ascii="Times New Roman" w:hAnsi="Times New Roman" w:cs="Times New Roman"/>
          <w:sz w:val="24"/>
          <w:szCs w:val="24"/>
        </w:rPr>
        <w:t xml:space="preserve">" </w:t>
      </w:r>
      <w:r w:rsidR="00BC7BF2">
        <w:rPr>
          <w:rFonts w:ascii="Times New Roman" w:hAnsi="Times New Roman" w:cs="Times New Roman"/>
          <w:sz w:val="24"/>
          <w:szCs w:val="24"/>
        </w:rPr>
        <w:fldChar w:fldCharType="begin" w:fldLock="1"/>
      </w:r>
      <w:r w:rsidR="00BC7BF2">
        <w:rPr>
          <w:rFonts w:ascii="Times New Roman" w:hAnsi="Times New Roman" w:cs="Times New Roman"/>
          <w:sz w:val="24"/>
          <w:szCs w:val="24"/>
        </w:rPr>
        <w:instrText>ADDIN CSL_CITATION {"citationItems":[{"id":"ITEM-1","itemData":{"ISSN":"0044-0086 (Print)","PMID":"6395512","abstract":"Methods for diagnosis of viral infection have progressed rapidly during the past  two to three decades from animal inoculation to computer automation. Virus isolation, however, still remains the \"gold standard.\" With the availability of antiviral agents, physicians now demand accurate laboratory diagnosis of their patients' illnesses in order to give proper treatment. Discovery of unknown viral agents still requires continued search and diligent effort.","author":[{"dropping-particle":"","family":"Hsiung","given":"G D","non-dropping-particle":"","parse-names":false,"suffix":""}],"container-title":"The Yale journal of biology and medicine","id":"ITEM-1","issue":"5","issued":{"date-parts":[["1984"]]},"language":"eng","page":"727-733","publisher-place":"United States","title":"Diagnostic virology: from animals to automation.","type":"article-journal","volume":"57"},"uris":["http://www.mendeley.com/documents/?uuid=3a8f5901-14ca-4992-a5d4-6041fbdea2c7"]}],"mendeley":{"formattedCitation":"(Hsiung, 1984)","manualFormatting":"(Hsiung, 1984","plainTextFormattedCitation":"(Hsiung, 1984)","previouslyFormattedCitation":"(Hsiung, 1984)"},"properties":{"noteIndex":0},"schema":"https://github.com/citation-style-language/schema/raw/master/csl-citation.json"}</w:instrText>
      </w:r>
      <w:r w:rsidR="00BC7BF2">
        <w:rPr>
          <w:rFonts w:ascii="Times New Roman" w:hAnsi="Times New Roman" w:cs="Times New Roman"/>
          <w:sz w:val="24"/>
          <w:szCs w:val="24"/>
        </w:rPr>
        <w:fldChar w:fldCharType="separate"/>
      </w:r>
      <w:r w:rsidR="00BC7BF2" w:rsidRPr="00BC7BF2">
        <w:rPr>
          <w:rFonts w:ascii="Times New Roman" w:hAnsi="Times New Roman" w:cs="Times New Roman"/>
          <w:noProof/>
          <w:sz w:val="24"/>
          <w:szCs w:val="24"/>
        </w:rPr>
        <w:t>(Hsiung, 1984</w:t>
      </w:r>
      <w:r w:rsidR="00BC7BF2">
        <w:rPr>
          <w:rFonts w:ascii="Times New Roman" w:hAnsi="Times New Roman" w:cs="Times New Roman"/>
          <w:sz w:val="24"/>
          <w:szCs w:val="24"/>
        </w:rPr>
        <w:fldChar w:fldCharType="end"/>
      </w:r>
      <w:r w:rsidR="00BC7BF2">
        <w:rPr>
          <w:rFonts w:ascii="Times New Roman" w:hAnsi="Times New Roman" w:cs="Times New Roman"/>
          <w:sz w:val="24"/>
          <w:szCs w:val="24"/>
        </w:rPr>
        <w:t>,</w:t>
      </w:r>
      <w:r w:rsidR="009956A6" w:rsidRPr="00C23AEB">
        <w:rPr>
          <w:rFonts w:ascii="Times New Roman" w:hAnsi="Times New Roman" w:cs="Times New Roman"/>
          <w:sz w:val="24"/>
          <w:szCs w:val="24"/>
        </w:rPr>
        <w:t xml:space="preserve"> </w:t>
      </w:r>
      <w:r w:rsidR="00BC7BF2">
        <w:rPr>
          <w:rFonts w:ascii="Times New Roman" w:hAnsi="Times New Roman" w:cs="Times New Roman"/>
          <w:sz w:val="24"/>
          <w:szCs w:val="24"/>
        </w:rPr>
        <w:t xml:space="preserve"> </w:t>
      </w:r>
      <w:r w:rsidR="00BC7BF2">
        <w:rPr>
          <w:rFonts w:ascii="Times New Roman" w:hAnsi="Times New Roman" w:cs="Times New Roman"/>
          <w:sz w:val="24"/>
          <w:szCs w:val="24"/>
        </w:rPr>
        <w:fldChar w:fldCharType="begin" w:fldLock="1"/>
      </w:r>
      <w:r w:rsidR="00B479FB">
        <w:rPr>
          <w:rFonts w:ascii="Times New Roman" w:hAnsi="Times New Roman" w:cs="Times New Roman"/>
          <w:sz w:val="24"/>
          <w:szCs w:val="24"/>
        </w:rPr>
        <w:instrText>ADDIN CSL_CITATION {"citationItems":[{"id":"ITEM-1","itemData":{"DOI":"10.1128/CMR.00002-06","ISSN":"0893-8512 (Print)","PMID":"17223623","abstract":"Viral disease diagnosis has traditionally relied on the isolation of viral  pathogens in cell cultures. Although this approach is often slow and requires considerable technical expertise, it has been regarded for decades as the \"gold standard\" for the laboratory diagnosis of viral disease. With the development of nonculture methods for the rapid detection of viral antigens and/or nucleic acids, the usefulness of viral culture has been questioned. This review describes advances in cell culture-based viral diagnostic products and techniques, including the use of newer cell culture formats, cryopreserved cell cultures, centrifugation-enhanced inoculation, precytopathogenic effect detection, cocultivated cell cultures, and transgenic cell lines. All of these contribute to more efficient and less technically demanding viral detection in cell culture. Although most laboratories combine various culture and nonculture approaches to optimize viral disease diagnosis, virus isolation in cell culture remains a useful approach, especially when a viable isolate is needed, if viable and nonviable virus must be differentiated, when infection is not characteristic of any single virus (i.e., when testing for only one virus is not sufficient), and when available culture-based methods can provide a result in a more timely fashion than molecular methods.","author":[{"dropping-particle":"","family":"Leland","given":"Diane S","non-dropping-particle":"","parse-names":false,"suffix":""},{"dropping-particle":"","family":"Ginocchio","given":"Christine C","non-dropping-particle":"","parse-names":false,"suffix":""}],"container-title":"Clinical microbiology reviews","id":"ITEM-1","issue":"1","issued":{"date-parts":[["2007","1"]]},"language":"eng","page":"49-78","publisher-place":"United States","title":"Role of cell culture for virus detection in the age of technology.","type":"article-journal","volume":"20"},"uris":["http://www.mendeley.com/documents/?uuid=8f3872e6-7a47-4e16-9ef2-92c027a6b2d2"]}],"mendeley":{"formattedCitation":"(Leland &amp; Ginocchio, 2007)","manualFormatting":"Leland &amp; Ginocchio, 2007)","plainTextFormattedCitation":"(Leland &amp; Ginocchio, 2007)","previouslyFormattedCitation":"(Leland &amp; Ginocchio, 2007)"},"properties":{"noteIndex":0},"schema":"https://github.com/citation-style-language/schema/raw/master/csl-citation.json"}</w:instrText>
      </w:r>
      <w:r w:rsidR="00BC7BF2">
        <w:rPr>
          <w:rFonts w:ascii="Times New Roman" w:hAnsi="Times New Roman" w:cs="Times New Roman"/>
          <w:sz w:val="24"/>
          <w:szCs w:val="24"/>
        </w:rPr>
        <w:fldChar w:fldCharType="separate"/>
      </w:r>
      <w:r w:rsidR="00BC7BF2" w:rsidRPr="00BC7BF2">
        <w:rPr>
          <w:rFonts w:ascii="Times New Roman" w:hAnsi="Times New Roman" w:cs="Times New Roman"/>
          <w:noProof/>
          <w:sz w:val="24"/>
          <w:szCs w:val="24"/>
        </w:rPr>
        <w:t>Leland &amp; Ginocchio, 2007)</w:t>
      </w:r>
      <w:r w:rsidR="00BC7BF2">
        <w:rPr>
          <w:rFonts w:ascii="Times New Roman" w:hAnsi="Times New Roman" w:cs="Times New Roman"/>
          <w:sz w:val="24"/>
          <w:szCs w:val="24"/>
        </w:rPr>
        <w:fldChar w:fldCharType="end"/>
      </w:r>
      <w:r w:rsidR="00BC7BF2">
        <w:rPr>
          <w:rFonts w:ascii="Times New Roman" w:hAnsi="Times New Roman" w:cs="Times New Roman"/>
          <w:sz w:val="24"/>
          <w:szCs w:val="24"/>
        </w:rPr>
        <w:t xml:space="preserve">. </w:t>
      </w:r>
      <w:r w:rsidRPr="0088515C">
        <w:rPr>
          <w:rFonts w:ascii="Times New Roman" w:hAnsi="Times New Roman" w:cs="Times New Roman"/>
          <w:sz w:val="24"/>
          <w:szCs w:val="24"/>
        </w:rPr>
        <w:t>Animals can be effectively replaced by fish cell cultures, particu</w:t>
      </w:r>
      <w:r>
        <w:rPr>
          <w:rFonts w:ascii="Times New Roman" w:hAnsi="Times New Roman" w:cs="Times New Roman"/>
          <w:sz w:val="24"/>
          <w:szCs w:val="24"/>
        </w:rPr>
        <w:t xml:space="preserve">larly </w:t>
      </w:r>
      <w:r w:rsidR="00E86AAC">
        <w:rPr>
          <w:rFonts w:ascii="Times New Roman" w:hAnsi="Times New Roman" w:cs="Times New Roman"/>
          <w:sz w:val="24"/>
          <w:szCs w:val="24"/>
        </w:rPr>
        <w:t>in the area</w:t>
      </w:r>
      <w:r>
        <w:rPr>
          <w:rFonts w:ascii="Times New Roman" w:hAnsi="Times New Roman" w:cs="Times New Roman"/>
          <w:sz w:val="24"/>
          <w:szCs w:val="24"/>
        </w:rPr>
        <w:t xml:space="preserve"> of virology</w:t>
      </w:r>
      <w:r w:rsidR="00BC7BF2">
        <w:rPr>
          <w:rFonts w:ascii="Times New Roman" w:hAnsi="Times New Roman" w:cs="Times New Roman"/>
          <w:sz w:val="24"/>
          <w:szCs w:val="24"/>
        </w:rPr>
        <w:t xml:space="preserve"> </w:t>
      </w:r>
      <w:r w:rsidR="00B479FB">
        <w:rPr>
          <w:rFonts w:ascii="Times New Roman" w:hAnsi="Times New Roman" w:cs="Times New Roman"/>
          <w:sz w:val="24"/>
          <w:szCs w:val="24"/>
        </w:rPr>
        <w:fldChar w:fldCharType="begin" w:fldLock="1"/>
      </w:r>
      <w:r w:rsidR="00B479FB">
        <w:rPr>
          <w:rFonts w:ascii="Times New Roman" w:hAnsi="Times New Roman" w:cs="Times New Roman"/>
          <w:sz w:val="24"/>
          <w:szCs w:val="24"/>
        </w:rPr>
        <w:instrText>ADDIN CSL_CITATION {"citationItems":[{"id":"ITEM-1","itemData":{"author":[{"dropping-particle":"","family":"Kelly","given":"Russell K","non-dropping-particle":"","parse-names":false,"suffix":""},{"dropping-particle":"","family":"Souter","given":"Brian","non-dropping-particle":"","parse-names":false,"suffix":""},{"dropping-particle":"","family":"Miller","given":"Hugh R P","non-dropping-particle":"","parse-names":false,"suffix":""}],"container-title":"Wsq: Women's Studies Quarterly","id":"ITEM-1","issued":{"date-parts":[["1978"]]},"page":"1009-1011","title":"Fish cell lines: comparisons of CHSE-214, FHM, and RTG-2 in assaying IHN and IPN viruses.","type":"article-journal","volume":"35"},"uris":["http://www.mendeley.com/documents/?uuid=590b542d-80f6-48b7-ba13-39717f6c507b"]},{"id":"ITEM-2","itemData":{"DOI":"https://doi.org/10.1016/B978-0-12-007907-0.50007-4","ISBN":"0275-6358","abstract":"Publisher Summary This chapter provides an overview of the techniques for the preparation and maintenance of fish cell cultures and also presents a more comprehensive view of the broad range of current and potential uses of such cell cultures. The methodologies and growth media for the preparation and maintenance of fish cell cultures generally do not differ from those used for the culture of cells from homeotherm vertebrates. The selection of fish species and appropriate tissues for the initiation of primary cell cultures is usually dictated by the cell type or function to be studied and/or the ultimate use of the cell culture. In many ways, the initiation of cell cultures from fish is actually easier than from homeotherm vertebrates. Most new fish cell cultures can be subcultured for varying periods of time before reaching senescence. The primary impetus for the initiation of fish cell cultures, and until recently the most widespread use of these cultures, has been for the isolation and characterization of fish viruses that are the causative agents of epizootics of commercially important aquaculture or fish farm species. The potential usefulness of fish cell and tissue cultures as teaching tools should not be overlooked. Most fish cell cultures are relatively easy to initiate and/or maintain. They grow over a wide temperature range and most can be propagated at ambient room temperature.","author":[{"dropping-particle":"","family":"Nicholson","given":"Bruce L","non-dropping-particle":"","parse-names":false,"suffix":""}],"editor":[{"dropping-particle":"","family":"MARAMOROSCH","given":"KARL","non-dropping-particle":"","parse-names":false,"suffix":""},{"dropping-particle":"","family":"SATO","given":"GORDON H B T - Advances in Cell Culture","non-dropping-particle":"","parse-names":false,"suffix":""}],"id":"ITEM-2","issued":{"date-parts":[["1989"]]},"page":"1-18","publisher":"Elsevier","title":"Fish Cell Culture: An Update","type":"chapter","volume":"7"},"uris":["http://www.mendeley.com/documents/?uuid=7e4cc12b-beab-41a7-ae65-25026523b5a3"]},{"id":"ITEM-3","itemData":{"author":[{"dropping-particle":"","family":"Ott","given":"Terrence","non-dropping-particle":"","parse-names":false,"suffix":""}],"id":"ITEM-3","issued":{"date-parts":[["2004","1","1"]]},"title":"Tissue Culture of Fish Cell Lines","type":"article-journal"},"uris":["http://www.mendeley.com/documents/?uuid=90af8e59-8fcb-43db-a772-446d2469fbe6"]},{"id":"ITEM-4","itemData":{"DOI":"10.1586/14760584.4.1.89","ISSN":"1744-8395 (Electronic)","PMID":"15757476","abstract":"Vaccination plays an important role in large-scale commercial fish farming and  has been a key reason for the success of salmon cultivation. In addition to salmon and trout, commercial vaccines are available for channel catfish, European seabass and seabream, Japanese amberjack and yellowtail, tilapia and Atlantic cod. In general, empirically developed vaccines based on inactivated bacterial pathogens have proven to be very efficacious in fish. Fewer commercially available viral vaccines and no parasite vaccines exist. Substantial efficacy data are available for new fish vaccines and advanced technology has been implemented. However, before such vaccines can be successfully commercialized, several hurdles have to be overcome regarding the production of cheap but effective antigens and adjuvants, while bearing in mind environmental and associated regulatory concerns (e.g., those that limit the use of live vaccines). Pharmaceutical companies have performed a considerable amount of research on fish vaccines, however, limited information is available in scientific publications. In addition, salmonids dominate both the literature and commercial focus, despite their relatively small contribution to the total volume of farmed fish in the world. This review provides an overview of the fish vaccines that are currently commercially available and some viewpoints on how the field is likely to evolve in the near future.","author":[{"dropping-particle":"","family":"Sommerset","given":"Ingunn","non-dropping-particle":"","parse-names":false,"suffix":""},{"dropping-particle":"","family":"Krossøy","given":"Bjørn","non-dropping-particle":"","parse-names":false,"suffix":""},{"dropping-particle":"","family":"Biering","given":"Eirik","non-dropping-particle":"","parse-names":false,"suffix":""},{"dropping-particle":"","family":"Frost","given":"Petter","non-dropping-particle":"","parse-names":false,"suffix":""}],"container-title":"Expert review of vaccines","id":"ITEM-4","issue":"1","issued":{"date-parts":[["2005","2"]]},"language":"eng","page":"89-101","publisher-place":"England","title":"Vaccines for fish in aquaculture.","type":"article-journal","volume":"4"},"uris":["http://www.mendeley.com/documents/?uuid=8c19be46-1758-4d69-bcca-58881a784eaf"]}],"mendeley":{"formattedCitation":"(Kelly et al., 1978; Nicholson, 1989; Ott, 2004; Sommerset et al., 2005)","plainTextFormattedCitation":"(Kelly et al., 1978; Nicholson, 1989; Ott, 2004; Sommerset et al., 2005)","previouslyFormattedCitation":"(Kelly et al., 1978; Nicholson, 1989; Ott, 2004; Sommerset et al., 2005)"},"properties":{"noteIndex":0},"schema":"https://github.com/citation-style-language/schema/raw/master/csl-citation.json"}</w:instrText>
      </w:r>
      <w:r w:rsidR="00B479FB">
        <w:rPr>
          <w:rFonts w:ascii="Times New Roman" w:hAnsi="Times New Roman" w:cs="Times New Roman"/>
          <w:sz w:val="24"/>
          <w:szCs w:val="24"/>
        </w:rPr>
        <w:fldChar w:fldCharType="separate"/>
      </w:r>
      <w:r w:rsidR="00B479FB" w:rsidRPr="00B479FB">
        <w:rPr>
          <w:rFonts w:ascii="Times New Roman" w:hAnsi="Times New Roman" w:cs="Times New Roman"/>
          <w:noProof/>
          <w:sz w:val="24"/>
          <w:szCs w:val="24"/>
        </w:rPr>
        <w:t>(Kelly et al., 1978; Nicholson, 1989; Ott, 2004; Sommerset et al., 2005)</w:t>
      </w:r>
      <w:r w:rsidR="00B479FB">
        <w:rPr>
          <w:rFonts w:ascii="Times New Roman" w:hAnsi="Times New Roman" w:cs="Times New Roman"/>
          <w:sz w:val="24"/>
          <w:szCs w:val="24"/>
        </w:rPr>
        <w:fldChar w:fldCharType="end"/>
      </w:r>
      <w:r w:rsidR="00B479FB">
        <w:rPr>
          <w:rFonts w:ascii="Times New Roman" w:hAnsi="Times New Roman" w:cs="Times New Roman"/>
          <w:sz w:val="24"/>
          <w:szCs w:val="24"/>
        </w:rPr>
        <w:t>.</w:t>
      </w:r>
      <w:r w:rsidRPr="0088515C">
        <w:t xml:space="preserve"> </w:t>
      </w:r>
      <w:r w:rsidRPr="0088515C">
        <w:rPr>
          <w:rFonts w:ascii="Times New Roman" w:hAnsi="Times New Roman" w:cs="Times New Roman"/>
          <w:color w:val="000000" w:themeColor="text1"/>
          <w:sz w:val="24"/>
          <w:szCs w:val="24"/>
        </w:rPr>
        <w:t>Isolation of viruses depends on legal cell culture accessibility, potentially causing delays in characterizatio</w:t>
      </w:r>
      <w:r>
        <w:rPr>
          <w:rFonts w:ascii="Times New Roman" w:hAnsi="Times New Roman" w:cs="Times New Roman"/>
          <w:color w:val="000000" w:themeColor="text1"/>
          <w:sz w:val="24"/>
          <w:szCs w:val="24"/>
        </w:rPr>
        <w:t xml:space="preserve">n of host-specific fish viruses </w:t>
      </w:r>
      <w:r w:rsidR="00893D2B" w:rsidRPr="00B479FB">
        <w:rPr>
          <w:rFonts w:ascii="Times New Roman" w:hAnsi="Times New Roman" w:cs="Times New Roman"/>
          <w:color w:val="000000" w:themeColor="text1"/>
          <w:sz w:val="24"/>
          <w:szCs w:val="24"/>
        </w:rPr>
        <w:t xml:space="preserve">(Hanson et al. 2011). </w:t>
      </w:r>
      <w:r w:rsidR="000C67FA" w:rsidRPr="000C67FA">
        <w:rPr>
          <w:rFonts w:ascii="Times New Roman" w:hAnsi="Times New Roman" w:cs="Times New Roman"/>
          <w:color w:val="000000" w:themeColor="text1"/>
          <w:sz w:val="24"/>
          <w:szCs w:val="24"/>
        </w:rPr>
        <w:t xml:space="preserve">Cell cultures are essential for representing various cell types in viruses like cyprinid herpesviruses, salmonid herpesvirus, </w:t>
      </w:r>
      <w:proofErr w:type="spellStart"/>
      <w:r w:rsidR="000C67FA" w:rsidRPr="000C67FA">
        <w:rPr>
          <w:rFonts w:ascii="Times New Roman" w:hAnsi="Times New Roman" w:cs="Times New Roman"/>
          <w:color w:val="000000" w:themeColor="text1"/>
          <w:sz w:val="24"/>
          <w:szCs w:val="24"/>
        </w:rPr>
        <w:t>acipenserid</w:t>
      </w:r>
      <w:proofErr w:type="spellEnd"/>
      <w:r w:rsidR="000C67FA" w:rsidRPr="000C67FA">
        <w:rPr>
          <w:rFonts w:ascii="Times New Roman" w:hAnsi="Times New Roman" w:cs="Times New Roman"/>
          <w:color w:val="000000" w:themeColor="text1"/>
          <w:sz w:val="24"/>
          <w:szCs w:val="24"/>
        </w:rPr>
        <w:t xml:space="preserve"> herpesvirus, and walleye herpesvirus due to their specificit</w:t>
      </w:r>
      <w:r w:rsidR="000C67FA">
        <w:rPr>
          <w:rFonts w:ascii="Times New Roman" w:hAnsi="Times New Roman" w:cs="Times New Roman"/>
          <w:color w:val="000000" w:themeColor="text1"/>
          <w:sz w:val="24"/>
          <w:szCs w:val="24"/>
        </w:rPr>
        <w:t xml:space="preserve">y </w:t>
      </w:r>
      <w:r w:rsidR="00BE7662" w:rsidRPr="00B479FB">
        <w:rPr>
          <w:rFonts w:ascii="Times New Roman" w:hAnsi="Times New Roman" w:cs="Times New Roman"/>
          <w:color w:val="000000" w:themeColor="text1"/>
          <w:sz w:val="24"/>
          <w:szCs w:val="24"/>
        </w:rPr>
        <w:t xml:space="preserve">(Hedrick et al. 2000; Hanson et al. 2011). </w:t>
      </w:r>
      <w:r w:rsidRPr="0088515C">
        <w:rPr>
          <w:rFonts w:ascii="Times New Roman" w:hAnsi="Times New Roman" w:cs="Times New Roman"/>
          <w:color w:val="000000" w:themeColor="text1"/>
          <w:sz w:val="24"/>
          <w:szCs w:val="24"/>
        </w:rPr>
        <w:t>To develop effective pathogen-targeted management techniques, researchers must investigate fish viruses affecting aquaculture using species-specific cell cultures. However, limited host-specific cell lines hinder research on recently discovered, unknown viruses,</w:t>
      </w:r>
      <w:r>
        <w:rPr>
          <w:rFonts w:ascii="Times New Roman" w:hAnsi="Times New Roman" w:cs="Times New Roman"/>
          <w:color w:val="000000" w:themeColor="text1"/>
          <w:sz w:val="24"/>
          <w:szCs w:val="24"/>
        </w:rPr>
        <w:t xml:space="preserve"> and rely on generic cell lines</w:t>
      </w:r>
      <w:r w:rsidRPr="0088515C">
        <w:rPr>
          <w:rFonts w:ascii="Times New Roman" w:hAnsi="Times New Roman" w:cs="Times New Roman"/>
          <w:color w:val="000000" w:themeColor="text1"/>
          <w:sz w:val="24"/>
          <w:szCs w:val="24"/>
        </w:rPr>
        <w:t xml:space="preserve"> </w:t>
      </w:r>
      <w:r w:rsidR="00BE7662" w:rsidRPr="00B479FB">
        <w:rPr>
          <w:rFonts w:ascii="Times New Roman" w:hAnsi="Times New Roman" w:cs="Times New Roman"/>
          <w:color w:val="000000" w:themeColor="text1"/>
          <w:sz w:val="24"/>
          <w:szCs w:val="24"/>
        </w:rPr>
        <w:t>(Bang 1960; Baron et al. 1996; Pandey 2013).</w:t>
      </w:r>
      <w:r w:rsidR="002E7320">
        <w:rPr>
          <w:rFonts w:ascii="Times New Roman" w:hAnsi="Times New Roman" w:cs="Times New Roman"/>
          <w:color w:val="000000" w:themeColor="text1"/>
          <w:sz w:val="24"/>
          <w:szCs w:val="24"/>
        </w:rPr>
        <w:t xml:space="preserve"> </w:t>
      </w:r>
      <w:r w:rsidR="000C67FA" w:rsidRPr="000C67FA">
        <w:rPr>
          <w:rFonts w:ascii="Times New Roman" w:hAnsi="Times New Roman" w:cs="Times New Roman"/>
          <w:sz w:val="24"/>
          <w:szCs w:val="24"/>
        </w:rPr>
        <w:t>Fish cell lines are used to screen antiviral compounds</w:t>
      </w:r>
      <w:r w:rsidR="000C67FA">
        <w:rPr>
          <w:rFonts w:ascii="Times New Roman" w:hAnsi="Times New Roman" w:cs="Times New Roman"/>
          <w:sz w:val="24"/>
          <w:szCs w:val="24"/>
        </w:rPr>
        <w:fldChar w:fldCharType="begin" w:fldLock="1"/>
      </w:r>
      <w:r w:rsidR="000C67FA">
        <w:rPr>
          <w:rFonts w:ascii="Times New Roman" w:hAnsi="Times New Roman" w:cs="Times New Roman"/>
          <w:sz w:val="24"/>
          <w:szCs w:val="24"/>
        </w:rPr>
        <w:instrText>ADDIN CSL_CITATION {"citationItems":[{"id":"ITEM-1","itemData":{"author":[{"dropping-particle":"","family":"Huang","given":"Yi-Cheng","non-dropping-particle":"","parse-names":false,"suffix":""},{"dropping-particle":"","family":"Han","given":"Yu-San","non-dropping-particle":"","parse-names":false,"suffix":""}],"id":"ITEM-1","issued":{"date-parts":[["2010","7","17"]]},"title":"Anti-nervous necrosis virus drug screening using fish cell line","type":"book"},"uris":["http://www.mendeley.com/documents/?uuid=e392d3ea-4eae-4c25-95a0-ca52f0563bcd"]}],"mendeley":{"formattedCitation":"(Huang &amp; Han, 2010)","manualFormatting":"(Huang &amp; Han, 2010","plainTextFormattedCitation":"(Huang &amp; Han, 2010)","previouslyFormattedCitation":"(Huang &amp; Han, 2010)"},"properties":{"noteIndex":0},"schema":"https://github.com/citation-style-language/schema/raw/master/csl-citation.json"}</w:instrText>
      </w:r>
      <w:r w:rsidR="000C67FA">
        <w:rPr>
          <w:rFonts w:ascii="Times New Roman" w:hAnsi="Times New Roman" w:cs="Times New Roman"/>
          <w:sz w:val="24"/>
          <w:szCs w:val="24"/>
        </w:rPr>
        <w:fldChar w:fldCharType="separate"/>
      </w:r>
      <w:r w:rsidR="000C67FA" w:rsidRPr="00A01D29">
        <w:rPr>
          <w:rFonts w:ascii="Times New Roman" w:hAnsi="Times New Roman" w:cs="Times New Roman"/>
          <w:noProof/>
          <w:sz w:val="24"/>
          <w:szCs w:val="24"/>
        </w:rPr>
        <w:t>(Huang &amp; Han, 2010</w:t>
      </w:r>
      <w:r w:rsidR="000C67FA">
        <w:rPr>
          <w:rFonts w:ascii="Times New Roman" w:hAnsi="Times New Roman" w:cs="Times New Roman"/>
          <w:sz w:val="24"/>
          <w:szCs w:val="24"/>
        </w:rPr>
        <w:fldChar w:fldCharType="end"/>
      </w:r>
      <w:r w:rsidR="000C67FA">
        <w:rPr>
          <w:rFonts w:ascii="Times New Roman" w:hAnsi="Times New Roman" w:cs="Times New Roman"/>
          <w:sz w:val="24"/>
          <w:szCs w:val="24"/>
        </w:rPr>
        <w:t>;</w:t>
      </w:r>
      <w:r w:rsidR="000C67FA" w:rsidRPr="00C23AEB">
        <w:rPr>
          <w:rFonts w:ascii="Times New Roman" w:hAnsi="Times New Roman" w:cs="Times New Roman"/>
          <w:sz w:val="24"/>
          <w:szCs w:val="24"/>
        </w:rPr>
        <w:t xml:space="preserve"> </w:t>
      </w:r>
      <w:r w:rsidR="000C67FA">
        <w:rPr>
          <w:rFonts w:ascii="Times New Roman" w:hAnsi="Times New Roman" w:cs="Times New Roman"/>
          <w:sz w:val="24"/>
          <w:szCs w:val="24"/>
        </w:rPr>
        <w:t xml:space="preserve"> </w:t>
      </w:r>
      <w:r w:rsidR="000C67FA">
        <w:rPr>
          <w:rFonts w:ascii="Times New Roman" w:hAnsi="Times New Roman" w:cs="Times New Roman"/>
          <w:sz w:val="24"/>
          <w:szCs w:val="24"/>
        </w:rPr>
        <w:fldChar w:fldCharType="begin" w:fldLock="1"/>
      </w:r>
      <w:r w:rsidR="000C67FA">
        <w:rPr>
          <w:rFonts w:ascii="Times New Roman" w:hAnsi="Times New Roman" w:cs="Times New Roman"/>
          <w:sz w:val="24"/>
          <w:szCs w:val="24"/>
        </w:rPr>
        <w:instrText>ADDIN CSL_CITATION {"citationItems":[{"id":"ITEM-1","itemData":{"DOI":"10.4172/jaa.1000018","ISSN":"19485964","abstract":"Antiviral activity of dasyscyphin C (C28H40O8) extracted from leaves of Eclipta prostrata was evaluated against fish nodavirus, grouper nervous necrosis virus (GNNV) infected SIGE (Sahul Indian Grouper Eye) cell lines under in vitro conditions. Nodavirus infection to SIGE cells was confirmed by cytopathic effect (CPE) and reverse transcriptase-polymerase chain reaction. The susceptibility of the virus to the isolated compound was confirmed by measuring the virus titre (TCID50/ml) at every 24 hrs. The isolated compound was found to be effective in inhibiting the proliferation of fish nodavirus (FNV) infected in the SIGE cell lines at 20μg/mL and the cell viability was decreased to 22% as determined by MTT assay. The virus titre (TCID50/ml) was 3.7 at the end of 7th day in dasyscyphin C treated SIGE cells post inoculated with nodavirus. Based on the results it can be concluded that dasyscyphin C may be used as antiviral agent against fish nodavirus. © 2010 Krishnan K, et al.","author":[{"dropping-particle":"","family":"Krishnan","given":"Kannabiran","non-dropping-particle":"","parse-names":false,"suffix":""},{"dropping-particle":"","family":"Khanna","given":"Venkatesan Gopiesh","non-dropping-particle":"","parse-names":false,"suffix":""},{"dropping-particle":"","family":"Hameed","given":"Sahul","non-dropping-particle":"","parse-names":false,"suffix":""}],"container-title":"Journal of Antivirals and Antiretrovirals","id":"ITEM-1","issue":"1","issued":{"date-parts":[["2010"]]},"page":"29-32","title":"Antiviral activity of dasyscyphin C extracted from Eclipta prostrata against fish nodavirus","type":"article-journal","volume":"2"},"uris":["http://www.mendeley.com/documents/?uuid=2763da24-4127-4748-99df-084083162576"]}],"mendeley":{"formattedCitation":"(Krishnan et al., 2010)","manualFormatting":"Krishnan et al., 2010)","plainTextFormattedCitation":"(Krishnan et al., 2010)","previouslyFormattedCitation":"(Krishnan et al., 2010)"},"properties":{"noteIndex":0},"schema":"https://github.com/citation-style-language/schema/raw/master/csl-citation.json"}</w:instrText>
      </w:r>
      <w:r w:rsidR="000C67FA">
        <w:rPr>
          <w:rFonts w:ascii="Times New Roman" w:hAnsi="Times New Roman" w:cs="Times New Roman"/>
          <w:sz w:val="24"/>
          <w:szCs w:val="24"/>
        </w:rPr>
        <w:fldChar w:fldCharType="separate"/>
      </w:r>
      <w:r w:rsidR="000C67FA" w:rsidRPr="00A01D29">
        <w:rPr>
          <w:rFonts w:ascii="Times New Roman" w:hAnsi="Times New Roman" w:cs="Times New Roman"/>
          <w:noProof/>
          <w:sz w:val="24"/>
          <w:szCs w:val="24"/>
        </w:rPr>
        <w:t>Krishnan et al., 2010)</w:t>
      </w:r>
      <w:r w:rsidR="000C67FA">
        <w:rPr>
          <w:rFonts w:ascii="Times New Roman" w:hAnsi="Times New Roman" w:cs="Times New Roman"/>
          <w:sz w:val="24"/>
          <w:szCs w:val="24"/>
        </w:rPr>
        <w:fldChar w:fldCharType="end"/>
      </w:r>
      <w:r w:rsidR="000C67FA" w:rsidRPr="000C67FA">
        <w:rPr>
          <w:rFonts w:ascii="Times New Roman" w:hAnsi="Times New Roman" w:cs="Times New Roman"/>
          <w:sz w:val="24"/>
          <w:szCs w:val="24"/>
        </w:rPr>
        <w:t xml:space="preserve">, such as acyclovir, which is effective against human herpesvirus and cyprinid herpesvirus-3 in CCO cells. Exopolysaccharides from </w:t>
      </w:r>
      <w:proofErr w:type="spellStart"/>
      <w:r w:rsidR="000C67FA" w:rsidRPr="000C67FA">
        <w:rPr>
          <w:rFonts w:ascii="Times New Roman" w:hAnsi="Times New Roman" w:cs="Times New Roman"/>
          <w:sz w:val="24"/>
          <w:szCs w:val="24"/>
        </w:rPr>
        <w:t>Arthrospira</w:t>
      </w:r>
      <w:proofErr w:type="spellEnd"/>
      <w:r w:rsidR="000C67FA" w:rsidRPr="000C67FA">
        <w:rPr>
          <w:rFonts w:ascii="Times New Roman" w:hAnsi="Times New Roman" w:cs="Times New Roman"/>
          <w:sz w:val="24"/>
          <w:szCs w:val="24"/>
        </w:rPr>
        <w:t xml:space="preserve"> platensis inhibit KHV replication in CCB cells, while </w:t>
      </w:r>
      <w:proofErr w:type="spellStart"/>
      <w:r w:rsidR="000C67FA" w:rsidRPr="000C67FA">
        <w:rPr>
          <w:rFonts w:ascii="Times New Roman" w:hAnsi="Times New Roman" w:cs="Times New Roman"/>
          <w:sz w:val="24"/>
          <w:szCs w:val="24"/>
        </w:rPr>
        <w:t>polyinosinic</w:t>
      </w:r>
      <w:proofErr w:type="spellEnd"/>
      <w:r w:rsidR="000C67FA" w:rsidRPr="000C67FA">
        <w:rPr>
          <w:rFonts w:ascii="Times New Roman" w:hAnsi="Times New Roman" w:cs="Times New Roman"/>
          <w:sz w:val="24"/>
          <w:szCs w:val="24"/>
        </w:rPr>
        <w:t xml:space="preserve"> </w:t>
      </w:r>
      <w:proofErr w:type="spellStart"/>
      <w:r w:rsidR="000C67FA" w:rsidRPr="000C67FA">
        <w:rPr>
          <w:rFonts w:ascii="Times New Roman" w:hAnsi="Times New Roman" w:cs="Times New Roman"/>
          <w:sz w:val="24"/>
          <w:szCs w:val="24"/>
        </w:rPr>
        <w:t>polycytidylic</w:t>
      </w:r>
      <w:proofErr w:type="spellEnd"/>
      <w:r w:rsidR="000C67FA" w:rsidRPr="000C67FA">
        <w:rPr>
          <w:rFonts w:ascii="Times New Roman" w:hAnsi="Times New Roman" w:cs="Times New Roman"/>
          <w:sz w:val="24"/>
          <w:szCs w:val="24"/>
        </w:rPr>
        <w:t xml:space="preserve"> acid induces an antiviral state in CHSE-214 cells against IPNV. </w:t>
      </w:r>
      <w:r w:rsidR="002356E4" w:rsidRPr="002356E4">
        <w:rPr>
          <w:rFonts w:ascii="Times New Roman" w:hAnsi="Times New Roman" w:cs="Times New Roman"/>
          <w:sz w:val="24"/>
          <w:szCs w:val="24"/>
        </w:rPr>
        <w:t>A compound that fights the Infectious Hematopoietic Necrosis Virus (IHNV) was discovered to prevent the fusion of the virus's memb</w:t>
      </w:r>
      <w:r w:rsidR="002356E4">
        <w:rPr>
          <w:rFonts w:ascii="Times New Roman" w:hAnsi="Times New Roman" w:cs="Times New Roman"/>
          <w:sz w:val="24"/>
          <w:szCs w:val="24"/>
        </w:rPr>
        <w:t>rane with that of the host cell</w:t>
      </w:r>
      <w:r w:rsidR="002356E4" w:rsidRPr="002356E4">
        <w:rPr>
          <w:rFonts w:ascii="Times New Roman" w:hAnsi="Times New Roman" w:cs="Times New Roman"/>
          <w:sz w:val="24"/>
          <w:szCs w:val="24"/>
        </w:rPr>
        <w:t xml:space="preserve"> </w:t>
      </w:r>
      <w:r w:rsidR="002E7320">
        <w:rPr>
          <w:rFonts w:ascii="Times New Roman" w:hAnsi="Times New Roman" w:cs="Times New Roman"/>
          <w:sz w:val="24"/>
          <w:szCs w:val="24"/>
        </w:rPr>
        <w:fldChar w:fldCharType="begin" w:fldLock="1"/>
      </w:r>
      <w:r w:rsidR="002E7320">
        <w:rPr>
          <w:rFonts w:ascii="Times New Roman" w:hAnsi="Times New Roman" w:cs="Times New Roman"/>
          <w:sz w:val="24"/>
          <w:szCs w:val="24"/>
        </w:rPr>
        <w:instrText>ADDIN CSL_CITATION {"citationItems":[{"id":"ITEM-1","itemData":{"DOI":"10.1111/jfd.12618","ISSN":"1365-2761 (Electronic)","PMID":"28422294","abstract":"Although koi herpesvirus (KHV) has a history of causing severe economic losses in  common carp and koi farms, there are still no treatments available on the market. Thus, the aim of this study was to test exopolysaccharides (EPS) for its antiviral activity against KHV, by monitoring inhibition and cytotoxic effects in common carp brain cells. These substances can be easily extracted from extracellular algae supernatant and were identified as groups of sulphated polysaccharides. In order to reach this aim, Arthrospira platensis, which is well known for its antiviral activity of intra- and extracellular compounds towards mammalian herpesviruses, was investigated as standard organism and compared to commercial antiviral drug, ganciclovir, which inhibits the viral DNA polymerization. The antiviral activity of polysaccharides of A. platensis against KHV was confirmed in vitro using qualitative assessment of KHV life cycle genes, and it was found by RT-PCR that EPS, applied at a concentration of &gt;18 μg mL(-1) and a multiplicity of infection (MOI) of 0.45 of KHV, suppressed the viral replication in common carp brain (CCB) cells even after 22 days post-infection, entirely. Further, this study presents first data indicating an enormous potential using polysaccharides as an additive for aquacultures to lower or hinder the spread of the KHV and koi herpesvirus disease (KHVD) in future.","author":[{"dropping-particle":"","family":"Reichert","given":"M","non-dropping-particle":"","parse-names":false,"suffix":""},{"dropping-particle":"","family":"Bergmann","given":"S M","non-dropping-particle":"","parse-names":false,"suffix":""},{"dropping-particle":"","family":"Hwang","given":"J","non-dropping-particle":"","parse-names":false,"suffix":""},{"dropping-particle":"","family":"Buchholz","given":"R","non-dropping-particle":"","parse-names":false,"suffix":""},{"dropping-particle":"","family":"Lindenberger","given":"C","non-dropping-particle":"","parse-names":false,"suffix":""}],"container-title":"Journal of fish diseases","id":"ITEM-1","issue":"10","issued":{"date-parts":[["2017","10"]]},"language":"eng","page":"1441-1450","publisher-place":"England","title":"Antiviral activity of exopolysaccharides from Arthrospira platensis against koi  herpesvirus.","type":"article-journal","volume":"40"},"uris":["http://www.mendeley.com/documents/?uuid=d78b3a07-fccf-4810-8dee-9ebd19525b83"]},{"id":"ITEM-2","itemData":{"DOI":"10.1006/fsim.2002.0412","ISSN":"1050-4648 (Print)","PMID":"12458743","abstract":"Type I interferons (IFN alpha and beta) convert vertebrate cells into an  antiviral state by inducing expression of proteins that inhibit virus replication. In humans and mice, Mx proteins constitute one family of interferon-induced antiviral proteins. Mx genes have recently been cloned from Atlantic salmon and rainbow trout. Moreover, double-stranded RNA (dsRNA) and type I IFN-like activity have been shown to induce Mx protein in salmonid cells. Chinook salmon embryo cells (CHSE-214 cells) have been suggested to have a defect in the IFN-system because the dsRNA polyinosinic polycytidylic acid (poly I:C) failed to induce an antiviral state in the cells. We have studied this phenomenon more closely in the present work. CHSE-214 cells were either transfected with poly I:C or incubated with poly I:C without transfection reagent. The cells were then studied for Mx protein expression and protection against infectious pancreatic necrosis virus (IPNV) infection. The results showed that cells transfected with poly I:C were protected from IPNV infection, whilst cells incubated with poly I:C were not protected. Cells transfected with the double-stranded DNA poly dI:dC were also not protected against IPNV. Mx protein was expressed in CHSE-214 cells upon transfection with poly I:C, but not after incubation with poly I:C alone. Stimulation of CHSE-214 cells with supernatants from cells transfected with poly I:C, induced protection against IPNV, indicating production of type I IFN-like activity. These results suggest that CHSE-214 cells in fact are able to produce type I IFN, but may have defects in the mechanisms mediating uptake of poly I:C or may degrade unprotected poly I:C.","author":[{"dropping-particle":"","family":"Jensen","given":"Ingvill","non-dropping-particle":"","parse-names":false,"suffix":""},{"dropping-particle":"","family":"Larsen","given":"Rannveig","non-dropping-particle":"","parse-names":false,"suffix":""},{"dropping-particle":"","family":"Robertsen","given":"Børre","non-dropping-particle":"","parse-names":false,"suffix":""}],"container-title":"Fish &amp; shellfish immunology","id":"ITEM-2","issue":"5","issued":{"date-parts":[["2002","11"]]},"language":"eng","page":"367-378","publisher-place":"England","title":"An antiviral state induced in Chinook salmon embryo cells (CHSE-214) by  transfection with the double-stranded RNA poly I:C.","type":"article-journal","volume":"13"},"uris":["http://www.mendeley.com/documents/?uuid=781b4837-25ca-480e-9895-f3481f959c09"]},{"id":"ITEM-3","itemData":{"DOI":"10.1128/JVI.02181-16","ISSN":"1098-5514 (Electronic)","PMID":"27903801","abstract":"Many enveloped viruses cause devastating disease in aquaculture, resulting in  significant economic impact. LJ001 is a broad-spectrum antiviral compound that inhibits enveloped virus infections by specifically targeting phospholipids in the lipid bilayer via the production of singlet oxygen ((1)O(2)). This stabilizes positive curvature and decreases membrane fluidity, which inhibits virus-cell membrane fusion during viral entry. Based on data from previous mammalian studies and the requirement of light for the activation of LJ001, we hypothesized that LJ001 may be useful as a preventative and/or therapeutic agent for infections by enveloped viruses in aquaculture. Here, we report that LJ001 was more stable with a prolonged inhibitory half-life at relevant aquaculture temperatures (15°C), than in mammalian studies at 37°C. When LJ001 was preincubated with our model virus, infectious hematopoietic necrosis virus (IHNV), infectivity was significantly inhibited in vitro (using the epithelioma papulosum cyprini [EPC] fish cell line) and in vivo (using rainbow trout fry) in a dose-dependent and time-dependent manner. While horizontal transmission of IHNV in a static cohabitation challenge model was reduced by LJ001, transmission was not completely blocked at established antiviral doses. Therefore, LJ001 may be best suited as a therapeutic for aquaculture settings that include viral infections with lower virus-shedding rates than IHNV or where higher viral titers are required to initiate infection of naive fish. Importantly, our data also suggest that LJ001-inactivated IHNV elicited an innate immune response in the rainbow trout host, making LJ001 potentially useful for future vaccination approaches. IMPORTANCE: Viral diseases in aquaculture are challenging because there are few preventative measures and/or treatments. Broad-spectrum antivirals are highly sought after and studied because they target common components of viruses. In our studies, we used LJ001, a broad-spectrum antiviral compound that specifically inhibits enveloped viruses. We used the fish rhabdovirus infectious hematopoietic necrosis virus (IHNV) as a model to study aquatic enveloped virus diseases and their inhibition. We demonstrated inhibition of IHNV by LJ001 both in cell culture as well as in live fish. Additionally, we showed that LJ001 inhibited the transmission of IHNV from infected fish to healthy fish, which lays the groundwork for using LJ001 as a possible therapeutic for aquatic v…","author":[{"dropping-particle":"","family":"Balmer","given":"Bethany F","non-dropping-particle":"","parse-names":false,"suffix":""},{"dropping-particle":"","family":"Powers","given":"Rachel L","non-dropping-particle":"","parse-names":false,"suffix":""},{"dropping-particle":"","family":"Zhang","given":"Ting-Hu","non-dropping-particle":"","parse-names":false,"suffix":""},{"dropping-particle":"","family":"Lee","given":"Jihye","non-dropping-particle":"","parse-names":false,"suffix":""},{"dropping-particle":"","family":"Vigant","given":"Frederic","non-dropping-particle":"","parse-names":false,"suffix":""},{"dropping-particle":"","family":"Lee","given":"Benhur","non-dropping-particle":"","parse-names":false,"suffix":""},{"dropping-particle":"","family":"Jung","given":"Michael E","non-dropping-particle":"","parse-names":false,"suffix":""},{"dropping-particle":"","family":"Purcell","given":"Maureen K","non-dropping-particle":"","parse-names":false,"suffix":""},{"dropping-particle":"","family":"Snekvik","given":"Kevin","non-dropping-particle":"","parse-names":false,"suffix":""},{"dropping-particle":"","family":"Aguilar","given":"Hector C","non-dropping-particle":"","parse-names":false,"suffix":""}],"container-title":"Journal of virology","id":"ITEM-3","issue":"4","issued":{"date-parts":[["2017","2"]]},"language":"eng","publisher-place":"United States","title":"Inhibition of an Aquatic Rhabdovirus Demonstrates Promise of a Broad-Spectrum  Antiviral for Use in Aquaculture.","type":"article-journal","volume":"91"},"uris":["http://www.mendeley.com/documents/?uuid=ba9e50d0-67c2-4fe9-9e8f-585abae6d924"]}],"mendeley":{"formattedCitation":"(Balmer et al., 2017; Jensen et al., 2002; Reichert et al., 2017)","plainTextFormattedCitation":"(Balmer et al., 2017; Jensen et al., 2002; Reichert et al., 2017)","previouslyFormattedCitation":"(Balmer et al., 2017; Jensen et al., 2002; Reichert et al., 2017)"},"properties":{"noteIndex":0},"schema":"https://github.com/citation-style-language/schema/raw/master/csl-citation.json"}</w:instrText>
      </w:r>
      <w:r w:rsidR="002E7320">
        <w:rPr>
          <w:rFonts w:ascii="Times New Roman" w:hAnsi="Times New Roman" w:cs="Times New Roman"/>
          <w:sz w:val="24"/>
          <w:szCs w:val="24"/>
        </w:rPr>
        <w:fldChar w:fldCharType="separate"/>
      </w:r>
      <w:r w:rsidR="002E7320" w:rsidRPr="00050785">
        <w:rPr>
          <w:rFonts w:ascii="Times New Roman" w:hAnsi="Times New Roman" w:cs="Times New Roman"/>
          <w:noProof/>
          <w:sz w:val="24"/>
          <w:szCs w:val="24"/>
        </w:rPr>
        <w:t>(Balmer et al., 2017; Jensen et al., 2002; Reichert et al., 2017)</w:t>
      </w:r>
      <w:r w:rsidR="002E7320">
        <w:rPr>
          <w:rFonts w:ascii="Times New Roman" w:hAnsi="Times New Roman" w:cs="Times New Roman"/>
          <w:sz w:val="24"/>
          <w:szCs w:val="24"/>
        </w:rPr>
        <w:fldChar w:fldCharType="end"/>
      </w:r>
      <w:r w:rsidR="002E7320">
        <w:rPr>
          <w:rFonts w:ascii="Times New Roman" w:hAnsi="Times New Roman" w:cs="Times New Roman"/>
          <w:sz w:val="24"/>
          <w:szCs w:val="24"/>
        </w:rPr>
        <w:t>.</w:t>
      </w:r>
    </w:p>
    <w:p w:rsidR="00050785" w:rsidRPr="00C23AEB" w:rsidRDefault="00050785" w:rsidP="00D23B4B">
      <w:pPr>
        <w:autoSpaceDE w:val="0"/>
        <w:autoSpaceDN w:val="0"/>
        <w:adjustRightInd w:val="0"/>
        <w:spacing w:after="0" w:line="360" w:lineRule="auto"/>
        <w:jc w:val="both"/>
        <w:rPr>
          <w:rFonts w:ascii="Times New Roman" w:hAnsi="Times New Roman" w:cs="Times New Roman"/>
          <w:color w:val="2F5496" w:themeColor="accent5" w:themeShade="BF"/>
          <w:sz w:val="24"/>
          <w:szCs w:val="24"/>
        </w:rPr>
      </w:pPr>
    </w:p>
    <w:p w:rsidR="006E3C64" w:rsidRPr="00C23AEB" w:rsidRDefault="006E3C64" w:rsidP="00D23B4B">
      <w:pPr>
        <w:autoSpaceDE w:val="0"/>
        <w:autoSpaceDN w:val="0"/>
        <w:adjustRightInd w:val="0"/>
        <w:spacing w:after="0" w:line="360" w:lineRule="auto"/>
        <w:jc w:val="both"/>
        <w:rPr>
          <w:rFonts w:ascii="Times New Roman" w:hAnsi="Times New Roman" w:cs="Times New Roman"/>
          <w:sz w:val="24"/>
          <w:szCs w:val="24"/>
        </w:rPr>
      </w:pPr>
      <w:r w:rsidRPr="00C23AEB">
        <w:rPr>
          <w:rFonts w:ascii="Times New Roman" w:hAnsi="Times New Roman" w:cs="Times New Roman"/>
          <w:b/>
          <w:sz w:val="24"/>
          <w:szCs w:val="24"/>
        </w:rPr>
        <w:t>Fish cell line in Vaccine production</w:t>
      </w:r>
      <w:r w:rsidRPr="00C23AEB">
        <w:rPr>
          <w:rFonts w:ascii="Times New Roman" w:hAnsi="Times New Roman" w:cs="Times New Roman"/>
          <w:sz w:val="24"/>
          <w:szCs w:val="24"/>
        </w:rPr>
        <w:t xml:space="preserve"> -</w:t>
      </w:r>
    </w:p>
    <w:p w:rsidR="006E3C64" w:rsidRPr="00C23AEB" w:rsidRDefault="00DB3119" w:rsidP="00D23B4B">
      <w:pPr>
        <w:autoSpaceDE w:val="0"/>
        <w:autoSpaceDN w:val="0"/>
        <w:adjustRightInd w:val="0"/>
        <w:spacing w:after="0" w:line="360" w:lineRule="auto"/>
        <w:jc w:val="both"/>
        <w:rPr>
          <w:rFonts w:ascii="Times New Roman" w:hAnsi="Times New Roman" w:cs="Times New Roman"/>
          <w:sz w:val="24"/>
          <w:szCs w:val="24"/>
        </w:rPr>
      </w:pPr>
      <w:r w:rsidRPr="00DB3119">
        <w:rPr>
          <w:rFonts w:ascii="Times New Roman" w:hAnsi="Times New Roman" w:cs="Times New Roman"/>
          <w:sz w:val="24"/>
          <w:szCs w:val="24"/>
        </w:rPr>
        <w:t>The prevalence of viral infections used to result in significant annual economic losses for the aquaculture industry worldwide. The production of vaccines is crucial for the aquaculture sector's efforts to reduce viral infections. The first health product to be used as a vaccine derived from piscine cell culture</w:t>
      </w:r>
      <w:r>
        <w:rPr>
          <w:rFonts w:ascii="Times New Roman" w:hAnsi="Times New Roman" w:cs="Times New Roman"/>
          <w:sz w:val="24"/>
          <w:szCs w:val="24"/>
        </w:rPr>
        <w:t>s is probably purified viruses</w:t>
      </w:r>
      <w:r w:rsidRPr="00DB3119">
        <w:rPr>
          <w:rFonts w:ascii="Times New Roman" w:hAnsi="Times New Roman" w:cs="Times New Roman"/>
          <w:sz w:val="24"/>
          <w:szCs w:val="24"/>
        </w:rPr>
        <w:t xml:space="preserve"> </w:t>
      </w:r>
      <w:r w:rsidR="00CF2792">
        <w:rPr>
          <w:rFonts w:ascii="Times New Roman" w:hAnsi="Times New Roman" w:cs="Times New Roman"/>
          <w:sz w:val="24"/>
          <w:szCs w:val="24"/>
        </w:rPr>
        <w:fldChar w:fldCharType="begin" w:fldLock="1"/>
      </w:r>
      <w:r w:rsidR="00CF2792">
        <w:rPr>
          <w:rFonts w:ascii="Times New Roman" w:hAnsi="Times New Roman" w:cs="Times New Roman"/>
          <w:sz w:val="24"/>
          <w:szCs w:val="24"/>
        </w:rPr>
        <w:instrText>ADDIN CSL_CITATION {"citationItems":[{"id":"ITEM-1","itemData":{"DOI":"10.1016/0734-9750(91)90403-i","ISSN":"0734-9750 (Print)","PMID":"14543738","abstract":"Cell culturing complements recombinant DNA technology in the application of  biotechnology to aquaculture. Cell cultures can be prepared from the three main groups of multicellular organisms in aquaculture: fish, shellfish, and seaweeds. These cultures can contribute indirectly to the successful farming of these organisms by providing basic insights into how their growth, reproduction, and health can be understood and manipulated. Finally, they can be a direct source of diverse biochemical products for use in aquaculture, medicine and the food industry.","author":[{"dropping-particle":"","family":"Bols","given":"N C","non-dropping-particle":"","parse-names":false,"suffix":""}],"container-title":"Biotechnology advances","id":"ITEM-1","issue":"1","issued":{"date-parts":[["1991"]]},"language":"eng","page":"31-49","publisher-place":"England","title":"Biotechnology and aquaculture: the role of cell cultures.","type":"article-journal","volume":"9"},"uris":["http://www.mendeley.com/documents/?uuid=4d150b0d-f480-46a2-8ff7-a31ebd86d148"]}],"mendeley":{"formattedCitation":"(Bols, 1991)","plainTextFormattedCitation":"(Bols, 1991)","previouslyFormattedCitation":"(Bols, 1991)"},"properties":{"noteIndex":0},"schema":"https://github.com/citation-style-language/schema/raw/master/csl-citation.json"}</w:instrText>
      </w:r>
      <w:r w:rsidR="00CF2792">
        <w:rPr>
          <w:rFonts w:ascii="Times New Roman" w:hAnsi="Times New Roman" w:cs="Times New Roman"/>
          <w:sz w:val="24"/>
          <w:szCs w:val="24"/>
        </w:rPr>
        <w:fldChar w:fldCharType="separate"/>
      </w:r>
      <w:r w:rsidR="00CF2792" w:rsidRPr="00CF2792">
        <w:rPr>
          <w:rFonts w:ascii="Times New Roman" w:hAnsi="Times New Roman" w:cs="Times New Roman"/>
          <w:noProof/>
          <w:sz w:val="24"/>
          <w:szCs w:val="24"/>
        </w:rPr>
        <w:t>(Bols, 1991)</w:t>
      </w:r>
      <w:r w:rsidR="00CF2792">
        <w:rPr>
          <w:rFonts w:ascii="Times New Roman" w:hAnsi="Times New Roman" w:cs="Times New Roman"/>
          <w:sz w:val="24"/>
          <w:szCs w:val="24"/>
        </w:rPr>
        <w:fldChar w:fldCharType="end"/>
      </w:r>
      <w:r w:rsidR="00CF2792">
        <w:rPr>
          <w:rFonts w:ascii="Times New Roman" w:hAnsi="Times New Roman" w:cs="Times New Roman"/>
          <w:sz w:val="24"/>
          <w:szCs w:val="24"/>
        </w:rPr>
        <w:t>.</w:t>
      </w:r>
      <w:r w:rsidR="006E3C64" w:rsidRPr="00C23AEB">
        <w:rPr>
          <w:rFonts w:ascii="Times New Roman" w:hAnsi="Times New Roman" w:cs="Times New Roman"/>
          <w:color w:val="0070C0"/>
          <w:sz w:val="24"/>
          <w:szCs w:val="24"/>
        </w:rPr>
        <w:t xml:space="preserve"> </w:t>
      </w:r>
      <w:r w:rsidRPr="00DB3119">
        <w:rPr>
          <w:rFonts w:ascii="Times New Roman" w:hAnsi="Times New Roman" w:cs="Times New Roman"/>
          <w:sz w:val="24"/>
          <w:szCs w:val="24"/>
        </w:rPr>
        <w:t>Numerous viral vaccines have been developed with enhanced deliver</w:t>
      </w:r>
      <w:r>
        <w:rPr>
          <w:rFonts w:ascii="Times New Roman" w:hAnsi="Times New Roman" w:cs="Times New Roman"/>
          <w:sz w:val="24"/>
          <w:szCs w:val="24"/>
        </w:rPr>
        <w:t>y methods at competitive rates</w:t>
      </w:r>
      <w:r w:rsidRPr="00DB3119">
        <w:rPr>
          <w:rFonts w:ascii="Times New Roman" w:hAnsi="Times New Roman" w:cs="Times New Roman"/>
          <w:sz w:val="24"/>
          <w:szCs w:val="24"/>
        </w:rPr>
        <w:t xml:space="preserve"> </w:t>
      </w:r>
      <w:r w:rsidR="00CF2792">
        <w:rPr>
          <w:rFonts w:ascii="Times New Roman" w:hAnsi="Times New Roman" w:cs="Times New Roman"/>
          <w:sz w:val="24"/>
          <w:szCs w:val="24"/>
        </w:rPr>
        <w:fldChar w:fldCharType="begin" w:fldLock="1"/>
      </w:r>
      <w:r w:rsidR="00CF2792">
        <w:rPr>
          <w:rFonts w:ascii="Times New Roman" w:hAnsi="Times New Roman" w:cs="Times New Roman"/>
          <w:sz w:val="24"/>
          <w:szCs w:val="24"/>
        </w:rPr>
        <w:instrText>ADDIN CSL_CITATION {"citationItems":[{"id":"ITEM-1","itemData":{"DOI":"10.1038/d41586-019-00373-w","ISSN":"1476-4687 (Electronic)","PMID":"30755743","author":[{"dropping-particle":"","family":"Dolgin","given":"Elie","non-dropping-particle":"","parse-names":false,"suffix":""}],"container-title":"Nature","id":"ITEM-1","issue":"7743","issued":{"date-parts":[["2019","2"]]},"language":"eng","page":"161-162","publisher-place":"England","title":"Sizzling interest in lab-grown meat belies lack of basic research.","type":"article","volume":"566"},"uris":["http://www.mendeley.com/documents/?uuid=a060145d-45e0-42bf-94ab-53aacd6e0451"]}],"mendeley":{"formattedCitation":"(Dolgin, 2019)","plainTextFormattedCitation":"(Dolgin, 2019)","previouslyFormattedCitation":"(Dolgin, 2019)"},"properties":{"noteIndex":0},"schema":"https://github.com/citation-style-language/schema/raw/master/csl-citation.json"}</w:instrText>
      </w:r>
      <w:r w:rsidR="00CF2792">
        <w:rPr>
          <w:rFonts w:ascii="Times New Roman" w:hAnsi="Times New Roman" w:cs="Times New Roman"/>
          <w:sz w:val="24"/>
          <w:szCs w:val="24"/>
        </w:rPr>
        <w:fldChar w:fldCharType="separate"/>
      </w:r>
      <w:r w:rsidR="00CF2792" w:rsidRPr="00CF2792">
        <w:rPr>
          <w:rFonts w:ascii="Times New Roman" w:hAnsi="Times New Roman" w:cs="Times New Roman"/>
          <w:noProof/>
          <w:sz w:val="24"/>
          <w:szCs w:val="24"/>
        </w:rPr>
        <w:t>(Dolgin, 2019)</w:t>
      </w:r>
      <w:r w:rsidR="00CF2792">
        <w:rPr>
          <w:rFonts w:ascii="Times New Roman" w:hAnsi="Times New Roman" w:cs="Times New Roman"/>
          <w:sz w:val="24"/>
          <w:szCs w:val="24"/>
        </w:rPr>
        <w:fldChar w:fldCharType="end"/>
      </w:r>
      <w:r w:rsidR="00CF2792">
        <w:rPr>
          <w:rFonts w:ascii="Times New Roman" w:hAnsi="Times New Roman" w:cs="Times New Roman"/>
          <w:sz w:val="24"/>
          <w:szCs w:val="24"/>
        </w:rPr>
        <w:t xml:space="preserve">. </w:t>
      </w:r>
      <w:r w:rsidR="008A0538">
        <w:rPr>
          <w:rFonts w:ascii="Times New Roman" w:hAnsi="Times New Roman" w:cs="Times New Roman"/>
          <w:sz w:val="24"/>
          <w:szCs w:val="24"/>
        </w:rPr>
        <w:t>Fish cell lines have been examined</w:t>
      </w:r>
      <w:r w:rsidRPr="00DB3119">
        <w:rPr>
          <w:rFonts w:ascii="Times New Roman" w:hAnsi="Times New Roman" w:cs="Times New Roman"/>
          <w:sz w:val="24"/>
          <w:szCs w:val="24"/>
        </w:rPr>
        <w:t xml:space="preserve"> </w:t>
      </w:r>
      <w:r w:rsidR="001F3EDD">
        <w:rPr>
          <w:rFonts w:ascii="Times New Roman" w:hAnsi="Times New Roman" w:cs="Times New Roman"/>
          <w:sz w:val="24"/>
          <w:szCs w:val="24"/>
        </w:rPr>
        <w:t>for virus replication in the</w:t>
      </w:r>
      <w:r w:rsidRPr="00DB3119">
        <w:rPr>
          <w:rFonts w:ascii="Times New Roman" w:hAnsi="Times New Roman" w:cs="Times New Roman"/>
          <w:sz w:val="24"/>
          <w:szCs w:val="24"/>
        </w:rPr>
        <w:t xml:space="preserve"> </w:t>
      </w:r>
      <w:r w:rsidR="001F3EDD">
        <w:rPr>
          <w:rFonts w:ascii="Times New Roman" w:hAnsi="Times New Roman" w:cs="Times New Roman"/>
          <w:sz w:val="24"/>
          <w:szCs w:val="24"/>
        </w:rPr>
        <w:t>production of</w:t>
      </w:r>
      <w:r w:rsidR="001F3EDD" w:rsidRPr="001F3EDD">
        <w:rPr>
          <w:rFonts w:ascii="Times New Roman" w:hAnsi="Times New Roman" w:cs="Times New Roman"/>
          <w:sz w:val="24"/>
          <w:szCs w:val="24"/>
        </w:rPr>
        <w:t xml:space="preserve"> </w:t>
      </w:r>
      <w:r w:rsidR="001F3EDD" w:rsidRPr="00DB3119">
        <w:rPr>
          <w:rFonts w:ascii="Times New Roman" w:hAnsi="Times New Roman" w:cs="Times New Roman"/>
          <w:sz w:val="24"/>
          <w:szCs w:val="24"/>
        </w:rPr>
        <w:t>vaccine</w:t>
      </w:r>
      <w:r w:rsidR="001F3EDD">
        <w:rPr>
          <w:rFonts w:ascii="Times New Roman" w:hAnsi="Times New Roman" w:cs="Times New Roman"/>
          <w:sz w:val="24"/>
          <w:szCs w:val="24"/>
        </w:rPr>
        <w:t>s</w:t>
      </w:r>
      <w:r w:rsidRPr="00DB3119">
        <w:rPr>
          <w:rFonts w:ascii="Times New Roman" w:hAnsi="Times New Roman" w:cs="Times New Roman"/>
          <w:sz w:val="24"/>
          <w:szCs w:val="24"/>
        </w:rPr>
        <w:t>, with cell-culture-based technology being a reliable alternative. Live fish are required for testing potency, but cell lines like</w:t>
      </w:r>
      <w:r w:rsidR="001F3EDD">
        <w:rPr>
          <w:rFonts w:ascii="Times New Roman" w:hAnsi="Times New Roman" w:cs="Times New Roman"/>
          <w:sz w:val="24"/>
          <w:szCs w:val="24"/>
        </w:rPr>
        <w:t xml:space="preserve"> </w:t>
      </w:r>
      <w:proofErr w:type="spellStart"/>
      <w:r w:rsidR="001F3EDD" w:rsidRPr="00DB3119">
        <w:rPr>
          <w:rFonts w:ascii="Times New Roman" w:hAnsi="Times New Roman" w:cs="Times New Roman"/>
          <w:sz w:val="24"/>
          <w:szCs w:val="24"/>
        </w:rPr>
        <w:t>Madin</w:t>
      </w:r>
      <w:proofErr w:type="spellEnd"/>
      <w:r w:rsidR="001F3EDD" w:rsidRPr="00DB3119">
        <w:rPr>
          <w:rFonts w:ascii="Times New Roman" w:hAnsi="Times New Roman" w:cs="Times New Roman"/>
          <w:sz w:val="24"/>
          <w:szCs w:val="24"/>
        </w:rPr>
        <w:t xml:space="preserve"> Darby canine kidney (MDCK), </w:t>
      </w:r>
      <w:r w:rsidRPr="00DB3119">
        <w:rPr>
          <w:rFonts w:ascii="Times New Roman" w:hAnsi="Times New Roman" w:cs="Times New Roman"/>
          <w:sz w:val="24"/>
          <w:szCs w:val="24"/>
        </w:rPr>
        <w:t xml:space="preserve"> Vero, chicken embryo fibroblasts (CEFs) can be us</w:t>
      </w:r>
      <w:r>
        <w:rPr>
          <w:rFonts w:ascii="Times New Roman" w:hAnsi="Times New Roman" w:cs="Times New Roman"/>
          <w:sz w:val="24"/>
          <w:szCs w:val="24"/>
        </w:rPr>
        <w:t>ed for</w:t>
      </w:r>
      <w:r w:rsidR="001F3EDD">
        <w:rPr>
          <w:rFonts w:ascii="Times New Roman" w:hAnsi="Times New Roman" w:cs="Times New Roman"/>
          <w:sz w:val="24"/>
          <w:szCs w:val="24"/>
        </w:rPr>
        <w:t xml:space="preserve"> the production of viral vaccine</w:t>
      </w:r>
      <w:r w:rsidR="00CF2792">
        <w:rPr>
          <w:rFonts w:ascii="Times New Roman" w:hAnsi="Times New Roman" w:cs="Times New Roman"/>
          <w:sz w:val="24"/>
          <w:szCs w:val="24"/>
        </w:rPr>
        <w:t xml:space="preserve"> </w:t>
      </w:r>
      <w:r w:rsidR="00CF2792">
        <w:rPr>
          <w:rFonts w:ascii="Times New Roman" w:hAnsi="Times New Roman" w:cs="Times New Roman"/>
          <w:sz w:val="24"/>
          <w:szCs w:val="24"/>
        </w:rPr>
        <w:fldChar w:fldCharType="begin" w:fldLock="1"/>
      </w:r>
      <w:r w:rsidR="00CF2792">
        <w:rPr>
          <w:rFonts w:ascii="Times New Roman" w:hAnsi="Times New Roman" w:cs="Times New Roman"/>
          <w:sz w:val="24"/>
          <w:szCs w:val="24"/>
        </w:rPr>
        <w:instrText>ADDIN CSL_CITATION {"citationItems":[{"id":"ITEM-1","itemData":{"DOI":"10.1007/s13337-013-0186-4","ISSN":"2347-3584 (Print)","PMID":"24426306","abstract":"Over the past decade, aquaculture has grown at an average annual growth rate of  approximately 6 % worldwide despite many challenges. Viral diseases are one of the major challenges that are threatening a sustainable growth of finfish farming globally. Vaccination of farmed fish plays an important role in commercial fish farming to mitigate viral diseases. In this review, we summarized the major viral diseases that have caused serious economic losses, and emerging diseases that pose a potential threat to aquaculture. The current status of viral vaccines in farmed fish are discussed, particularly the different types of vaccines that were licensed in recent years and are now commercially available, and the routes of delivery of those vaccines including the merits and demerits of each of these delivery method. Furthermore, the article provides an overview of different experimental vaccines that have been reported in the literatures in recent years besides highlighting the future need for developing cost-effective, oral vaccines that can be easily applicable at farm level.","author":[{"dropping-particle":"","family":"Dhar","given":"Arun K","non-dropping-particle":"","parse-names":false,"suffix":""},{"dropping-particle":"","family":"Manna","given":"Sanjib K","non-dropping-particle":"","parse-names":false,"suffix":""},{"dropping-particle":"","family":"Thomas Allnutt","given":"F C","non-dropping-particle":"","parse-names":false,"suffix":""}],"container-title":"Virusdisease","id":"ITEM-1","issue":"1","issued":{"date-parts":[["2014","1"]]},"language":"eng","page":"1-17","publisher-place":"India","title":"Viral vaccines for farmed finfish.","type":"article-journal","volume":"25"},"uris":["http://www.mendeley.com/documents/?uuid=ea576c32-47d6-44b8-b716-a22a56fed384"]}],"mendeley":{"formattedCitation":"(Dhar et al., 2014)","plainTextFormattedCitation":"(Dhar et al., 2014)","previouslyFormattedCitation":"(Dhar et al., 2014)"},"properties":{"noteIndex":0},"schema":"https://github.com/citation-style-language/schema/raw/master/csl-citation.json"}</w:instrText>
      </w:r>
      <w:r w:rsidR="00CF2792">
        <w:rPr>
          <w:rFonts w:ascii="Times New Roman" w:hAnsi="Times New Roman" w:cs="Times New Roman"/>
          <w:sz w:val="24"/>
          <w:szCs w:val="24"/>
        </w:rPr>
        <w:fldChar w:fldCharType="separate"/>
      </w:r>
      <w:r w:rsidR="00CF2792" w:rsidRPr="00CF2792">
        <w:rPr>
          <w:rFonts w:ascii="Times New Roman" w:hAnsi="Times New Roman" w:cs="Times New Roman"/>
          <w:noProof/>
          <w:sz w:val="24"/>
          <w:szCs w:val="24"/>
        </w:rPr>
        <w:t>(Dhar et al., 2014)</w:t>
      </w:r>
      <w:r w:rsidR="00CF2792">
        <w:rPr>
          <w:rFonts w:ascii="Times New Roman" w:hAnsi="Times New Roman" w:cs="Times New Roman"/>
          <w:sz w:val="24"/>
          <w:szCs w:val="24"/>
        </w:rPr>
        <w:fldChar w:fldCharType="end"/>
      </w:r>
      <w:r w:rsidR="00CF2792">
        <w:rPr>
          <w:rFonts w:ascii="Times New Roman" w:hAnsi="Times New Roman" w:cs="Times New Roman"/>
          <w:sz w:val="24"/>
          <w:szCs w:val="24"/>
        </w:rPr>
        <w:t>.</w:t>
      </w:r>
      <w:r w:rsidR="00C03D9E">
        <w:rPr>
          <w:rFonts w:ascii="Times New Roman" w:hAnsi="Times New Roman" w:cs="Times New Roman"/>
          <w:color w:val="000000"/>
          <w:sz w:val="24"/>
          <w:szCs w:val="24"/>
        </w:rPr>
        <w:t xml:space="preserve"> </w:t>
      </w:r>
      <w:r w:rsidR="00FB2B4C" w:rsidRPr="00FB2B4C">
        <w:rPr>
          <w:rFonts w:ascii="Times New Roman" w:hAnsi="Times New Roman" w:cs="Times New Roman"/>
          <w:sz w:val="24"/>
          <w:szCs w:val="24"/>
        </w:rPr>
        <w:t xml:space="preserve">For </w:t>
      </w:r>
      <w:proofErr w:type="spellStart"/>
      <w:r w:rsidR="00FB2B4C" w:rsidRPr="00FB2B4C">
        <w:rPr>
          <w:rFonts w:ascii="Times New Roman" w:hAnsi="Times New Roman" w:cs="Times New Roman"/>
          <w:sz w:val="24"/>
          <w:szCs w:val="24"/>
        </w:rPr>
        <w:t>iridovirus</w:t>
      </w:r>
      <w:proofErr w:type="spellEnd"/>
      <w:r w:rsidR="00FB2B4C" w:rsidRPr="00FB2B4C">
        <w:rPr>
          <w:rFonts w:ascii="Times New Roman" w:hAnsi="Times New Roman" w:cs="Times New Roman"/>
          <w:sz w:val="24"/>
          <w:szCs w:val="24"/>
        </w:rPr>
        <w:t xml:space="preserve"> and NNV protection, several inactivated or attenuated fish viral vaccines have been created, some of which have b</w:t>
      </w:r>
      <w:r w:rsidR="00FB2B4C">
        <w:rPr>
          <w:rFonts w:ascii="Times New Roman" w:hAnsi="Times New Roman" w:cs="Times New Roman"/>
          <w:sz w:val="24"/>
          <w:szCs w:val="24"/>
        </w:rPr>
        <w:t>een made available for purchase</w:t>
      </w:r>
      <w:r w:rsidR="00FB2B4C" w:rsidRPr="00FB2B4C">
        <w:rPr>
          <w:rFonts w:ascii="Times New Roman" w:hAnsi="Times New Roman" w:cs="Times New Roman"/>
          <w:sz w:val="24"/>
          <w:szCs w:val="24"/>
        </w:rPr>
        <w:t xml:space="preserve"> </w:t>
      </w:r>
      <w:r w:rsidR="00CF2792">
        <w:rPr>
          <w:rFonts w:ascii="Times New Roman" w:hAnsi="Times New Roman" w:cs="Times New Roman"/>
          <w:sz w:val="24"/>
          <w:szCs w:val="24"/>
        </w:rPr>
        <w:fldChar w:fldCharType="begin" w:fldLock="1"/>
      </w:r>
      <w:r w:rsidR="00CF2792">
        <w:rPr>
          <w:rFonts w:ascii="Times New Roman" w:hAnsi="Times New Roman" w:cs="Times New Roman"/>
          <w:sz w:val="24"/>
          <w:szCs w:val="24"/>
        </w:rPr>
        <w:instrText>ADDIN CSL_CITATION {"citationItems":[{"id":"ITEM-1","itemData":{"DOI":"10.3147/jsfp.37.90","author":[{"dropping-particle":"","family":"Nakajima","given":"Kazuhiro","non-dropping-particle":"","parse-names":false,"suffix":""},{"dropping-particle":"","family":"Ito","given":"Takafumi","non-dropping-particle":"","parse-names":false,"suffix":""},{"dropping-particle":"","family":"Kurita","given":"Jun","non-dropping-particle":"","parse-names":false,"suffix":""},{"dropping-particle":"","family":"Kawakami","given":"Hidemasa","non-dropping-particle":"","parse-names":false,"suffix":""},{"dropping-particle":"","family":"Itano","given":"Tomokazu","non-dropping-particle":"","parse-names":false,"suffix":""},{"dropping-particle":"","family":"Fukuda","given":"Yutaka","non-dropping-particle":"","parse-names":false,"suffix":""},{"dropping-particle":"","family":"Aoi","given":"Yumiko","non-dropping-particle":"","parse-names":false,"suffix":""},{"dropping-particle":"","family":"Tooriyama","given":"Tetsurou","non-dropping-particle":"","parse-names":false,"suffix":""},{"dropping-particle":"","family":"Manabe","given":"Sadao","non-dropping-particle":"","parse-names":false,"suffix":""}],"container-title":"Fish Pathology","id":"ITEM-1","issue":"2","issued":{"date-parts":[["2002"]]},"page":"90-91","title":"Effectiveness of a Vaccine against Red Sea Bream Iridoviral Disease in Various Cultured Marine Fish under Laboratory Conditions","type":"article-journal","volume":"37"},"uris":["http://www.mendeley.com/documents/?uuid=e69c25b1-e96e-4156-8b82-96353e7f198b"]}],"mendeley":{"formattedCitation":"(Nakajima et al., 2002)","manualFormatting":"(Nakajima et al., 2002","plainTextFormattedCitation":"(Nakajima et al., 2002)","previouslyFormattedCitation":"(Nakajima et al., 2002)"},"properties":{"noteIndex":0},"schema":"https://github.com/citation-style-language/schema/raw/master/csl-citation.json"}</w:instrText>
      </w:r>
      <w:r w:rsidR="00CF2792">
        <w:rPr>
          <w:rFonts w:ascii="Times New Roman" w:hAnsi="Times New Roman" w:cs="Times New Roman"/>
          <w:sz w:val="24"/>
          <w:szCs w:val="24"/>
        </w:rPr>
        <w:fldChar w:fldCharType="separate"/>
      </w:r>
      <w:r w:rsidR="00CF2792">
        <w:rPr>
          <w:rFonts w:ascii="Times New Roman" w:hAnsi="Times New Roman" w:cs="Times New Roman"/>
          <w:noProof/>
          <w:sz w:val="24"/>
          <w:szCs w:val="24"/>
        </w:rPr>
        <w:t>(</w:t>
      </w:r>
      <w:r w:rsidR="00CF2792" w:rsidRPr="00CF2792">
        <w:rPr>
          <w:rFonts w:ascii="Times New Roman" w:hAnsi="Times New Roman" w:cs="Times New Roman"/>
          <w:noProof/>
          <w:sz w:val="24"/>
          <w:szCs w:val="24"/>
        </w:rPr>
        <w:t>Nakajima et al., 2002</w:t>
      </w:r>
      <w:r w:rsidR="00CF2792">
        <w:rPr>
          <w:rFonts w:ascii="Times New Roman" w:hAnsi="Times New Roman" w:cs="Times New Roman"/>
          <w:sz w:val="24"/>
          <w:szCs w:val="24"/>
        </w:rPr>
        <w:fldChar w:fldCharType="end"/>
      </w:r>
      <w:r w:rsidR="00CF2792">
        <w:rPr>
          <w:rFonts w:ascii="Times New Roman" w:hAnsi="Times New Roman" w:cs="Times New Roman"/>
          <w:sz w:val="24"/>
          <w:szCs w:val="24"/>
        </w:rPr>
        <w:t>;</w:t>
      </w:r>
      <w:r w:rsidR="00CF2792">
        <w:rPr>
          <w:rFonts w:ascii="Times New Roman" w:hAnsi="Times New Roman" w:cs="Times New Roman"/>
          <w:color w:val="0070C0"/>
          <w:sz w:val="24"/>
          <w:szCs w:val="24"/>
        </w:rPr>
        <w:t xml:space="preserve"> </w:t>
      </w:r>
      <w:r w:rsidR="00CF2792" w:rsidRPr="00CF2792">
        <w:rPr>
          <w:rFonts w:ascii="Times New Roman" w:hAnsi="Times New Roman" w:cs="Times New Roman"/>
          <w:sz w:val="24"/>
          <w:szCs w:val="24"/>
        </w:rPr>
        <w:fldChar w:fldCharType="begin" w:fldLock="1"/>
      </w:r>
      <w:r w:rsidR="00CF2792">
        <w:rPr>
          <w:rFonts w:ascii="Times New Roman" w:hAnsi="Times New Roman" w:cs="Times New Roman"/>
          <w:sz w:val="24"/>
          <w:szCs w:val="24"/>
        </w:rPr>
        <w:instrText>ADDIN CSL_CITATION {"citationItems":[{"id":"ITEM-1","itemData":{"DOI":"10.1016/j.fsi.2010.04.017","ISSN":"1095-9947 (Electronic)","PMID":"20438852","abstract":"Clonal ginbuna crucian carp (Carassius auratus langsdorfii) were immunized orally  with inactivated crucian carp hematopoietic necrosis virus (CHNV) and the cytotoxic activities of peripheral blood leukocytes against CHNV-infected syngeneic target cells were investigated. Although a single oral administration of the vaccine did not prime measurable cytotoxic responses to CHNV-infected targets, detectable lytic activities were observed after a booster oral administration. The vaccine-induced cytotoxic cells were poorly responded against both eel virus from America (EVA)-infected syngeneic cells and CHNV-infected allogeneic target cells, suggesting that the responses were viral antigen-specific and restricted to the major histocompatibility complex (MHC). Oral immunization with the vaccine also induced neutralizing antibody responses. Orally immunized fish were able to rapidly eliminate viruses. Although elevated cytotoxic activities and antibody responses were observed in orally immunized fish following viral infection, the rapid elimination of virus appeared to be associated with elevated cytotoxic responses. These results show that orally administered inactivated viruses can evoke antiviral cellular immune responses in fish.","author":[{"dropping-particle":"","family":"Sato","given":"Atsushi","non-dropping-particle":"","parse-names":false,"suffix":""},{"dropping-particle":"","family":"Okamoto","given":"Nobuaki","non-dropping-particle":"","parse-names":false,"suffix":""}],"container-title":"Fish &amp; shellfish immunology","id":"ITEM-1","issue":"3","issued":{"date-parts":[["2010","9"]]},"language":"eng","page":"414-421","publisher-place":"England","title":"Induction of virus-specific cell-mediated cytotoxic responses of isogeneic  ginbuna crucian carp, after oral immunization with inactivated virus.","type":"article-journal","volume":"29"},"uris":["http://www.mendeley.com/documents/?uuid=9702117e-4b1f-4a1c-af07-3ce90e86a09e"]}],"mendeley":{"formattedCitation":"(Sato &amp; Okamoto, 2010)","manualFormatting":"Sato &amp; Okamoto, 2010","plainTextFormattedCitation":"(Sato &amp; Okamoto, 2010)","previouslyFormattedCitation":"(Sato &amp; Okamoto, 2010)"},"properties":{"noteIndex":0},"schema":"https://github.com/citation-style-language/schema/raw/master/csl-citation.json"}</w:instrText>
      </w:r>
      <w:r w:rsidR="00CF2792" w:rsidRPr="00CF2792">
        <w:rPr>
          <w:rFonts w:ascii="Times New Roman" w:hAnsi="Times New Roman" w:cs="Times New Roman"/>
          <w:sz w:val="24"/>
          <w:szCs w:val="24"/>
        </w:rPr>
        <w:fldChar w:fldCharType="separate"/>
      </w:r>
      <w:r w:rsidR="00CF2792" w:rsidRPr="00CF2792">
        <w:rPr>
          <w:rFonts w:ascii="Times New Roman" w:hAnsi="Times New Roman" w:cs="Times New Roman"/>
          <w:noProof/>
          <w:sz w:val="24"/>
          <w:szCs w:val="24"/>
        </w:rPr>
        <w:t>Sato &amp; Okamoto, 2010</w:t>
      </w:r>
      <w:r w:rsidR="00CF2792" w:rsidRPr="00CF2792">
        <w:rPr>
          <w:rFonts w:ascii="Times New Roman" w:hAnsi="Times New Roman" w:cs="Times New Roman"/>
          <w:sz w:val="24"/>
          <w:szCs w:val="24"/>
        </w:rPr>
        <w:fldChar w:fldCharType="end"/>
      </w:r>
      <w:r w:rsidR="00CF2792" w:rsidRPr="00CF2792">
        <w:rPr>
          <w:rFonts w:ascii="Times New Roman" w:hAnsi="Times New Roman" w:cs="Times New Roman"/>
          <w:sz w:val="24"/>
          <w:szCs w:val="24"/>
        </w:rPr>
        <w:t>;</w:t>
      </w:r>
      <w:r w:rsidR="006E3C64" w:rsidRPr="00C23AEB">
        <w:rPr>
          <w:rFonts w:ascii="Times New Roman" w:hAnsi="Times New Roman" w:cs="Times New Roman"/>
          <w:sz w:val="24"/>
          <w:szCs w:val="24"/>
        </w:rPr>
        <w:t xml:space="preserve"> </w:t>
      </w:r>
      <w:r w:rsidR="005F0BDD">
        <w:rPr>
          <w:rFonts w:ascii="Times New Roman" w:hAnsi="Times New Roman" w:cs="Times New Roman"/>
          <w:sz w:val="24"/>
          <w:szCs w:val="24"/>
        </w:rPr>
        <w:fldChar w:fldCharType="begin" w:fldLock="1"/>
      </w:r>
      <w:r w:rsidR="00CF2792">
        <w:rPr>
          <w:rFonts w:ascii="Times New Roman" w:hAnsi="Times New Roman" w:cs="Times New Roman"/>
          <w:sz w:val="24"/>
          <w:szCs w:val="24"/>
        </w:rPr>
        <w:instrText>ADDIN CSL_CITATION {"citationItems":[{"id":"ITEM-1","itemData":{"DOI":"10.3147/jsfp.51.194","author":[{"dropping-particle":"","family":"Oh","given":"So-Young","non-dropping-particle":"","parse-names":false,"suffix":""},{"dropping-particle":"","family":"Kim","given":"Wi-Sik","non-dropping-particle":"","parse-names":false,"suffix":""},{"dropping-particle":"","family":"Oh","given":"Myung-Joo","non-dropping-particle":"","parse-names":false,"suffix":""},{"dropping-particle":"","family":"Nishizawa","given":"Toyohiko","non-dropping-particle":"","parse-names":false,"suffix":""}],"container-title":"Fish Pathology","id":"ITEM-1","issued":{"date-parts":[["2016","1","1"]]},"page":"194-198","title":"Multiplication Rate of Red Seabream Iridovirus (RSIV) in Rock Bream Oplegnathus fasciatus at Different Fish Rearing Temperatures","type":"article-journal","volume":"51"},"uris":["http://www.mendeley.com/documents/?uuid=d511b961-f3e1-4896-b7cd-1b44d244c9ea"]}],"mendeley":{"formattedCitation":"(Oh et al., 2016)","manualFormatting":"Oh et al., 2016)","plainTextFormattedCitation":"(Oh et al., 2016)","previouslyFormattedCitation":"(Oh et al., 2016)"},"properties":{"noteIndex":0},"schema":"https://github.com/citation-style-language/schema/raw/master/csl-citation.json"}</w:instrText>
      </w:r>
      <w:r w:rsidR="005F0BDD">
        <w:rPr>
          <w:rFonts w:ascii="Times New Roman" w:hAnsi="Times New Roman" w:cs="Times New Roman"/>
          <w:sz w:val="24"/>
          <w:szCs w:val="24"/>
        </w:rPr>
        <w:fldChar w:fldCharType="separate"/>
      </w:r>
      <w:r w:rsidR="005F0BDD" w:rsidRPr="005F0BDD">
        <w:rPr>
          <w:rFonts w:ascii="Times New Roman" w:hAnsi="Times New Roman" w:cs="Times New Roman"/>
          <w:noProof/>
          <w:sz w:val="24"/>
          <w:szCs w:val="24"/>
        </w:rPr>
        <w:t>Oh et al., 2016)</w:t>
      </w:r>
      <w:r w:rsidR="005F0BDD">
        <w:rPr>
          <w:rFonts w:ascii="Times New Roman" w:hAnsi="Times New Roman" w:cs="Times New Roman"/>
          <w:sz w:val="24"/>
          <w:szCs w:val="24"/>
        </w:rPr>
        <w:fldChar w:fldCharType="end"/>
      </w:r>
      <w:r w:rsidR="006E3C64" w:rsidRPr="00C23AEB">
        <w:rPr>
          <w:rFonts w:ascii="Times New Roman" w:hAnsi="Times New Roman" w:cs="Times New Roman"/>
          <w:sz w:val="24"/>
          <w:szCs w:val="24"/>
        </w:rPr>
        <w:t xml:space="preserve">. </w:t>
      </w:r>
      <w:r w:rsidR="00FB2B4C" w:rsidRPr="00FB2B4C">
        <w:rPr>
          <w:rFonts w:ascii="Times New Roman" w:hAnsi="Times New Roman" w:cs="Times New Roman"/>
          <w:sz w:val="24"/>
          <w:szCs w:val="24"/>
        </w:rPr>
        <w:t>Few cell lines exist</w:t>
      </w:r>
      <w:r w:rsidR="008A0538">
        <w:rPr>
          <w:rFonts w:ascii="Times New Roman" w:hAnsi="Times New Roman" w:cs="Times New Roman"/>
          <w:sz w:val="24"/>
          <w:szCs w:val="24"/>
        </w:rPr>
        <w:t xml:space="preserve"> for replicating</w:t>
      </w:r>
      <w:r w:rsidR="00FB2B4C" w:rsidRPr="00FB2B4C">
        <w:rPr>
          <w:rFonts w:ascii="Times New Roman" w:hAnsi="Times New Roman" w:cs="Times New Roman"/>
          <w:sz w:val="24"/>
          <w:szCs w:val="24"/>
        </w:rPr>
        <w:t xml:space="preserve"> </w:t>
      </w:r>
      <w:proofErr w:type="spellStart"/>
      <w:r w:rsidR="00FB2B4C" w:rsidRPr="00FB2B4C">
        <w:rPr>
          <w:rFonts w:ascii="Times New Roman" w:hAnsi="Times New Roman" w:cs="Times New Roman"/>
          <w:sz w:val="24"/>
          <w:szCs w:val="24"/>
        </w:rPr>
        <w:t>betanodavirus</w:t>
      </w:r>
      <w:proofErr w:type="spellEnd"/>
      <w:r w:rsidR="00FB2B4C" w:rsidRPr="00FB2B4C">
        <w:rPr>
          <w:rFonts w:ascii="Times New Roman" w:hAnsi="Times New Roman" w:cs="Times New Roman"/>
          <w:sz w:val="24"/>
          <w:szCs w:val="24"/>
        </w:rPr>
        <w:t xml:space="preserve">, herpesvirus, and </w:t>
      </w:r>
      <w:proofErr w:type="spellStart"/>
      <w:r w:rsidR="00FB2B4C" w:rsidRPr="00FB2B4C">
        <w:rPr>
          <w:rFonts w:ascii="Times New Roman" w:hAnsi="Times New Roman" w:cs="Times New Roman"/>
          <w:sz w:val="24"/>
          <w:szCs w:val="24"/>
        </w:rPr>
        <w:lastRenderedPageBreak/>
        <w:t>aquareovirus</w:t>
      </w:r>
      <w:proofErr w:type="spellEnd"/>
      <w:r w:rsidR="00FB2B4C" w:rsidRPr="00FB2B4C">
        <w:rPr>
          <w:rFonts w:ascii="Times New Roman" w:hAnsi="Times New Roman" w:cs="Times New Roman"/>
          <w:sz w:val="24"/>
          <w:szCs w:val="24"/>
        </w:rPr>
        <w:t xml:space="preserve"> for vaccine production. Fish cell cultures have potential applications in recombinant, DNA/RNA particle vaccines. Rainbow trout </w:t>
      </w:r>
      <w:proofErr w:type="spellStart"/>
      <w:r w:rsidR="00FB2B4C" w:rsidRPr="00FB2B4C">
        <w:rPr>
          <w:rFonts w:ascii="Times New Roman" w:hAnsi="Times New Roman" w:cs="Times New Roman"/>
          <w:sz w:val="24"/>
          <w:szCs w:val="24"/>
        </w:rPr>
        <w:t>pronephros</w:t>
      </w:r>
      <w:proofErr w:type="spellEnd"/>
      <w:r w:rsidR="00FB2B4C" w:rsidRPr="00FB2B4C">
        <w:rPr>
          <w:rFonts w:ascii="Times New Roman" w:hAnsi="Times New Roman" w:cs="Times New Roman"/>
          <w:sz w:val="24"/>
          <w:szCs w:val="24"/>
        </w:rPr>
        <w:t xml:space="preserve"> cells</w:t>
      </w:r>
      <w:r w:rsidR="00FB2B4C">
        <w:rPr>
          <w:rFonts w:ascii="Times New Roman" w:hAnsi="Times New Roman" w:cs="Times New Roman"/>
          <w:sz w:val="24"/>
          <w:szCs w:val="24"/>
        </w:rPr>
        <w:t xml:space="preserve"> could screen fish DNA vaccines</w:t>
      </w:r>
      <w:r w:rsidR="00CF2792">
        <w:rPr>
          <w:rFonts w:ascii="Times New Roman" w:hAnsi="Times New Roman" w:cs="Times New Roman"/>
          <w:sz w:val="24"/>
          <w:szCs w:val="24"/>
        </w:rPr>
        <w:t xml:space="preserve"> </w:t>
      </w:r>
      <w:r w:rsidR="00CF2792">
        <w:rPr>
          <w:rFonts w:ascii="Times New Roman" w:hAnsi="Times New Roman" w:cs="Times New Roman"/>
          <w:sz w:val="24"/>
          <w:szCs w:val="24"/>
        </w:rPr>
        <w:fldChar w:fldCharType="begin" w:fldLock="1"/>
      </w:r>
      <w:r w:rsidR="00CF2792">
        <w:rPr>
          <w:rFonts w:ascii="Times New Roman" w:hAnsi="Times New Roman" w:cs="Times New Roman"/>
          <w:sz w:val="24"/>
          <w:szCs w:val="24"/>
        </w:rPr>
        <w:instrText>ADDIN CSL_CITATION {"citationItems":[{"id":"ITEM-1","itemData":{"ISSN":"1424-6074 (Print)","PMID":"15962473","abstract":"A substantial amount of research has been done on fish viruses affecting species  in aquaculture. This review will focus on the salmonid industry, as this is the most industrialised part of fish farming where vaccines are extensively used. In spite of the amount of research performed, both in commercial companies and in academic organisations, few viral vaccines are licensed. As of today, all fish virus vaccines for sale are based upon inactivated virus or recombinant proteins. No live attenuated or DNA vaccines are currently licensed, but one DNA vaccine against IHN is being tested in controlled field trials in Canada. Vaccines against infectious pancreatic necrosis (IPN) have been sold for many years in Norway and are now also available in Chile. Most of the research on these vaccines has been performed by pharmaceutical companies, and not much information is available as scientific publications. It has also been difficult to establish reproducible IPN challenge models suitable for vaccine testing and this probably explains the lack of scientific publications. Quite the reverse is the case for the fish rhabdoviruses viral hemorrhagic septicaemia virus (VHSV) and infectious haematopoietic necrosis virus (IHNV). The challenge models are reproducible, and both inactivated virus and DNA vaccines offer excellent protection. Recombinant subunit vaccines have so far shown unsatisfactory effect. Little information has been published regarding vaccine development against pancreas disease (PD) and infectious salmon anaemia (ISA). PD and ISA vaccines have been tested at the laboratory scale with good results, and two commercial ISA vaccines are currently available in Canada. Regarding nodaviruses, a few publications have shown effect of recombinant subunit formulations. However, nodaviruses cause disease early in the lifecycle of marine fish, and injection of these formulations into fish of a few grams is so far difficult on a commercial scale.","author":[{"dropping-particle":"","family":"Biering","given":"E","non-dropping-particle":"","parse-names":false,"suffix":""},{"dropping-particle":"","family":"Villoing","given":"S","non-dropping-particle":"","parse-names":false,"suffix":""},{"dropping-particle":"","family":"Sommerset","given":"I","non-dropping-particle":"","parse-names":false,"suffix":""},{"dropping-particle":"","family":"Christie","given":"K E","non-dropping-particle":"","parse-names":false,"suffix":""}],"container-title":"Developments in biologicals","id":"ITEM-1","issued":{"date-parts":[["2005"]]},"language":"eng","page":"97-113","publisher-place":"Switzerland","title":"Update on viral vaccines for fish.","type":"article-journal","volume":"121"},"uris":["http://www.mendeley.com/documents/?uuid=cff08e7c-bd62-478d-a47a-24748533b02a"]}],"mendeley":{"formattedCitation":"(Biering et al., 2005)","plainTextFormattedCitation":"(Biering et al., 2005)","previouslyFormattedCitation":"(Biering et al., 2005)"},"properties":{"noteIndex":0},"schema":"https://github.com/citation-style-language/schema/raw/master/csl-citation.json"}</w:instrText>
      </w:r>
      <w:r w:rsidR="00CF2792">
        <w:rPr>
          <w:rFonts w:ascii="Times New Roman" w:hAnsi="Times New Roman" w:cs="Times New Roman"/>
          <w:sz w:val="24"/>
          <w:szCs w:val="24"/>
        </w:rPr>
        <w:fldChar w:fldCharType="separate"/>
      </w:r>
      <w:r w:rsidR="00CF2792" w:rsidRPr="00CF2792">
        <w:rPr>
          <w:rFonts w:ascii="Times New Roman" w:hAnsi="Times New Roman" w:cs="Times New Roman"/>
          <w:noProof/>
          <w:sz w:val="24"/>
          <w:szCs w:val="24"/>
        </w:rPr>
        <w:t>(Biering et al., 2005)</w:t>
      </w:r>
      <w:r w:rsidR="00CF2792">
        <w:rPr>
          <w:rFonts w:ascii="Times New Roman" w:hAnsi="Times New Roman" w:cs="Times New Roman"/>
          <w:sz w:val="24"/>
          <w:szCs w:val="24"/>
        </w:rPr>
        <w:fldChar w:fldCharType="end"/>
      </w:r>
      <w:r w:rsidR="00CF2792">
        <w:rPr>
          <w:rFonts w:ascii="Times New Roman" w:hAnsi="Times New Roman" w:cs="Times New Roman"/>
          <w:sz w:val="24"/>
          <w:szCs w:val="24"/>
        </w:rPr>
        <w:t xml:space="preserve">. </w:t>
      </w:r>
      <w:r w:rsidR="00FB2B4C" w:rsidRPr="00FB2B4C">
        <w:rPr>
          <w:rFonts w:ascii="Times New Roman" w:hAnsi="Times New Roman" w:cs="Times New Roman"/>
          <w:sz w:val="24"/>
          <w:szCs w:val="24"/>
        </w:rPr>
        <w:t xml:space="preserve">Grass carp </w:t>
      </w:r>
      <w:proofErr w:type="spellStart"/>
      <w:r w:rsidR="00FB2B4C" w:rsidRPr="00FB2B4C">
        <w:rPr>
          <w:rFonts w:ascii="Times New Roman" w:hAnsi="Times New Roman" w:cs="Times New Roman"/>
          <w:sz w:val="24"/>
          <w:szCs w:val="24"/>
        </w:rPr>
        <w:t>reovirus</w:t>
      </w:r>
      <w:proofErr w:type="spellEnd"/>
      <w:r w:rsidR="00FB2B4C" w:rsidRPr="00FB2B4C">
        <w:rPr>
          <w:rFonts w:ascii="Times New Roman" w:hAnsi="Times New Roman" w:cs="Times New Roman"/>
          <w:sz w:val="24"/>
          <w:szCs w:val="24"/>
        </w:rPr>
        <w:t xml:space="preserve"> (GCRV) was able to be neutralised by the anti-VP5 polyclonal antibody in an in vitro test using</w:t>
      </w:r>
      <w:r w:rsidR="00FB2B4C">
        <w:rPr>
          <w:rFonts w:ascii="Times New Roman" w:hAnsi="Times New Roman" w:cs="Times New Roman"/>
          <w:sz w:val="24"/>
          <w:szCs w:val="24"/>
        </w:rPr>
        <w:t xml:space="preserve"> the grass carp cell line CIK </w:t>
      </w:r>
      <w:r w:rsidR="00CF2792">
        <w:rPr>
          <w:rFonts w:ascii="Times New Roman" w:hAnsi="Times New Roman" w:cs="Times New Roman"/>
          <w:sz w:val="24"/>
          <w:szCs w:val="24"/>
        </w:rPr>
        <w:fldChar w:fldCharType="begin" w:fldLock="1"/>
      </w:r>
      <w:r w:rsidR="00B02947">
        <w:rPr>
          <w:rFonts w:ascii="Times New Roman" w:hAnsi="Times New Roman" w:cs="Times New Roman"/>
          <w:sz w:val="24"/>
          <w:szCs w:val="24"/>
        </w:rPr>
        <w:instrText>ADDIN CSL_CITATION {"citationItems":[{"id":"ITEM-1","itemData":{"DOI":"10.1016/j.vaccine.2012.07.013","ISSN":"1873-2518 (Electronic)","PMID":"22824344","abstract":"DNA vaccination opened a new era in controlling and preventing viral diseases  since DNA vaccines have shown to be very efficacious where some conventional vaccines have failed, as it occurs in the case of the vaccines against fish novirhabdoviruses. However, there is a big lack of in vitro model assays with immune-related cells for preliminary screening of in vivo DNA vaccine candidates. In an attempt to solve this problem, rainbow trout pronephros cells in early primary culture were transfected with two plasmid DNA constructions, one encoding the green fluorescent protein (GFP) and another encoding the viral haemorrhagic septicaemia virus (VHSV) glycoprotein G (G(VHSV)) - the only viral antigen which has conferred in vivo protection. After assessing the presence of GFP- and G(VHSV)-expressing cells, at transcription and protein levels, the immune response in transfected pronephros cells was evaluated. At 24h post-transfection, G(VHSV) up-regulated migm and tcr transcripts expression, suggesting activation of B and T cells, as well, a high up-regulation of tnfα gene was observed. Seventy-two hours post-transfection, we detected the up-regulation of mx and tnfα genes transcripts and Mx protein which correlated with the induction of an anti-VHSV state. All together we have gathered evidence for successful transfection of pronephros cells with pAE6G, which correlates with in vivo protection results, and is less time-consuming and more rapid than in vivo assays. Therefore, this outcome opens the possibility to use pronephros cells in early primary culture for preliminary screening fish DNA vaccines as well as to further investigate the function that these cells perform in fish immune response orchestration after DNA immunisation.","author":[{"dropping-particle":"","family":"Ortega-Villaizan","given":"M","non-dropping-particle":"","parse-names":false,"suffix":""},{"dropping-particle":"","family":"Martinez-Lopez","given":"A","non-dropping-particle":"","parse-names":false,"suffix":""},{"dropping-particle":"","family":"Garcia-Valtanen","given":"P","non-dropping-particle":"","parse-names":false,"suffix":""},{"dropping-particle":"","family":"Chico","given":"V","non-dropping-particle":"","parse-names":false,"suffix":""},{"dropping-particle":"","family":"Perez","given":"L","non-dropping-particle":"","parse-names":false,"suffix":""},{"dropping-particle":"","family":"Coll","given":"J M","non-dropping-particle":"","parse-names":false,"suffix":""},{"dropping-particle":"","family":"Estepa","given":"A","non-dropping-particle":"","parse-names":false,"suffix":""}],"container-title":"Vaccine","id":"ITEM-1","issue":"41","issued":{"date-parts":[["2012","9"]]},"language":"eng","page":"5983-5990","publisher-place":"Netherlands","title":"Ex vivo transfection of trout pronephros leukocytes, a model for cell culture  screening of fish DNA vaccine candidates.","type":"article-journal","volume":"30"},"uris":["http://www.mendeley.com/documents/?uuid=52da1934-4951-437a-a9ef-23b0fd1c61d2"]}],"mendeley":{"formattedCitation":"(Ortega-Villaizan et al., 2012)","plainTextFormattedCitation":"(Ortega-Villaizan et al., 2012)","previouslyFormattedCitation":"(Ortega-Villaizan et al., 2012)"},"properties":{"noteIndex":0},"schema":"https://github.com/citation-style-language/schema/raw/master/csl-citation.json"}</w:instrText>
      </w:r>
      <w:r w:rsidR="00CF2792">
        <w:rPr>
          <w:rFonts w:ascii="Times New Roman" w:hAnsi="Times New Roman" w:cs="Times New Roman"/>
          <w:sz w:val="24"/>
          <w:szCs w:val="24"/>
        </w:rPr>
        <w:fldChar w:fldCharType="separate"/>
      </w:r>
      <w:r w:rsidR="00CF2792" w:rsidRPr="00CF2792">
        <w:rPr>
          <w:rFonts w:ascii="Times New Roman" w:hAnsi="Times New Roman" w:cs="Times New Roman"/>
          <w:noProof/>
          <w:sz w:val="24"/>
          <w:szCs w:val="24"/>
        </w:rPr>
        <w:t>(Ortega-Villaizan et al., 2012)</w:t>
      </w:r>
      <w:r w:rsidR="00CF2792">
        <w:rPr>
          <w:rFonts w:ascii="Times New Roman" w:hAnsi="Times New Roman" w:cs="Times New Roman"/>
          <w:sz w:val="24"/>
          <w:szCs w:val="24"/>
        </w:rPr>
        <w:fldChar w:fldCharType="end"/>
      </w:r>
      <w:r w:rsidR="00CF2792">
        <w:rPr>
          <w:rFonts w:ascii="Times New Roman" w:hAnsi="Times New Roman" w:cs="Times New Roman"/>
          <w:sz w:val="24"/>
          <w:szCs w:val="24"/>
        </w:rPr>
        <w:t xml:space="preserve">. </w:t>
      </w:r>
      <w:r w:rsidR="00FB2B4C" w:rsidRPr="00FB2B4C">
        <w:rPr>
          <w:rFonts w:ascii="Times New Roman" w:hAnsi="Times New Roman" w:cs="Times New Roman"/>
          <w:sz w:val="24"/>
          <w:szCs w:val="24"/>
        </w:rPr>
        <w:t>This would be crucial for the creation of a vaccine to fight the</w:t>
      </w:r>
      <w:r w:rsidR="00FB2B4C">
        <w:rPr>
          <w:rFonts w:ascii="Times New Roman" w:hAnsi="Times New Roman" w:cs="Times New Roman"/>
          <w:sz w:val="24"/>
          <w:szCs w:val="24"/>
        </w:rPr>
        <w:t xml:space="preserve"> virus in the current situation</w:t>
      </w:r>
      <w:r w:rsidR="00A60A65" w:rsidRPr="00C23AEB">
        <w:rPr>
          <w:rFonts w:ascii="Times New Roman" w:hAnsi="Times New Roman" w:cs="Times New Roman"/>
          <w:sz w:val="24"/>
          <w:szCs w:val="24"/>
        </w:rPr>
        <w:t>.</w:t>
      </w:r>
    </w:p>
    <w:p w:rsidR="004400F8" w:rsidRPr="00C23AEB" w:rsidRDefault="004400F8" w:rsidP="00D23B4B">
      <w:pPr>
        <w:autoSpaceDE w:val="0"/>
        <w:autoSpaceDN w:val="0"/>
        <w:adjustRightInd w:val="0"/>
        <w:spacing w:after="0" w:line="360" w:lineRule="auto"/>
        <w:jc w:val="both"/>
        <w:rPr>
          <w:rFonts w:ascii="Times New Roman" w:hAnsi="Times New Roman" w:cs="Times New Roman"/>
          <w:sz w:val="24"/>
          <w:szCs w:val="24"/>
        </w:rPr>
      </w:pPr>
    </w:p>
    <w:p w:rsidR="008A0538" w:rsidRDefault="008A0538" w:rsidP="00D23B4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Fish Cell lines in</w:t>
      </w:r>
      <w:r w:rsidR="004400F8" w:rsidRPr="00050785">
        <w:rPr>
          <w:rFonts w:ascii="Times New Roman" w:hAnsi="Times New Roman" w:cs="Times New Roman"/>
          <w:b/>
          <w:sz w:val="24"/>
          <w:szCs w:val="24"/>
        </w:rPr>
        <w:t xml:space="preserve"> Research</w:t>
      </w:r>
      <w:r>
        <w:rPr>
          <w:rFonts w:ascii="Times New Roman" w:hAnsi="Times New Roman" w:cs="Times New Roman"/>
          <w:b/>
          <w:sz w:val="24"/>
          <w:szCs w:val="24"/>
        </w:rPr>
        <w:t xml:space="preserve"> on stem cells-</w:t>
      </w:r>
    </w:p>
    <w:p w:rsidR="00507B89" w:rsidRPr="008A0538" w:rsidRDefault="00B167B0" w:rsidP="00D23B4B">
      <w:pPr>
        <w:autoSpaceDE w:val="0"/>
        <w:autoSpaceDN w:val="0"/>
        <w:adjustRightInd w:val="0"/>
        <w:spacing w:after="0" w:line="360" w:lineRule="auto"/>
        <w:jc w:val="both"/>
        <w:rPr>
          <w:rFonts w:ascii="Times New Roman" w:hAnsi="Times New Roman" w:cs="Times New Roman"/>
          <w:b/>
          <w:sz w:val="24"/>
          <w:szCs w:val="24"/>
        </w:rPr>
      </w:pPr>
      <w:r w:rsidRPr="00B167B0">
        <w:rPr>
          <w:rFonts w:ascii="Times New Roman" w:hAnsi="Times New Roman" w:cs="Times New Roman"/>
          <w:sz w:val="24"/>
          <w:szCs w:val="24"/>
        </w:rPr>
        <w:t>Undifferentiated cells originating from growing embryos are called embryonic stem (ES) cells, and they ar</w:t>
      </w:r>
      <w:r>
        <w:rPr>
          <w:rFonts w:ascii="Times New Roman" w:hAnsi="Times New Roman" w:cs="Times New Roman"/>
          <w:sz w:val="24"/>
          <w:szCs w:val="24"/>
        </w:rPr>
        <w:t>e employed in research on aquatic</w:t>
      </w:r>
      <w:r w:rsidRPr="00B167B0">
        <w:rPr>
          <w:rFonts w:ascii="Times New Roman" w:hAnsi="Times New Roman" w:cs="Times New Roman"/>
          <w:sz w:val="24"/>
          <w:szCs w:val="24"/>
        </w:rPr>
        <w:t xml:space="preserve"> biotechnolog</w:t>
      </w:r>
      <w:r>
        <w:rPr>
          <w:rFonts w:ascii="Times New Roman" w:hAnsi="Times New Roman" w:cs="Times New Roman"/>
          <w:sz w:val="24"/>
          <w:szCs w:val="24"/>
        </w:rPr>
        <w:t>y and biodiversity conservation</w:t>
      </w:r>
      <w:r w:rsidR="00FB2B4C">
        <w:rPr>
          <w:rFonts w:ascii="Times New Roman" w:hAnsi="Times New Roman" w:cs="Times New Roman"/>
          <w:sz w:val="24"/>
          <w:szCs w:val="24"/>
        </w:rPr>
        <w:t xml:space="preserve"> </w:t>
      </w:r>
      <w:r w:rsidR="00B02947">
        <w:rPr>
          <w:rFonts w:ascii="Times New Roman" w:hAnsi="Times New Roman" w:cs="Times New Roman"/>
          <w:sz w:val="24"/>
          <w:szCs w:val="24"/>
        </w:rPr>
        <w:fldChar w:fldCharType="begin" w:fldLock="1"/>
      </w:r>
      <w:r w:rsidR="00B02947">
        <w:rPr>
          <w:rFonts w:ascii="Times New Roman" w:hAnsi="Times New Roman" w:cs="Times New Roman"/>
          <w:sz w:val="24"/>
          <w:szCs w:val="24"/>
        </w:rPr>
        <w:instrText>ADDIN CSL_CITATION {"citationItems":[{"id":"ITEM-1","itemData":{"ISSN":"0033-7587 (Print)","PMID":"13776896","author":[{"dropping-particle":"","family":"TILL","given":"J E","non-dropping-particle":"","parse-names":false,"suffix":""},{"dropping-particle":"","family":"McCULLOCH","given":"E A","non-dropping-particle":"","parse-names":false,"suffix":""}],"container-title":"Radiation research","id":"ITEM-1","issued":{"date-parts":[["1961","2"]]},"language":"eng","page":"213-222","publisher-place":"United States","title":"A direct measurement of the radiation sensitivity of normal mouse bone marrow  cells.","type":"article-journal","volume":"14"},"uris":["http://www.mendeley.com/documents/?uuid=e82ffbb3-ba96-4719-bf05-05501d289ce0"]},{"id":"ITEM-2","itemData":{"DOI":"10.1126/science.282.5391.1145","ISSN":"0036-8075 (Print)","PMID":"9804556","abstract":"Human blastocyst-derived, pluripotent cell lines are described that have normal  karyotypes, express high levels of telomerase activity, and express cell surface markers that characterize primate embryonic stem cells but do not characterize other early lineages. After undifferentiated proliferation in vitro for 4 to 5 months, these cells still maintained the developmental potential to form trophoblast and derivatives of all three embryonic germ layers, including gut epithelium (endoderm); cartilage, bone, smooth muscle, and striated muscle (mesoderm); and neural epithelium, embryonic ganglia, and stratified squamous epithelium (ectoderm). These cell lines should be useful in human developmental biology, drug discovery, and transplantation medicine.","author":[{"dropping-particle":"","family":"Thomson","given":"J A","non-dropping-particle":"","parse-names":false,"suffix":""},{"dropping-particle":"","family":"Itskovitz-Eldor","given":"J","non-dropping-particle":"","parse-names":false,"suffix":""},{"dropping-particle":"","family":"Shapiro","given":"S S","non-dropping-particle":"","parse-names":false,"suffix":""},{"dropping-particle":"","family":"Waknitz","given":"M A","non-dropping-particle":"","parse-names":false,"suffix":""},{"dropping-particle":"","family":"Swiergiel","given":"J J","non-dropping-particle":"","parse-names":false,"suffix":""},{"dropping-particle":"","family":"Marshall","given":"V S","non-dropping-particle":"","parse-names":false,"suffix":""},{"dropping-particle":"","family":"Jones","given":"J M","non-dropping-particle":"","parse-names":false,"suffix":""}],"container-title":"Science (New York, N.Y.)","id":"ITEM-2","issue":"5391","issued":{"date-parts":[["1998","11"]]},"language":"eng","page":"1145-1147","publisher-place":"United States","title":"Embryonic stem cell lines derived from human blastocysts.","type":"article-journal","volume":"282"},"uris":["http://www.mendeley.com/documents/?uuid=fa2b89f4-bc9d-4818-b7d6-0dc348125ecd"]}],"mendeley":{"formattedCitation":"(Thomson et al., 1998; TILL &amp; McCULLOCH, 1961)","manualFormatting":"(Thomson et al., 1998; Till &amp; McCulloch, 1961)","plainTextFormattedCitation":"(Thomson et al., 1998; TILL &amp; McCULLOCH, 1961)","previouslyFormattedCitation":"(Thomson et al., 1998; TILL &amp; McCULLOCH, 1961)"},"properties":{"noteIndex":0},"schema":"https://github.com/citation-style-language/schema/raw/master/csl-citation.json"}</w:instrText>
      </w:r>
      <w:r w:rsidR="00B02947">
        <w:rPr>
          <w:rFonts w:ascii="Times New Roman" w:hAnsi="Times New Roman" w:cs="Times New Roman"/>
          <w:sz w:val="24"/>
          <w:szCs w:val="24"/>
        </w:rPr>
        <w:fldChar w:fldCharType="separate"/>
      </w:r>
      <w:r w:rsidR="00B02947">
        <w:rPr>
          <w:rFonts w:ascii="Times New Roman" w:hAnsi="Times New Roman" w:cs="Times New Roman"/>
          <w:noProof/>
          <w:sz w:val="24"/>
          <w:szCs w:val="24"/>
        </w:rPr>
        <w:t>(Thomson et al., 1998; Till</w:t>
      </w:r>
      <w:r w:rsidR="00B02947" w:rsidRPr="00B02947">
        <w:rPr>
          <w:rFonts w:ascii="Times New Roman" w:hAnsi="Times New Roman" w:cs="Times New Roman"/>
          <w:noProof/>
          <w:sz w:val="24"/>
          <w:szCs w:val="24"/>
        </w:rPr>
        <w:t xml:space="preserve"> &amp; McCulloch, 1961</w:t>
      </w:r>
      <w:r w:rsidR="00B02947">
        <w:rPr>
          <w:rFonts w:ascii="Times New Roman" w:hAnsi="Times New Roman" w:cs="Times New Roman"/>
          <w:sz w:val="24"/>
          <w:szCs w:val="24"/>
        </w:rPr>
        <w:fldChar w:fldCharType="end"/>
      </w:r>
      <w:r w:rsidR="00B02947">
        <w:rPr>
          <w:rFonts w:ascii="Times New Roman" w:hAnsi="Times New Roman" w:cs="Times New Roman"/>
          <w:sz w:val="24"/>
          <w:szCs w:val="24"/>
        </w:rPr>
        <w:fldChar w:fldCharType="begin" w:fldLock="1"/>
      </w:r>
      <w:r w:rsidR="00B02947">
        <w:rPr>
          <w:rFonts w:ascii="Times New Roman" w:hAnsi="Times New Roman" w:cs="Times New Roman"/>
          <w:sz w:val="24"/>
          <w:szCs w:val="24"/>
        </w:rPr>
        <w:instrText>ADDIN CSL_CITATION {"citationItems":[{"id":"ITEM-1","itemData":{"DOI":"10.1016/s0925-4773(96)00596-5","ISSN":"0925-4773 (Print)","PMID":"9025059","abstract":"Small aquarium fish, like the medaka and zebrafish, offer an excellent  opportunity to combine embryological, genetic and molecular analyses of vertebrate development. Pluripotent embryonic stem (ES) cells have enormous potential to study the totipotency and differentiation of cells and provide s bridge linking in vitro manipulations of the genome. In this report we describe the establishment, pluripotency and differentiation of medaka ES-like cell lines (MES). The MES cells exhibit stable growth over 18 months of culture with 100 passages using defined culture conditions in the absence of feeder layer cells. They have a normal karyotype and form colonies of densely packed, alkaline phosphatase-positive cells resembling undifferentiated mouse ES cells. In suspension culture they form embryoid bodies, and under appropriate conditions, differentiate into a variety of cell types.","author":[{"dropping-particle":"","family":"Hong","given":"Y","non-dropping-particle":"","parse-names":false,"suffix":""},{"dropping-particle":"","family":"Winkler","given":"C","non-dropping-particle":"","parse-names":false,"suffix":""},{"dropping-particle":"","family":"Schartl","given":"M","non-dropping-particle":"","parse-names":false,"suffix":""}],"container-title":"Mechanisms of development","id":"ITEM-1","issue":"1","issued":{"date-parts":[["1996","11"]]},"language":"eng","page":"33-44","publisher-place":"Ireland","title":"Pluripotency and differentiation of embryonic stem cell lines from the medakafish  (Oryzias latipes).","type":"article-journal","volume":"60"},"uris":["http://www.mendeley.com/documents/?uuid=d39ba2c3-307c-4c85-8431-a44c0150ea3f"]}],"mendeley":{"formattedCitation":"(Y Hong et al., 1996)","plainTextFormattedCitation":"(Y Hong et al., 1996)","previouslyFormattedCitation":"(Y Hong et al., 1996)"},"properties":{"noteIndex":0},"schema":"https://github.com/citation-style-language/schema/raw/master/csl-citation.json"}</w:instrText>
      </w:r>
      <w:r w:rsidR="00B02947">
        <w:rPr>
          <w:rFonts w:ascii="Times New Roman" w:hAnsi="Times New Roman" w:cs="Times New Roman"/>
          <w:sz w:val="24"/>
          <w:szCs w:val="24"/>
        </w:rPr>
        <w:fldChar w:fldCharType="separate"/>
      </w:r>
      <w:r w:rsidR="00FB2B4C">
        <w:rPr>
          <w:rFonts w:ascii="Times New Roman" w:hAnsi="Times New Roman" w:cs="Times New Roman"/>
          <w:noProof/>
          <w:sz w:val="24"/>
          <w:szCs w:val="24"/>
        </w:rPr>
        <w:t>;</w:t>
      </w:r>
      <w:r w:rsidR="00B02947" w:rsidRPr="00B02947">
        <w:rPr>
          <w:rFonts w:ascii="Times New Roman" w:hAnsi="Times New Roman" w:cs="Times New Roman"/>
          <w:noProof/>
          <w:sz w:val="24"/>
          <w:szCs w:val="24"/>
        </w:rPr>
        <w:t xml:space="preserve"> Hong et al., 1996)</w:t>
      </w:r>
      <w:r w:rsidR="00B02947">
        <w:rPr>
          <w:rFonts w:ascii="Times New Roman" w:hAnsi="Times New Roman" w:cs="Times New Roman"/>
          <w:sz w:val="24"/>
          <w:szCs w:val="24"/>
        </w:rPr>
        <w:fldChar w:fldCharType="end"/>
      </w:r>
      <w:r w:rsidR="00B02947">
        <w:rPr>
          <w:rFonts w:ascii="Times New Roman" w:hAnsi="Times New Roman" w:cs="Times New Roman"/>
          <w:sz w:val="24"/>
          <w:szCs w:val="24"/>
        </w:rPr>
        <w:t xml:space="preserve">. </w:t>
      </w:r>
      <w:r w:rsidR="00EF0D9B" w:rsidRPr="00EF0D9B">
        <w:rPr>
          <w:rFonts w:ascii="Times New Roman" w:hAnsi="Times New Roman" w:cs="Times New Roman"/>
          <w:sz w:val="24"/>
          <w:szCs w:val="24"/>
        </w:rPr>
        <w:t xml:space="preserve">A reported achievement involves the establishment of a </w:t>
      </w:r>
      <w:proofErr w:type="spellStart"/>
      <w:r w:rsidR="00EF0D9B" w:rsidRPr="00EF0D9B">
        <w:rPr>
          <w:rFonts w:ascii="Times New Roman" w:hAnsi="Times New Roman" w:cs="Times New Roman"/>
          <w:sz w:val="24"/>
          <w:szCs w:val="24"/>
        </w:rPr>
        <w:t>spermat</w:t>
      </w:r>
      <w:r w:rsidR="00EF0D9B">
        <w:rPr>
          <w:rFonts w:ascii="Times New Roman" w:hAnsi="Times New Roman" w:cs="Times New Roman"/>
          <w:sz w:val="24"/>
          <w:szCs w:val="24"/>
        </w:rPr>
        <w:t>ogonial</w:t>
      </w:r>
      <w:proofErr w:type="spellEnd"/>
      <w:r w:rsidR="00EF0D9B">
        <w:rPr>
          <w:rFonts w:ascii="Times New Roman" w:hAnsi="Times New Roman" w:cs="Times New Roman"/>
          <w:sz w:val="24"/>
          <w:szCs w:val="24"/>
        </w:rPr>
        <w:t xml:space="preserve"> cell line from the testis</w:t>
      </w:r>
      <w:r w:rsidR="00EF0D9B" w:rsidRPr="00EF0D9B">
        <w:rPr>
          <w:rFonts w:ascii="Times New Roman" w:hAnsi="Times New Roman" w:cs="Times New Roman"/>
          <w:sz w:val="24"/>
          <w:szCs w:val="24"/>
        </w:rPr>
        <w:t xml:space="preserve"> of adult </w:t>
      </w:r>
      <w:proofErr w:type="spellStart"/>
      <w:r w:rsidR="00EF0D9B" w:rsidRPr="00EF0D9B">
        <w:rPr>
          <w:rFonts w:ascii="Times New Roman" w:hAnsi="Times New Roman" w:cs="Times New Roman"/>
          <w:sz w:val="24"/>
          <w:szCs w:val="24"/>
        </w:rPr>
        <w:t>medaka</w:t>
      </w:r>
      <w:proofErr w:type="spellEnd"/>
      <w:r w:rsidR="00EF0D9B" w:rsidRPr="00EF0D9B">
        <w:rPr>
          <w:rFonts w:ascii="Times New Roman" w:hAnsi="Times New Roman" w:cs="Times New Roman"/>
          <w:sz w:val="24"/>
          <w:szCs w:val="24"/>
        </w:rPr>
        <w:t xml:space="preserve"> fish. This cell line displayed the ability to undergo meiosis and facilitate the production of viable sperm through spermatogenesis. This accomplishment underscores the potential application of fish ES cell lines within the realm of biotechnology.</w:t>
      </w:r>
      <w:r w:rsidR="00A824F8">
        <w:rPr>
          <w:rFonts w:ascii="Times New Roman" w:hAnsi="Times New Roman" w:cs="Times New Roman"/>
          <w:sz w:val="24"/>
          <w:szCs w:val="24"/>
        </w:rPr>
        <w:t xml:space="preserve"> </w:t>
      </w:r>
      <w:r w:rsidR="00EF0D9B" w:rsidRPr="00EF0D9B">
        <w:rPr>
          <w:rFonts w:ascii="Times New Roman" w:hAnsi="Times New Roman" w:cs="Times New Roman"/>
          <w:sz w:val="24"/>
          <w:szCs w:val="24"/>
        </w:rPr>
        <w:t>Comprehensive investigations into fish embryonic stem cells have primarily focused on small model species like zebrafish (</w:t>
      </w:r>
      <w:r w:rsidR="00EF0D9B" w:rsidRPr="00EF0D9B">
        <w:rPr>
          <w:rFonts w:ascii="Times New Roman" w:hAnsi="Times New Roman" w:cs="Times New Roman"/>
          <w:i/>
          <w:sz w:val="24"/>
          <w:szCs w:val="24"/>
        </w:rPr>
        <w:t xml:space="preserve">Danio </w:t>
      </w:r>
      <w:proofErr w:type="spellStart"/>
      <w:r w:rsidR="00EF0D9B" w:rsidRPr="00EF0D9B">
        <w:rPr>
          <w:rFonts w:ascii="Times New Roman" w:hAnsi="Times New Roman" w:cs="Times New Roman"/>
          <w:i/>
          <w:sz w:val="24"/>
          <w:szCs w:val="24"/>
        </w:rPr>
        <w:t>rerio</w:t>
      </w:r>
      <w:proofErr w:type="spellEnd"/>
      <w:r w:rsidR="00EF0D9B" w:rsidRPr="00EF0D9B">
        <w:rPr>
          <w:rFonts w:ascii="Times New Roman" w:hAnsi="Times New Roman" w:cs="Times New Roman"/>
          <w:sz w:val="24"/>
          <w:szCs w:val="24"/>
        </w:rPr>
        <w:t xml:space="preserve">) and </w:t>
      </w:r>
      <w:proofErr w:type="spellStart"/>
      <w:r w:rsidR="00EF0D9B" w:rsidRPr="00EF0D9B">
        <w:rPr>
          <w:rFonts w:ascii="Times New Roman" w:hAnsi="Times New Roman" w:cs="Times New Roman"/>
          <w:sz w:val="24"/>
          <w:szCs w:val="24"/>
        </w:rPr>
        <w:t>medaka</w:t>
      </w:r>
      <w:proofErr w:type="spellEnd"/>
      <w:r w:rsidR="00EF0D9B" w:rsidRPr="00EF0D9B">
        <w:rPr>
          <w:rFonts w:ascii="Times New Roman" w:hAnsi="Times New Roman" w:cs="Times New Roman"/>
          <w:sz w:val="24"/>
          <w:szCs w:val="24"/>
        </w:rPr>
        <w:t xml:space="preserve"> (</w:t>
      </w:r>
      <w:proofErr w:type="spellStart"/>
      <w:r w:rsidR="00EF0D9B" w:rsidRPr="00EF0D9B">
        <w:rPr>
          <w:rFonts w:ascii="Times New Roman" w:hAnsi="Times New Roman" w:cs="Times New Roman"/>
          <w:i/>
          <w:sz w:val="24"/>
          <w:szCs w:val="24"/>
        </w:rPr>
        <w:t>Oryzias</w:t>
      </w:r>
      <w:proofErr w:type="spellEnd"/>
      <w:r w:rsidR="00EF0D9B" w:rsidRPr="00EF0D9B">
        <w:rPr>
          <w:rFonts w:ascii="Times New Roman" w:hAnsi="Times New Roman" w:cs="Times New Roman"/>
          <w:i/>
          <w:sz w:val="24"/>
          <w:szCs w:val="24"/>
        </w:rPr>
        <w:t xml:space="preserve"> </w:t>
      </w:r>
      <w:proofErr w:type="spellStart"/>
      <w:r w:rsidR="00EF0D9B" w:rsidRPr="00EF0D9B">
        <w:rPr>
          <w:rFonts w:ascii="Times New Roman" w:hAnsi="Times New Roman" w:cs="Times New Roman"/>
          <w:i/>
          <w:sz w:val="24"/>
          <w:szCs w:val="24"/>
        </w:rPr>
        <w:t>latipes</w:t>
      </w:r>
      <w:proofErr w:type="spellEnd"/>
      <w:r w:rsidR="00EF0D9B" w:rsidRPr="00EF0D9B">
        <w:rPr>
          <w:rFonts w:ascii="Times New Roman" w:hAnsi="Times New Roman" w:cs="Times New Roman"/>
          <w:sz w:val="24"/>
          <w:szCs w:val="24"/>
        </w:rPr>
        <w:t>). This preference is attributed to the ease with which these species allow for the integration of embryological, genetic, and molecular analyses, thereby facilitating a holistic understa</w:t>
      </w:r>
      <w:r w:rsidR="00EF0D9B">
        <w:rPr>
          <w:rFonts w:ascii="Times New Roman" w:hAnsi="Times New Roman" w:cs="Times New Roman"/>
          <w:sz w:val="24"/>
          <w:szCs w:val="24"/>
        </w:rPr>
        <w:t xml:space="preserve">nding of vertebrate development </w:t>
      </w:r>
      <w:r w:rsidR="00A824F8">
        <w:rPr>
          <w:rFonts w:ascii="Times New Roman" w:hAnsi="Times New Roman" w:cs="Times New Roman"/>
          <w:sz w:val="24"/>
          <w:szCs w:val="24"/>
        </w:rPr>
        <w:fldChar w:fldCharType="begin" w:fldLock="1"/>
      </w:r>
      <w:r w:rsidR="00A824F8">
        <w:rPr>
          <w:rFonts w:ascii="Times New Roman" w:hAnsi="Times New Roman" w:cs="Times New Roman"/>
          <w:sz w:val="24"/>
          <w:szCs w:val="24"/>
        </w:rPr>
        <w:instrText>ADDIN CSL_CITATION {"citationItems":[{"id":"ITEM-1","itemData":{"ISSN":"1053-6426 (Print)","PMID":"7670594","abstract":"Pluripotent embryonic stem (ES) cell cultures provide an efficient method for  genome manipulation with many applications in marine biotechnology. To develop this technology we have been working to derive fish ES cell lines for in vitro studies of embryo cell growth and differentiation and for the generation of transgenic fish. Zebrafish embryonal cell cultures were derived from blastula-stage embryos in LDF medium supplemented with fetal bovine serum, trout serum, trout embryo extract, selenium, insulin, and leukemia inhibitory factor. Cultures derived under these conditions on feeder layers of zebrafish embryonic fibroblasts possessed a diploid karyotype and exhibited an ES-like morphology with elevated levels of alkaline phosphatase enzyme activity. Injection of primary cell cultures derived from embryos of transgenic fish carrying neo produced chimeric fish detected by polymerase chain reaction analysis. Embryo cells cultured on poly-D-lysine substrate in the presence of retinoic acid or Buffalo rat liver cell-conditioned medium (BRL-CM) and a reduced serum concentration differentiated into neuronal cell types exhibiting elevated levels of acetylcholinesterase enzyme activity and expression of neurofilament and glial fibrillary acidic protein.","author":[{"dropping-particle":"","family":"Sun","given":"L","non-dropping-particle":"","parse-names":false,"suffix":""},{"dropping-particle":"","family":"Bradford","given":"C S","non-dropping-particle":"","parse-names":false,"suffix":""},{"dropping-particle":"","family":"Ghosh","given":"C","non-dropping-particle":"","parse-names":false,"suffix":""},{"dropping-particle":"","family":"Collodi","given":"P","non-dropping-particle":"","parse-names":false,"suffix":""},{"dropping-particle":"","family":"Barnes","given":"D W","non-dropping-particle":"","parse-names":false,"suffix":""}],"container-title":"Molecular marine biology and biotechnology","id":"ITEM-1","issue":"3","issued":{"date-parts":[["1995","9"]]},"language":"eng","page":"193-199","publisher-place":"United States","title":"ES-like cell cultures derived from early zebrafish embryos.","type":"article-journal","volume":"4"},"uris":["http://www.mendeley.com/documents/?uuid=91b0e468-27b4-4fce-98e5-dc7d883200c0"]}],"mendeley":{"formattedCitation":"(Sun et al., 1995)","manualFormatting":"(Sun et al., 1995;  Hong et al., 1996;","plainTextFormattedCitation":"(Sun et al., 1995)","previouslyFormattedCitation":"(Sun et al., 1995)"},"properties":{"noteIndex":0},"schema":"https://github.com/citation-style-language/schema/raw/master/csl-citation.json"}</w:instrText>
      </w:r>
      <w:r w:rsidR="00A824F8">
        <w:rPr>
          <w:rFonts w:ascii="Times New Roman" w:hAnsi="Times New Roman" w:cs="Times New Roman"/>
          <w:sz w:val="24"/>
          <w:szCs w:val="24"/>
        </w:rPr>
        <w:fldChar w:fldCharType="separate"/>
      </w:r>
      <w:r w:rsidR="00A824F8" w:rsidRPr="00BB337D">
        <w:rPr>
          <w:rFonts w:ascii="Times New Roman" w:hAnsi="Times New Roman" w:cs="Times New Roman"/>
          <w:noProof/>
          <w:sz w:val="24"/>
          <w:szCs w:val="24"/>
        </w:rPr>
        <w:t>(Sun et al., 1995</w:t>
      </w:r>
      <w:r w:rsidR="00A824F8">
        <w:rPr>
          <w:rFonts w:ascii="Times New Roman" w:hAnsi="Times New Roman" w:cs="Times New Roman"/>
          <w:noProof/>
          <w:sz w:val="24"/>
          <w:szCs w:val="24"/>
        </w:rPr>
        <w:t xml:space="preserve">;  </w:t>
      </w:r>
      <w:r w:rsidR="00A824F8" w:rsidRPr="002C1448">
        <w:rPr>
          <w:rFonts w:ascii="Times New Roman" w:hAnsi="Times New Roman" w:cs="Times New Roman"/>
          <w:noProof/>
          <w:sz w:val="24"/>
          <w:szCs w:val="24"/>
        </w:rPr>
        <w:t>Hong et al., 1996</w:t>
      </w:r>
      <w:r w:rsidR="00A824F8">
        <w:rPr>
          <w:rFonts w:ascii="Times New Roman" w:hAnsi="Times New Roman" w:cs="Times New Roman"/>
          <w:noProof/>
          <w:sz w:val="24"/>
          <w:szCs w:val="24"/>
        </w:rPr>
        <w:t>;</w:t>
      </w:r>
      <w:r w:rsidR="00A824F8">
        <w:rPr>
          <w:rFonts w:ascii="Times New Roman" w:hAnsi="Times New Roman" w:cs="Times New Roman"/>
          <w:sz w:val="24"/>
          <w:szCs w:val="24"/>
        </w:rPr>
        <w:fldChar w:fldCharType="end"/>
      </w:r>
      <w:r w:rsidR="00A824F8">
        <w:rPr>
          <w:rFonts w:ascii="Times New Roman" w:hAnsi="Times New Roman" w:cs="Times New Roman"/>
          <w:sz w:val="24"/>
          <w:szCs w:val="24"/>
        </w:rPr>
        <w:fldChar w:fldCharType="begin" w:fldLock="1"/>
      </w:r>
      <w:r w:rsidR="00A824F8">
        <w:rPr>
          <w:rFonts w:ascii="Times New Roman" w:hAnsi="Times New Roman" w:cs="Times New Roman"/>
          <w:sz w:val="24"/>
          <w:szCs w:val="24"/>
        </w:rPr>
        <w:instrText>ADDIN CSL_CITATION {"citationItems":[{"id":"ITEM-1","itemData":{"DOI":"10.1126/science.1175151","ISSN":"1095-9203 (Electronic)","PMID":"19833967","abstract":"Haploid embryonic stem (ES) cells combine haploidy and pluripotency, enabling  direct genetic analyses of recessive phenotypes in vertebrate cells. Haploid cells have been elusive for culture, due to their inferior growth and genomic instability. Here, we generated gynogenetic medaka embryos and obtained three haploid ES cell lines that retained pluripotency and competitive growth. Upon nuclear transfer into unfertilized oocytes, the haploid ES cells, even after genetic engineering, generated viable offspring capable of germline transmission. Hence, haploid medaka ES cells stably maintain normal growth, pluripotency, and genomic integrity. Mosaic oocytes created by combining a mitotic nucleus and a meiotic nucleus can generate fertile fish offspring. Haploid ES cells may offer a yeast-like system for analyzing recessive phenotypes in numerous cell lineages of vertebrates in vitro.","author":[{"dropping-particle":"","family":"Yi","given":"Meisheng","non-dropping-particle":"","parse-names":false,"suffix":""},{"dropping-particle":"","family":"Hong","given":"Ni","non-dropping-particle":"","parse-names":false,"suffix":""},{"dropping-particle":"","family":"Hong","given":"Yunhan","non-dropping-particle":"","parse-names":false,"suffix":""}],"container-title":"Science (New York, N.Y.)","id":"ITEM-1","issue":"5951","issued":{"date-parts":[["2009","10"]]},"language":"eng","page":"430-433","publisher-place":"United States","title":"Generation of medaka fish haploid embryonic stem cells.","type":"article-journal","volume":"326"},"uris":["http://www.mendeley.com/documents/?uuid=5796cc87-529c-40d8-86f0-256f8e474b15"]}],"mendeley":{"formattedCitation":"(Yi et al., 2009)","manualFormatting":" Yi et al., 2009","plainTextFormattedCitation":"(Yi et al., 2009)","previouslyFormattedCitation":"(Yi et al., 2009)"},"properties":{"noteIndex":0},"schema":"https://github.com/citation-style-language/schema/raw/master/csl-citation.json"}</w:instrText>
      </w:r>
      <w:r w:rsidR="00A824F8">
        <w:rPr>
          <w:rFonts w:ascii="Times New Roman" w:hAnsi="Times New Roman" w:cs="Times New Roman"/>
          <w:sz w:val="24"/>
          <w:szCs w:val="24"/>
        </w:rPr>
        <w:fldChar w:fldCharType="separate"/>
      </w:r>
      <w:r w:rsidR="00A824F8">
        <w:rPr>
          <w:rFonts w:ascii="Times New Roman" w:hAnsi="Times New Roman" w:cs="Times New Roman"/>
          <w:noProof/>
          <w:sz w:val="24"/>
          <w:szCs w:val="24"/>
        </w:rPr>
        <w:t xml:space="preserve"> </w:t>
      </w:r>
      <w:r w:rsidR="00A824F8" w:rsidRPr="00BB337D">
        <w:rPr>
          <w:rFonts w:ascii="Times New Roman" w:hAnsi="Times New Roman" w:cs="Times New Roman"/>
          <w:noProof/>
          <w:sz w:val="24"/>
          <w:szCs w:val="24"/>
        </w:rPr>
        <w:t>Yi et al., 2009</w:t>
      </w:r>
      <w:r w:rsidR="00A824F8">
        <w:rPr>
          <w:rFonts w:ascii="Times New Roman" w:hAnsi="Times New Roman" w:cs="Times New Roman"/>
          <w:sz w:val="24"/>
          <w:szCs w:val="24"/>
        </w:rPr>
        <w:fldChar w:fldCharType="end"/>
      </w:r>
      <w:r w:rsidR="00A824F8">
        <w:rPr>
          <w:rFonts w:ascii="Times New Roman" w:hAnsi="Times New Roman" w:cs="Times New Roman"/>
          <w:sz w:val="24"/>
          <w:szCs w:val="24"/>
        </w:rPr>
        <w:t>;</w:t>
      </w:r>
      <w:r w:rsidR="00A824F8" w:rsidRPr="00C23AEB">
        <w:rPr>
          <w:rFonts w:ascii="Times New Roman" w:hAnsi="Times New Roman" w:cs="Times New Roman"/>
          <w:sz w:val="24"/>
          <w:szCs w:val="24"/>
        </w:rPr>
        <w:t xml:space="preserve"> </w:t>
      </w:r>
      <w:r w:rsidR="00A824F8">
        <w:rPr>
          <w:rFonts w:ascii="Times New Roman" w:hAnsi="Times New Roman" w:cs="Times New Roman"/>
          <w:sz w:val="24"/>
          <w:szCs w:val="24"/>
        </w:rPr>
        <w:fldChar w:fldCharType="begin" w:fldLock="1"/>
      </w:r>
      <w:r w:rsidR="00A824F8">
        <w:rPr>
          <w:rFonts w:ascii="Times New Roman" w:hAnsi="Times New Roman" w:cs="Times New Roman"/>
          <w:sz w:val="24"/>
          <w:szCs w:val="24"/>
        </w:rPr>
        <w:instrText>ADDIN CSL_CITATION {"citationItems":[{"id":"ITEM-1","itemData":{"DOI":"10.1016/bs.mcb.2016.02.010","ISSN":"0091-679X (Print)","PMID":"27263406","abstract":"Zebrafish embryonic cell cultures have many useful properties that make them  complementary to intact embryos for a wide range of studies. Embryonic cell cultures allow for maintenance of transient cell populations, control of chemical and mechanical cues received by cells, and facile chemical screening. Zebrafish cells can be cultured in either heterogeneous or homogeneous cultures from a wide range of developmental time points. Here we describe two methods with particular applicability to chemical screening: a method for the culture of blastomeres for directed differentiation toward the myogenic lineage and a method for the culture of neural crest cells in heterogeneous cultures from early somitogenesis embryos.","author":[{"dropping-particle":"","family":"Ciarlo","given":"C A","non-dropping-particle":"","parse-names":false,"suffix":""},{"dropping-particle":"","family":"Zon","given":"L I","non-dropping-particle":"","parse-names":false,"suffix":""}],"container-title":"Methods in cell biology","id":"ITEM-1","issued":{"date-parts":[["2016"]]},"language":"eng","page":"1-10","publisher-place":"United States","title":"Embryonic cell culture in zebrafish.","type":"article-journal","volume":"133"},"uris":["http://www.mendeley.com/documents/?uuid=34fcf1c0-ac10-4c0b-8477-1d3f04878246"]}],"mendeley":{"formattedCitation":"(Ciarlo &amp; Zon, 2016)","manualFormatting":"Ciarlo &amp; Zon, 2016)","plainTextFormattedCitation":"(Ciarlo &amp; Zon, 2016)","previouslyFormattedCitation":"(Ciarlo &amp; Zon, 2016)"},"properties":{"noteIndex":0},"schema":"https://github.com/citation-style-language/schema/raw/master/csl-citation.json"}</w:instrText>
      </w:r>
      <w:r w:rsidR="00A824F8">
        <w:rPr>
          <w:rFonts w:ascii="Times New Roman" w:hAnsi="Times New Roman" w:cs="Times New Roman"/>
          <w:sz w:val="24"/>
          <w:szCs w:val="24"/>
        </w:rPr>
        <w:fldChar w:fldCharType="separate"/>
      </w:r>
      <w:r w:rsidR="00A824F8" w:rsidRPr="00BB337D">
        <w:rPr>
          <w:rFonts w:ascii="Times New Roman" w:hAnsi="Times New Roman" w:cs="Times New Roman"/>
          <w:noProof/>
          <w:sz w:val="24"/>
          <w:szCs w:val="24"/>
        </w:rPr>
        <w:t>Ciarlo &amp; Zon, 2016)</w:t>
      </w:r>
      <w:r w:rsidR="00A824F8">
        <w:rPr>
          <w:rFonts w:ascii="Times New Roman" w:hAnsi="Times New Roman" w:cs="Times New Roman"/>
          <w:sz w:val="24"/>
          <w:szCs w:val="24"/>
        </w:rPr>
        <w:fldChar w:fldCharType="end"/>
      </w:r>
      <w:r w:rsidR="00A824F8">
        <w:rPr>
          <w:rFonts w:ascii="Times New Roman" w:hAnsi="Times New Roman" w:cs="Times New Roman"/>
          <w:color w:val="1F3864" w:themeColor="accent5" w:themeShade="80"/>
          <w:sz w:val="24"/>
          <w:szCs w:val="24"/>
        </w:rPr>
        <w:t xml:space="preserve">. </w:t>
      </w:r>
      <w:r w:rsidR="00FB2B4C" w:rsidRPr="00FB2B4C">
        <w:rPr>
          <w:rFonts w:ascii="Times New Roman" w:hAnsi="Times New Roman" w:cs="Times New Roman"/>
          <w:sz w:val="24"/>
          <w:szCs w:val="24"/>
        </w:rPr>
        <w:t xml:space="preserve"> Fish ES cell lines are used as a vector for efficient transfer of foreign DNA into an organism's germ cells</w:t>
      </w:r>
      <w:r w:rsidR="00D9790D">
        <w:rPr>
          <w:rFonts w:ascii="Times New Roman" w:hAnsi="Times New Roman" w:cs="Times New Roman"/>
          <w:sz w:val="24"/>
          <w:szCs w:val="24"/>
        </w:rPr>
        <w:t xml:space="preserve"> </w:t>
      </w:r>
      <w:r w:rsidR="00B02947">
        <w:rPr>
          <w:rFonts w:ascii="Times New Roman" w:hAnsi="Times New Roman" w:cs="Times New Roman"/>
          <w:sz w:val="24"/>
          <w:szCs w:val="24"/>
        </w:rPr>
        <w:fldChar w:fldCharType="begin" w:fldLock="1"/>
      </w:r>
      <w:r w:rsidR="00B02947">
        <w:rPr>
          <w:rFonts w:ascii="Times New Roman" w:hAnsi="Times New Roman" w:cs="Times New Roman"/>
          <w:sz w:val="24"/>
          <w:szCs w:val="24"/>
        </w:rPr>
        <w:instrText>ADDIN CSL_CITATION {"citationItems":[{"id":"ITEM-1","itemData":{"DOI":"10.1073/pnas.0308668101","ISSN":"0027-8424 (Print)","PMID":"15141090","abstract":"Spermatogonia are the male germ stem cells that continuously produce sperm for  the next generation. Spermatogenesis is a complicated process that proceeds through mitotic phase of stem cell renewal and differentiation, meiotic phase, and postmeiotic phase of spermiogenesis. Full recapitulation of spermatogenesis in vitro has been impossible, as generation of normal spermatogonial stem cell lines without immortalization and production of motile sperm from these cells after long-term culture have not been achieved. Here we report the derivation of a normal spermatogonial cell line from a mature medakafish testis without immortalization. After 140 passages during 2 years of culture, this cell line retains stable but growth factor-dependent proliferation, a diploid karyotype, and the phenotype and gene expression pattern of spermatogonial stem cells. Furthermore, we show that this cell line can undergo meiosis and spermiogenesis to generate motile sperm. Therefore, the ability of continuous proliferation and sperm production in culture is an intrinsic property of medaka spermatogonial stem cells, and immortalization apparently is not necessary to derive male germ cell cultures. Our findings and cell line will offer a unique opportunity to study and recapitulate spermatogenesis in vitro and to develop approaches for germ-line transmission.","author":[{"dropping-particle":"","family":"Hong","given":"Yunhan","non-dropping-particle":"","parse-names":false,"suffix":""},{"dropping-particle":"","family":"Liu","given":"Tongming","non-dropping-particle":"","parse-names":false,"suffix":""},{"dropping-particle":"","family":"Zhao","given":"Haobin","non-dropping-particle":"","parse-names":false,"suffix":""},{"dropping-particle":"","family":"Xu","given":"Hongyan","non-dropping-particle":"","parse-names":false,"suffix":""},{"dropping-particle":"","family":"Wang","given":"Weijia","non-dropping-particle":"","parse-names":false,"suffix":""},{"dropping-particle":"","family":"Liu","given":"Rong","non-dropping-particle":"","parse-names":false,"suffix":""},{"dropping-particle":"","family":"Chen","given":"Tiansheng","non-dropping-particle":"","parse-names":false,"suffix":""},{"dropping-particle":"","family":"Deng","given":"Jiaorong","non-dropping-particle":"","parse-names":false,"suffix":""},{"dropping-particle":"","family":"Gui","given":"Jianfang","non-dropping-particle":"","parse-names":false,"suffix":""}],"container-title":"Proceedings of the National Academy of Sciences of the United States of America","id":"ITEM-1","issue":"21","issued":{"date-parts":[["2004","5"]]},"language":"eng","page":"8011-8016","publisher-place":"United States","title":"Establishment of a normal medakafish spermatogonial cell line capable of sperm  production in vitro.","type":"article-journal","volume":"101"},"uris":["http://www.mendeley.com/documents/?uuid=9ab63f59-6e61-4761-842a-b0a9ca267dbf"]}],"mendeley":{"formattedCitation":"(Yunhan Hong et al., 2004)","manualFormatting":"( Hong et al., 2004)","plainTextFormattedCitation":"(Yunhan Hong et al., 2004)","previouslyFormattedCitation":"(Yunhan Hong et al., 2004)"},"properties":{"noteIndex":0},"schema":"https://github.com/citation-style-language/schema/raw/master/csl-citation.json"}</w:instrText>
      </w:r>
      <w:r w:rsidR="00B02947">
        <w:rPr>
          <w:rFonts w:ascii="Times New Roman" w:hAnsi="Times New Roman" w:cs="Times New Roman"/>
          <w:sz w:val="24"/>
          <w:szCs w:val="24"/>
        </w:rPr>
        <w:fldChar w:fldCharType="separate"/>
      </w:r>
      <w:r w:rsidR="00B02947">
        <w:rPr>
          <w:rFonts w:ascii="Times New Roman" w:hAnsi="Times New Roman" w:cs="Times New Roman"/>
          <w:noProof/>
          <w:sz w:val="24"/>
          <w:szCs w:val="24"/>
        </w:rPr>
        <w:t>(</w:t>
      </w:r>
      <w:r w:rsidR="00B02947" w:rsidRPr="00B02947">
        <w:rPr>
          <w:rFonts w:ascii="Times New Roman" w:hAnsi="Times New Roman" w:cs="Times New Roman"/>
          <w:noProof/>
          <w:sz w:val="24"/>
          <w:szCs w:val="24"/>
        </w:rPr>
        <w:t xml:space="preserve"> Hong et al., 2004)</w:t>
      </w:r>
      <w:r w:rsidR="00B02947">
        <w:rPr>
          <w:rFonts w:ascii="Times New Roman" w:hAnsi="Times New Roman" w:cs="Times New Roman"/>
          <w:sz w:val="24"/>
          <w:szCs w:val="24"/>
        </w:rPr>
        <w:fldChar w:fldCharType="end"/>
      </w:r>
      <w:r w:rsidR="00D9790D">
        <w:rPr>
          <w:rFonts w:ascii="Times New Roman" w:hAnsi="Times New Roman" w:cs="Times New Roman"/>
          <w:sz w:val="24"/>
          <w:szCs w:val="24"/>
        </w:rPr>
        <w:t xml:space="preserve">. Additional </w:t>
      </w:r>
      <w:r w:rsidR="00D9790D" w:rsidRPr="00D9790D">
        <w:rPr>
          <w:rFonts w:ascii="Times New Roman" w:hAnsi="Times New Roman" w:cs="Times New Roman"/>
          <w:sz w:val="24"/>
          <w:szCs w:val="24"/>
        </w:rPr>
        <w:t>Salmonids have successfully produced offspring through the use of embryo</w:t>
      </w:r>
      <w:r w:rsidR="00D9790D">
        <w:rPr>
          <w:rFonts w:ascii="Times New Roman" w:hAnsi="Times New Roman" w:cs="Times New Roman"/>
          <w:sz w:val="24"/>
          <w:szCs w:val="24"/>
        </w:rPr>
        <w:t xml:space="preserve">nic stem cell transplantation </w:t>
      </w:r>
      <w:r w:rsidR="00B02947">
        <w:rPr>
          <w:rFonts w:ascii="Times New Roman" w:hAnsi="Times New Roman" w:cs="Times New Roman"/>
          <w:sz w:val="24"/>
          <w:szCs w:val="24"/>
        </w:rPr>
        <w:t xml:space="preserve"> </w:t>
      </w:r>
      <w:r w:rsidR="00B02947">
        <w:rPr>
          <w:rFonts w:ascii="Times New Roman" w:hAnsi="Times New Roman" w:cs="Times New Roman"/>
          <w:sz w:val="24"/>
          <w:szCs w:val="24"/>
        </w:rPr>
        <w:fldChar w:fldCharType="begin" w:fldLock="1"/>
      </w:r>
      <w:r w:rsidR="00B02947">
        <w:rPr>
          <w:rFonts w:ascii="Times New Roman" w:hAnsi="Times New Roman" w:cs="Times New Roman"/>
          <w:sz w:val="24"/>
          <w:szCs w:val="24"/>
        </w:rPr>
        <w:instrText>ADDIN CSL_CITATION {"citationItems":[{"id":"ITEM-1","itemData":{"DOI":"10.1242/dev.044982","ISSN":"1477-9129 (Electronic)","PMID":"20223765","abstract":"The sexual plasticity of fish gonads declines after the sex differentiation  period; however, information about the plasticity of the germ cells themselves after sex differentiation is limited. Using rainbow trout (Oncorhynchus mykiss), we recently established a novel germ cell transplantation system that provides a unique platform with which to dissect the developmental and cellular mechanisms underlying gametogenesis. Using this technique, we show here that transplanted ovarian germ cells isolated from 6- to 9-month-old donors can colonize sexually undifferentiated embryonic gonads and resume gametogenesis. Ovarian germ cells containing oogonia and early oocytes isolated from female rainbow trout were transplanted into the peritoneal cavities of hatching-stage fry of both sexes and the behavior of the donor cells was observed. The transplanted ovarian germ cells migrated towards the recipient gonads, interacted with embryonic gonadal somatic cells, proliferated rapidly, and eventually differentiated into eggs in female recipients and sperm in male recipients. Furthermore, the donor-derived eggs and sperm obtained from the recipient fish were functional and were able to produce normal offspring. These findings indicate that mitotic germ cells, the oogonia, possess a high level of sexual plasticity.","author":[{"dropping-particle":"","family":"Yoshizaki","given":"Goro","non-dropping-particle":"","parse-names":false,"suffix":""},{"dropping-particle":"","family":"Ichikawa","given":"Masaki","non-dropping-particle":"","parse-names":false,"suffix":""},{"dropping-particle":"","family":"Hayashi","given":"Makoto","non-dropping-particle":"","parse-names":false,"suffix":""},{"dropping-particle":"","family":"Iwasaki","given":"Yoshiko","non-dropping-particle":"","parse-names":false,"suffix":""},{"dropping-particle":"","family":"Miwa","given":"Misako","non-dropping-particle":"","parse-names":false,"suffix":""},{"dropping-particle":"","family":"Shikina","given":"Shinya","non-dropping-particle":"","parse-names":false,"suffix":""},{"dropping-particle":"","family":"Okutsu","given":"Tomoyuki","non-dropping-particle":"","parse-names":false,"suffix":""}],"container-title":"Development (Cambridge, England)","id":"ITEM-1","issue":"8","issued":{"date-parts":[["2010","4"]]},"language":"eng","page":"1227-1230","publisher-place":"England","title":"Sexual plasticity of ovarian germ cells in rainbow trout.","type":"article-journal","volume":"137"},"uris":["http://www.mendeley.com/documents/?uuid=99d19a36-1529-4915-a489-1d49589823ab"]}],"mendeley":{"formattedCitation":"(Yoshizaki et al., 2010)","plainTextFormattedCitation":"(Yoshizaki et al., 2010)","previouslyFormattedCitation":"(Yoshizaki et al., 2010)"},"properties":{"noteIndex":0},"schema":"https://github.com/citation-style-language/schema/raw/master/csl-citation.json"}</w:instrText>
      </w:r>
      <w:r w:rsidR="00B02947">
        <w:rPr>
          <w:rFonts w:ascii="Times New Roman" w:hAnsi="Times New Roman" w:cs="Times New Roman"/>
          <w:sz w:val="24"/>
          <w:szCs w:val="24"/>
        </w:rPr>
        <w:fldChar w:fldCharType="separate"/>
      </w:r>
      <w:r w:rsidR="00B02947" w:rsidRPr="00B02947">
        <w:rPr>
          <w:rFonts w:ascii="Times New Roman" w:hAnsi="Times New Roman" w:cs="Times New Roman"/>
          <w:noProof/>
          <w:sz w:val="24"/>
          <w:szCs w:val="24"/>
        </w:rPr>
        <w:t>(Yoshizaki et al., 2010)</w:t>
      </w:r>
      <w:r w:rsidR="00B02947">
        <w:rPr>
          <w:rFonts w:ascii="Times New Roman" w:hAnsi="Times New Roman" w:cs="Times New Roman"/>
          <w:sz w:val="24"/>
          <w:szCs w:val="24"/>
        </w:rPr>
        <w:fldChar w:fldCharType="end"/>
      </w:r>
      <w:r w:rsidR="004400F8" w:rsidRPr="00C23AEB">
        <w:rPr>
          <w:rFonts w:ascii="Times New Roman" w:hAnsi="Times New Roman" w:cs="Times New Roman"/>
          <w:sz w:val="24"/>
          <w:szCs w:val="24"/>
        </w:rPr>
        <w:t xml:space="preserve">. </w:t>
      </w:r>
      <w:r w:rsidR="00D9790D" w:rsidRPr="00D9790D">
        <w:rPr>
          <w:rFonts w:ascii="Times New Roman" w:hAnsi="Times New Roman" w:cs="Times New Roman"/>
          <w:sz w:val="24"/>
          <w:szCs w:val="24"/>
        </w:rPr>
        <w:t>For the goal of developing new treatments, the chemicals and exosomes generated during stem cell cultivation are collected. ES cell lines have been developed from zebrafish (</w:t>
      </w:r>
      <w:r w:rsidR="00D9790D" w:rsidRPr="00D9790D">
        <w:rPr>
          <w:rFonts w:ascii="Times New Roman" w:hAnsi="Times New Roman" w:cs="Times New Roman"/>
          <w:i/>
          <w:sz w:val="24"/>
          <w:szCs w:val="24"/>
        </w:rPr>
        <w:t xml:space="preserve">Danio </w:t>
      </w:r>
      <w:proofErr w:type="spellStart"/>
      <w:r w:rsidR="00D9790D" w:rsidRPr="00D9790D">
        <w:rPr>
          <w:rFonts w:ascii="Times New Roman" w:hAnsi="Times New Roman" w:cs="Times New Roman"/>
          <w:i/>
          <w:sz w:val="24"/>
          <w:szCs w:val="24"/>
        </w:rPr>
        <w:t>rerio</w:t>
      </w:r>
      <w:proofErr w:type="spellEnd"/>
      <w:r w:rsidR="00D9790D" w:rsidRPr="00D9790D">
        <w:rPr>
          <w:rFonts w:ascii="Times New Roman" w:hAnsi="Times New Roman" w:cs="Times New Roman"/>
          <w:sz w:val="24"/>
          <w:szCs w:val="24"/>
        </w:rPr>
        <w:t xml:space="preserve">) and </w:t>
      </w:r>
      <w:proofErr w:type="spellStart"/>
      <w:r w:rsidR="00D9790D" w:rsidRPr="00D9790D">
        <w:rPr>
          <w:rFonts w:ascii="Times New Roman" w:hAnsi="Times New Roman" w:cs="Times New Roman"/>
          <w:sz w:val="24"/>
          <w:szCs w:val="24"/>
        </w:rPr>
        <w:t>medaka</w:t>
      </w:r>
      <w:proofErr w:type="spellEnd"/>
      <w:r w:rsidR="00D9790D" w:rsidRPr="00D9790D">
        <w:rPr>
          <w:rFonts w:ascii="Times New Roman" w:hAnsi="Times New Roman" w:cs="Times New Roman"/>
          <w:sz w:val="24"/>
          <w:szCs w:val="24"/>
        </w:rPr>
        <w:t xml:space="preserve"> (</w:t>
      </w:r>
      <w:proofErr w:type="spellStart"/>
      <w:r w:rsidR="00D9790D" w:rsidRPr="00D9790D">
        <w:rPr>
          <w:rFonts w:ascii="Times New Roman" w:hAnsi="Times New Roman" w:cs="Times New Roman"/>
          <w:i/>
          <w:sz w:val="24"/>
          <w:szCs w:val="24"/>
        </w:rPr>
        <w:t>Oryzias</w:t>
      </w:r>
      <w:proofErr w:type="spellEnd"/>
      <w:r w:rsidR="00D9790D" w:rsidRPr="00D9790D">
        <w:rPr>
          <w:rFonts w:ascii="Times New Roman" w:hAnsi="Times New Roman" w:cs="Times New Roman"/>
          <w:i/>
          <w:sz w:val="24"/>
          <w:szCs w:val="24"/>
        </w:rPr>
        <w:t xml:space="preserve"> </w:t>
      </w:r>
      <w:proofErr w:type="spellStart"/>
      <w:r w:rsidR="00D9790D" w:rsidRPr="00D9790D">
        <w:rPr>
          <w:rFonts w:ascii="Times New Roman" w:hAnsi="Times New Roman" w:cs="Times New Roman"/>
          <w:i/>
          <w:sz w:val="24"/>
          <w:szCs w:val="24"/>
        </w:rPr>
        <w:t>latipes</w:t>
      </w:r>
      <w:proofErr w:type="spellEnd"/>
      <w:r w:rsidR="00D9790D" w:rsidRPr="00D9790D">
        <w:rPr>
          <w:rFonts w:ascii="Times New Roman" w:hAnsi="Times New Roman" w:cs="Times New Roman"/>
          <w:sz w:val="24"/>
          <w:szCs w:val="24"/>
        </w:rPr>
        <w:t xml:space="preserve">) </w:t>
      </w:r>
      <w:r w:rsidR="00D9790D">
        <w:rPr>
          <w:rFonts w:ascii="Times New Roman" w:hAnsi="Times New Roman" w:cs="Times New Roman"/>
          <w:sz w:val="24"/>
          <w:szCs w:val="24"/>
        </w:rPr>
        <w:fldChar w:fldCharType="begin" w:fldLock="1"/>
      </w:r>
      <w:r w:rsidR="00D9790D">
        <w:rPr>
          <w:rFonts w:ascii="Times New Roman" w:hAnsi="Times New Roman" w:cs="Times New Roman"/>
          <w:sz w:val="24"/>
          <w:szCs w:val="24"/>
        </w:rPr>
        <w:instrText>ADDIN CSL_CITATION {"citationItems":[{"id":"ITEM-1","itemData":{"DOI":"10.1016/bs.mcb.2016.02.010","ISSN":"0091-679X (Print)","PMID":"27263406","abstract":"Zebrafish embryonic cell cultures have many useful properties that make them  complementary to intact embryos for a wide range of studies. Embryonic cell cultures allow for maintenance of transient cell populations, control of chemical and mechanical cues received by cells, and facile chemical screening. Zebrafish cells can be cultured in either heterogeneous or homogeneous cultures from a wide range of developmental time points. Here we describe two methods with particular applicability to chemical screening: a method for the culture of blastomeres for directed differentiation toward the myogenic lineage and a method for the culture of neural crest cells in heterogeneous cultures from early somitogenesis embryos.","author":[{"dropping-particle":"","family":"Ciarlo","given":"C A","non-dropping-particle":"","parse-names":false,"suffix":""},{"dropping-particle":"","family":"Zon","given":"L I","non-dropping-particle":"","parse-names":false,"suffix":""}],"container-title":"Methods in cell biology","id":"ITEM-1","issued":{"date-parts":[["2016"]]},"language":"eng","page":"1-10","publisher-place":"United States","title":"Embryonic cell culture in zebrafish.","type":"article-journal","volume":"133"},"uris":["http://www.mendeley.com/documents/?uuid=34fcf1c0-ac10-4c0b-8477-1d3f04878246"]},{"id":"ITEM-2","itemData":{"DOI":"10.1126/science.1175151","ISSN":"1095-9203 (Electronic)","PMID":"19833967","abstract":"Haploid embryonic stem (ES) cells combine haploidy and pluripotency, enabling  direct genetic analyses of recessive phenotypes in vertebrate cells. Haploid cells have been elusive for culture, due to their inferior growth and genomic instability. Here, we generated gynogenetic medaka embryos and obtained three haploid ES cell lines that retained pluripotency and competitive growth. Upon nuclear transfer into unfertilized oocytes, the haploid ES cells, even after genetic engineering, generated viable offspring capable of germline transmission. Hence, haploid medaka ES cells stably maintain normal growth, pluripotency, and genomic integrity. Mosaic oocytes created by combining a mitotic nucleus and a meiotic nucleus can generate fertile fish offspring. Haploid ES cells may offer a yeast-like system for analyzing recessive phenotypes in numerous cell lineages of vertebrates in vitro.","author":[{"dropping-particle":"","family":"Yi","given":"Meisheng","non-dropping-particle":"","parse-names":false,"suffix":""},{"dropping-particle":"","family":"Hong","given":"Ni","non-dropping-particle":"","parse-names":false,"suffix":""},{"dropping-particle":"","family":"Hong","given":"Yunhan","non-dropping-particle":"","parse-names":false,"suffix":""}],"container-title":"Science (New York, N.Y.)","id":"ITEM-2","issue":"5951","issued":{"date-parts":[["2009","10"]]},"language":"eng","page":"430-433","publisher-place":"United States","title":"Generation of medaka fish haploid embryonic stem cells.","type":"article-journal","volume":"326"},"uris":["http://www.mendeley.com/documents/?uuid=5796cc87-529c-40d8-86f0-256f8e474b15"]}],"mendeley":{"formattedCitation":"(Ciarlo &amp; Zon, 2016; Yi et al., 2009)","manualFormatting":" (Yi et al., 2009; Ciarlo &amp; Zon, 2016)","plainTextFormattedCitation":"(Ciarlo &amp; Zon, 2016; Yi et al., 2009)","previouslyFormattedCitation":"(Ciarlo &amp; Zon, 2016; Yi et al., 2009)"},"properties":{"noteIndex":0},"schema":"https://github.com/citation-style-language/schema/raw/master/csl-citation.json"}</w:instrText>
      </w:r>
      <w:r w:rsidR="00D9790D">
        <w:rPr>
          <w:rFonts w:ascii="Times New Roman" w:hAnsi="Times New Roman" w:cs="Times New Roman"/>
          <w:sz w:val="24"/>
          <w:szCs w:val="24"/>
        </w:rPr>
        <w:fldChar w:fldCharType="separate"/>
      </w:r>
      <w:r w:rsidR="00D9790D" w:rsidRPr="00B02947">
        <w:rPr>
          <w:rFonts w:ascii="Times New Roman" w:hAnsi="Times New Roman" w:cs="Times New Roman"/>
          <w:noProof/>
          <w:sz w:val="24"/>
          <w:szCs w:val="24"/>
        </w:rPr>
        <w:t xml:space="preserve"> </w:t>
      </w:r>
      <w:r w:rsidR="00D9790D">
        <w:rPr>
          <w:rFonts w:ascii="Times New Roman" w:hAnsi="Times New Roman" w:cs="Times New Roman"/>
          <w:noProof/>
          <w:sz w:val="24"/>
          <w:szCs w:val="24"/>
        </w:rPr>
        <w:t>(</w:t>
      </w:r>
      <w:r w:rsidR="00D9790D" w:rsidRPr="00B02947">
        <w:rPr>
          <w:rFonts w:ascii="Times New Roman" w:hAnsi="Times New Roman" w:cs="Times New Roman"/>
          <w:noProof/>
          <w:sz w:val="24"/>
          <w:szCs w:val="24"/>
        </w:rPr>
        <w:t>Yi et al., 2009</w:t>
      </w:r>
      <w:r w:rsidR="00D9790D">
        <w:rPr>
          <w:rFonts w:ascii="Times New Roman" w:hAnsi="Times New Roman" w:cs="Times New Roman"/>
          <w:noProof/>
          <w:sz w:val="24"/>
          <w:szCs w:val="24"/>
        </w:rPr>
        <w:t xml:space="preserve">; </w:t>
      </w:r>
      <w:r w:rsidR="00D9790D" w:rsidRPr="00B02947">
        <w:rPr>
          <w:rFonts w:ascii="Times New Roman" w:hAnsi="Times New Roman" w:cs="Times New Roman"/>
          <w:noProof/>
          <w:sz w:val="24"/>
          <w:szCs w:val="24"/>
        </w:rPr>
        <w:t>Ciarlo &amp; Zon, 2016)</w:t>
      </w:r>
      <w:r w:rsidR="00D9790D">
        <w:rPr>
          <w:rFonts w:ascii="Times New Roman" w:hAnsi="Times New Roman" w:cs="Times New Roman"/>
          <w:sz w:val="24"/>
          <w:szCs w:val="24"/>
        </w:rPr>
        <w:fldChar w:fldCharType="end"/>
      </w:r>
      <w:r w:rsidR="00D9790D">
        <w:rPr>
          <w:rFonts w:ascii="Times New Roman" w:hAnsi="Times New Roman" w:cs="Times New Roman"/>
          <w:sz w:val="24"/>
          <w:szCs w:val="24"/>
        </w:rPr>
        <w:t>.</w:t>
      </w:r>
      <w:r w:rsidR="00D9790D" w:rsidRPr="00D9790D">
        <w:rPr>
          <w:rFonts w:ascii="Times New Roman" w:hAnsi="Times New Roman" w:cs="Times New Roman"/>
          <w:sz w:val="24"/>
          <w:szCs w:val="24"/>
        </w:rPr>
        <w:t xml:space="preserve"> ES cell sources can also come from tumours. </w:t>
      </w:r>
      <w:proofErr w:type="spellStart"/>
      <w:r w:rsidR="00D9790D" w:rsidRPr="00D9790D">
        <w:rPr>
          <w:rFonts w:ascii="Times New Roman" w:hAnsi="Times New Roman" w:cs="Times New Roman"/>
          <w:sz w:val="24"/>
          <w:szCs w:val="24"/>
        </w:rPr>
        <w:t>Epithelioma</w:t>
      </w:r>
      <w:proofErr w:type="spellEnd"/>
      <w:r w:rsidR="00D9790D" w:rsidRPr="00D9790D">
        <w:rPr>
          <w:rFonts w:ascii="Times New Roman" w:hAnsi="Times New Roman" w:cs="Times New Roman"/>
          <w:sz w:val="24"/>
          <w:szCs w:val="24"/>
        </w:rPr>
        <w:t xml:space="preserve"> </w:t>
      </w:r>
      <w:proofErr w:type="spellStart"/>
      <w:r w:rsidR="00D9790D" w:rsidRPr="00D9790D">
        <w:rPr>
          <w:rFonts w:ascii="Times New Roman" w:hAnsi="Times New Roman" w:cs="Times New Roman"/>
          <w:sz w:val="24"/>
          <w:szCs w:val="24"/>
        </w:rPr>
        <w:t>Epithelioma</w:t>
      </w:r>
      <w:proofErr w:type="spellEnd"/>
      <w:r w:rsidR="00D9790D" w:rsidRPr="00D9790D">
        <w:rPr>
          <w:rFonts w:ascii="Times New Roman" w:hAnsi="Times New Roman" w:cs="Times New Roman"/>
          <w:sz w:val="24"/>
          <w:szCs w:val="24"/>
        </w:rPr>
        <w:t xml:space="preserve"> and </w:t>
      </w:r>
      <w:proofErr w:type="spellStart"/>
      <w:r w:rsidR="00D9790D" w:rsidRPr="00D9790D">
        <w:rPr>
          <w:rFonts w:ascii="Times New Roman" w:hAnsi="Times New Roman" w:cs="Times New Roman"/>
          <w:sz w:val="24"/>
          <w:szCs w:val="24"/>
        </w:rPr>
        <w:t>hepatoma</w:t>
      </w:r>
      <w:proofErr w:type="spellEnd"/>
      <w:r w:rsidR="00D9790D" w:rsidRPr="00D9790D">
        <w:rPr>
          <w:rFonts w:ascii="Times New Roman" w:hAnsi="Times New Roman" w:cs="Times New Roman"/>
          <w:sz w:val="24"/>
          <w:szCs w:val="24"/>
        </w:rPr>
        <w:t xml:space="preserve">, respectively, are the sources of the </w:t>
      </w:r>
      <w:proofErr w:type="spellStart"/>
      <w:r w:rsidR="00D9790D" w:rsidRPr="00D9790D">
        <w:rPr>
          <w:rFonts w:ascii="Times New Roman" w:hAnsi="Times New Roman" w:cs="Times New Roman"/>
          <w:sz w:val="24"/>
          <w:szCs w:val="24"/>
        </w:rPr>
        <w:t>Papulosum</w:t>
      </w:r>
      <w:proofErr w:type="spellEnd"/>
      <w:r w:rsidR="00D9790D" w:rsidRPr="00D9790D">
        <w:rPr>
          <w:rFonts w:ascii="Times New Roman" w:hAnsi="Times New Roman" w:cs="Times New Roman"/>
          <w:sz w:val="24"/>
          <w:szCs w:val="24"/>
        </w:rPr>
        <w:t xml:space="preserve"> </w:t>
      </w:r>
      <w:proofErr w:type="spellStart"/>
      <w:r w:rsidR="00D9790D" w:rsidRPr="00D9790D">
        <w:rPr>
          <w:rFonts w:ascii="Times New Roman" w:hAnsi="Times New Roman" w:cs="Times New Roman"/>
          <w:sz w:val="24"/>
          <w:szCs w:val="24"/>
        </w:rPr>
        <w:t>Cyprini</w:t>
      </w:r>
      <w:proofErr w:type="spellEnd"/>
      <w:r w:rsidR="00D9790D" w:rsidRPr="00D9790D">
        <w:rPr>
          <w:rFonts w:ascii="Times New Roman" w:hAnsi="Times New Roman" w:cs="Times New Roman"/>
          <w:sz w:val="24"/>
          <w:szCs w:val="24"/>
        </w:rPr>
        <w:t xml:space="preserve"> (EPC) and rainbow trout liver (RTH-149) cells </w:t>
      </w:r>
      <w:r w:rsidR="00D9790D">
        <w:rPr>
          <w:rFonts w:ascii="Times New Roman" w:hAnsi="Times New Roman" w:cs="Times New Roman"/>
          <w:sz w:val="24"/>
          <w:szCs w:val="24"/>
        </w:rPr>
        <w:fldChar w:fldCharType="begin" w:fldLock="1"/>
      </w:r>
      <w:r w:rsidR="00D9790D">
        <w:rPr>
          <w:rFonts w:ascii="Times New Roman" w:hAnsi="Times New Roman" w:cs="Times New Roman"/>
          <w:sz w:val="24"/>
          <w:szCs w:val="24"/>
        </w:rPr>
        <w:instrText>ADDIN CSL_CITATION {"citationItems":[{"id":"ITEM-1","itemData":{"ISSN":"0300-9823 (Print)","PMID":"5752924","author":[{"dropping-particle":"","family":"Fijan","given":"N","non-dropping-particle":"","parse-names":false,"suffix":""}],"container-title":"Bulletin - Office international des epizooties","id":"ITEM-1","issue":"7","issued":{"date-parts":[["1968"]]},"language":"eng","page":"1167-1168","publisher-place":"France","title":"Progress report on acute mortality of channel catfish fingerlings caused by a  virus.","type":"article-journal","volume":"69"},"uris":["http://www.mendeley.com/documents/?uuid=8097e6a1-a7f9-4e89-af84-1c97403fa4ef"]},{"id":"ITEM-2","itemData":{"DOI":"10.1007/BF00755606","ISSN":"0742-2091 (Print)","PMID":"8299006","abstract":"A cell line, RTL-W1, has been developed from the normal liver of an adult rainbow  trout by proteolytic dissociation of liver fragments. RTL-W1 can be grown routinely in the basal medium, L-15, supplemented with 5% fetal bovine serum. In this medium, the cells have been passaged approximately 100 times over an 8-year period. The cells do not form colonies or grow in soft agar. The cultures are heteroploid. The cell shape was predominantly polygonal or epithelial-like, but as cultures became confluent, bipolar or fibroblast-like cells appeared. Among the prominent ultrastructural features of RTL-W1 were distended endoplasmic reticulum and desmosomes. Benzo[a]pyrene was cytotoxic to RTL-W1. Activity for the enzyme, 7-ethoxyresorufin O-deethylase (EROD), which is a measure of the cytochrome P4501A1 protein, increased dramatically in RTL-W1 upon their exposure to increasing concentrations of either beta-naphthoflavone (BNF) or 2,3,7,8-tetrachlorodibenzo-p-dioxin (TCDD). With these properties, RTL-W1 should be useful for studying the expression of the cytochrome P450 enzymes and as a tool for assessing the toxic potency of environmental contaminants.","author":[{"dropping-particle":"","family":"Lee","given":"L E","non-dropping-particle":"","parse-names":false,"suffix":""},{"dropping-particle":"","family":"Clemons","given":"J H","non-dropping-particle":"","parse-names":false,"suffix":""},{"dropping-particle":"","family":"Bechtel","given":"D G","non-dropping-particle":"","parse-names":false,"suffix":""},{"dropping-particle":"","family":"Caldwell","given":"S J","non-dropping-particle":"","parse-names":false,"suffix":""},{"dropping-particle":"","family":"Han","given":"K B","non-dropping-particle":"","parse-names":false,"suffix":""},{"dropping-particle":"","family":"Pasitschniak-Arts","given":"M","non-dropping-particle":"","parse-names":false,"suffix":""},{"dropping-particle":"","family":"Mosser","given":"D D","non-dropping-particle":"","parse-names":false,"suffix":""},{"dropping-particle":"","family":"Bols","given":"N C","non-dropping-particle":"","parse-names":false,"suffix":""}],"container-title":"Cell biology and toxicology","id":"ITEM-2","issue":"3","issued":{"date-parts":[["1993"]]},"language":"eng","page":"279-294","publisher-place":"Switzerland","title":"Development and characterization of a rainbow trout liver cell line expressing  cytochrome P450-dependent monooxygenase activity.","type":"article-journal","volume":"9"},"uris":["http://www.mendeley.com/documents/?uuid=aad4f917-70af-42db-ba2e-447391434620"]}],"mendeley":{"formattedCitation":"(Fijan, 1968; Lee et al., 1993)","plainTextFormattedCitation":"(Fijan, 1968; Lee et al., 1993)","previouslyFormattedCitation":"(Fijan, 1968; Lee et al., 1993)"},"properties":{"noteIndex":0},"schema":"https://github.com/citation-style-language/schema/raw/master/csl-citation.json"}</w:instrText>
      </w:r>
      <w:r w:rsidR="00D9790D">
        <w:rPr>
          <w:rFonts w:ascii="Times New Roman" w:hAnsi="Times New Roman" w:cs="Times New Roman"/>
          <w:sz w:val="24"/>
          <w:szCs w:val="24"/>
        </w:rPr>
        <w:fldChar w:fldCharType="separate"/>
      </w:r>
      <w:r w:rsidR="00D9790D" w:rsidRPr="00255E0D">
        <w:rPr>
          <w:rFonts w:ascii="Times New Roman" w:hAnsi="Times New Roman" w:cs="Times New Roman"/>
          <w:noProof/>
          <w:sz w:val="24"/>
          <w:szCs w:val="24"/>
        </w:rPr>
        <w:t>(Fijan, 1968; Lee et al., 1993)</w:t>
      </w:r>
      <w:r w:rsidR="00D9790D">
        <w:rPr>
          <w:rFonts w:ascii="Times New Roman" w:hAnsi="Times New Roman" w:cs="Times New Roman"/>
          <w:sz w:val="24"/>
          <w:szCs w:val="24"/>
        </w:rPr>
        <w:fldChar w:fldCharType="end"/>
      </w:r>
      <w:r w:rsidR="00D9790D" w:rsidRPr="00C23AEB">
        <w:rPr>
          <w:rFonts w:ascii="Times New Roman" w:hAnsi="Times New Roman" w:cs="Times New Roman"/>
          <w:sz w:val="24"/>
          <w:szCs w:val="24"/>
        </w:rPr>
        <w:t>.</w:t>
      </w:r>
      <w:r w:rsidR="00D9790D" w:rsidRPr="00D9790D">
        <w:rPr>
          <w:rFonts w:ascii="Times New Roman" w:hAnsi="Times New Roman" w:cs="Times New Roman"/>
          <w:sz w:val="24"/>
          <w:szCs w:val="24"/>
        </w:rPr>
        <w:t xml:space="preserve"> </w:t>
      </w:r>
      <w:r w:rsidR="00EF0D9B" w:rsidRPr="00EF0D9B">
        <w:rPr>
          <w:rFonts w:ascii="Times New Roman" w:hAnsi="Times New Roman" w:cs="Times New Roman"/>
          <w:sz w:val="24"/>
          <w:szCs w:val="24"/>
        </w:rPr>
        <w:t xml:space="preserve">Blastula stage cells extracted from zebrafish embryos demonstrated the capability to express externally introduced genes through transfection methods commonly employed in mammalian cell cultures. This in vitro experimentation highlighted the prospect of modifying the genotype and phenotype of cultured cells </w:t>
      </w:r>
      <w:r w:rsidR="00255E0D">
        <w:rPr>
          <w:rFonts w:ascii="Times New Roman" w:hAnsi="Times New Roman" w:cs="Times New Roman"/>
          <w:sz w:val="24"/>
          <w:szCs w:val="24"/>
        </w:rPr>
        <w:fldChar w:fldCharType="begin" w:fldLock="1"/>
      </w:r>
      <w:r w:rsidR="002C1448">
        <w:rPr>
          <w:rFonts w:ascii="Times New Roman" w:hAnsi="Times New Roman" w:cs="Times New Roman"/>
          <w:sz w:val="24"/>
          <w:szCs w:val="24"/>
        </w:rPr>
        <w:instrText>ADDIN CSL_CITATION {"citationItems":[{"id":"ITEM-1","itemData":{"DOI":"10.1007/BF00119294","ISSN":"0742-2091 (Print)","PMID":"1591622","abstract":"The zebrafish is a popular model for studies of vertebrate development and  toxicology. However, in vitro approaches with this organism have not been fully exploited because cell culture systems have been unavailable. We developed methods for the culture of cells from blastula-stage diploid and haploid zebrafish embryos, as well as cells from the caudal and pelvic fin, gill, liver, and viscera of adult fish. The haploid embryo-derived cells differentiated in culture to a pigmented phenotype and expressed, upon exposure to 2,3,7,8-tetrachlorodibenzo-p-dioxin, a protein that was immunologically and functionally similar to rainbow trout cytochrome P450IA1. Zebrafish cultures were grown in a complex basal nutrient medium supplemented with insulin, trout embryo extract, and low concentrations of trout and fetal bovine serum; they could not be maintained in conventional culture medium containing a high concentration of mammalian serum. Using calcium phosphate-mediated transfection, a plasmid constructed for use in mammalian cells was introduced into zebrafish embryo cell cultures and expressed in a stable manner. These results indicated that the transfection procedures utilized in mammalian systems can also be applied to zebrafish cell cultures, providing a means for in vitro alteration of the genotype and phenotype of the cells.","author":[{"dropping-particle":"","family":"Collodi","given":"P","non-dropping-particle":"","parse-names":false,"suffix":""},{"dropping-particle":"","family":"Kamei","given":"Y","non-dropping-particle":"","parse-names":false,"suffix":""},{"dropping-particle":"","family":"Ernst","given":"T","non-dropping-particle":"","parse-names":false,"suffix":""},{"dropping-particle":"","family":"Miranda","given":"C","non-dropping-particle":"","parse-names":false,"suffix":""},{"dropping-particle":"","family":"Buhler","given":"D R","non-dropping-particle":"","parse-names":false,"suffix":""},{"dropping-particle":"","family":"Barnes","given":"D W","non-dropping-particle":"","parse-names":false,"suffix":""}],"container-title":"Cell biology and toxicology","id":"ITEM-1","issue":"1","issued":{"date-parts":[["1992"]]},"language":"eng","page":"43-61","publisher-place":"Switzerland","title":"Culture of cells from zebrafish (Brachydanio rerio) embryo and adult tissues.","type":"article-journal","volume":"8"},"uris":["http://www.mendeley.com/documents/?uuid=4e288ebe-9f88-4556-9bb5-390b23eb62bf"]}],"mendeley":{"formattedCitation":"(Collodi et al., 1992)","plainTextFormattedCitation":"(Collodi et al., 1992)","previouslyFormattedCitation":"(Collodi et al., 1992)"},"properties":{"noteIndex":0},"schema":"https://github.com/citation-style-language/schema/raw/master/csl-citation.json"}</w:instrText>
      </w:r>
      <w:r w:rsidR="00255E0D">
        <w:rPr>
          <w:rFonts w:ascii="Times New Roman" w:hAnsi="Times New Roman" w:cs="Times New Roman"/>
          <w:sz w:val="24"/>
          <w:szCs w:val="24"/>
        </w:rPr>
        <w:fldChar w:fldCharType="separate"/>
      </w:r>
      <w:r w:rsidR="00255E0D" w:rsidRPr="00255E0D">
        <w:rPr>
          <w:rFonts w:ascii="Times New Roman" w:hAnsi="Times New Roman" w:cs="Times New Roman"/>
          <w:noProof/>
          <w:sz w:val="24"/>
          <w:szCs w:val="24"/>
        </w:rPr>
        <w:t>(Collodi et al., 1992)</w:t>
      </w:r>
      <w:r w:rsidR="00255E0D">
        <w:rPr>
          <w:rFonts w:ascii="Times New Roman" w:hAnsi="Times New Roman" w:cs="Times New Roman"/>
          <w:sz w:val="24"/>
          <w:szCs w:val="24"/>
        </w:rPr>
        <w:fldChar w:fldCharType="end"/>
      </w:r>
      <w:r w:rsidR="00255E0D">
        <w:rPr>
          <w:rFonts w:ascii="Times New Roman" w:hAnsi="Times New Roman" w:cs="Times New Roman"/>
          <w:sz w:val="24"/>
          <w:szCs w:val="24"/>
        </w:rPr>
        <w:t>.</w:t>
      </w:r>
      <w:r w:rsidR="00A824F8">
        <w:rPr>
          <w:rFonts w:ascii="Times New Roman" w:hAnsi="Times New Roman" w:cs="Times New Roman"/>
          <w:sz w:val="24"/>
          <w:szCs w:val="24"/>
        </w:rPr>
        <w:t xml:space="preserve"> Moreover, </w:t>
      </w:r>
      <w:r w:rsidR="00EF0D9B" w:rsidRPr="00EF0D9B">
        <w:rPr>
          <w:rFonts w:ascii="Times New Roman" w:hAnsi="Times New Roman" w:cs="Times New Roman"/>
          <w:sz w:val="24"/>
          <w:szCs w:val="24"/>
        </w:rPr>
        <w:t xml:space="preserve">Cell lines originating from embryos have been successfully established in catfish, Nile tilapia, and various marine fish species. </w:t>
      </w:r>
      <w:r w:rsidR="007F26B6">
        <w:rPr>
          <w:rFonts w:ascii="Times New Roman" w:hAnsi="Times New Roman" w:cs="Times New Roman"/>
          <w:sz w:val="24"/>
          <w:szCs w:val="24"/>
        </w:rPr>
        <w:fldChar w:fldCharType="begin" w:fldLock="1"/>
      </w:r>
      <w:r w:rsidR="002E1502">
        <w:rPr>
          <w:rFonts w:ascii="Times New Roman" w:hAnsi="Times New Roman" w:cs="Times New Roman"/>
          <w:sz w:val="24"/>
          <w:szCs w:val="24"/>
        </w:rPr>
        <w:instrText>ADDIN CSL_CITATION {"citationItems":[{"id":"ITEM-1","itemData":{"DOI":"10.1016/j.aquaculture.2006.07.034","author":[{"dropping-particle":"","family":"Parameswaran","given":"Vidhya","non-dropping-particle":"","parse-names":false,"suffix":""},{"dropping-particle":"","family":"Shukla","given":"Ravi","non-dropping-particle":"","parse-names":false,"suffix":""},{"dropping-particle":"","family":"Bhonde","given":"Ramesh","non-dropping-particle":"","parse-names":false,"suffix":""},{"dropping-particle":"","family":"Hameed","given":"A S","non-dropping-particle":"","parse-names":false,"suffix":""}],"container-title":"Aquaculture","id":"ITEM-1","issued":{"date-parts":[["2006","11","1"]]},"page":"43-53","title":"Splenic cell line from sea bass, Lates calcarifer: Establishment and characterization","type":"article-journal","volume":"261"},"uris":["http://www.mendeley.com/documents/?uuid=1d8ff73f-74ee-40b2-8961-f97518028aa1"]}],"mendeley":{"formattedCitation":"(Parameswaran et al., 2006)","manualFormatting":"(Parameswaran et al., 2006","plainTextFormattedCitation":"(Parameswaran et al., 2006)","previouslyFormattedCitation":"(Parameswaran et al., 2006)"},"properties":{"noteIndex":0},"schema":"https://github.com/citation-style-language/schema/raw/master/csl-citation.json"}</w:instrText>
      </w:r>
      <w:r w:rsidR="007F26B6">
        <w:rPr>
          <w:rFonts w:ascii="Times New Roman" w:hAnsi="Times New Roman" w:cs="Times New Roman"/>
          <w:sz w:val="24"/>
          <w:szCs w:val="24"/>
        </w:rPr>
        <w:fldChar w:fldCharType="separate"/>
      </w:r>
      <w:r w:rsidR="007F26B6" w:rsidRPr="007F26B6">
        <w:rPr>
          <w:rFonts w:ascii="Times New Roman" w:hAnsi="Times New Roman" w:cs="Times New Roman"/>
          <w:noProof/>
          <w:sz w:val="24"/>
          <w:szCs w:val="24"/>
        </w:rPr>
        <w:t xml:space="preserve">(Parameswaran </w:t>
      </w:r>
      <w:r w:rsidR="007F26B6" w:rsidRPr="007F26B6">
        <w:rPr>
          <w:rFonts w:ascii="Times New Roman" w:hAnsi="Times New Roman" w:cs="Times New Roman"/>
          <w:noProof/>
          <w:sz w:val="24"/>
          <w:szCs w:val="24"/>
        </w:rPr>
        <w:lastRenderedPageBreak/>
        <w:t>et al., 2006</w:t>
      </w:r>
      <w:r w:rsidR="007F26B6">
        <w:rPr>
          <w:rFonts w:ascii="Times New Roman" w:hAnsi="Times New Roman" w:cs="Times New Roman"/>
          <w:sz w:val="24"/>
          <w:szCs w:val="24"/>
        </w:rPr>
        <w:fldChar w:fldCharType="end"/>
      </w:r>
      <w:r w:rsidR="002E1502">
        <w:rPr>
          <w:rFonts w:ascii="Times New Roman" w:hAnsi="Times New Roman" w:cs="Times New Roman"/>
          <w:sz w:val="24"/>
          <w:szCs w:val="24"/>
        </w:rPr>
        <w:t xml:space="preserve">; </w:t>
      </w:r>
      <w:r w:rsidR="002E1502">
        <w:rPr>
          <w:rFonts w:ascii="Times New Roman" w:hAnsi="Times New Roman" w:cs="Times New Roman"/>
          <w:sz w:val="24"/>
          <w:szCs w:val="24"/>
        </w:rPr>
        <w:fldChar w:fldCharType="begin" w:fldLock="1"/>
      </w:r>
      <w:r w:rsidR="002E1502">
        <w:rPr>
          <w:rFonts w:ascii="Times New Roman" w:hAnsi="Times New Roman" w:cs="Times New Roman"/>
          <w:sz w:val="24"/>
          <w:szCs w:val="24"/>
        </w:rPr>
        <w:instrText>ADDIN CSL_CITATION {"citationItems":[{"id":"ITEM-1","itemData":{"DOI":"10.1007/s10126-006-6050-1","ISSN":"1436-2228 (Print)","PMID":"17136469","abstract":"A stable GFP-expressing (GFP(+)LJES1) cell strain was developed from the LJES1  cells obtained from sea perch (Lateolabrax japonicus,) embryos. GFP(+)LJES1 cells were induced in vitro by RA to differentiate into a variety of cell types and also had the ability to form embryoid body-like structures in suspension culture. To determine the differentiation potential of LJES1 cells in vivo, GFP(+)LJES1 cells were transplanted into sea perch and zebrafish embryos at mid-blastula stage. Twenty out of 478 transplanted sea perch embryos contained GFP-expressing LJES1 cells 24 h after microinjection. Fifteen chimera embryos developed into fry. In these chimeras, the GFP(+)LJES1 cells contributed to a variety of tissues including the head and trunk. In zebrafish, 221 embryos were microinjected with GFP(+)LJES1 cells and 22 chimera embryos and fries expressing GFP were obtained. Donor GFP(+)LJES1 cells contributed to various tissues in head and trunk of zebrafish embryos and hatched fry.","author":[{"dropping-particle":"","family":"Chen","given":"Song-Lin","non-dropping-particle":"","parse-names":false,"suffix":""},{"dropping-particle":"","family":"Sha","given":"Zhen-Xia","non-dropping-particle":"","parse-names":false,"suffix":""},{"dropping-particle":"","family":"Ye","given":"Han-Qing","non-dropping-particle":"","parse-names":false,"suffix":""},{"dropping-particle":"","family":"Liu","given":"Yang","non-dropping-particle":"","parse-names":false,"suffix":""},{"dropping-particle":"","family":"Tian","given":"Yong-Sheng","non-dropping-particle":"","parse-names":false,"suffix":""},{"dropping-particle":"","family":"Hong","given":"Yunhan","non-dropping-particle":"","parse-names":false,"suffix":""},{"dropping-particle":"","family":"Tang","given":"Qi-Sheng","non-dropping-particle":"","parse-names":false,"suffix":""}],"container-title":"Marine biotechnology (New York, N.Y.)","id":"ITEM-1","issue":"1","issued":{"date-parts":[["2007"]]},"language":"eng","page":"82-91","publisher-place":"United States","title":"Pluripotency and chimera competence of an embryonic stem cell line from the sea  perch (Lateolabrax japonicus).","type":"article-journal","volume":"9"},"uris":["http://www.mendeley.com/documents/?uuid=893cff87-77d0-459e-916e-33e1ba6781f1"]}],"mendeley":{"formattedCitation":"(S.-L. Chen et al., 2007)","manualFormatting":"Chen et al., 2007","plainTextFormattedCitation":"(S.-L. Chen et al., 2007)","previouslyFormattedCitation":"(S.-L. Chen et al., 2007)"},"properties":{"noteIndex":0},"schema":"https://github.com/citation-style-language/schema/raw/master/csl-citation.json"}</w:instrText>
      </w:r>
      <w:r w:rsidR="002E1502">
        <w:rPr>
          <w:rFonts w:ascii="Times New Roman" w:hAnsi="Times New Roman" w:cs="Times New Roman"/>
          <w:sz w:val="24"/>
          <w:szCs w:val="24"/>
        </w:rPr>
        <w:fldChar w:fldCharType="separate"/>
      </w:r>
      <w:r w:rsidR="002E1502" w:rsidRPr="002E1502">
        <w:rPr>
          <w:rFonts w:ascii="Times New Roman" w:hAnsi="Times New Roman" w:cs="Times New Roman"/>
          <w:noProof/>
          <w:sz w:val="24"/>
          <w:szCs w:val="24"/>
        </w:rPr>
        <w:t>Chen et al., 2007</w:t>
      </w:r>
      <w:r w:rsidR="002E1502">
        <w:rPr>
          <w:rFonts w:ascii="Times New Roman" w:hAnsi="Times New Roman" w:cs="Times New Roman"/>
          <w:sz w:val="24"/>
          <w:szCs w:val="24"/>
        </w:rPr>
        <w:fldChar w:fldCharType="end"/>
      </w:r>
      <w:r w:rsidR="002E1502">
        <w:rPr>
          <w:rFonts w:ascii="Times New Roman" w:hAnsi="Times New Roman" w:cs="Times New Roman"/>
          <w:sz w:val="24"/>
          <w:szCs w:val="24"/>
        </w:rPr>
        <w:t>;</w:t>
      </w:r>
      <w:r w:rsidR="007F26B6">
        <w:rPr>
          <w:rFonts w:ascii="Times New Roman" w:hAnsi="Times New Roman" w:cs="Times New Roman"/>
          <w:sz w:val="24"/>
          <w:szCs w:val="24"/>
        </w:rPr>
        <w:t xml:space="preserve"> </w:t>
      </w:r>
      <w:r w:rsidR="002E1502">
        <w:rPr>
          <w:rFonts w:ascii="Times New Roman" w:hAnsi="Times New Roman" w:cs="Times New Roman"/>
          <w:sz w:val="24"/>
          <w:szCs w:val="24"/>
        </w:rPr>
        <w:t xml:space="preserve"> </w:t>
      </w:r>
      <w:r w:rsidR="002E1502">
        <w:rPr>
          <w:rFonts w:ascii="Times New Roman" w:hAnsi="Times New Roman" w:cs="Times New Roman"/>
          <w:sz w:val="24"/>
          <w:szCs w:val="24"/>
        </w:rPr>
        <w:fldChar w:fldCharType="begin" w:fldLock="1"/>
      </w:r>
      <w:r w:rsidR="002E1502">
        <w:rPr>
          <w:rFonts w:ascii="Times New Roman" w:hAnsi="Times New Roman" w:cs="Times New Roman"/>
          <w:sz w:val="24"/>
          <w:szCs w:val="24"/>
        </w:rPr>
        <w:instrText>ADDIN CSL_CITATION {"citationItems":[{"id":"ITEM-1","itemData":{"DOI":"10.1007/s10695-010-9381-z","ISSN":"1573-5168 (Electronic)","PMID":"20130987","abstract":"The establishment of embryonic stem cell cultures and the identification of  molecular markers for undifferentiated embryonic stem cells (ESC) as well as differentiated cells types will open new opportunities in the study of developmental biology and for developing embryonic in vitro models of the ecologically and economically important fish specie Atlantic cod (Gadus morhua). We report here that cod blastula cells express a Class V POU gene known to be highly expressed in embryonic cell populations of vertebrates. The cod transcript, designated Atlantic cod-Pou2 (ac-Pou2), can be used as a genetic marker for cod blastula cells in vivo and in vitro. Using a quantitative real-time PCR approach, we found that the ac-Pou2 transcript was downregulated before the egg reached the stage of gastrulation, the starting point of extensive cell differentiation. We also demonstrate the culturing of ESC isolated from cod blastula stage eggs. The cod ESC exhibited in vitro characteristics of pluripotency described for both mammalian ESC and fish ES-like cells (medaka, zebrafish, seabream, sea perch and rainbow trout). Cod ESC in culture expressed ac-pou2, differentiated spontaneously and had the ability to form embryoid bodies following retinoic acid treatment. The ESC could also be directed to differentiate.","author":[{"dropping-particle":"","family":"Holen","given":"E","non-dropping-particle":"","parse-names":false,"suffix":""},{"dropping-particle":"","family":"Kausland","given":"A","non-dropping-particle":"","parse-names":false,"suffix":""},{"dropping-particle":"","family":"Skjærven","given":"K","non-dropping-particle":"","parse-names":false,"suffix":""}],"container-title":"Fish physiology and biochemistry","id":"ITEM-1","issue":"4","issued":{"date-parts":[["2010","12"]]},"language":"eng","page":"1029-1039","publisher-place":"Netherlands","title":"Embryonic stem cells isolated from Atlantic cod (Gadus morhua) and the  developmental expression of a stage-specific transcription factor ac-Pou2.","type":"article-journal","volume":"36"},"uris":["http://www.mendeley.com/documents/?uuid=7468e356-2b69-4809-a8ff-56dfca755e10"]}],"mendeley":{"formattedCitation":"(Holen et al., 2010)","manualFormatting":"Holen et al., 2010","plainTextFormattedCitation":"(Holen et al., 2010)","previouslyFormattedCitation":"(Holen et al., 2010)"},"properties":{"noteIndex":0},"schema":"https://github.com/citation-style-language/schema/raw/master/csl-citation.json"}</w:instrText>
      </w:r>
      <w:r w:rsidR="002E1502">
        <w:rPr>
          <w:rFonts w:ascii="Times New Roman" w:hAnsi="Times New Roman" w:cs="Times New Roman"/>
          <w:sz w:val="24"/>
          <w:szCs w:val="24"/>
        </w:rPr>
        <w:fldChar w:fldCharType="separate"/>
      </w:r>
      <w:r w:rsidR="002E1502" w:rsidRPr="002E1502">
        <w:rPr>
          <w:rFonts w:ascii="Times New Roman" w:hAnsi="Times New Roman" w:cs="Times New Roman"/>
          <w:noProof/>
          <w:sz w:val="24"/>
          <w:szCs w:val="24"/>
        </w:rPr>
        <w:t>Holen et al., 2010</w:t>
      </w:r>
      <w:r w:rsidR="002E1502">
        <w:rPr>
          <w:rFonts w:ascii="Times New Roman" w:hAnsi="Times New Roman" w:cs="Times New Roman"/>
          <w:sz w:val="24"/>
          <w:szCs w:val="24"/>
        </w:rPr>
        <w:fldChar w:fldCharType="end"/>
      </w:r>
      <w:r w:rsidR="002E1502">
        <w:rPr>
          <w:rFonts w:ascii="Times New Roman" w:hAnsi="Times New Roman" w:cs="Times New Roman"/>
          <w:sz w:val="24"/>
          <w:szCs w:val="24"/>
        </w:rPr>
        <w:t>;</w:t>
      </w:r>
      <w:r w:rsidR="004400F8" w:rsidRPr="00C23AEB">
        <w:rPr>
          <w:rFonts w:ascii="Times New Roman" w:hAnsi="Times New Roman" w:cs="Times New Roman"/>
          <w:sz w:val="24"/>
          <w:szCs w:val="24"/>
        </w:rPr>
        <w:t xml:space="preserve"> </w:t>
      </w:r>
      <w:r w:rsidR="00C03D9E" w:rsidRPr="00C03D9E">
        <w:rPr>
          <w:rFonts w:ascii="Times New Roman" w:hAnsi="Times New Roman" w:cs="Times New Roman"/>
          <w:sz w:val="24"/>
          <w:szCs w:val="24"/>
        </w:rPr>
        <w:t xml:space="preserve"> </w:t>
      </w:r>
      <w:r w:rsidR="002E1502">
        <w:rPr>
          <w:rFonts w:ascii="Times New Roman" w:hAnsi="Times New Roman" w:cs="Times New Roman"/>
          <w:sz w:val="24"/>
          <w:szCs w:val="24"/>
        </w:rPr>
        <w:fldChar w:fldCharType="begin" w:fldLock="1"/>
      </w:r>
      <w:r w:rsidR="002E1502">
        <w:rPr>
          <w:rFonts w:ascii="Times New Roman" w:hAnsi="Times New Roman" w:cs="Times New Roman"/>
          <w:sz w:val="24"/>
          <w:szCs w:val="24"/>
        </w:rPr>
        <w:instrText>ADDIN CSL_CITATION {"citationItems":[{"id":"ITEM-1","itemData":{"DOI":"10.1007/s10695-010-9411-x","author":[{"dropping-particle":"","family":"W S Lakra","given":"T RAJA","non-dropping-particle":"","parse-names":false,"suffix":""},{"dropping-particle":"","family":"Swaminathan","given":"K P JOY","non-dropping-particle":"","parse-names":false,"suffix":""}],"id":"ITEM-1","issued":{"date-parts":[["2011"]]},"page":"1-20","title":"Development , characterization , conservation and storage of fish cell lines : a review","type":"article-journal"},"uris":["http://www.mendeley.com/documents/?uuid=978185f5-08b9-48aa-a979-45906f090df5"]}],"mendeley":{"formattedCitation":"(W S Lakra &amp; Swaminathan, 2011)","manualFormatting":"Lakra &amp; Swaminathan, 2011","plainTextFormattedCitation":"(W S Lakra &amp; Swaminathan, 2011)","previouslyFormattedCitation":"(W S Lakra &amp; Swaminathan, 2011)"},"properties":{"noteIndex":0},"schema":"https://github.com/citation-style-language/schema/raw/master/csl-citation.json"}</w:instrText>
      </w:r>
      <w:r w:rsidR="002E1502">
        <w:rPr>
          <w:rFonts w:ascii="Times New Roman" w:hAnsi="Times New Roman" w:cs="Times New Roman"/>
          <w:sz w:val="24"/>
          <w:szCs w:val="24"/>
        </w:rPr>
        <w:fldChar w:fldCharType="separate"/>
      </w:r>
      <w:r w:rsidR="002E1502" w:rsidRPr="002E1502">
        <w:rPr>
          <w:rFonts w:ascii="Times New Roman" w:hAnsi="Times New Roman" w:cs="Times New Roman"/>
          <w:noProof/>
          <w:sz w:val="24"/>
          <w:szCs w:val="24"/>
        </w:rPr>
        <w:t>Lakra &amp; Swaminathan, 2011</w:t>
      </w:r>
      <w:r w:rsidR="002E1502">
        <w:rPr>
          <w:rFonts w:ascii="Times New Roman" w:hAnsi="Times New Roman" w:cs="Times New Roman"/>
          <w:sz w:val="24"/>
          <w:szCs w:val="24"/>
        </w:rPr>
        <w:fldChar w:fldCharType="end"/>
      </w:r>
      <w:r w:rsidR="002E1502">
        <w:rPr>
          <w:rFonts w:ascii="Times New Roman" w:hAnsi="Times New Roman" w:cs="Times New Roman"/>
          <w:sz w:val="24"/>
          <w:szCs w:val="24"/>
        </w:rPr>
        <w:t>;</w:t>
      </w:r>
      <w:r w:rsidR="004400F8" w:rsidRPr="00C03D9E">
        <w:rPr>
          <w:rFonts w:ascii="Times New Roman" w:hAnsi="Times New Roman" w:cs="Times New Roman"/>
          <w:sz w:val="24"/>
          <w:szCs w:val="24"/>
        </w:rPr>
        <w:t xml:space="preserve"> </w:t>
      </w:r>
      <w:r w:rsidR="002E1502">
        <w:rPr>
          <w:rFonts w:ascii="Times New Roman" w:hAnsi="Times New Roman" w:cs="Times New Roman"/>
          <w:sz w:val="24"/>
          <w:szCs w:val="24"/>
        </w:rPr>
        <w:t xml:space="preserve"> </w:t>
      </w:r>
      <w:r w:rsidR="002E1502">
        <w:rPr>
          <w:rFonts w:ascii="Times New Roman" w:hAnsi="Times New Roman" w:cs="Times New Roman"/>
          <w:sz w:val="24"/>
          <w:szCs w:val="24"/>
        </w:rPr>
        <w:fldChar w:fldCharType="begin" w:fldLock="1"/>
      </w:r>
      <w:r w:rsidR="002E1502">
        <w:rPr>
          <w:rFonts w:ascii="Times New Roman" w:hAnsi="Times New Roman" w:cs="Times New Roman"/>
          <w:sz w:val="24"/>
          <w:szCs w:val="24"/>
        </w:rPr>
        <w:instrText>ADDIN CSL_CITATION {"citationItems":[{"id":"ITEM-1","itemData":{"DOI":"10.1111/dgd.12341","ISSN":"1440-169X (Electronic)","PMID":"28230233","abstract":"Embryonic stem (ES) cells provide an invaluable tool for molecular analysis of  vertebrate development and a bridge linking genomic manipulations in vitro and functional analysis of target genes in vivo. Work towards fish ES cells so far has focused on zebrafish (Danio renio) and medaka (Oryzias latipes). Here we describe the derivation, pluripotency, differentiation and growth responses of ES cell lines from Nile tilapia (Oreochromis niloticus), a world-wide commercial farmed fish. These cell lines, designated as TES1-3, were initiated from blastomeres of Nile tilapia middle blastula embryos (MBE). One representative line, TES1, showed stable growth and phenotypic characteristics of ES cells over 200 days of culture with more than 59 passages under feeder-free conditions. They exhibited high alkaline phosphatase activity and expression of pluripotency genes including pou5f3 (the pou5f1/oct4 homologue), sox2, myc and klf4. In suspension culture together with retinoic acid treatment, TES1 cells formed embryoid bodies, which exhibited expression profile of differentiation genes characteristics of all three germ cell layers. Notably, PKH26-labeled TES1 cells introduced into Nile tilapia MBE could contribute to body compartment development and led to hatched chimera formation with an efficacy of 13%. These results suggest that TES1 cells have pluripotency and differentiation potential in vitro and in vivo. In the conditioned DMEM, all of the supplements including the fetal bovine serum, fish embryonic extract, fish serum, basic fibroblast growth factor and non-protein supplement combination 5N were mitogenic for TES1 cell growth. This study will promote ES-based biotechnology in commercial fish.","author":[{"dropping-particle":"","family":"Fan","given":"Zhenhua","non-dropping-particle":"","parse-names":false,"suffix":""},{"dropping-particle":"","family":"Liu","given":"Linyan","non-dropping-particle":"","parse-names":false,"suffix":""},{"dropping-particle":"","family":"Huang","given":"Xiaohuan","non-dropping-particle":"","parse-names":false,"suffix":""},{"dropping-particle":"","family":"Zhao","given":"Yang","non-dropping-particle":"","parse-names":false,"suffix":""},{"dropping-particle":"","family":"Zhou","given":"Linyan","non-dropping-particle":"","parse-names":false,"suffix":""},{"dropping-particle":"","family":"Wang","given":"Deshou","non-dropping-particle":"","parse-names":false,"suffix":""},{"dropping-particle":"","family":"Wei","given":"Jing","non-dropping-particle":"","parse-names":false,"suffix":""}],"container-title":"Development, growth &amp; differentiation","id":"ITEM-1","issue":"2","issued":{"date-parts":[["2017","2"]]},"language":"eng","page":"83-93","publisher-place":"Japan","title":"Establishment and growth responses of Nile tilapia embryonic stem-like cell lines  under feeder-free condition.","type":"article-journal","volume":"59"},"uris":["http://www.mendeley.com/documents/?uuid=c7365f5e-faf0-48fa-926d-26ca6ea5a95a"]}],"mendeley":{"formattedCitation":"(Fan et al., 2017)","manualFormatting":"Fan et al., 2017","plainTextFormattedCitation":"(Fan et al., 2017)","previouslyFormattedCitation":"(Fan et al., 2017)"},"properties":{"noteIndex":0},"schema":"https://github.com/citation-style-language/schema/raw/master/csl-citation.json"}</w:instrText>
      </w:r>
      <w:r w:rsidR="002E1502">
        <w:rPr>
          <w:rFonts w:ascii="Times New Roman" w:hAnsi="Times New Roman" w:cs="Times New Roman"/>
          <w:sz w:val="24"/>
          <w:szCs w:val="24"/>
        </w:rPr>
        <w:fldChar w:fldCharType="separate"/>
      </w:r>
      <w:r w:rsidR="002E1502" w:rsidRPr="002E1502">
        <w:rPr>
          <w:rFonts w:ascii="Times New Roman" w:hAnsi="Times New Roman" w:cs="Times New Roman"/>
          <w:noProof/>
          <w:sz w:val="24"/>
          <w:szCs w:val="24"/>
        </w:rPr>
        <w:t>Fan et al., 2017</w:t>
      </w:r>
      <w:r w:rsidR="002E1502">
        <w:rPr>
          <w:rFonts w:ascii="Times New Roman" w:hAnsi="Times New Roman" w:cs="Times New Roman"/>
          <w:sz w:val="24"/>
          <w:szCs w:val="24"/>
        </w:rPr>
        <w:fldChar w:fldCharType="end"/>
      </w:r>
      <w:r w:rsidR="002E1502">
        <w:rPr>
          <w:rFonts w:ascii="Times New Roman" w:hAnsi="Times New Roman" w:cs="Times New Roman"/>
          <w:sz w:val="24"/>
          <w:szCs w:val="24"/>
        </w:rPr>
        <w:t xml:space="preserve">; </w:t>
      </w:r>
      <w:r w:rsidR="002E1502">
        <w:rPr>
          <w:rFonts w:ascii="Times New Roman" w:hAnsi="Times New Roman" w:cs="Times New Roman"/>
          <w:sz w:val="24"/>
          <w:szCs w:val="24"/>
        </w:rPr>
        <w:fldChar w:fldCharType="begin" w:fldLock="1"/>
      </w:r>
      <w:r w:rsidR="002E1502">
        <w:rPr>
          <w:rFonts w:ascii="Times New Roman" w:hAnsi="Times New Roman" w:cs="Times New Roman"/>
          <w:sz w:val="24"/>
          <w:szCs w:val="24"/>
        </w:rPr>
        <w:instrText>ADDIN CSL_CITATION {"citationItems":[{"id":"ITEM-1","itemData":{"DOI":"10.1016/j.cbpb.2021.110626","ISSN":"1879-1107 (Electronic)","PMID":"34044158","abstract":"An important bottleneck in fish aquaculture research is the supply and  maintenance of embryos, larvae, juvenile and adult specimens. In this context, cell lines represent alternative experimental models for in vitro studies that complement in vivo assays. This allows us to perform easier experimental design and sampling and avoid the sacrifice of animals. Embryonic stem (ES) cell lines have attracted increasing attention because they have the capability to proliferate indefinitely and could be differentiated into any cell type of the organism. To minimise cell heterogeneity and increase uniformity of in vitro studies results, in this manuscript we report the development and characterisation of two single cell-derived ES cell lines (monoclonal) from the morula stage embryos of the gilthead seabream, Sparus aurata, named as SAEC-A3 and SAEC-H7. Both cell lines have been passaged for over 100 times, indicating the establishment of long-term, immortalised ES cell cultures. Sequence analyses confirmed the seabream origin of the cell lines, and growth analyses evidenced their high viability and proliferating activity, particularly in culture medium supplemented with 10-15% fetal bovine serum and 22 °C. Both cell lines showed the ability to generate embryoid bodies and show different sensitivity and response to all-trans retinoic acid. The analysis of epithelial (col1α1) and neuronal (sox3) markers in differentiated cultures revealed that SAEC-A3 tended to differentiate towards epithelial-like cells whereas SAEC-H7 tended to differentiate towards neuronal-like cells. Both cell lines were efficiently transfected with pDsRed2-ER and/or pEGFP-N1 plasmids, indicating that they could represent useful biotechnological tools. Daily expression of pcna showed significant expression rhythms, with maximum levels of cell proliferation during the day-night transition. Currently, these cell lines are being successfully used as experimental models for the study of cellular metabolism, physiology and rhythms as well as for toxicological, pharmacological and gene expression analyses.","author":[{"dropping-particle":"","family":"Vergès-Castillo","given":"A","non-dropping-particle":"","parse-names":false,"suffix":""},{"dropping-particle":"","family":"González-Vargas","given":"I A","non-dropping-particle":"","parse-names":false,"suffix":""},{"dropping-particle":"","family":"Muñoz-Cueto","given":"J A","non-dropping-particle":"","parse-names":false,"suffix":""},{"dropping-particle":"","family":"Martín-Robles","given":"Á J","non-dropping-particle":"","parse-names":false,"suffix":""},{"dropping-particle":"","family":"Pendon","given":"C","non-dropping-particle":"","parse-names":false,"suffix":""}],"container-title":"Comparative biochemistry and physiology. Part B, Biochemistry &amp; molecular biology","id":"ITEM-1","issued":{"date-parts":[["2021"]]},"language":"eng","page":"110626","publisher-place":"England","title":"Establishment and characterisation of single cell-derived embryonic stem cell  lines from the gilthead seabream, Sparus aurata.","type":"article-journal","volume":"256"},"uris":["http://www.mendeley.com/documents/?uuid=22667ef8-7b22-4fe8-b338-b22cfe826fb4"]}],"mendeley":{"formattedCitation":"(Vergès-Castillo et al., 2021)","manualFormatting":"Vergès-Castillo et al., 2021)","plainTextFormattedCitation":"(Vergès-Castillo et al., 2021)","previouslyFormattedCitation":"(Vergès-Castillo et al., 2021)"},"properties":{"noteIndex":0},"schema":"https://github.com/citation-style-language/schema/raw/master/csl-citation.json"}</w:instrText>
      </w:r>
      <w:r w:rsidR="002E1502">
        <w:rPr>
          <w:rFonts w:ascii="Times New Roman" w:hAnsi="Times New Roman" w:cs="Times New Roman"/>
          <w:sz w:val="24"/>
          <w:szCs w:val="24"/>
        </w:rPr>
        <w:fldChar w:fldCharType="separate"/>
      </w:r>
      <w:r w:rsidR="002E1502" w:rsidRPr="002E1502">
        <w:rPr>
          <w:rFonts w:ascii="Times New Roman" w:hAnsi="Times New Roman" w:cs="Times New Roman"/>
          <w:noProof/>
          <w:sz w:val="24"/>
          <w:szCs w:val="24"/>
        </w:rPr>
        <w:t>Vergès-Castillo et al., 2021)</w:t>
      </w:r>
      <w:r w:rsidR="002E1502">
        <w:rPr>
          <w:rFonts w:ascii="Times New Roman" w:hAnsi="Times New Roman" w:cs="Times New Roman"/>
          <w:sz w:val="24"/>
          <w:szCs w:val="24"/>
        </w:rPr>
        <w:fldChar w:fldCharType="end"/>
      </w:r>
      <w:r w:rsidR="002E1502">
        <w:rPr>
          <w:rFonts w:ascii="Times New Roman" w:hAnsi="Times New Roman" w:cs="Times New Roman"/>
          <w:sz w:val="24"/>
          <w:szCs w:val="24"/>
        </w:rPr>
        <w:t>.</w:t>
      </w:r>
    </w:p>
    <w:p w:rsidR="00C03D9E" w:rsidRDefault="00C03D9E" w:rsidP="00D23B4B">
      <w:pPr>
        <w:autoSpaceDE w:val="0"/>
        <w:autoSpaceDN w:val="0"/>
        <w:adjustRightInd w:val="0"/>
        <w:spacing w:after="0" w:line="360" w:lineRule="auto"/>
        <w:jc w:val="both"/>
        <w:rPr>
          <w:rFonts w:ascii="Times New Roman" w:hAnsi="Times New Roman" w:cs="Times New Roman"/>
          <w:b/>
          <w:sz w:val="24"/>
          <w:szCs w:val="24"/>
        </w:rPr>
      </w:pPr>
    </w:p>
    <w:p w:rsidR="00507B89" w:rsidRPr="00C23AEB" w:rsidRDefault="00507B89" w:rsidP="00D23B4B">
      <w:pPr>
        <w:autoSpaceDE w:val="0"/>
        <w:autoSpaceDN w:val="0"/>
        <w:adjustRightInd w:val="0"/>
        <w:spacing w:after="0" w:line="360" w:lineRule="auto"/>
        <w:jc w:val="both"/>
        <w:rPr>
          <w:rFonts w:ascii="Times New Roman" w:hAnsi="Times New Roman" w:cs="Times New Roman"/>
          <w:b/>
          <w:sz w:val="24"/>
          <w:szCs w:val="24"/>
        </w:rPr>
      </w:pPr>
      <w:r w:rsidRPr="00C23AEB">
        <w:rPr>
          <w:rFonts w:ascii="Times New Roman" w:hAnsi="Times New Roman" w:cs="Times New Roman"/>
          <w:b/>
          <w:sz w:val="24"/>
          <w:szCs w:val="24"/>
        </w:rPr>
        <w:t>Toxicology</w:t>
      </w:r>
      <w:r w:rsidR="009277B7" w:rsidRPr="00C23AEB">
        <w:rPr>
          <w:rFonts w:ascii="Times New Roman" w:hAnsi="Times New Roman" w:cs="Times New Roman"/>
          <w:b/>
          <w:sz w:val="24"/>
          <w:szCs w:val="24"/>
        </w:rPr>
        <w:t xml:space="preserve"> and environmental studies-</w:t>
      </w:r>
    </w:p>
    <w:p w:rsidR="001732E7" w:rsidRDefault="00D410A8" w:rsidP="00D23B4B">
      <w:pPr>
        <w:autoSpaceDE w:val="0"/>
        <w:autoSpaceDN w:val="0"/>
        <w:adjustRightInd w:val="0"/>
        <w:spacing w:after="0" w:line="360" w:lineRule="auto"/>
        <w:jc w:val="both"/>
        <w:rPr>
          <w:rFonts w:ascii="Times New Roman" w:hAnsi="Times New Roman" w:cs="Times New Roman"/>
          <w:sz w:val="24"/>
          <w:szCs w:val="24"/>
        </w:rPr>
      </w:pPr>
      <w:r w:rsidRPr="00D410A8">
        <w:rPr>
          <w:rFonts w:ascii="Times New Roman" w:hAnsi="Times New Roman" w:cs="Times New Roman"/>
          <w:sz w:val="24"/>
          <w:szCs w:val="24"/>
        </w:rPr>
        <w:t xml:space="preserve">Fish cell cultures serve as a suitable substitute for animals and are frequently employed as in vitro models for environmental toxicology investigations, particularly cytotoxicity analyses. </w:t>
      </w:r>
      <w:r w:rsidR="002E1502">
        <w:rPr>
          <w:rFonts w:ascii="Times New Roman" w:hAnsi="Times New Roman" w:cs="Times New Roman"/>
          <w:sz w:val="24"/>
          <w:szCs w:val="24"/>
        </w:rPr>
        <w:fldChar w:fldCharType="begin" w:fldLock="1"/>
      </w:r>
      <w:r w:rsidR="00945974">
        <w:rPr>
          <w:rFonts w:ascii="Times New Roman" w:hAnsi="Times New Roman" w:cs="Times New Roman"/>
          <w:sz w:val="24"/>
          <w:szCs w:val="24"/>
        </w:rPr>
        <w:instrText>ADDIN CSL_CITATION {"citationItems":[{"id":"ITEM-1","itemData":{"DOI":"https://doi.org/10.1016/0043-1354(68)90060-2","ISSN":"0043-1354","abstract":"A procedure for using fish cells in culture as an additional parameter in the study of aquatic toxicants is described, and a comparison is made between the dose response of the fathead minnow and fathead minnow cells in culture, to zinc intoxication. The cells were found to be more sensitive than were the whole animals. The calculated safe concentration, based on the whole animal studies, was found to reduce the mitotic index of the cell cultures by approxately 50 per cent. A concentration of zinc representing one-tenth of the 96 hr TLm of the fathead minnows was found to have no effect on the cell cultures. Using these tissue culture criteria it is concluded that one-tenth of the 96 hr TLm is a demonstrably safer concentration for determining maximum permissible concentrations than is the calculated biologically safe concentration.","author":[{"dropping-particle":"","family":"Rachlin","given":"Joseph Wolfe","non-dropping-particle":"","parse-names":false,"suffix":""},{"dropping-particle":"","family":"Perlmutter","given":"Alfred","non-dropping-particle":"","parse-names":false,"suffix":""}],"container-title":"Water Research","id":"ITEM-1","issue":"6","issued":{"date-parts":[["1968"]]},"page":"409-414","title":"Fish cells in culture for study of aquatic toxicants","type":"article-journal","volume":"2"},"uris":["http://www.mendeley.com/documents/?uuid=4a41f4b9-ab2c-4610-b22d-1daac3ffa482"]},{"id":"ITEM-2","itemData":{"DOI":"https://doi.org/10.1016/0045-6535(96)00126-9","ISSN":"0045-6535","abstract":"This paper presents data on the validation of the RTG-2 in vitro cytotoxicity test. Correlations between in vivo 96h LC50s on rainbow trout and in vitro EC50s obtained with this test, were established. The acute cytotoxicity of 16 common aquatic pollutants were determined in vitro on RTG-2 cells, an established fibroblastic-like cell line derived from rainbow trout, using three quantitative analyses, as toxicological endpoints, on the same cell microplate: intracellular ATP content; cellular viability using neutral red assay (NR), and detachment of the grown surface substratum using FRAME KB protein assay (KBP). The three values obtained, were also transformed by a cytotoxicity index (CI), in a singular value of cytotoxicity. Dose-response curves were obtained. Good correlations between in vivo LC50s and in vitro EC50s for each endpoint and for the cytotoxicity index (CI) were found. Correlation coefficients were 0.965, 0.968, 0.977 and 0.970 for ATP, NR, KBP and CI50 respectively. Results indicate the applicability of the RTG-2 test as alternative protocol to estimate the acute toxicity of chemicals on fish without using live animals. The inclusion of this test instead of standard toxicity tests on fish would provide a fully alternative system, without testing on vertebrate animals, for the classification and preliminary risk assessment of the environmental hazard of substances.","author":[{"dropping-particle":"","family":"Castaño","given":"A","non-dropping-particle":"","parse-names":false,"suffix":""},{"dropping-particle":"","family":"Cantarino","given":"M J","non-dropping-particle":"","parse-names":false,"suffix":""},{"dropping-particle":"","family":"Castillo","given":"P","non-dropping-particle":"","parse-names":false,"suffix":""},{"dropping-particle":"V","family":"Tarazona","given":"J","non-dropping-particle":"","parse-names":false,"suffix":""}],"container-title":"Chemosphere","id":"ITEM-2","issue":"11","issued":{"date-parts":[["1996"]]},"page":"2141-2157","title":"Correlations between the RTG-2 cytotoxicity test EC50 and in vivo LC50 rainbow trout bioassay","type":"article-journal","volume":"32"},"uris":["http://www.mendeley.com/documents/?uuid=518577b0-b446-4db3-a2f2-fd1c3720dc15"]},{"id":"ITEM-3","itemData":{"DOI":"10.1007/978-3-0348-8853-0_1","ISSN":"1023-294X (Print)","PMID":"9949875","abstract":"In aquatic toxicology, cytotoxicity tests using continuous fish cell lines have  been suggested as a tool for (1) screening or toxicity ranking of anthropogenic chemicals, compound mixtures and environmental samples, (2) establishment of structure-activity relationships, and (3) replacement or supplementation of in vivo animal tests. Due to the small sample volumes necessary for cytotoxicity tests, they appear to be particularly suited for use in chemical fractionation studies. The present contribution reviews the existing literature on cytotoxicity studies with fish cells and considers the influence of cell line and cytotoxicity endpoint selection on the test results. Furthermore, in vitro/in vivo correlations between fish cell lines and intact fish are discussed. During recent years, fish cell lines have been increasingly used for purposes beyond their meanwhile established role for cytotoxicity measurements. They have been successfully introduced for detection of genotoxic effects, and cell lines are now applied for investigations on toxic mechanisms and on biomarkers such as cytochrome P4501A. The development of recombinant fish cell lines may further support their role as a bioanalytical tool in environmental diagnostics.","author":[{"dropping-particle":"","family":"Segner","given":"H","non-dropping-particle":"","parse-names":false,"suffix":""}],"container-title":"EXS","id":"ITEM-3","issued":{"date-parts":[["1998"]]},"language":"eng","page":"1-38","publisher-place":"Switzerland","title":"Fish cell lines as a tool in aquatic toxicology.","type":"article-journal","volume":"86"},"uris":["http://www.mendeley.com/documents/?uuid=1f1ad2c9-5470-43ee-89d6-1b252ff18faa"]},{"id":"ITEM-4","itemData":{"DOI":"10.1016/s0887-2333(01)00053-4","ISSN":"0887-2333 (Print)","PMID":"11566581","abstract":"In vitro systems such as primary cells and cell lines are of growing importance  in ecotoxicology. Cells from different tissues and species of fish are used for the assessment of toxic action of chemicals and evaluation of environmental samples. For organotins and substituted phenols, we have found that the in vitro cytotoxicity is positively correlated with the acute toxicity in vivo, and therefore cytotoxicity assays may serve as an alternative for acute fish toxicity testing. We have been using the hepatocellular carcinoma (PLHC-1) cell line for the assessment of the cytochrome P4501A (CYP1A) induction potential of polyaromatic hydrocarbons (PAHs), nitro-PAHs and azaarenes. For these compounds, the CYP1A induction potential is found to be related to the molecular structure and lipophilicity. In mixtures, CYP1A induction of individual compounds is additive. Based on the comparative investigation of the induction potential we derived an induction equivalency (IEQ) concept that can be applied for the evaluation of environmental samples such as landfill leachates, sediments and motorway runoffs. Fish cell lines are also valuable, rapid and cost-effective tools for the assessment of estrogenic activity of chemicals and environmental samples. We have developed an estrogen-responsive reporter gene system using the rainbow trout gonad cell line RTG-2, in which an estrogen receptor beta form is expressed at very low levels, but is not inducible. As the estrogenic activity is dependent on the cellular level of estrogen receptor (ER), ER has to be co-transfected in transient transfections in addition to an estrogen-responsive reporter gene. Using a dual luciferase system, the estrogenic activity of 12 compounds including alkylphenols, DDT-isomers and its metabolites have been assessed. Our system shows a high sensitivity with a detection limit of 0.05 nM estradiol and is therefore more sensitive than many other mammalian or yeast systems. The relative estrogenic activity (e.g. o,p'-DDT) and other toxicological effects may differ from those in mammalian systems, indicating that a risk evaluation for fish could only be meaningfully assessed in fish-specific systems. This paper illustrates the versatility and high potential of fish cell lines in ecotoxicology.","author":[{"dropping-particle":"","family":"Fent","given":"K","non-dropping-particle":"","parse-names":false,"suffix":""}],"container-title":"Toxicology in vitro : an international journal published in association with  BIBRA","id":"ITEM-4","issue":"4-5","issued":{"date-parts":[["2001"]]},"language":"eng","page":"477-488","publisher-place":"England","title":"Fish cell lines as versatile tools in ecotoxicology: assessment of cytotoxicity,  cytochrome P4501A induction potential and estrogenic activity of chemicals and environmental samples.","type":"article-journal","volume":"15"},"uris":["http://www.mendeley.com/documents/?uuid=853027ca-7c20-427d-99c7-cd3d1c94280e"]}],"mendeley":{"formattedCitation":"(Castaño et al., 1996; Fent, 2001; Rachlin &amp; Perlmutter, 1968; Segner, 1998)","plainTextFormattedCitation":"(Castaño et al., 1996; Fent, 2001; Rachlin &amp; Perlmutter, 1968; Segner, 1998)","previouslyFormattedCitation":"(Castaño et al., 1996; Fent, 2001; Rachlin &amp; Perlmutter, 1968; Segner, 1998)"},"properties":{"noteIndex":0},"schema":"https://github.com/citation-style-language/schema/raw/master/csl-citation.json"}</w:instrText>
      </w:r>
      <w:r w:rsidR="002E1502">
        <w:rPr>
          <w:rFonts w:ascii="Times New Roman" w:hAnsi="Times New Roman" w:cs="Times New Roman"/>
          <w:sz w:val="24"/>
          <w:szCs w:val="24"/>
        </w:rPr>
        <w:fldChar w:fldCharType="separate"/>
      </w:r>
      <w:r w:rsidR="002E1502" w:rsidRPr="002E1502">
        <w:rPr>
          <w:rFonts w:ascii="Times New Roman" w:hAnsi="Times New Roman" w:cs="Times New Roman"/>
          <w:noProof/>
          <w:sz w:val="24"/>
          <w:szCs w:val="24"/>
        </w:rPr>
        <w:t>(Castaño et al., 1996; Fent, 2001; Rachlin &amp; Perlmutter, 1968; Segner, 1998)</w:t>
      </w:r>
      <w:r w:rsidR="002E1502">
        <w:rPr>
          <w:rFonts w:ascii="Times New Roman" w:hAnsi="Times New Roman" w:cs="Times New Roman"/>
          <w:sz w:val="24"/>
          <w:szCs w:val="24"/>
        </w:rPr>
        <w:fldChar w:fldCharType="end"/>
      </w:r>
      <w:r w:rsidR="002E1502">
        <w:rPr>
          <w:rFonts w:ascii="Times New Roman" w:hAnsi="Times New Roman" w:cs="Times New Roman"/>
          <w:sz w:val="24"/>
          <w:szCs w:val="24"/>
        </w:rPr>
        <w:t xml:space="preserve">. </w:t>
      </w:r>
      <w:r w:rsidRPr="00D410A8">
        <w:rPr>
          <w:rFonts w:ascii="Times New Roman" w:hAnsi="Times New Roman" w:cs="Times New Roman"/>
          <w:sz w:val="24"/>
          <w:szCs w:val="24"/>
        </w:rPr>
        <w:t xml:space="preserve">The genotoxicity of drugs, metabolism, DNA binding, and method of action may all be assessed without incurring significant expenses </w:t>
      </w:r>
      <w:r>
        <w:rPr>
          <w:rFonts w:ascii="Times New Roman" w:hAnsi="Times New Roman" w:cs="Times New Roman"/>
          <w:sz w:val="24"/>
          <w:szCs w:val="24"/>
        </w:rPr>
        <w:t>or having variable results</w:t>
      </w:r>
      <w:r w:rsidRPr="00D410A8">
        <w:rPr>
          <w:rFonts w:ascii="Times New Roman" w:hAnsi="Times New Roman" w:cs="Times New Roman"/>
          <w:sz w:val="24"/>
          <w:szCs w:val="24"/>
        </w:rPr>
        <w:t xml:space="preserve"> </w:t>
      </w:r>
      <w:r w:rsidR="00945974">
        <w:rPr>
          <w:rFonts w:ascii="Times New Roman" w:hAnsi="Times New Roman" w:cs="Times New Roman"/>
          <w:sz w:val="24"/>
          <w:szCs w:val="24"/>
        </w:rPr>
        <w:fldChar w:fldCharType="begin" w:fldLock="1"/>
      </w:r>
      <w:r w:rsidR="00945974">
        <w:rPr>
          <w:rFonts w:ascii="Times New Roman" w:hAnsi="Times New Roman" w:cs="Times New Roman"/>
          <w:sz w:val="24"/>
          <w:szCs w:val="24"/>
        </w:rPr>
        <w:instrText>ADDIN CSL_CITATION {"citationItems":[{"id":"ITEM-1","itemData":{"ISSN":"0730-7268 (Print)","PMID":"11349866","abstract":"In order to investigate cell-specific differences in the response of in vitro models  to environmental toxicants, we compared the capacity of nine polycyclic aromatic hydrocarbons (PAHs) to induce cytochrome P4501A (CYPIA) in primary rainbow trout (Oncorhynchus mykiss) hepatocytes and a rainbow trout liver cell line, RTL-W1. Induction of CYPIA was estimated from the catalytic activity of 7-ethoxyresorufin-O-deethylase (EROD) and compared by median effective concentration (EC50) values, induction spans, and benzo[a]pyrene induction equivalency factors for inducing PAHs. The influence of culture conditions was investigated with respect to the presence or absence of serum and varying exposure times. Both in vitro systems lead to an identical classification of the PAHs in noninducing (anthracene, fluoranthene, phenanthrene, and pyrene) and inducing compounds with a similar ranking of inducing PAHs. Mean EC50 values in RTL-W1 cells were, respectively, 343 and 266 nM for benzo[a]anthracene, 57 and 92 nM for BaP, 134 and 283 nM for benzo[b]fluoranthene, 455 and 270 nM for chrysene, and 98 and 116 nM for 3-methylcholanthrene. Compared to primary hepatocytes, the RTL-W1 cell line was more sensitive in its EROD response to the presence or absence of serum and to the increase in exposure time, which led to higher EC50 values.","author":[{"dropping-particle":"","family":"Behrens","given":"A","non-dropping-particle":"","parse-names":false,"suffix":""},{"dropping-particle":"","family":"Schirmer","given":"K","non-dropping-particle":"","parse-names":false,"suffix":""},{"dropping-particle":"","family":"Bols","given":"N C","non-dropping-particle":"","parse-names":false,"suffix":""},{"dropping-particle":"","family":"Segner","given":"H","non-dropping-particle":"","parse-names":false,"suffix":""}],"container-title":"Environmental toxicology and chemistry","id":"ITEM-1","issue":"3","issued":{"date-parts":[["2001","3"]]},"language":"eng","page":"632-643","publisher-place":"United States","title":"Polycyclic aromatic hydrocarbons as inducers of cytochrome P4501A enzyme activity in  the rainbow trout liver cell line, RTL-W1, and in primary cultures of rainbow trout hepatocytes.","type":"article-journal","volume":"20"},"uris":["http://www.mendeley.com/documents/?uuid=83e50baf-f058-4b9e-8155-c117e372beae"]},{"id":"ITEM-2","itemData":{"DOI":"10.1186/s12302-018-0151-3","ISSN":"2190-4715","author":[{"dropping-particle":"","family":"Rehberger","given":"Kristina","non-dropping-particle":"","parse-names":false,"suffix":""},{"dropping-particle":"","family":"Kropf","given":"Christian","non-dropping-particle":"","parse-names":false,"suffix":""},{"dropping-particle":"","family":"Segner","given":"Helmut","non-dropping-particle":"","parse-names":false,"suffix":""}],"container-title":"Environmental Sciences Europe","id":"ITEM-2","issued":{"date-parts":[["2018"]]},"publisher":"Springer Berlin Heidelberg","title":"In vitro or not in vitro : a short journey through a long history","type":"article-journal"},"uris":["http://www.mendeley.com/documents/?uuid=4b549bac-b464-46cd-821a-726179af500f"]},{"id":"ITEM-3","itemData":{"DOI":"10.1016/j.chemosphere.2018.10.118","ISSN":"1879-1298 (Electronic)","PMID":"30347365","abstract":"Genotoxic effects of nanomaterials (NMs) have been controversially reported in  literature, and the mode of action (MoA) via DNA oxidation is cited as the main damage caused by them. Evidence of nano-silver as a crosslinker has been previously reported by the present research team in an in vivo fish genotoxicity study. Thus, aiming to confirm the evidence about NMs as crosslinker agent, the present investigation elucidated the genotoxic potential of NMs and their genotoxic MoA through in vitro assay with RTG-2 cells line (rainbow trout gonadal) by exposure to nano-silver (PVP-coated) and nano-titanium. The types and levels of DNA damage were assessed by the Comet assay (standard alkaline, hOGG1-modified alkaline, and two crosslink-modified alkaline versions). It was demonstrated that the use of the standard alkaline Comet assay alone may inaccurately predict the genotoxicity of NMs since oxidative and crosslink DNA damages were also verified in RTG-2 cells when assessed by the modified versions of the alkaline protocol. More importantly, it was confirmed that both nano-silver and nano-titanium acted as DNA-protein crosslinkers through the Comet assay version with proteinase K. As both nano-silver and nano-titanium present a great risk to aquatic life, these findings reinforce the need of genotoxicity testing strategies that encompass the assessment of different types of DNA damage, in order to ensure an accurate prediction of the genotoxic potential of NMs.","author":[{"dropping-particle":"","family":"Klingelfus","given":"T","non-dropping-particle":"","parse-names":false,"suffix":""},{"dropping-particle":"","family":"Disner","given":"G R","non-dropping-particle":"","parse-names":false,"suffix":""},{"dropping-particle":"","family":"Voigt","given":"C L","non-dropping-particle":"","parse-names":false,"suffix":""},{"dropping-particle":"","family":"Alle","given":"L F","non-dropping-particle":"","parse-names":false,"suffix":""},{"dropping-particle":"","family":"Cestari","given":"M M","non-dropping-particle":"","parse-names":false,"suffix":""},{"dropping-particle":"","family":"Leme","given":"D M","non-dropping-particle":"","parse-names":false,"suffix":""}],"container-title":"Chemosphere","id":"ITEM-3","issued":{"date-parts":[["2019","1"]]},"language":"eng","page":"703-709","publisher-place":"England","title":"Nanomaterials induce DNA-protein crosslink and DNA oxidation: A mechanistic study  with RTG-2 fish cell line and Comet assay modifications.","type":"article-journal","volume":"215"},"uris":["http://www.mendeley.com/documents/?uuid=85e37efa-4abf-4051-bfb6-461aed605e63"]}],"mendeley":{"formattedCitation":"(Behrens et al., 2001; Klingelfus et al., 2019; Rehberger et al., 2018)","plainTextFormattedCitation":"(Behrens et al., 2001; Klingelfus et al., 2019; Rehberger et al., 2018)","previouslyFormattedCitation":"(Behrens et al., 2001; Klingelfus et al., 2019; Rehberger et al., 2018)"},"properties":{"noteIndex":0},"schema":"https://github.com/citation-style-language/schema/raw/master/csl-citation.json"}</w:instrText>
      </w:r>
      <w:r w:rsidR="00945974">
        <w:rPr>
          <w:rFonts w:ascii="Times New Roman" w:hAnsi="Times New Roman" w:cs="Times New Roman"/>
          <w:sz w:val="24"/>
          <w:szCs w:val="24"/>
        </w:rPr>
        <w:fldChar w:fldCharType="separate"/>
      </w:r>
      <w:r w:rsidR="00945974" w:rsidRPr="00945974">
        <w:rPr>
          <w:rFonts w:ascii="Times New Roman" w:hAnsi="Times New Roman" w:cs="Times New Roman"/>
          <w:noProof/>
          <w:sz w:val="24"/>
          <w:szCs w:val="24"/>
        </w:rPr>
        <w:t>(Behrens et al., 2001; Klingelfus et al., 2019; Rehberger et al., 2018)</w:t>
      </w:r>
      <w:r w:rsidR="00945974">
        <w:rPr>
          <w:rFonts w:ascii="Times New Roman" w:hAnsi="Times New Roman" w:cs="Times New Roman"/>
          <w:sz w:val="24"/>
          <w:szCs w:val="24"/>
        </w:rPr>
        <w:fldChar w:fldCharType="end"/>
      </w:r>
      <w:r w:rsidR="00945974">
        <w:rPr>
          <w:rFonts w:ascii="Times New Roman" w:hAnsi="Times New Roman" w:cs="Times New Roman"/>
          <w:sz w:val="24"/>
          <w:szCs w:val="24"/>
        </w:rPr>
        <w:t xml:space="preserve">. </w:t>
      </w:r>
      <w:r w:rsidRPr="00D410A8">
        <w:rPr>
          <w:rFonts w:ascii="Times New Roman" w:hAnsi="Times New Roman" w:cs="Times New Roman"/>
          <w:sz w:val="24"/>
          <w:szCs w:val="24"/>
        </w:rPr>
        <w:t xml:space="preserve">To investigate the xenobiotic efflux activity of human medications, fish </w:t>
      </w:r>
      <w:proofErr w:type="spellStart"/>
      <w:r w:rsidRPr="00D410A8">
        <w:rPr>
          <w:rFonts w:ascii="Times New Roman" w:hAnsi="Times New Roman" w:cs="Times New Roman"/>
          <w:sz w:val="24"/>
          <w:szCs w:val="24"/>
        </w:rPr>
        <w:t>hepatoma</w:t>
      </w:r>
      <w:proofErr w:type="spellEnd"/>
      <w:r w:rsidRPr="00D410A8">
        <w:rPr>
          <w:rFonts w:ascii="Times New Roman" w:hAnsi="Times New Roman" w:cs="Times New Roman"/>
          <w:sz w:val="24"/>
          <w:szCs w:val="24"/>
        </w:rPr>
        <w:t xml:space="preserve"> cell line</w:t>
      </w:r>
      <w:r>
        <w:rPr>
          <w:rFonts w:ascii="Times New Roman" w:hAnsi="Times New Roman" w:cs="Times New Roman"/>
          <w:sz w:val="24"/>
          <w:szCs w:val="24"/>
        </w:rPr>
        <w:t>s were discovered to be helpful</w:t>
      </w:r>
      <w:r w:rsidRPr="00D410A8">
        <w:rPr>
          <w:rFonts w:ascii="Times New Roman" w:hAnsi="Times New Roman" w:cs="Times New Roman"/>
          <w:sz w:val="24"/>
          <w:szCs w:val="24"/>
        </w:rPr>
        <w:t xml:space="preserve"> </w:t>
      </w:r>
      <w:r w:rsidR="00945974" w:rsidRPr="00945974">
        <w:rPr>
          <w:rFonts w:ascii="Times New Roman" w:hAnsi="Times New Roman" w:cs="Times New Roman"/>
          <w:sz w:val="24"/>
          <w:szCs w:val="24"/>
        </w:rPr>
        <w:fldChar w:fldCharType="begin" w:fldLock="1"/>
      </w:r>
      <w:r w:rsidR="00945974">
        <w:rPr>
          <w:rFonts w:ascii="Times New Roman" w:hAnsi="Times New Roman" w:cs="Times New Roman"/>
          <w:sz w:val="24"/>
          <w:szCs w:val="24"/>
        </w:rPr>
        <w:instrText>ADDIN CSL_CITATION {"citationItems":[{"id":"ITEM-1","itemData":{"DOI":"10.1016/j.aquatox.2008.08.013","ISSN":"1879-1514 (Electronic)","PMID":"18950875","abstract":"The ubiquitous presence of pharmaceuticals in aquatic systems is a challenging  problem as their potential chronic effects on aquatic organisms remain largely unknown. The ATP-binding cassette (ABC) transport proteins contributing to the multidrug/multixenobiotic resistance (MDR/MXR) phenomenon seem to have an important role in the elimination of xenobiotics in aquatic organisms. Modulation of their efflux activities by contaminants may lead to substantial increase in intracellular accumulation and toxic effects of other xenobiotics. The aim of our work was to analyse a series of pharmaceuticals for their potential to modulate the activity of xenobiotic efflux transporters from the ABCB and ABCC sub-family in the Poeciliopsis lucida hepatoma cell (PLHC-1) fish cell line (PLHC-1/wt) and a doxorubicin (DOX) resistant PLHC-1 subclone (PLHC-1/dox) characterized by an elevated expression of the P-glycoprotein (ABCB1). Cellular accumulation of the model fluorescent substrates calcein-AM and rhodamine123 were used to determine an inhibitory effect on P-gp1 and/or MRP-like efflux transporters. 18 out of 33 tested pharmaceuticals showed MXR inhibitory activity with IC50 values occurring in the lower micromolar to millimolar range. Further, cytotoxic effects of pharmaceuticals were evaluated in PLHC-1/dox cells. Co-exposure of resistant cells to model P-gp1 inhibitor cyclosporine A (CyA) resulted in up to five times increased cytotoxicity of pharmaceuticals. In addition, some pharmaceuticals lead to a marked increase in cytotoxicity of doxorubicin, a model P-gp1 substrate. The modulation of toxicity by MDR inhibitors indicates their role in influencing cellular toxicity. In conclusion, the results of our study revealed significant inhibitory effects of environmentally relevant pharmaceuticals on P-gp1 and MRP-like transporters in fish. Our findings correspond well with data from mammalian systems indicating that the specificity and roles of the related efflux transporters may be similar in fish. Furthermore, due to the presence of active and inducible ABC transport proteins, the PLHC-1 cells appear to be a reliable in vitro system for the investigation of MDR/MXR mechanisms in fish.","author":[{"dropping-particle":"","family":"Caminada","given":"Daniel","non-dropping-particle":"","parse-names":false,"suffix":""},{"dropping-particle":"","family":"Zaja","given":"Roko","non-dropping-particle":"","parse-names":false,"suffix":""},{"dropping-particle":"","family":"Smital","given":"Tvrtko","non-dropping-particle":"","parse-names":false,"suffix":""},{"dropping-particle":"","family":"Fent","given":"Karl","non-dropping-particle":"","parse-names":false,"suffix":""}],"container-title":"Aquatic toxicology (Amsterdam, Netherlands)","id":"ITEM-1","issue":"3","issued":{"date-parts":[["2008","11"]]},"language":"eng","page":"214-222","publisher-place":"Netherlands","title":"Human pharmaceuticals modulate P-gp1 (ABCB1) transport activity in the fish cell  line PLHC-1.","type":"article-journal","volume":"90"},"uris":["http://www.mendeley.com/documents/?uuid=2fc6a2b5-167f-4bd1-a663-a395c4b3f90d"]}],"mendeley":{"formattedCitation":"(Caminada et al., 2008)","plainTextFormattedCitation":"(Caminada et al., 2008)","previouslyFormattedCitation":"(Caminada et al., 2008)"},"properties":{"noteIndex":0},"schema":"https://github.com/citation-style-language/schema/raw/master/csl-citation.json"}</w:instrText>
      </w:r>
      <w:r w:rsidR="00945974" w:rsidRPr="00945974">
        <w:rPr>
          <w:rFonts w:ascii="Times New Roman" w:hAnsi="Times New Roman" w:cs="Times New Roman"/>
          <w:sz w:val="24"/>
          <w:szCs w:val="24"/>
        </w:rPr>
        <w:fldChar w:fldCharType="separate"/>
      </w:r>
      <w:r w:rsidR="00945974" w:rsidRPr="00945974">
        <w:rPr>
          <w:rFonts w:ascii="Times New Roman" w:hAnsi="Times New Roman" w:cs="Times New Roman"/>
          <w:noProof/>
          <w:sz w:val="24"/>
          <w:szCs w:val="24"/>
        </w:rPr>
        <w:t>(Caminada et al., 2008)</w:t>
      </w:r>
      <w:r w:rsidR="00945974" w:rsidRPr="00945974">
        <w:rPr>
          <w:rFonts w:ascii="Times New Roman" w:hAnsi="Times New Roman" w:cs="Times New Roman"/>
          <w:sz w:val="24"/>
          <w:szCs w:val="24"/>
        </w:rPr>
        <w:fldChar w:fldCharType="end"/>
      </w:r>
      <w:r w:rsidR="00945974">
        <w:rPr>
          <w:rFonts w:ascii="Times New Roman" w:hAnsi="Times New Roman" w:cs="Times New Roman"/>
          <w:sz w:val="24"/>
          <w:szCs w:val="24"/>
        </w:rPr>
        <w:t xml:space="preserve">. </w:t>
      </w:r>
      <w:r w:rsidR="009C4D32" w:rsidRPr="00945974">
        <w:rPr>
          <w:rFonts w:ascii="Times New Roman" w:hAnsi="Times New Roman" w:cs="Times New Roman"/>
          <w:color w:val="2F5496" w:themeColor="accent5" w:themeShade="BF"/>
          <w:sz w:val="24"/>
          <w:szCs w:val="24"/>
        </w:rPr>
        <w:t xml:space="preserve"> </w:t>
      </w:r>
      <w:r w:rsidR="00507B89" w:rsidRPr="00C23AEB">
        <w:rPr>
          <w:rFonts w:ascii="Times New Roman" w:hAnsi="Times New Roman" w:cs="Times New Roman"/>
          <w:sz w:val="24"/>
          <w:szCs w:val="24"/>
        </w:rPr>
        <w:t>Fish cell lines were used to evaluate the cytotoxicity of chromium</w:t>
      </w:r>
      <w:r w:rsidR="00865DBF">
        <w:rPr>
          <w:rFonts w:ascii="Times New Roman" w:hAnsi="Times New Roman" w:cs="Times New Roman"/>
          <w:sz w:val="24"/>
          <w:szCs w:val="24"/>
        </w:rPr>
        <w:t xml:space="preserve"> </w:t>
      </w:r>
      <w:r w:rsidR="00865DBF">
        <w:rPr>
          <w:rFonts w:ascii="Times New Roman" w:hAnsi="Times New Roman" w:cs="Times New Roman"/>
          <w:sz w:val="24"/>
          <w:szCs w:val="24"/>
        </w:rPr>
        <w:fldChar w:fldCharType="begin" w:fldLock="1"/>
      </w:r>
      <w:r w:rsidR="00865DBF">
        <w:rPr>
          <w:rFonts w:ascii="Times New Roman" w:hAnsi="Times New Roman" w:cs="Times New Roman"/>
          <w:sz w:val="24"/>
          <w:szCs w:val="24"/>
        </w:rPr>
        <w:instrText>ADDIN CSL_CITATION {"citationItems":[{"id":"ITEM-1","itemData":{"DOI":"10.1016/j.chemosphere.2017.05.151","ISSN":"18791298","PMID":"28575799","abstract":"In the present study, we hypothesize that cytotoxicity, genotoxicity and oxidative stress play a key role in chromium induced toxicity in SISS, SISK, IEE, IEK, IEG, SICH and ICG cell lines after 24 h exposure. Three fish species namely Lates calcarifer, Etroplus suratensis and Catla catla were exposed to the concentrations of 0, 10, 20, 30, 40 and 50 mg/L of chromium for 96 h under static conditions for conducting acute toxicity tests. LC50 was then calculated. The percentage cell survival was assessed by multiple endpoints such as MTT, NR, AB and CB assays in the seven fish cell lines exposed to different concentrations of chromium and EC50 values of all the four endpoints were calculated. High significances were noted in the correlations between each in vitro cytotoxicity assays and in vivo mortality data. Cell shrinkage, cell detachment, vacuolations and cell swelling at the highest concentration of chromium (50 mg/L) were seen on microscopic examination of cell morphology. Comet assay and Hoechst staining were carried out to assess DNA damage and nuclear fragmentation in the seven fish lines exposed to chromium. The results of antioxidant parameters obtained indicate a significant reduction in the level of catalase, superoxide dismutase, glutathione S-transferase and Glutathione peroxidase, and increased level of lipid peroxidation in all the cell lines exposed to chromium. These results confirm that fish cell lines could be used as an alternative to whole fish for cytotoxicity, genotoxicity and oxidative stress assessment in chromium toxicity studies.","author":[{"dropping-particle":"","family":"Taju","given":"G.","non-dropping-particle":"","parse-names":false,"suffix":""},{"dropping-particle":"","family":"Abdul Majeed","given":"S.","non-dropping-particle":"","parse-names":false,"suffix":""},{"dropping-particle":"","family":"Nambi","given":"K. S.N.","non-dropping-particle":"","parse-names":false,"suffix":""},{"dropping-particle":"","family":"Sahul Hameed","given":"A. S.","non-dropping-particle":"","parse-names":false,"suffix":""}],"container-title":"Chemosphere","id":"ITEM-1","issued":{"date-parts":[["2017"]]},"page":"1-12","publisher":"Elsevier Ltd","title":"Application of fish cell lines for evaluating the chromium induced cytotoxicity, genotoxicity and oxidative stress","type":"article-journal","volume":"184"},"uris":["http://www.mendeley.com/documents/?uuid=f09ea8e1-48b7-4276-9ab7-426e87abd7f3"]}],"mendeley":{"formattedCitation":"(Taju et al., 2017)","plainTextFormattedCitation":"(Taju et al., 2017)","previouslyFormattedCitation":"(Taju et al., 2017)"},"properties":{"noteIndex":0},"schema":"https://github.com/citation-style-language/schema/raw/master/csl-citation.json"}</w:instrText>
      </w:r>
      <w:r w:rsidR="00865DBF">
        <w:rPr>
          <w:rFonts w:ascii="Times New Roman" w:hAnsi="Times New Roman" w:cs="Times New Roman"/>
          <w:sz w:val="24"/>
          <w:szCs w:val="24"/>
        </w:rPr>
        <w:fldChar w:fldCharType="separate"/>
      </w:r>
      <w:r w:rsidR="00865DBF" w:rsidRPr="00865DBF">
        <w:rPr>
          <w:rFonts w:ascii="Times New Roman" w:hAnsi="Times New Roman" w:cs="Times New Roman"/>
          <w:noProof/>
          <w:sz w:val="24"/>
          <w:szCs w:val="24"/>
        </w:rPr>
        <w:t>(Taju et al., 2017)</w:t>
      </w:r>
      <w:r w:rsidR="00865DBF">
        <w:rPr>
          <w:rFonts w:ascii="Times New Roman" w:hAnsi="Times New Roman" w:cs="Times New Roman"/>
          <w:sz w:val="24"/>
          <w:szCs w:val="24"/>
        </w:rPr>
        <w:fldChar w:fldCharType="end"/>
      </w:r>
      <w:r w:rsidR="00507B89" w:rsidRPr="00C23AEB">
        <w:rPr>
          <w:rFonts w:ascii="Times New Roman" w:hAnsi="Times New Roman" w:cs="Times New Roman"/>
          <w:sz w:val="24"/>
          <w:szCs w:val="24"/>
        </w:rPr>
        <w:t>, Polycyclic Aromatic Hydrocarbons (PAH)</w:t>
      </w:r>
      <w:r w:rsidR="00945974">
        <w:rPr>
          <w:rFonts w:ascii="Times New Roman" w:hAnsi="Times New Roman" w:cs="Times New Roman"/>
          <w:sz w:val="24"/>
          <w:szCs w:val="24"/>
        </w:rPr>
        <w:t xml:space="preserve"> </w:t>
      </w:r>
      <w:r w:rsidR="00945974">
        <w:rPr>
          <w:rFonts w:ascii="Times New Roman" w:hAnsi="Times New Roman" w:cs="Times New Roman"/>
          <w:sz w:val="24"/>
          <w:szCs w:val="24"/>
        </w:rPr>
        <w:fldChar w:fldCharType="begin" w:fldLock="1"/>
      </w:r>
      <w:r w:rsidR="00945974">
        <w:rPr>
          <w:rFonts w:ascii="Times New Roman" w:hAnsi="Times New Roman" w:cs="Times New Roman"/>
          <w:sz w:val="24"/>
          <w:szCs w:val="24"/>
        </w:rPr>
        <w:instrText>ADDIN CSL_CITATION {"citationItems":[{"id":"ITEM-1","itemData":{"ISSN":"0730-7268 (Print)","PMID":"11349866","abstract":"In order to investigate cell-specific differences in the response of in vitro models  to environmental toxicants, we compared the capacity of nine polycyclic aromatic hydrocarbons (PAHs) to induce cytochrome P4501A (CYPIA) in primary rainbow trout (Oncorhynchus mykiss) hepatocytes and a rainbow trout liver cell line, RTL-W1. Induction of CYPIA was estimated from the catalytic activity of 7-ethoxyresorufin-O-deethylase (EROD) and compared by median effective concentration (EC50) values, induction spans, and benzo[a]pyrene induction equivalency factors for inducing PAHs. The influence of culture conditions was investigated with respect to the presence or absence of serum and varying exposure times. Both in vitro systems lead to an identical classification of the PAHs in noninducing (anthracene, fluoranthene, phenanthrene, and pyrene) and inducing compounds with a similar ranking of inducing PAHs. Mean EC50 values in RTL-W1 cells were, respectively, 343 and 266 nM for benzo[a]anthracene, 57 and 92 nM for BaP, 134 and 283 nM for benzo[b]fluoranthene, 455 and 270 nM for chrysene, and 98 and 116 nM for 3-methylcholanthrene. Compared to primary hepatocytes, the RTL-W1 cell line was more sensitive in its EROD response to the presence or absence of serum and to the increase in exposure time, which led to higher EC50 values.","author":[{"dropping-particle":"","family":"Behrens","given":"A","non-dropping-particle":"","parse-names":false,"suffix":""},{"dropping-particle":"","family":"Schirmer","given":"K","non-dropping-particle":"","parse-names":false,"suffix":""},{"dropping-particle":"","family":"Bols","given":"N C","non-dropping-particle":"","parse-names":false,"suffix":""},{"dropping-particle":"","family":"Segner","given":"H","non-dropping-particle":"","parse-names":false,"suffix":""}],"container-title":"Environmental toxicology and chemistry","id":"ITEM-1","issue":"3","issued":{"date-parts":[["2001","3"]]},"language":"eng","page":"632-643","publisher-place":"United States","title":"Polycyclic aromatic hydrocarbons as inducers of cytochrome P4501A enzyme activity in  the rainbow trout liver cell line, RTL-W1, and in primary cultures of rainbow trout hepatocytes.","type":"article-journal","volume":"20"},"uris":["http://www.mendeley.com/documents/?uuid=83e50baf-f058-4b9e-8155-c117e372beae"]}],"mendeley":{"formattedCitation":"(Behrens et al., 2001)","plainTextFormattedCitation":"(Behrens et al., 2001)","previouslyFormattedCitation":"(Behrens et al., 2001)"},"properties":{"noteIndex":0},"schema":"https://github.com/citation-style-language/schema/raw/master/csl-citation.json"}</w:instrText>
      </w:r>
      <w:r w:rsidR="00945974">
        <w:rPr>
          <w:rFonts w:ascii="Times New Roman" w:hAnsi="Times New Roman" w:cs="Times New Roman"/>
          <w:sz w:val="24"/>
          <w:szCs w:val="24"/>
        </w:rPr>
        <w:fldChar w:fldCharType="separate"/>
      </w:r>
      <w:r w:rsidR="00945974" w:rsidRPr="00945974">
        <w:rPr>
          <w:rFonts w:ascii="Times New Roman" w:hAnsi="Times New Roman" w:cs="Times New Roman"/>
          <w:noProof/>
          <w:sz w:val="24"/>
          <w:szCs w:val="24"/>
        </w:rPr>
        <w:t>(Behrens et al., 2001)</w:t>
      </w:r>
      <w:r w:rsidR="00945974">
        <w:rPr>
          <w:rFonts w:ascii="Times New Roman" w:hAnsi="Times New Roman" w:cs="Times New Roman"/>
          <w:sz w:val="24"/>
          <w:szCs w:val="24"/>
        </w:rPr>
        <w:fldChar w:fldCharType="end"/>
      </w:r>
      <w:r w:rsidR="00945974">
        <w:rPr>
          <w:rFonts w:ascii="Times New Roman" w:hAnsi="Times New Roman" w:cs="Times New Roman"/>
          <w:sz w:val="24"/>
          <w:szCs w:val="24"/>
        </w:rPr>
        <w:t>,</w:t>
      </w:r>
      <w:r w:rsidR="00507B89" w:rsidRPr="00C23AEB">
        <w:rPr>
          <w:rFonts w:ascii="Times New Roman" w:hAnsi="Times New Roman" w:cs="Times New Roman"/>
          <w:sz w:val="24"/>
          <w:szCs w:val="24"/>
        </w:rPr>
        <w:t xml:space="preserve"> aflatoxins</w:t>
      </w:r>
      <w:r w:rsidR="00945974">
        <w:rPr>
          <w:rFonts w:ascii="Times New Roman" w:hAnsi="Times New Roman" w:cs="Times New Roman"/>
          <w:sz w:val="24"/>
          <w:szCs w:val="24"/>
        </w:rPr>
        <w:t xml:space="preserve"> and </w:t>
      </w:r>
      <w:r w:rsidR="00DC5D1B" w:rsidRPr="00C23AEB">
        <w:rPr>
          <w:rFonts w:ascii="Times New Roman" w:hAnsi="Times New Roman" w:cs="Times New Roman"/>
          <w:sz w:val="24"/>
          <w:szCs w:val="24"/>
        </w:rPr>
        <w:t xml:space="preserve">agrochemicals </w:t>
      </w:r>
      <w:r w:rsidR="00945974">
        <w:rPr>
          <w:rFonts w:ascii="Times New Roman" w:hAnsi="Times New Roman" w:cs="Times New Roman"/>
          <w:sz w:val="24"/>
          <w:szCs w:val="24"/>
        </w:rPr>
        <w:fldChar w:fldCharType="begin" w:fldLock="1"/>
      </w:r>
      <w:r w:rsidR="00945974">
        <w:rPr>
          <w:rFonts w:ascii="Times New Roman" w:hAnsi="Times New Roman" w:cs="Times New Roman"/>
          <w:sz w:val="24"/>
          <w:szCs w:val="24"/>
        </w:rPr>
        <w:instrText>ADDIN CSL_CITATION {"citationItems":[{"id":"ITEM-1","itemData":{"DOI":"10.7324/jabb.2022.100308","ISSN":"24557005","author":[{"dropping-particle":"","family":"Salunke","given":"Ankita","non-dropping-particle":"","parse-names":false,"suffix":""},{"dropping-particle":"","family":"Pandya","given":"Parth","non-dropping-particle":"","parse-names":false,"suffix":""},{"dropping-particle":"","family":"Upadhyay","given":"Ankur","non-dropping-particle":"","parse-names":false,"suffix":""},{"dropping-particle":"","family":"Parikh","given":"Pragna","non-dropping-particle":"","parse-names":false,"suffix":""}],"container-title":"Journal of Applied Biology &amp; Biotechnology","id":"ITEM-1","issue":"03","issued":{"date-parts":[["2022"]]},"page":"54-64","title":"Assessment of sublethal toxicity using proliferation markers in fish cell line-ICG exposed to agrochemicals","type":"article-journal","volume":"10"},"uris":["http://www.mendeley.com/documents/?uuid=4ccb8ab0-1e4a-4b89-a7c3-5aa8bbb2c6aa"]}],"mendeley":{"formattedCitation":"(Salunke et al., 2022)","plainTextFormattedCitation":"(Salunke et al., 2022)","previouslyFormattedCitation":"(Salunke et al., 2022)"},"properties":{"noteIndex":0},"schema":"https://github.com/citation-style-language/schema/raw/master/csl-citation.json"}</w:instrText>
      </w:r>
      <w:r w:rsidR="00945974">
        <w:rPr>
          <w:rFonts w:ascii="Times New Roman" w:hAnsi="Times New Roman" w:cs="Times New Roman"/>
          <w:sz w:val="24"/>
          <w:szCs w:val="24"/>
        </w:rPr>
        <w:fldChar w:fldCharType="separate"/>
      </w:r>
      <w:r w:rsidR="00945974" w:rsidRPr="00945974">
        <w:rPr>
          <w:rFonts w:ascii="Times New Roman" w:hAnsi="Times New Roman" w:cs="Times New Roman"/>
          <w:noProof/>
          <w:sz w:val="24"/>
          <w:szCs w:val="24"/>
        </w:rPr>
        <w:t>(Salunke et al., 2022)</w:t>
      </w:r>
      <w:r w:rsidR="00945974">
        <w:rPr>
          <w:rFonts w:ascii="Times New Roman" w:hAnsi="Times New Roman" w:cs="Times New Roman"/>
          <w:sz w:val="24"/>
          <w:szCs w:val="24"/>
        </w:rPr>
        <w:fldChar w:fldCharType="end"/>
      </w:r>
      <w:r w:rsidR="00945974" w:rsidRPr="00C23AEB">
        <w:rPr>
          <w:rFonts w:ascii="Times New Roman" w:hAnsi="Times New Roman" w:cs="Times New Roman"/>
          <w:sz w:val="24"/>
          <w:szCs w:val="24"/>
        </w:rPr>
        <w:t xml:space="preserve"> </w:t>
      </w:r>
      <w:r w:rsidR="00507B89" w:rsidRPr="00C23AEB">
        <w:rPr>
          <w:rFonts w:ascii="Times New Roman" w:hAnsi="Times New Roman" w:cs="Times New Roman"/>
          <w:sz w:val="24"/>
          <w:szCs w:val="24"/>
        </w:rPr>
        <w:t>using</w:t>
      </w:r>
      <w:r w:rsidR="00DC5D1B" w:rsidRPr="00C23AEB">
        <w:rPr>
          <w:rFonts w:ascii="Times New Roman" w:hAnsi="Times New Roman" w:cs="Times New Roman"/>
          <w:sz w:val="24"/>
          <w:szCs w:val="24"/>
        </w:rPr>
        <w:t xml:space="preserve"> different toxicological techniques including </w:t>
      </w:r>
      <w:r w:rsidR="00507B89" w:rsidRPr="00C23AEB">
        <w:rPr>
          <w:rFonts w:ascii="Times New Roman" w:hAnsi="Times New Roman" w:cs="Times New Roman"/>
          <w:sz w:val="24"/>
          <w:szCs w:val="24"/>
        </w:rPr>
        <w:t xml:space="preserve"> </w:t>
      </w:r>
      <w:r w:rsidR="00DC5D1B" w:rsidRPr="00C23AEB">
        <w:rPr>
          <w:rFonts w:ascii="Times New Roman" w:hAnsi="Times New Roman" w:cs="Times New Roman"/>
          <w:sz w:val="24"/>
          <w:szCs w:val="24"/>
        </w:rPr>
        <w:t xml:space="preserve">comet assays, </w:t>
      </w:r>
      <w:r w:rsidR="00507B89" w:rsidRPr="00C23AEB">
        <w:rPr>
          <w:rFonts w:ascii="Times New Roman" w:hAnsi="Times New Roman" w:cs="Times New Roman"/>
          <w:sz w:val="24"/>
          <w:szCs w:val="24"/>
        </w:rPr>
        <w:t>neutral red dye uptake method</w:t>
      </w:r>
      <w:r w:rsidR="00DC5D1B" w:rsidRPr="00C23AEB">
        <w:rPr>
          <w:rFonts w:ascii="Times New Roman" w:hAnsi="Times New Roman" w:cs="Times New Roman"/>
          <w:sz w:val="24"/>
          <w:szCs w:val="24"/>
        </w:rPr>
        <w:t>, proliferation markers etc.</w:t>
      </w:r>
      <w:r w:rsidR="00893D2B" w:rsidRPr="00C23AEB">
        <w:rPr>
          <w:rFonts w:ascii="Times New Roman" w:hAnsi="Times New Roman" w:cs="Times New Roman"/>
          <w:sz w:val="24"/>
          <w:szCs w:val="24"/>
        </w:rPr>
        <w:t xml:space="preserve"> </w:t>
      </w:r>
      <w:r w:rsidRPr="00D410A8">
        <w:rPr>
          <w:rFonts w:ascii="Times New Roman" w:hAnsi="Times New Roman" w:cs="Times New Roman"/>
          <w:sz w:val="24"/>
          <w:szCs w:val="24"/>
        </w:rPr>
        <w:t>Additionally, fish cell lines can detect cellular DNA damage caused by toxic materials and chemicals using comet assays, w</w:t>
      </w:r>
      <w:r>
        <w:rPr>
          <w:rFonts w:ascii="Times New Roman" w:hAnsi="Times New Roman" w:cs="Times New Roman"/>
          <w:sz w:val="24"/>
          <w:szCs w:val="24"/>
        </w:rPr>
        <w:t>hich are sensitive and reliable</w:t>
      </w:r>
      <w:r w:rsidRPr="00D410A8">
        <w:rPr>
          <w:rFonts w:ascii="Times New Roman" w:hAnsi="Times New Roman" w:cs="Times New Roman"/>
          <w:sz w:val="24"/>
          <w:szCs w:val="24"/>
        </w:rPr>
        <w:t xml:space="preserve"> </w:t>
      </w:r>
      <w:r w:rsidR="00945974">
        <w:rPr>
          <w:rFonts w:ascii="Times New Roman" w:hAnsi="Times New Roman" w:cs="Times New Roman"/>
          <w:sz w:val="24"/>
          <w:szCs w:val="24"/>
        </w:rPr>
        <w:fldChar w:fldCharType="begin" w:fldLock="1"/>
      </w:r>
      <w:r w:rsidR="00945974">
        <w:rPr>
          <w:rFonts w:ascii="Times New Roman" w:hAnsi="Times New Roman" w:cs="Times New Roman"/>
          <w:sz w:val="24"/>
          <w:szCs w:val="24"/>
        </w:rPr>
        <w:instrText>ADDIN CSL_CITATION {"citationItems":[{"id":"ITEM-1","itemData":{"DOI":"10.1016/j.chemosphere.2018.10.118","ISSN":"1879-1298 (Electronic)","PMID":"30347365","abstract":"Genotoxic effects of nanomaterials (NMs) have been controversially reported in  literature, and the mode of action (MoA) via DNA oxidation is cited as the main damage caused by them. Evidence of nano-silver as a crosslinker has been previously reported by the present research team in an in vivo fish genotoxicity study. Thus, aiming to confirm the evidence about NMs as crosslinker agent, the present investigation elucidated the genotoxic potential of NMs and their genotoxic MoA through in vitro assay with RTG-2 cells line (rainbow trout gonadal) by exposure to nano-silver (PVP-coated) and nano-titanium. The types and levels of DNA damage were assessed by the Comet assay (standard alkaline, hOGG1-modified alkaline, and two crosslink-modified alkaline versions). It was demonstrated that the use of the standard alkaline Comet assay alone may inaccurately predict the genotoxicity of NMs since oxidative and crosslink DNA damages were also verified in RTG-2 cells when assessed by the modified versions of the alkaline protocol. More importantly, it was confirmed that both nano-silver and nano-titanium acted as DNA-protein crosslinkers through the Comet assay version with proteinase K. As both nano-silver and nano-titanium present a great risk to aquatic life, these findings reinforce the need of genotoxicity testing strategies that encompass the assessment of different types of DNA damage, in order to ensure an accurate prediction of the genotoxic potential of NMs.","author":[{"dropping-particle":"","family":"Klingelfus","given":"T","non-dropping-particle":"","parse-names":false,"suffix":""},{"dropping-particle":"","family":"Disner","given":"G R","non-dropping-particle":"","parse-names":false,"suffix":""},{"dropping-particle":"","family":"Voigt","given":"C L","non-dropping-particle":"","parse-names":false,"suffix":""},{"dropping-particle":"","family":"Alle","given":"L F","non-dropping-particle":"","parse-names":false,"suffix":""},{"dropping-particle":"","family":"Cestari","given":"M M","non-dropping-particle":"","parse-names":false,"suffix":""},{"dropping-particle":"","family":"Leme","given":"D M","non-dropping-particle":"","parse-names":false,"suffix":""}],"container-title":"Chemosphere","id":"ITEM-1","issued":{"date-parts":[["2019","1"]]},"language":"eng","page":"703-709","publisher-place":"England","title":"Nanomaterials induce DNA-protein crosslink and DNA oxidation: A mechanistic study  with RTG-2 fish cell line and Comet assay modifications.","type":"article-journal","volume":"215"},"uris":["http://www.mendeley.com/documents/?uuid=85e37efa-4abf-4051-bfb6-461aed605e63"]}],"mendeley":{"formattedCitation":"(Klingelfus et al., 2019)","plainTextFormattedCitation":"(Klingelfus et al., 2019)","previouslyFormattedCitation":"(Klingelfus et al., 2019)"},"properties":{"noteIndex":0},"schema":"https://github.com/citation-style-language/schema/raw/master/csl-citation.json"}</w:instrText>
      </w:r>
      <w:r w:rsidR="00945974">
        <w:rPr>
          <w:rFonts w:ascii="Times New Roman" w:hAnsi="Times New Roman" w:cs="Times New Roman"/>
          <w:sz w:val="24"/>
          <w:szCs w:val="24"/>
        </w:rPr>
        <w:fldChar w:fldCharType="separate"/>
      </w:r>
      <w:r w:rsidR="00945974" w:rsidRPr="00945974">
        <w:rPr>
          <w:rFonts w:ascii="Times New Roman" w:hAnsi="Times New Roman" w:cs="Times New Roman"/>
          <w:noProof/>
          <w:sz w:val="24"/>
          <w:szCs w:val="24"/>
        </w:rPr>
        <w:t>(Klingelfus et al., 2019)</w:t>
      </w:r>
      <w:r w:rsidR="00945974">
        <w:rPr>
          <w:rFonts w:ascii="Times New Roman" w:hAnsi="Times New Roman" w:cs="Times New Roman"/>
          <w:sz w:val="24"/>
          <w:szCs w:val="24"/>
        </w:rPr>
        <w:fldChar w:fldCharType="end"/>
      </w:r>
      <w:r w:rsidR="00945974">
        <w:rPr>
          <w:rFonts w:ascii="Times New Roman" w:hAnsi="Times New Roman" w:cs="Times New Roman"/>
          <w:sz w:val="24"/>
          <w:szCs w:val="24"/>
        </w:rPr>
        <w:t xml:space="preserve">. </w:t>
      </w:r>
      <w:r w:rsidR="002E7EEA" w:rsidRPr="002E7EEA">
        <w:rPr>
          <w:rFonts w:ascii="Times New Roman" w:hAnsi="Times New Roman" w:cs="Times New Roman"/>
          <w:sz w:val="24"/>
          <w:szCs w:val="24"/>
        </w:rPr>
        <w:t>The RTG-2, RTgill-W1, and RTL-W1 cell lines derived from rainbow trout (</w:t>
      </w:r>
      <w:proofErr w:type="spellStart"/>
      <w:r w:rsidR="002E7EEA" w:rsidRPr="002E7EEA">
        <w:rPr>
          <w:rFonts w:ascii="Times New Roman" w:hAnsi="Times New Roman" w:cs="Times New Roman"/>
          <w:sz w:val="24"/>
          <w:szCs w:val="24"/>
        </w:rPr>
        <w:t>Oncorhynchus</w:t>
      </w:r>
      <w:proofErr w:type="spellEnd"/>
      <w:r w:rsidR="002E7EEA" w:rsidRPr="002E7EEA">
        <w:rPr>
          <w:rFonts w:ascii="Times New Roman" w:hAnsi="Times New Roman" w:cs="Times New Roman"/>
          <w:sz w:val="24"/>
          <w:szCs w:val="24"/>
        </w:rPr>
        <w:t xml:space="preserve"> mykiss), along with ZFL and ZF4 originating from zebrafish (Danio </w:t>
      </w:r>
      <w:proofErr w:type="spellStart"/>
      <w:r w:rsidR="002E7EEA" w:rsidRPr="002E7EEA">
        <w:rPr>
          <w:rFonts w:ascii="Times New Roman" w:hAnsi="Times New Roman" w:cs="Times New Roman"/>
          <w:sz w:val="24"/>
          <w:szCs w:val="24"/>
        </w:rPr>
        <w:t>rerio</w:t>
      </w:r>
      <w:proofErr w:type="spellEnd"/>
      <w:r w:rsidR="002E7EEA" w:rsidRPr="002E7EEA">
        <w:rPr>
          <w:rFonts w:ascii="Times New Roman" w:hAnsi="Times New Roman" w:cs="Times New Roman"/>
          <w:sz w:val="24"/>
          <w:szCs w:val="24"/>
        </w:rPr>
        <w:t xml:space="preserve">), are frequently employed in comet assays </w:t>
      </w:r>
      <w:r w:rsidR="002E7EEA">
        <w:rPr>
          <w:rFonts w:ascii="Times New Roman" w:hAnsi="Times New Roman" w:cs="Times New Roman"/>
          <w:sz w:val="24"/>
          <w:szCs w:val="24"/>
        </w:rPr>
        <w:fldChar w:fldCharType="begin" w:fldLock="1"/>
      </w:r>
      <w:r w:rsidR="002E7EEA">
        <w:rPr>
          <w:rFonts w:ascii="Times New Roman" w:hAnsi="Times New Roman" w:cs="Times New Roman"/>
          <w:sz w:val="24"/>
          <w:szCs w:val="24"/>
        </w:rPr>
        <w:instrText>ADDIN CSL_CITATION {"citationItems":[{"id":"ITEM-1","itemData":{"DOI":"10.1016/j.mrgentox.2019.01.011","ISSN":"1879-3592 (Electronic)","PMID":"31255228","abstract":"The use of fish models has been proven to be an effective and sensitive tool for  the evaluation of genotoxicity of pure compounds and complex mixtures of chemicals in the context of environmental screening of pollutants and hazard assessment in aquatic toxicology. In particular, fish cell lines have been successfully introduced for detection of genotoxic effects and can serve as an alternative to animal testing in preliminary eco-/genotoxicological studies. For this purpose comet assay has been extensively used in fish cell lines for the evaluation of genotoxic potential of chemicals and complex environmental matrices. The most often used fish cell lines in the comet assay are RTG-2, RTgill-W1 and RTL-W1 derived from rainbow trout (Onchorhynchus mykiss) gonads, gills and liver, respectively, and ZFL and ZF4 cells established from zebrafish (Danio rerio) liver and embryos, respectively. The present review gives an overview of the most often-used permanent fish cell lines in genotoxicology and discusses their application in the comet assay.","author":[{"dropping-particle":"","family":"Žegura","given":"Bojana","non-dropping-particle":"","parse-names":false,"suffix":""},{"dropping-particle":"","family":"Filipič","given":"Metka","non-dropping-particle":"","parse-names":false,"suffix":""}],"container-title":"Mutation research. Genetic toxicology and environmental mutagenesis","id":"ITEM-1","issued":{"date-parts":[["2019","6"]]},"language":"eng","page":"72-84","publisher-place":"Netherlands","title":"The application of the Comet assay in fish cell lines.","type":"article-journal","volume":"842"},"uris":["http://www.mendeley.com/documents/?uuid=de9d1246-ac3a-478e-855b-898dcde46c1e"]}],"mendeley":{"formattedCitation":"(Žegura &amp; Filipič, 2019)","plainTextFormattedCitation":"(Žegura &amp; Filipič, 2019)","previouslyFormattedCitation":"(Žegura &amp; Filipič, 2019)"},"properties":{"noteIndex":0},"schema":"https://github.com/citation-style-language/schema/raw/master/csl-citation.json"}</w:instrText>
      </w:r>
      <w:r w:rsidR="002E7EEA">
        <w:rPr>
          <w:rFonts w:ascii="Times New Roman" w:hAnsi="Times New Roman" w:cs="Times New Roman"/>
          <w:sz w:val="24"/>
          <w:szCs w:val="24"/>
        </w:rPr>
        <w:fldChar w:fldCharType="separate"/>
      </w:r>
      <w:r w:rsidR="002E7EEA" w:rsidRPr="00945974">
        <w:rPr>
          <w:rFonts w:ascii="Times New Roman" w:hAnsi="Times New Roman" w:cs="Times New Roman"/>
          <w:noProof/>
          <w:sz w:val="24"/>
          <w:szCs w:val="24"/>
        </w:rPr>
        <w:t>(Žegura &amp; Filipič, 2019)</w:t>
      </w:r>
      <w:r w:rsidR="002E7EEA">
        <w:rPr>
          <w:rFonts w:ascii="Times New Roman" w:hAnsi="Times New Roman" w:cs="Times New Roman"/>
          <w:sz w:val="24"/>
          <w:szCs w:val="24"/>
        </w:rPr>
        <w:fldChar w:fldCharType="end"/>
      </w:r>
      <w:r w:rsidR="002E7EEA">
        <w:rPr>
          <w:rFonts w:ascii="Times New Roman" w:hAnsi="Times New Roman" w:cs="Times New Roman"/>
          <w:sz w:val="24"/>
          <w:szCs w:val="24"/>
        </w:rPr>
        <w:t xml:space="preserve"> </w:t>
      </w:r>
      <w:r w:rsidR="002E7EEA" w:rsidRPr="002E7EEA">
        <w:rPr>
          <w:rFonts w:ascii="Times New Roman" w:hAnsi="Times New Roman" w:cs="Times New Roman"/>
          <w:sz w:val="24"/>
          <w:szCs w:val="24"/>
        </w:rPr>
        <w:t>These assays aid in evaluating DNA damage prompted by environmental genotoxic substances, underlining the cells' promise as pot</w:t>
      </w:r>
      <w:r w:rsidR="002E7EEA">
        <w:rPr>
          <w:rFonts w:ascii="Times New Roman" w:hAnsi="Times New Roman" w:cs="Times New Roman"/>
          <w:sz w:val="24"/>
          <w:szCs w:val="24"/>
        </w:rPr>
        <w:t>ential environmental biomarkers</w:t>
      </w:r>
      <w:r w:rsidR="001732E7" w:rsidRPr="001732E7">
        <w:rPr>
          <w:rFonts w:ascii="Times New Roman" w:hAnsi="Times New Roman" w:cs="Times New Roman"/>
          <w:sz w:val="24"/>
          <w:szCs w:val="24"/>
        </w:rPr>
        <w:t xml:space="preserve"> </w:t>
      </w:r>
      <w:r w:rsidR="001732E7">
        <w:rPr>
          <w:rFonts w:ascii="Times New Roman" w:hAnsi="Times New Roman" w:cs="Times New Roman"/>
          <w:sz w:val="24"/>
          <w:szCs w:val="24"/>
        </w:rPr>
        <w:fldChar w:fldCharType="begin" w:fldLock="1"/>
      </w:r>
      <w:r w:rsidR="001732E7">
        <w:rPr>
          <w:rFonts w:ascii="Times New Roman" w:hAnsi="Times New Roman" w:cs="Times New Roman"/>
          <w:sz w:val="24"/>
          <w:szCs w:val="24"/>
        </w:rPr>
        <w:instrText>ADDIN CSL_CITATION {"citationItems":[{"id":"ITEM-1","itemData":{"DOI":"https://doi.org/10.1016/j.aquatox.2013.03.005","ISSN":"0166-445X","abstract":"The knowledge of DNA repair in a target species is of first importance as it is the primary line of defense against genotoxicants, and a better knowledge of DNA repair capacity in fish could help to interpret genotoxicity data and/or assist in the choice of target species, developmental stage and tissues to focus on, both for environmental biomonitoring studies and DNA repair testing. This review focuses in a first part on what is presently known on a mechanistic basis, about the various DNA repair systems in fish, in vivo and in established cell lines. Data on base excision repair (BER), direct reversal with O6-alkylguanine transferase and double strand breaks repair, although rather scarce, are being reviewed, as well as nucleotide excision repair (NER) and photoreactivation repair (PER), which are by far the most studied repair mechanisms in fish. Most of these repair mechanisms seem to be strongly species and tissue dependent; they also depend on the developmental stage of the organisms. BER is efficient in vivo, although no data has been found on in vitro models. NER activity is quite low or even inexistent depending on the studies; however this lack is partly compensated by a strong PER activity, especially in early developmental stage. In a second part, a survey of the ecotoxicological studies integrating DNA repair as a parameter responding to single or mixture of contaminant is realized. Three main approaches are being used: the measurement of DNA repair gene expression after exposure, although it has not yet been clearly established whether gene expression is indicative of repair capacity; the monitoring of DNA damage removal by following DNA repair kinetics; and the modulation of DNA repair activity following exposure in situ, in order to assess the impact of exposure history on DNA repair capacity. Since all DNA repair processes are possible targets for environmental pollutants, we can also wonder at which extent such a modulation of repair capacities in fish could be the base for the development of new biomarkers of genotoxicity. Knowing the importance of the germ cell DNA integrity in the reproductive success of aquatic organisms, the DNA repair capacity of such cells deserve to be more studied, as well as DNA repair capacities of established fish cell lines. The limited amount of available data, which shows low/slow DNA repair capacities of fish cell lines compared with mammalian cell lines, concerned mainly the NER system; thus this poin…","author":[{"dropping-particle":"","family":"Kienzler","given":"Aude","non-dropping-particle":"","parse-names":false,"suffix":""},{"dropping-particle":"","family":"Bony","given":"Sylvie","non-dropping-particle":"","parse-names":false,"suffix":""},{"dropping-particle":"","family":"Devaux","given":"Alain","non-dropping-particle":"","parse-names":false,"suffix":""}],"container-title":"Aquatic Toxicology","id":"ITEM-1","issued":{"date-parts":[["2013"]]},"page":"47-56","title":"DNA repair activity in fish and interest in ecotoxicology: A review","type":"article-journal","volume":"134-135"},"uris":["http://www.mendeley.com/documents/?uuid=371965c3-cf16-4746-8a92-6e08f27ae0d5"]}],"mendeley":{"formattedCitation":"(Kienzler et al., 2013)","plainTextFormattedCitation":"(Kienzler et al., 2013)","previouslyFormattedCitation":"(Kienzler et al., 2013)"},"properties":{"noteIndex":0},"schema":"https://github.com/citation-style-language/schema/raw/master/csl-citation.json"}</w:instrText>
      </w:r>
      <w:r w:rsidR="001732E7">
        <w:rPr>
          <w:rFonts w:ascii="Times New Roman" w:hAnsi="Times New Roman" w:cs="Times New Roman"/>
          <w:sz w:val="24"/>
          <w:szCs w:val="24"/>
        </w:rPr>
        <w:fldChar w:fldCharType="separate"/>
      </w:r>
      <w:r w:rsidR="001732E7" w:rsidRPr="00945974">
        <w:rPr>
          <w:rFonts w:ascii="Times New Roman" w:hAnsi="Times New Roman" w:cs="Times New Roman"/>
          <w:noProof/>
          <w:sz w:val="24"/>
          <w:szCs w:val="24"/>
        </w:rPr>
        <w:t>(Kienzler et al., 2013)</w:t>
      </w:r>
      <w:r w:rsidR="001732E7">
        <w:rPr>
          <w:rFonts w:ascii="Times New Roman" w:hAnsi="Times New Roman" w:cs="Times New Roman"/>
          <w:sz w:val="24"/>
          <w:szCs w:val="24"/>
        </w:rPr>
        <w:fldChar w:fldCharType="end"/>
      </w:r>
      <w:r w:rsidR="001732E7">
        <w:rPr>
          <w:rFonts w:ascii="Times New Roman" w:hAnsi="Times New Roman" w:cs="Times New Roman"/>
          <w:sz w:val="24"/>
          <w:szCs w:val="24"/>
        </w:rPr>
        <w:t xml:space="preserve">. </w:t>
      </w:r>
      <w:r w:rsidR="002E7EEA">
        <w:rPr>
          <w:rFonts w:ascii="Times New Roman" w:hAnsi="Times New Roman" w:cs="Times New Roman"/>
          <w:sz w:val="24"/>
          <w:szCs w:val="24"/>
        </w:rPr>
        <w:t xml:space="preserve">Fish cell lines </w:t>
      </w:r>
      <w:r w:rsidR="002E7EEA" w:rsidRPr="002E7EEA">
        <w:rPr>
          <w:rFonts w:ascii="Times New Roman" w:hAnsi="Times New Roman" w:cs="Times New Roman"/>
          <w:sz w:val="24"/>
          <w:szCs w:val="24"/>
        </w:rPr>
        <w:t>play a crucial role in deciphering the mechanisms and comparative to</w:t>
      </w:r>
      <w:r w:rsidR="002E7EEA">
        <w:rPr>
          <w:rFonts w:ascii="Times New Roman" w:hAnsi="Times New Roman" w:cs="Times New Roman"/>
          <w:sz w:val="24"/>
          <w:szCs w:val="24"/>
        </w:rPr>
        <w:t>xicity of environmental samples</w:t>
      </w:r>
      <w:r w:rsidR="002E7EEA" w:rsidRPr="002E7EEA">
        <w:rPr>
          <w:rFonts w:ascii="Times New Roman" w:hAnsi="Times New Roman" w:cs="Times New Roman"/>
          <w:sz w:val="24"/>
          <w:szCs w:val="24"/>
        </w:rPr>
        <w:t xml:space="preserve">. </w:t>
      </w:r>
      <w:r w:rsidR="00B167B0" w:rsidRPr="00B167B0">
        <w:rPr>
          <w:rFonts w:ascii="Times New Roman" w:hAnsi="Times New Roman" w:cs="Times New Roman"/>
          <w:sz w:val="24"/>
          <w:szCs w:val="24"/>
        </w:rPr>
        <w:t xml:space="preserve">In vitro assays also have the ability to reveal the mechanism of action of the tested chemical because in vivo testing usually focus on final results rather than the actual mechanism of action. Given the strong correlations seen between in vitro and in vivo outcomes, cell lines have become a popular substitute for whole live fish. These cell lines have demonstrated to be useful and affordable instruments for quickly assessing the </w:t>
      </w:r>
      <w:r w:rsidR="00B167B0">
        <w:rPr>
          <w:rFonts w:ascii="Times New Roman" w:hAnsi="Times New Roman" w:cs="Times New Roman"/>
          <w:sz w:val="24"/>
          <w:szCs w:val="24"/>
        </w:rPr>
        <w:t>toxicity of pollutants in vitro</w:t>
      </w:r>
      <w:r w:rsidR="00B167B0" w:rsidRPr="00B167B0">
        <w:rPr>
          <w:rFonts w:ascii="Times New Roman" w:hAnsi="Times New Roman" w:cs="Times New Roman"/>
          <w:sz w:val="24"/>
          <w:szCs w:val="24"/>
        </w:rPr>
        <w:t xml:space="preserve"> </w:t>
      </w:r>
      <w:r w:rsidR="001732E7">
        <w:rPr>
          <w:rFonts w:ascii="Times New Roman" w:hAnsi="Times New Roman" w:cs="Times New Roman"/>
          <w:sz w:val="24"/>
          <w:szCs w:val="24"/>
        </w:rPr>
        <w:fldChar w:fldCharType="begin" w:fldLock="1"/>
      </w:r>
      <w:r w:rsidR="001732E7">
        <w:rPr>
          <w:rFonts w:ascii="Times New Roman" w:hAnsi="Times New Roman" w:cs="Times New Roman"/>
          <w:sz w:val="24"/>
          <w:szCs w:val="24"/>
        </w:rPr>
        <w:instrText>ADDIN CSL_CITATION {"citationItems":[{"id":"ITEM-1","itemData":{"ISSN":"0730-7268 (Print)","PMID":"11349866","abstract":"In order to investigate cell-specific differences in the response of in vitro models  to environmental toxicants, we compared the capacity of nine polycyclic aromatic hydrocarbons (PAHs) to induce cytochrome P4501A (CYPIA) in primary rainbow trout (Oncorhynchus mykiss) hepatocytes and a rainbow trout liver cell line, RTL-W1. Induction of CYPIA was estimated from the catalytic activity of 7-ethoxyresorufin-O-deethylase (EROD) and compared by median effective concentration (EC50) values, induction spans, and benzo[a]pyrene induction equivalency factors for inducing PAHs. The influence of culture conditions was investigated with respect to the presence or absence of serum and varying exposure times. Both in vitro systems lead to an identical classification of the PAHs in noninducing (anthracene, fluoranthene, phenanthrene, and pyrene) and inducing compounds with a similar ranking of inducing PAHs. Mean EC50 values in RTL-W1 cells were, respectively, 343 and 266 nM for benzo[a]anthracene, 57 and 92 nM for BaP, 134 and 283 nM for benzo[b]fluoranthene, 455 and 270 nM for chrysene, and 98 and 116 nM for 3-methylcholanthrene. Compared to primary hepatocytes, the RTL-W1 cell line was more sensitive in its EROD response to the presence or absence of serum and to the increase in exposure time, which led to higher EC50 values.","author":[{"dropping-particle":"","family":"Behrens","given":"A","non-dropping-particle":"","parse-names":false,"suffix":""},{"dropping-particle":"","family":"Schirmer","given":"K","non-dropping-particle":"","parse-names":false,"suffix":""},{"dropping-particle":"","family":"Bols","given":"N C","non-dropping-particle":"","parse-names":false,"suffix":""},{"dropping-particle":"","family":"Segner","given":"H","non-dropping-particle":"","parse-names":false,"suffix":""}],"container-title":"Environmental toxicology and chemistry","id":"ITEM-1","issue":"3","issued":{"date-parts":[["2001","3"]]},"language":"eng","page":"632-643","publisher-place":"United States","title":"Polycyclic aromatic hydrocarbons as inducers of cytochrome P4501A enzyme activity in  the rainbow trout liver cell line, RTL-W1, and in primary cultures of rainbow trout hepatocytes.","type":"article-journal","volume":"20"},"uris":["http://www.mendeley.com/documents/?uuid=83e50baf-f058-4b9e-8155-c117e372beae"]}],"mendeley":{"formattedCitation":"(Behrens et al., 2001)","plainTextFormattedCitation":"(Behrens et al., 2001)","previouslyFormattedCitation":"(Behrens et al., 2001)"},"properties":{"noteIndex":0},"schema":"https://github.com/citation-style-language/schema/raw/master/csl-citation.json"}</w:instrText>
      </w:r>
      <w:r w:rsidR="001732E7">
        <w:rPr>
          <w:rFonts w:ascii="Times New Roman" w:hAnsi="Times New Roman" w:cs="Times New Roman"/>
          <w:sz w:val="24"/>
          <w:szCs w:val="24"/>
        </w:rPr>
        <w:fldChar w:fldCharType="separate"/>
      </w:r>
      <w:r w:rsidR="001732E7" w:rsidRPr="00865DBF">
        <w:rPr>
          <w:rFonts w:ascii="Times New Roman" w:hAnsi="Times New Roman" w:cs="Times New Roman"/>
          <w:noProof/>
          <w:sz w:val="24"/>
          <w:szCs w:val="24"/>
        </w:rPr>
        <w:t>(Behrens et al., 2001)</w:t>
      </w:r>
      <w:r w:rsidR="001732E7">
        <w:rPr>
          <w:rFonts w:ascii="Times New Roman" w:hAnsi="Times New Roman" w:cs="Times New Roman"/>
          <w:sz w:val="24"/>
          <w:szCs w:val="24"/>
        </w:rPr>
        <w:fldChar w:fldCharType="end"/>
      </w:r>
      <w:r w:rsidR="001732E7">
        <w:rPr>
          <w:rFonts w:ascii="Times New Roman" w:hAnsi="Times New Roman" w:cs="Times New Roman"/>
          <w:sz w:val="24"/>
          <w:szCs w:val="24"/>
        </w:rPr>
        <w:t xml:space="preserve">. </w:t>
      </w:r>
    </w:p>
    <w:p w:rsidR="00865DBF" w:rsidRPr="00C23AEB" w:rsidRDefault="00865DBF" w:rsidP="00D23B4B">
      <w:pPr>
        <w:autoSpaceDE w:val="0"/>
        <w:autoSpaceDN w:val="0"/>
        <w:adjustRightInd w:val="0"/>
        <w:spacing w:after="0" w:line="360" w:lineRule="auto"/>
        <w:jc w:val="both"/>
        <w:rPr>
          <w:rFonts w:ascii="Times New Roman" w:hAnsi="Times New Roman" w:cs="Times New Roman"/>
          <w:sz w:val="24"/>
          <w:szCs w:val="24"/>
        </w:rPr>
      </w:pPr>
    </w:p>
    <w:p w:rsidR="00A60A65" w:rsidRPr="00C03D9E" w:rsidRDefault="009277B7" w:rsidP="00D23B4B">
      <w:pPr>
        <w:autoSpaceDE w:val="0"/>
        <w:autoSpaceDN w:val="0"/>
        <w:adjustRightInd w:val="0"/>
        <w:spacing w:after="0" w:line="360" w:lineRule="auto"/>
        <w:jc w:val="both"/>
        <w:rPr>
          <w:rFonts w:ascii="Times New Roman" w:hAnsi="Times New Roman" w:cs="Times New Roman"/>
          <w:b/>
          <w:sz w:val="24"/>
          <w:szCs w:val="24"/>
        </w:rPr>
      </w:pPr>
      <w:r w:rsidRPr="00C03D9E">
        <w:rPr>
          <w:rFonts w:ascii="Times New Roman" w:hAnsi="Times New Roman" w:cs="Times New Roman"/>
          <w:b/>
          <w:sz w:val="24"/>
          <w:szCs w:val="24"/>
        </w:rPr>
        <w:t>Gene</w:t>
      </w:r>
      <w:r w:rsidR="00C03D9E">
        <w:rPr>
          <w:rFonts w:ascii="Times New Roman" w:hAnsi="Times New Roman" w:cs="Times New Roman"/>
          <w:b/>
          <w:sz w:val="24"/>
          <w:szCs w:val="24"/>
        </w:rPr>
        <w:t>tic</w:t>
      </w:r>
      <w:r w:rsidRPr="00C03D9E">
        <w:rPr>
          <w:rFonts w:ascii="Times New Roman" w:hAnsi="Times New Roman" w:cs="Times New Roman"/>
          <w:b/>
          <w:sz w:val="24"/>
          <w:szCs w:val="24"/>
        </w:rPr>
        <w:t xml:space="preserve"> </w:t>
      </w:r>
      <w:r w:rsidR="00A01D29" w:rsidRPr="00C03D9E">
        <w:rPr>
          <w:rFonts w:ascii="Times New Roman" w:hAnsi="Times New Roman" w:cs="Times New Roman"/>
          <w:b/>
          <w:sz w:val="24"/>
          <w:szCs w:val="24"/>
        </w:rPr>
        <w:t>engineering and</w:t>
      </w:r>
      <w:r w:rsidRPr="00C03D9E">
        <w:rPr>
          <w:rFonts w:ascii="Times New Roman" w:hAnsi="Times New Roman" w:cs="Times New Roman"/>
          <w:b/>
          <w:sz w:val="24"/>
          <w:szCs w:val="24"/>
        </w:rPr>
        <w:t xml:space="preserve"> </w:t>
      </w:r>
      <w:r w:rsidR="00A60A65" w:rsidRPr="00C03D9E">
        <w:rPr>
          <w:rFonts w:ascii="Times New Roman" w:hAnsi="Times New Roman" w:cs="Times New Roman"/>
          <w:b/>
          <w:sz w:val="24"/>
          <w:szCs w:val="24"/>
        </w:rPr>
        <w:t>Genome editing</w:t>
      </w:r>
    </w:p>
    <w:p w:rsidR="0031268A" w:rsidRPr="0031268A" w:rsidRDefault="0031268A"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r w:rsidRPr="0031268A">
        <w:rPr>
          <w:rFonts w:ascii="Times New Roman" w:hAnsi="Times New Roman" w:cs="Times New Roman"/>
          <w:bCs/>
          <w:color w:val="000000"/>
          <w:sz w:val="24"/>
          <w:szCs w:val="24"/>
        </w:rPr>
        <w:t>Fish cell lines offer a unique advantage as they can be genetically manipulated, making them valuable tools for knockout studies aimed at observing the effects of specific gene deactivation. Notably, the CRISPR-Cas9 system has been developed for genetic modification in various fish somatic cell lines</w:t>
      </w:r>
      <w:r w:rsidR="001732E7" w:rsidRPr="001732E7">
        <w:rPr>
          <w:rFonts w:ascii="Times New Roman" w:hAnsi="Times New Roman" w:cs="Times New Roman"/>
          <w:sz w:val="24"/>
          <w:szCs w:val="24"/>
        </w:rPr>
        <w:t xml:space="preserve"> </w:t>
      </w:r>
      <w:r w:rsidR="001732E7">
        <w:rPr>
          <w:rFonts w:ascii="Times New Roman" w:hAnsi="Times New Roman" w:cs="Times New Roman"/>
          <w:sz w:val="24"/>
          <w:szCs w:val="24"/>
        </w:rPr>
        <w:fldChar w:fldCharType="begin" w:fldLock="1"/>
      </w:r>
      <w:r w:rsidR="001732E7">
        <w:rPr>
          <w:rFonts w:ascii="Times New Roman" w:hAnsi="Times New Roman" w:cs="Times New Roman"/>
          <w:sz w:val="24"/>
          <w:szCs w:val="24"/>
        </w:rPr>
        <w:instrText>ADDIN CSL_CITATION {"citationItems":[{"id":"ITEM-1","itemData":{"DOI":"10.1007/s10126-016-9708-6","ISSN":"1436-2236 (Electronic)","PMID":"27236514","abstract":"CRISPR/Cas9 system has been used widely in animals and plants to direct  mutagenesis. To date, no such method exists for fish somatic cell lines. We describe an efficient procedure for genome editing in the Chinook salmon Oncorhynchus tshawytscha CHSE. This cell line was genetically modified to firstly overexpress a monomeric form of EGFP (cell line CHSE-E Geneticin resistant) and additionally to overexpress nCas9n, a nuclear version of Cas9 (cell line CHSE-EC, Hygromycin and Geneticin resistant). A pre-validated sgRNA was produced in vitro and used to transfect CHSE-EC cells. The EGFP gene was disrupted in 34.6 % of cells, as estimated by FACS and microscopy. The targeted locus was characterised by PCR amplification, cloning and sequencing of PCR products; inactivation of the EGFP gene by deletions in the expected site was validated in 25 % of clones. This method opens perspectives for functional genomic studies compatible with high-throughput screening.","author":[{"dropping-particle":"","family":"Dehler","given":"Carola E","non-dropping-particle":"","parse-names":false,"suffix":""},{"dropping-particle":"","family":"Boudinot","given":"Pierre","non-dropping-particle":"","parse-names":false,"suffix":""},{"dropping-particle":"","family":"Martin","given":"Samuel A M","non-dropping-particle":"","parse-names":false,"suffix":""},{"dropping-particle":"","family":"Collet","given":"Bertrand","non-dropping-particle":"","parse-names":false,"suffix":""}],"container-title":"Marine biotechnology (New York, N.Y.)","id":"ITEM-1","issue":"4","issued":{"date-parts":[["2016","8"]]},"language":"eng","page":"449-452","publisher-place":"United States","title":"Development of an Efficient Genome Editing Method by CRISPR/Cas9 in a Fish Cell  Line.","type":"article-journal","volume":"18"},"uris":["http://www.mendeley.com/documents/?uuid=a3e1c538-bd1d-42d2-abb7-ff53ab390cfd"]}],"mendeley":{"formattedCitation":"(Dehler et al., 2016)","manualFormatting":"(Dehler et al., 2016","plainTextFormattedCitation":"(Dehler et al., 2016)","previouslyFormattedCitation":"(Dehler et al., 2016)"},"properties":{"noteIndex":0},"schema":"https://github.com/citation-style-language/schema/raw/master/csl-citation.json"}</w:instrText>
      </w:r>
      <w:r w:rsidR="001732E7">
        <w:rPr>
          <w:rFonts w:ascii="Times New Roman" w:hAnsi="Times New Roman" w:cs="Times New Roman"/>
          <w:sz w:val="24"/>
          <w:szCs w:val="24"/>
        </w:rPr>
        <w:fldChar w:fldCharType="separate"/>
      </w:r>
      <w:r w:rsidR="001732E7" w:rsidRPr="00065993">
        <w:rPr>
          <w:rFonts w:ascii="Times New Roman" w:hAnsi="Times New Roman" w:cs="Times New Roman"/>
          <w:noProof/>
          <w:sz w:val="24"/>
          <w:szCs w:val="24"/>
        </w:rPr>
        <w:t>(Dehler et al., 2016</w:t>
      </w:r>
      <w:r w:rsidR="001732E7">
        <w:rPr>
          <w:rFonts w:ascii="Times New Roman" w:hAnsi="Times New Roman" w:cs="Times New Roman"/>
          <w:sz w:val="24"/>
          <w:szCs w:val="24"/>
        </w:rPr>
        <w:fldChar w:fldCharType="end"/>
      </w:r>
      <w:r w:rsidR="001732E7">
        <w:rPr>
          <w:rFonts w:ascii="Times New Roman" w:hAnsi="Times New Roman" w:cs="Times New Roman"/>
          <w:sz w:val="24"/>
          <w:szCs w:val="24"/>
        </w:rPr>
        <w:t xml:space="preserve">; </w:t>
      </w:r>
      <w:r w:rsidR="001732E7">
        <w:rPr>
          <w:rFonts w:ascii="Times New Roman" w:hAnsi="Times New Roman" w:cs="Times New Roman"/>
          <w:sz w:val="24"/>
          <w:szCs w:val="24"/>
        </w:rPr>
        <w:fldChar w:fldCharType="begin" w:fldLock="1"/>
      </w:r>
      <w:r w:rsidR="001732E7">
        <w:rPr>
          <w:rFonts w:ascii="Times New Roman" w:hAnsi="Times New Roman" w:cs="Times New Roman"/>
          <w:sz w:val="24"/>
          <w:szCs w:val="24"/>
        </w:rPr>
        <w:instrText>ADDIN CSL_CITATION {"citationItems":[{"id":"ITEM-1","itemData":{"DOI":"10.1016/j.fsi.2018.02.039","ISSN":"1095-9947 (Electronic)","PMID":"29477498","abstract":"The hemorrhagic disease of grass carp (Ctenopharyngodon idellus) induced by grass  carp reovirus (GCRV) leads to huge economic losses in China and currently, there are no effective methods available for prevention and treatment. The various GCRV genotypes may be one of the major obstacles in the pursuit of an effective antiviral treatment. In this study, we exploited CRISPR/Cas9 gene editing to specifically knockout the DNA sequence of the grass carp Junctional Adhesion Molecule-A (gcJAM-A) and evaluated in vitro resistance against various GCRV genotypes. Our results show that CRISPR/Cas9 effectively knocked out gcJAM-A and reduced GCRV infection for two different genotypes in permissive grass carp kidney cells (CIK), as evidenced by suppressed cytopathic effect (CPE) and GCRV progeny production in infected cells. In addition, with ectopic expression of gcJAM-A in cells, non-permissive cells derived from Chinese giant salamander (Andrias davidianus) muscle (GSM) could be highly infected by both GCRV-JX0901 and Hubei grass carp disease reovirus (HGDRV) strains that have different genotypes. Taken together, the results demonstrate that gcJAM-A is necessary for GCRV infection, implying a potential approach for viral control in aquaculture.","author":[{"dropping-particle":"","family":"Ma","given":"Jie","non-dropping-particle":"","parse-names":false,"suffix":""},{"dropping-particle":"","family":"Fan","given":"Yuding","non-dropping-particle":"","parse-names":false,"suffix":""},{"dropping-particle":"","family":"Zhou","given":"Yong","non-dropping-particle":"","parse-names":false,"suffix":""},{"dropping-particle":"","family":"Liu","given":"Wenzhi","non-dropping-particle":"","parse-names":false,"suffix":""},{"dropping-particle":"","family":"Jiang","given":"Nan","non-dropping-particle":"","parse-names":false,"suffix":""},{"dropping-particle":"","family":"Zhang","given":"Jieming","non-dropping-particle":"","parse-names":false,"suffix":""},{"dropping-particle":"","family":"Zeng","given":"Lingbing","non-dropping-particle":"","parse-names":false,"suffix":""}],"container-title":"Fish &amp; shellfish immunology","id":"ITEM-1","issued":{"date-parts":[["2018","5"]]},"language":"eng","page":"206-215","publisher-place":"England","title":"Efficient resistance to grass carp reovirus infection in JAM-A knockout cells  using CRISPR/Cas9.","type":"article-journal","volume":"76"},"uris":["http://www.mendeley.com/documents/?uuid=0a1def07-cbd6-42b0-9649-f6ade4df0936"]}],"mendeley":{"formattedCitation":"(Ma et al., 2018)","manualFormatting":"Ma et al., 2018)","plainTextFormattedCitation":"(Ma et al., 2018)","previouslyFormattedCitation":"(Ma et al., 2018)"},"properties":{"noteIndex":0},"schema":"https://github.com/citation-style-language/schema/raw/master/csl-citation.json"}</w:instrText>
      </w:r>
      <w:r w:rsidR="001732E7">
        <w:rPr>
          <w:rFonts w:ascii="Times New Roman" w:hAnsi="Times New Roman" w:cs="Times New Roman"/>
          <w:sz w:val="24"/>
          <w:szCs w:val="24"/>
        </w:rPr>
        <w:fldChar w:fldCharType="separate"/>
      </w:r>
      <w:r w:rsidR="001732E7" w:rsidRPr="00F10940">
        <w:rPr>
          <w:rFonts w:ascii="Times New Roman" w:hAnsi="Times New Roman" w:cs="Times New Roman"/>
          <w:noProof/>
          <w:sz w:val="24"/>
          <w:szCs w:val="24"/>
        </w:rPr>
        <w:t>Ma et al., 2018)</w:t>
      </w:r>
      <w:r w:rsidR="001732E7">
        <w:rPr>
          <w:rFonts w:ascii="Times New Roman" w:hAnsi="Times New Roman" w:cs="Times New Roman"/>
          <w:sz w:val="24"/>
          <w:szCs w:val="24"/>
        </w:rPr>
        <w:fldChar w:fldCharType="end"/>
      </w:r>
      <w:r>
        <w:rPr>
          <w:rFonts w:ascii="Times New Roman" w:hAnsi="Times New Roman" w:cs="Times New Roman"/>
          <w:sz w:val="24"/>
          <w:szCs w:val="24"/>
        </w:rPr>
        <w:t>.</w:t>
      </w:r>
      <w:r w:rsidR="001732E7">
        <w:rPr>
          <w:rFonts w:ascii="Times New Roman" w:hAnsi="Times New Roman" w:cs="Times New Roman"/>
          <w:sz w:val="24"/>
          <w:szCs w:val="24"/>
        </w:rPr>
        <w:t xml:space="preserve"> </w:t>
      </w:r>
      <w:r w:rsidRPr="0031268A">
        <w:rPr>
          <w:rFonts w:ascii="Times New Roman" w:hAnsi="Times New Roman" w:cs="Times New Roman"/>
          <w:sz w:val="24"/>
          <w:szCs w:val="24"/>
        </w:rPr>
        <w:t xml:space="preserve">In the context of Chinook salmon, a </w:t>
      </w:r>
      <w:r w:rsidRPr="0031268A">
        <w:rPr>
          <w:rFonts w:ascii="Times New Roman" w:hAnsi="Times New Roman" w:cs="Times New Roman"/>
          <w:sz w:val="24"/>
          <w:szCs w:val="24"/>
        </w:rPr>
        <w:lastRenderedPageBreak/>
        <w:t xml:space="preserve">genetically modified embryo cell line capable of expressing </w:t>
      </w:r>
      <w:proofErr w:type="spellStart"/>
      <w:r w:rsidRPr="0031268A">
        <w:rPr>
          <w:rFonts w:ascii="Times New Roman" w:hAnsi="Times New Roman" w:cs="Times New Roman"/>
          <w:sz w:val="24"/>
          <w:szCs w:val="24"/>
        </w:rPr>
        <w:t>geneticin</w:t>
      </w:r>
      <w:proofErr w:type="spellEnd"/>
      <w:r w:rsidRPr="0031268A">
        <w:rPr>
          <w:rFonts w:ascii="Times New Roman" w:hAnsi="Times New Roman" w:cs="Times New Roman"/>
          <w:sz w:val="24"/>
          <w:szCs w:val="24"/>
        </w:rPr>
        <w:t xml:space="preserve"> and </w:t>
      </w:r>
      <w:proofErr w:type="spellStart"/>
      <w:r w:rsidRPr="0031268A">
        <w:rPr>
          <w:rFonts w:ascii="Times New Roman" w:hAnsi="Times New Roman" w:cs="Times New Roman"/>
          <w:sz w:val="24"/>
          <w:szCs w:val="24"/>
        </w:rPr>
        <w:t>hygromycin</w:t>
      </w:r>
      <w:proofErr w:type="spellEnd"/>
      <w:r w:rsidRPr="0031268A">
        <w:rPr>
          <w:rFonts w:ascii="Times New Roman" w:hAnsi="Times New Roman" w:cs="Times New Roman"/>
          <w:sz w:val="24"/>
          <w:szCs w:val="24"/>
        </w:rPr>
        <w:t xml:space="preserve"> resistance was generated using knockout </w:t>
      </w:r>
      <w:r>
        <w:rPr>
          <w:rFonts w:ascii="Times New Roman" w:hAnsi="Times New Roman" w:cs="Times New Roman"/>
          <w:sz w:val="24"/>
          <w:szCs w:val="24"/>
        </w:rPr>
        <w:t xml:space="preserve">technology by </w:t>
      </w:r>
      <w:r w:rsidR="001732E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{"citationItems":[{"id":"ITEM-1","itemData":{"DOI":"10.1242/bio.035170","ISSN":"2046-6390 (Print)","PMID":"30072445","abstract":"Gene editing with CRISPR/Cas9 is a powerful tool to study the function of target  genes. Although this technology has demonstrated wide efficiency in many species, including fertilized zebrafish and medaka fish embryos when microinjected, its application to achieve efficient gene editing in cultured fish cells have met some difficulty. Here, we report an efficient and reliable approach to edit genes in cultured medaka (Oryzias latipes) fish cells using pre-formed gRNA-Cas9 ribonucleoprotein (RNP) complex. Both medaka fish haploid and diploid cells were transfected with the RNP complex by electroporation. Efficient gene editing was demonstrated by polymerase chain reaction (PCR) amplification of the target gene from genomic DNA and heteroduplex mobility assay carried out with polyacrylamide gel electrophoresis (PAGE). The heteroduplex bands caused by RNP cleavage and non-homologous end joining could be readily detected by PAGE. DNA sequencing confirmed that these heteroduplex bands contains the mutated target gene sequence. The average gene editing efficiency in haploid cells reached 50%, enabling us to generate a clonal cell line with ntrk3b gene mutation for further study. This RNP transfection method also works efficiently in diploid medaka cells, with the highest mutation efficiency of 61.5%. The specificity of this synthetic RNP CRISPR/Cas9 approach was verified by candidate off-target gene sequencing. Our result indicated that transfection of pre-formed gRNA-Cas9 RNP into fish cells is efficient and reliable to edit target genes in cultured medaka fish cells. This method will be very useful for gene function studies using cultured fish cells.","author":[{"dropping-particle":"","family":"Liu","given":"Qizhi","non-dropping-particle":"","parse-names":false,"suffix":""},{"dropping-particle":"","family":"Yuan","given":"Yongming","non-dropping-particle":"","parse-names":false,"suffix":""},{"dropping-particle":"","family":"Zhu","given":"Feng","non-dropping-particle":"","parse-names":false,"suffix":""},{"dropping-particle":"","family":"Hong","given":"Yunhan","non-dropping-particle":"","parse-names":false,"suffix":""},{"dropping-particle":"","family":"Ge","given":"Ruowen","non-dropping-particle":"","parse-names":false,"suffix":""}],"container-title":"Biology open","id":"ITEM-1","issue":"8","issued":{"date-parts":[["2018","8"]]},"language":"eng","publisher-place":"England","title":"Efficient genome editing using CRISPR/Cas9 ribonucleoprotein approach in cultured  Medaka fish cells.","type":"article-journal","volume":"7"},"uris":["http://www.mendeley.com/documents/?uuid=c3041fd0-ccb9-4a8a-97e1-d3acb25d08a9"]}],"mendeley":{"formattedCitation":"(Liu et al., 2018)","manualFormatting":"Liu et al., (2018)","plainTextFormattedCitation":"(Liu et al., 2018)","previouslyFormattedCitation":"(Liu et al., 2018)"},"properties":{"noteIndex":0},"schema":"https://github.com/citation-style-language/schema/raw/master/csl-citation.json"}</w:instrText>
      </w:r>
      <w:r w:rsidR="001732E7">
        <w:rPr>
          <w:rFonts w:ascii="Times New Roman" w:hAnsi="Times New Roman" w:cs="Times New Roman"/>
          <w:sz w:val="24"/>
          <w:szCs w:val="24"/>
        </w:rPr>
        <w:fldChar w:fldCharType="separate"/>
      </w:r>
      <w:r w:rsidR="001732E7" w:rsidRPr="00F10940">
        <w:rPr>
          <w:rFonts w:ascii="Times New Roman" w:hAnsi="Times New Roman" w:cs="Times New Roman"/>
          <w:noProof/>
          <w:sz w:val="24"/>
          <w:szCs w:val="24"/>
        </w:rPr>
        <w:t xml:space="preserve">Liu et al., </w:t>
      </w:r>
      <w:r>
        <w:rPr>
          <w:rFonts w:ascii="Times New Roman" w:hAnsi="Times New Roman" w:cs="Times New Roman"/>
          <w:noProof/>
          <w:sz w:val="24"/>
          <w:szCs w:val="24"/>
        </w:rPr>
        <w:t>(</w:t>
      </w:r>
      <w:r w:rsidR="001732E7" w:rsidRPr="00F10940">
        <w:rPr>
          <w:rFonts w:ascii="Times New Roman" w:hAnsi="Times New Roman" w:cs="Times New Roman"/>
          <w:noProof/>
          <w:sz w:val="24"/>
          <w:szCs w:val="24"/>
        </w:rPr>
        <w:t>2018)</w:t>
      </w:r>
      <w:r w:rsidR="001732E7">
        <w:rPr>
          <w:rFonts w:ascii="Times New Roman" w:hAnsi="Times New Roman" w:cs="Times New Roman"/>
          <w:sz w:val="24"/>
          <w:szCs w:val="24"/>
        </w:rPr>
        <w:fldChar w:fldCharType="end"/>
      </w:r>
      <w:r w:rsidR="001732E7" w:rsidRPr="00C23AEB">
        <w:rPr>
          <w:rFonts w:ascii="Times New Roman" w:hAnsi="Times New Roman" w:cs="Times New Roman"/>
          <w:color w:val="0070C0"/>
          <w:sz w:val="24"/>
          <w:szCs w:val="24"/>
        </w:rPr>
        <w:t>.</w:t>
      </w:r>
      <w:r>
        <w:rPr>
          <w:rFonts w:ascii="Times New Roman" w:hAnsi="Times New Roman" w:cs="Times New Roman"/>
          <w:color w:val="0070C0"/>
          <w:sz w:val="24"/>
          <w:szCs w:val="24"/>
        </w:rPr>
        <w:t xml:space="preserve"> </w:t>
      </w:r>
      <w:r w:rsidRPr="0031268A">
        <w:rPr>
          <w:rFonts w:ascii="Times New Roman" w:hAnsi="Times New Roman" w:cs="Times New Roman"/>
          <w:color w:val="000000" w:themeColor="text1"/>
          <w:sz w:val="24"/>
          <w:szCs w:val="24"/>
        </w:rPr>
        <w:t xml:space="preserve">Further advancements in gene editing have been achieved in </w:t>
      </w:r>
      <w:proofErr w:type="spellStart"/>
      <w:r w:rsidRPr="0031268A">
        <w:rPr>
          <w:rFonts w:ascii="Times New Roman" w:hAnsi="Times New Roman" w:cs="Times New Roman"/>
          <w:color w:val="000000" w:themeColor="text1"/>
          <w:sz w:val="24"/>
          <w:szCs w:val="24"/>
        </w:rPr>
        <w:t>medaka</w:t>
      </w:r>
      <w:proofErr w:type="spellEnd"/>
      <w:r w:rsidRPr="0031268A">
        <w:rPr>
          <w:rFonts w:ascii="Times New Roman" w:hAnsi="Times New Roman" w:cs="Times New Roman"/>
          <w:color w:val="000000" w:themeColor="text1"/>
          <w:sz w:val="24"/>
          <w:szCs w:val="24"/>
        </w:rPr>
        <w:t xml:space="preserve"> embryonic cell lines, as demonstrated by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{"citationItems":[{"id":"ITEM-1","itemData":{"DOI":"10.1186/s12896-020-00626-x","ISSN":"1472-6750 (Electronic)","PMID":"32576161","abstract":"BACKGROUND: Genome editing is transforming bioscience research, but its  application to non-model organisms, such as farmed animal species, requires optimisation. Salmonids are the most important aquaculture species by value, and improving genetic resistance to infectious disease is a major goal. However, use of genome editing to evaluate putative disease resistance genes in cell lines, and the use of genome-wide CRISPR screens is currently limited by a lack of available tools and techniques. RESULTS: In the current study, we developed an optimised protocol using lentivirus transduction for efficient integration of constructs into the genome of a Chinook salmon (Oncorhynchus tshwaytcha) cell line (CHSE-214). As proof-of-principle, two target genes were edited with high efficiency in an EGFP-Cas9 stable CHSE cell line; specifically, the exogenous, integrated EGFP and the endogenous RIG-I locus. Finally, the effective use of antibiotic selection to enrich the successfully edited targeted population was demonstrated. CONCLUSIONS: The optimised lentiviral-mediated CRISPR method reported here increases possibilities for efficient genome editing in salmonid cells, in particular for future applications of genome-wide CRISPR screens for disease resistance.","author":[{"dropping-particle":"","family":"Gratacap","given":"Remi L","non-dropping-particle":"","parse-names":false,"suffix":""},{"dropping-particle":"","family":"Regan","given":"Tim","non-dropping-particle":"","parse-names":false,"suffix":""},{"dropping-particle":"","family":"Dehler","given":"Carola E","non-dropping-particle":"","parse-names":false,"suffix":""},{"dropping-particle":"","family":"Martin","given":"Samuel A M","non-dropping-particle":"","parse-names":false,"suffix":""},{"dropping-particle":"","family":"Boudinot","given":"Pierre","non-dropping-particle":"","parse-names":false,"suffix":""},{"dropping-particle":"","family":"Collet","given":"Bertrand","non-dropping-particle":"","parse-names":false,"suffix":""},{"dropping-particle":"","family":"Houston","given":"Ross D","non-dropping-particle":"","parse-names":false,"suffix":""}],"container-title":"BMC biotechnology","id":"ITEM-1","issue":"1","issued":{"date-parts":[["2020","6"]]},"language":"eng","page":"35","publisher-place":"England","title":"Efficient CRISPR/Cas9 genome editing in a salmonid fish cell line using a  lentivirus delivery system.","type":"article-journal","volume":"20"},"uris":["http://www.mendeley.com/documents/?uuid=e0dec0b0-a49c-453a-8ffa-40a7f18a2a9a"]}],"mendeley":{"formattedCitation":"(Gratacap et al., 2020)","manualFormatting":"Gratacap et al., (2020)","plainTextFormattedCitation":"(Gratacap et al., 2020)","previouslyFormattedCitation":"(Gratacap et al., 2020)"},"properties":{"noteIndex":0},"schema":"https://github.com/citation-style-language/schema/raw/master/csl-citation.json"}</w:instrText>
      </w:r>
      <w:r>
        <w:rPr>
          <w:rFonts w:ascii="Times New Roman" w:hAnsi="Times New Roman" w:cs="Times New Roman"/>
          <w:sz w:val="24"/>
          <w:szCs w:val="24"/>
        </w:rPr>
        <w:fldChar w:fldCharType="separate"/>
      </w:r>
      <w:r w:rsidRPr="00F10940">
        <w:rPr>
          <w:rFonts w:ascii="Times New Roman" w:hAnsi="Times New Roman" w:cs="Times New Roman"/>
          <w:noProof/>
          <w:sz w:val="24"/>
          <w:szCs w:val="24"/>
        </w:rPr>
        <w:t xml:space="preserve">Gratacap et al., </w:t>
      </w:r>
      <w:r>
        <w:rPr>
          <w:rFonts w:ascii="Times New Roman" w:hAnsi="Times New Roman" w:cs="Times New Roman"/>
          <w:noProof/>
          <w:sz w:val="24"/>
          <w:szCs w:val="24"/>
        </w:rPr>
        <w:t>(</w:t>
      </w:r>
      <w:r w:rsidRPr="00F10940">
        <w:rPr>
          <w:rFonts w:ascii="Times New Roman" w:hAnsi="Times New Roman" w:cs="Times New Roman"/>
          <w:noProof/>
          <w:sz w:val="24"/>
          <w:szCs w:val="24"/>
        </w:rPr>
        <w:t>2020)</w:t>
      </w:r>
      <w:r>
        <w:rPr>
          <w:rFonts w:ascii="Times New Roman" w:hAnsi="Times New Roman" w:cs="Times New Roman"/>
          <w:sz w:val="24"/>
          <w:szCs w:val="24"/>
        </w:rPr>
        <w:fldChar w:fldCharType="end"/>
      </w:r>
      <w:r w:rsidRPr="0031268A">
        <w:rPr>
          <w:rFonts w:ascii="Times New Roman" w:hAnsi="Times New Roman" w:cs="Times New Roman"/>
          <w:color w:val="000000" w:themeColor="text1"/>
          <w:sz w:val="24"/>
          <w:szCs w:val="24"/>
        </w:rPr>
        <w:t>. This success paved the way for developing gene editing protocols using the gRNA-Cas9 ribonucleoprotein complex in the CHSE-214 cell line through lentivirus transduction, offering the potential for disease resistance m</w:t>
      </w:r>
      <w:r>
        <w:rPr>
          <w:rFonts w:ascii="Times New Roman" w:hAnsi="Times New Roman" w:cs="Times New Roman"/>
          <w:color w:val="000000" w:themeColor="text1"/>
          <w:sz w:val="24"/>
          <w:szCs w:val="24"/>
        </w:rPr>
        <w:t>anipulation in salmonid species</w:t>
      </w:r>
      <w:r w:rsidRPr="0031268A">
        <w:rPr>
          <w:rFonts w:ascii="Times New Roman" w:hAnsi="Times New Roman" w:cs="Times New Roman"/>
          <w:color w:val="000000" w:themeColor="text1"/>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{"citationItems":[{"id":"ITEM-1","itemData":{"DOI":"10.1038/cr.2013.45","ISSN":"1748-7838 (Electronic)","PMID":"23528705","abstract":"Recent advances with the type II clustered regularly interspaced short  palindromic repeats (CRISPR) system promise an improved approach to genome editing. However, the applicability and efficiency of this system in model organisms, such as zebrafish, are little studied. Here, we report that RNA-guided Cas9 nuclease efficiently facilitates genome editing in both mammalian cells and zebrafish embryos in a simple and robust manner. Over 35% of site-specific somatic mutations were found when specific Cas/gRNA was used to target either etsrp, gata4 or gata5 in zebrafish embryos in vivo. The Cas9/gRNA efficiently induced biallelic conversion of etsrp or gata5 in the resulting somatic cells, recapitulating their respective vessel phenotypes in etsrp(y11) mutant embryos or cardia bifida phenotypes in fau(tm236a) mutant embryos. Finally, we successfully achieved site-specific insertion of mloxP sequence induced by Cas9/gRNA system in zebrafish embryos. These results demonstrate that the Cas9/gRNA system has the potential of becoming a simple, robust and efficient reverse genetic tool for zebrafish and other model organisms. Together with other genome-engineering technologies, the Cas9 system is promising for applications in biology, agriculture, environmental studies and medicine.","author":[{"dropping-particle":"","family":"Chang","given":"Nannan","non-dropping-particle":"","parse-names":false,"suffix":""},{"dropping-particle":"","family":"Sun","given":"Changhong","non-dropping-particle":"","parse-names":false,"suffix":""},{"dropping-particle":"","family":"Gao","given":"Lu","non-dropping-particle":"","parse-names":false,"suffix":""},{"dropping-particle":"","family":"Zhu","given":"Dan","non-dropping-particle":"","parse-names":false,"suffix":""},{"dropping-particle":"","family":"Xu","given":"Xiufei","non-dropping-particle":"","parse-names":false,"suffix":""},{"dropping-particle":"","family":"Zhu","given":"Xiaojun","non-dropping-particle":"","parse-names":false,"suffix":""},{"dropping-particle":"","family":"Xiong","given":"Jing-Wei","non-dropping-particle":"","parse-names":false,"suffix":""},{"dropping-particle":"","family":"Xi","given":"Jianzhong Jeff","non-dropping-particle":"","parse-names":false,"suffix":""}],"container-title":"Cell research","id":"ITEM-1","issue":"4","issued":{"date-parts":[["2013","4"]]},"language":"eng","page":"465-472","publisher-place":"England","title":"Genome editing with RNA-guided Cas9 nuclease in zebrafish embryos.","type":"article-journal","volume":"23"},"uris":["http://www.mendeley.com/documents/?uuid=22642b65-6a76-403b-9097-9ced310f561c"]}],"mendeley":{"formattedCitation":"(Chang et al., 2013)","plainTextFormattedCitation":"(Chang et al., 2013)","previouslyFormattedCitation":"(Chang et al., 2013)"},"properties":{"noteIndex":0},"schema":"https://github.com/citation-style-language/schema/raw/master/csl-citation.json"}</w:instrText>
      </w:r>
      <w:r>
        <w:rPr>
          <w:rFonts w:ascii="Times New Roman" w:hAnsi="Times New Roman" w:cs="Times New Roman"/>
          <w:sz w:val="24"/>
          <w:szCs w:val="24"/>
        </w:rPr>
        <w:fldChar w:fldCharType="separate"/>
      </w:r>
      <w:r w:rsidRPr="00F10940">
        <w:rPr>
          <w:rFonts w:ascii="Times New Roman" w:hAnsi="Times New Roman" w:cs="Times New Roman"/>
          <w:noProof/>
          <w:sz w:val="24"/>
          <w:szCs w:val="24"/>
        </w:rPr>
        <w:t>(Chang et al., 2013)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1268A">
        <w:rPr>
          <w:rFonts w:ascii="Times New Roman" w:hAnsi="Times New Roman" w:cs="Times New Roman"/>
          <w:color w:val="000000" w:themeColor="text1"/>
          <w:sz w:val="24"/>
          <w:szCs w:val="24"/>
        </w:rPr>
        <w:t xml:space="preserve">Moreover, successful genome editing using RNA-guided Cas9 nuclease in zebrafish embryos was reported by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{"citationItems":[{"id":"ITEM-1","itemData":{"DOI":"10.1038/nbt.2501","ISSN":"1546-1696 (Electronic)","PMID":"23360964","abstract":"In bacteria, foreign nucleic acids are silenced by clustered, regularly  interspaced, short palindromic repeats (CRISPR)--CRISPR-associated (Cas) systems. Bacterial type II CRISPR systems have been adapted to create guide RNAs that direct site-specific DNA cleavage by the Cas9 endonuclease in cultured cells. Here we show that the CRISPR-Cas system functions in vivo to induce targeted genetic modifications in zebrafish embryos with efficiencies similar to those obtained using zinc finger nucleases and transcription activator-like effector nucleases.","author":[{"dropping-particle":"","family":"Hwang","given":"Woong Y","non-dropping-particle":"","parse-names":false,"suffix":""},{"dropping-particle":"","family":"Fu","given":"Yanfang","non-dropping-particle":"","parse-names":false,"suffix":""},{"dropping-particle":"","family":"Reyon","given":"Deepak","non-dropping-particle":"","parse-names":false,"suffix":""},{"dropping-particle":"","family":"Maeder","given":"Morgan L","non-dropping-particle":"","parse-names":false,"suffix":""},{"dropping-particle":"","family":"Tsai","given":"Shengdar Q","non-dropping-particle":"","parse-names":false,"suffix":""},{"dropping-particle":"","family":"Sander","given":"Jeffry D","non-dropping-particle":"","parse-names":false,"suffix":""},{"dropping-particle":"","family":"Peterson","given":"Randall T","non-dropping-particle":"","parse-names":false,"suffix":""},{"dropping-particle":"","family":"Yeh","given":"J-R Joanna","non-dropping-particle":"","parse-names":false,"suffix":""},{"dropping-particle":"","family":"Joung","given":"J Keith","non-dropping-particle":"","parse-names":false,"suffix":""}],"container-title":"Nature biotechnology","id":"ITEM-1","issue":"3","issued":{"date-parts":[["2013","3"]]},"language":"eng","page":"227-229","publisher-place":"United States","title":"Efficient genome editing in zebrafish using a CRISPR-Cas system.","type":"article-journal","volume":"31"},"uris":["http://www.mendeley.com/documents/?uuid=2fecddba-1a2a-4380-af0a-6b63589f11ba"]}],"mendeley":{"formattedCitation":"(Hwang et al., 2013)","plainTextFormattedCitation":"(Hwang et al., 2013)","previouslyFormattedCitation":"(Hwang et al., 2013)"},"properties":{"noteIndex":0},"schema":"https://github.com/citation-style-language/schema/raw/master/csl-citation.json"}</w:instrText>
      </w:r>
      <w:r>
        <w:rPr>
          <w:rFonts w:ascii="Times New Roman" w:hAnsi="Times New Roman" w:cs="Times New Roman"/>
          <w:sz w:val="24"/>
          <w:szCs w:val="24"/>
        </w:rPr>
        <w:fldChar w:fldCharType="separate"/>
      </w:r>
      <w:r w:rsidRPr="00F10940">
        <w:rPr>
          <w:rFonts w:ascii="Times New Roman" w:hAnsi="Times New Roman" w:cs="Times New Roman"/>
          <w:noProof/>
          <w:sz w:val="24"/>
          <w:szCs w:val="24"/>
        </w:rPr>
        <w:t xml:space="preserve">Hwang et al., </w:t>
      </w:r>
      <w:r>
        <w:rPr>
          <w:rFonts w:ascii="Times New Roman" w:hAnsi="Times New Roman" w:cs="Times New Roman"/>
          <w:noProof/>
          <w:sz w:val="24"/>
          <w:szCs w:val="24"/>
        </w:rPr>
        <w:t>(</w:t>
      </w:r>
      <w:r w:rsidRPr="00F10940">
        <w:rPr>
          <w:rFonts w:ascii="Times New Roman" w:hAnsi="Times New Roman" w:cs="Times New Roman"/>
          <w:noProof/>
          <w:sz w:val="24"/>
          <w:szCs w:val="24"/>
        </w:rPr>
        <w:t>2013)</w:t>
      </w:r>
      <w:r>
        <w:rPr>
          <w:rFonts w:ascii="Times New Roman" w:hAnsi="Times New Roman" w:cs="Times New Roman"/>
          <w:sz w:val="24"/>
          <w:szCs w:val="24"/>
        </w:rPr>
        <w:fldChar w:fldCharType="end"/>
      </w:r>
      <w:r w:rsidR="00BD463C">
        <w:rPr>
          <w:rFonts w:ascii="Times New Roman" w:hAnsi="Times New Roman" w:cs="Times New Roman"/>
          <w:sz w:val="24"/>
          <w:szCs w:val="24"/>
        </w:rPr>
        <w:t>.</w:t>
      </w:r>
    </w:p>
    <w:p w:rsidR="00EC68C9" w:rsidRDefault="00EC68C9" w:rsidP="00D23B4B">
      <w:pPr>
        <w:autoSpaceDE w:val="0"/>
        <w:autoSpaceDN w:val="0"/>
        <w:adjustRightInd w:val="0"/>
        <w:spacing w:after="0" w:line="360" w:lineRule="auto"/>
        <w:jc w:val="both"/>
        <w:rPr>
          <w:rFonts w:ascii="Times New Roman" w:hAnsi="Times New Roman" w:cs="Times New Roman"/>
          <w:sz w:val="24"/>
          <w:szCs w:val="24"/>
        </w:rPr>
      </w:pPr>
    </w:p>
    <w:p w:rsidR="001A33B5" w:rsidRDefault="00B167B0" w:rsidP="001A33B5">
      <w:pPr>
        <w:autoSpaceDE w:val="0"/>
        <w:autoSpaceDN w:val="0"/>
        <w:adjustRightInd w:val="0"/>
        <w:spacing w:after="0" w:line="360" w:lineRule="auto"/>
        <w:jc w:val="both"/>
        <w:rPr>
          <w:rFonts w:ascii="Times New Roman" w:hAnsi="Times New Roman" w:cs="Times New Roman"/>
          <w:color w:val="000000"/>
          <w:sz w:val="24"/>
          <w:szCs w:val="24"/>
        </w:rPr>
      </w:pPr>
      <w:r w:rsidRPr="001A33B5">
        <w:rPr>
          <w:rFonts w:ascii="Times New Roman" w:hAnsi="Times New Roman" w:cs="Times New Roman"/>
          <w:sz w:val="24"/>
          <w:szCs w:val="24"/>
        </w:rPr>
        <w:t xml:space="preserve">Similar to this, plasmids-producing cytokines like Interleukin-6 and macrophage colony-stimulating factor (MSCF) were transfected into viable trout head kidney cell lines. In addition, IL-2, IL-6, and macrophage colony-stimulating factor (MCSF) were designed to express in RTG-2 stable cell lines and rainbow trout head kidney cell lines </w:t>
      </w:r>
      <w:r w:rsidR="001A33B5">
        <w:rPr>
          <w:rFonts w:ascii="Times New Roman" w:hAnsi="Times New Roman" w:cs="Times New Roman"/>
          <w:color w:val="000000"/>
          <w:sz w:val="24"/>
          <w:szCs w:val="24"/>
        </w:rPr>
        <w:fldChar w:fldCharType="begin" w:fldLock="1"/>
      </w:r>
      <w:r w:rsidR="001A33B5">
        <w:rPr>
          <w:rFonts w:ascii="Times New Roman" w:hAnsi="Times New Roman" w:cs="Times New Roman"/>
          <w:color w:val="000000"/>
          <w:sz w:val="24"/>
          <w:szCs w:val="24"/>
        </w:rPr>
        <w:instrText>ADDIN CSL_CITATION {"citationItems":[{"id":"ITEM-1","itemData":{"DOI":"10.1016/j.fsi.2011.10.016","ISSN":"1095-9947 (Electronic)","PMID":"22051181","abstract":"The production of salmonid leukocyte cell lines from primary cell cultures has  been attempted on several occasions, however, to date only monocyte/macrophage like cell lines exist (e.g. RTS-11 and SHK-1 cells). With the increasing number of cytokines discovered in fish in recent years, many of which are growth factors for leukocytes, we now have the possibility of using these molecules to promote leukocyte development and differentiation in culture. We have generated stable cell lines transfected with a variety of plasmids expressing cytokines (Interleukin (IL)-2, IL-6 and Macrophage Colony Stimulating Factor (MCSF)), in order to produce conditioned media rich in these cytokines. The cytokine-conditioned media were used to assess their activity and ability to support the growth of primary head kidney (HK) leukocyte cultures. Here, we describe a series of experiments aimed to determine which cell population(s) of primary HK cultures is supported and will grow in conditioned media containing MCSF, IL-2 or IL-6. For a period of 5 weeks, cells were incubated at 22°C and media were changed every 3-4 days. Samples were taken at different time points, from freshly isolated HK cells (T0), one week post-stimulation (1-WPS), 3-WPS and 5-WPS for RNA extraction. A variety of cell lineage markers (MCSF Receptor 2 (MCSFR2) for macrophages, CD4 and CD8a for T cells and IgM heavy chain for B cells) were then analysed by real-time qPCR to study the cell population dynamics as influenced by the different recombinant cytokines in the cultures. We show here that whilst MCSF appears to drive macrophage differentiation and maintenance, IL-2 and IL-6 seem to preferentially drive lymphocyte differentiation.","author":[{"dropping-particle":"","family":"Corripio-Miyar","given":"Yolanda","non-dropping-particle":"","parse-names":false,"suffix":""},{"dropping-particle":"","family":"Secombes","given":"Christopher J","non-dropping-particle":"","parse-names":false,"suffix":""},{"dropping-particle":"","family":"Zou","given":"Jun","non-dropping-particle":"","parse-names":false,"suffix":""}],"container-title":"Fish &amp; shellfish immunology","id":"ITEM-1","issue":"1","issued":{"date-parts":[["2012","1"]]},"language":"eng","page":"35-44","publisher-place":"England","title":"Long-term stimulation of trout head kidney cells with the cytokines MCSF, IL-2  and IL-6: gene expression dynamics.","type":"article-journal","volume":"32"},"uris":["http://www.mendeley.com/documents/?uuid=05868381-aec5-4c70-bd20-7e02a349e824"]}],"mendeley":{"formattedCitation":"(Corripio-Miyar et al., 2012)","plainTextFormattedCitation":"(Corripio-Miyar et al., 2012)","previouslyFormattedCitation":"(Corripio-Miyar et al., 2012)"},"properties":{"noteIndex":0},"schema":"https://github.com/citation-style-language/schema/raw/master/csl-citation.json"}</w:instrText>
      </w:r>
      <w:r w:rsidR="001A33B5">
        <w:rPr>
          <w:rFonts w:ascii="Times New Roman" w:hAnsi="Times New Roman" w:cs="Times New Roman"/>
          <w:color w:val="000000"/>
          <w:sz w:val="24"/>
          <w:szCs w:val="24"/>
        </w:rPr>
        <w:fldChar w:fldCharType="separate"/>
      </w:r>
      <w:r w:rsidR="001A33B5" w:rsidRPr="005D6DE0">
        <w:rPr>
          <w:rFonts w:ascii="Times New Roman" w:hAnsi="Times New Roman" w:cs="Times New Roman"/>
          <w:noProof/>
          <w:color w:val="000000"/>
          <w:sz w:val="24"/>
          <w:szCs w:val="24"/>
        </w:rPr>
        <w:t>(Corripio-Miyar et al., 2012)</w:t>
      </w:r>
      <w:r w:rsidR="001A33B5">
        <w:rPr>
          <w:rFonts w:ascii="Times New Roman" w:hAnsi="Times New Roman" w:cs="Times New Roman"/>
          <w:color w:val="000000"/>
          <w:sz w:val="24"/>
          <w:szCs w:val="24"/>
        </w:rPr>
        <w:fldChar w:fldCharType="end"/>
      </w:r>
      <w:r w:rsidR="001A33B5">
        <w:rPr>
          <w:rFonts w:ascii="Times New Roman" w:hAnsi="Times New Roman" w:cs="Times New Roman"/>
          <w:color w:val="000000"/>
          <w:sz w:val="24"/>
          <w:szCs w:val="24"/>
        </w:rPr>
        <w:t xml:space="preserve">. </w:t>
      </w:r>
      <w:r w:rsidRPr="001A33B5">
        <w:rPr>
          <w:rFonts w:ascii="Times New Roman" w:hAnsi="Times New Roman" w:cs="Times New Roman"/>
          <w:sz w:val="24"/>
          <w:szCs w:val="24"/>
        </w:rPr>
        <w:t xml:space="preserve">The efficiency of the anti-apoptotic protein </w:t>
      </w:r>
      <w:proofErr w:type="spellStart"/>
      <w:r w:rsidRPr="001A33B5">
        <w:rPr>
          <w:rFonts w:ascii="Times New Roman" w:hAnsi="Times New Roman" w:cs="Times New Roman"/>
          <w:sz w:val="24"/>
          <w:szCs w:val="24"/>
        </w:rPr>
        <w:t>Bcl-xL</w:t>
      </w:r>
      <w:proofErr w:type="spellEnd"/>
      <w:r w:rsidRPr="001A33B5">
        <w:rPr>
          <w:rFonts w:ascii="Times New Roman" w:hAnsi="Times New Roman" w:cs="Times New Roman"/>
          <w:sz w:val="24"/>
          <w:szCs w:val="24"/>
        </w:rPr>
        <w:t xml:space="preserve"> was tested through genetic alteration in the context of the liver cell line GL-</w:t>
      </w:r>
      <w:proofErr w:type="spellStart"/>
      <w:r w:rsidRPr="001A33B5">
        <w:rPr>
          <w:rFonts w:ascii="Times New Roman" w:hAnsi="Times New Roman" w:cs="Times New Roman"/>
          <w:sz w:val="24"/>
          <w:szCs w:val="24"/>
        </w:rPr>
        <w:t>av</w:t>
      </w:r>
      <w:proofErr w:type="spellEnd"/>
      <w:r w:rsidRPr="001A33B5">
        <w:rPr>
          <w:rFonts w:ascii="Times New Roman" w:hAnsi="Times New Roman" w:cs="Times New Roman"/>
          <w:sz w:val="24"/>
          <w:szCs w:val="24"/>
        </w:rPr>
        <w:t xml:space="preserve"> from the greasy grouper </w:t>
      </w:r>
      <w:proofErr w:type="spellStart"/>
      <w:r w:rsidRPr="001A33B5">
        <w:rPr>
          <w:rFonts w:ascii="Times New Roman" w:hAnsi="Times New Roman" w:cs="Times New Roman"/>
          <w:sz w:val="24"/>
          <w:szCs w:val="24"/>
        </w:rPr>
        <w:t>Epinephelus</w:t>
      </w:r>
      <w:proofErr w:type="spellEnd"/>
      <w:r w:rsidRPr="001A33B5">
        <w:rPr>
          <w:rFonts w:ascii="Times New Roman" w:hAnsi="Times New Roman" w:cs="Times New Roman"/>
          <w:sz w:val="24"/>
          <w:szCs w:val="24"/>
        </w:rPr>
        <w:t xml:space="preserve"> </w:t>
      </w:r>
      <w:proofErr w:type="spellStart"/>
      <w:r w:rsidRPr="001A33B5">
        <w:rPr>
          <w:rFonts w:ascii="Times New Roman" w:hAnsi="Times New Roman" w:cs="Times New Roman"/>
          <w:sz w:val="24"/>
          <w:szCs w:val="24"/>
        </w:rPr>
        <w:t>tauvina</w:t>
      </w:r>
      <w:proofErr w:type="spellEnd"/>
      <w:r w:rsidRPr="001A33B5">
        <w:rPr>
          <w:rFonts w:ascii="Times New Roman" w:hAnsi="Times New Roman" w:cs="Times New Roman"/>
          <w:sz w:val="24"/>
          <w:szCs w:val="24"/>
        </w:rPr>
        <w:t xml:space="preserve"> </w:t>
      </w:r>
      <w:r w:rsidR="001A33B5">
        <w:rPr>
          <w:rFonts w:ascii="Times New Roman" w:hAnsi="Times New Roman" w:cs="Times New Roman"/>
          <w:color w:val="000000"/>
          <w:sz w:val="24"/>
          <w:szCs w:val="24"/>
        </w:rPr>
        <w:fldChar w:fldCharType="begin" w:fldLock="1"/>
      </w:r>
      <w:r w:rsidR="001A33B5">
        <w:rPr>
          <w:rFonts w:ascii="Times New Roman" w:hAnsi="Times New Roman" w:cs="Times New Roman"/>
          <w:color w:val="000000"/>
          <w:sz w:val="24"/>
          <w:szCs w:val="24"/>
        </w:rPr>
        <w:instrText>ADDIN CSL_CITATION {"citationItems":[{"id":"ITEM-1","itemData":{"DOI":"10.1111/j.1365-2761.2006.00725.x","ISSN":"0140-7775 (Print)","PMID":"16768715","abstract":"Nervous necrosis virus (NNV) infection induces host cell apoptosis by an  ill-understood process. We utilized a fusion between enhanced green fluorescent protein (EGFP) and the zfBcl-x(L) gene in GL-av cells to select for zfBcl-x(L) stable cell lines and to assess the effectiveness of the anti-apoptotic protein Bcl-x(L) in circumventing NNV-induced cell death. Stable EGFP and EGFP-Bcl-x(L)-expressing clones were obtained at high purity within 2.5-3 months. In the latter, the EGFP-Bcl-x(L) fusion protein (approximately 58.2 kDa, as ascertained by Western blot) was predominantly targeted to mitochondria. We assayed for apoptosis in red-spotted grouper NNV Tainan no. 1 (RGNNV TN1)-infected cells with terminal deoxynucleotidyl transferase (TdT)-mediated end labelling (TUNEL) of DNA at different virus doses. NNV infection of NNV Bcl-x(L) GL-av cell line revealed a protective effect, with a decrease in TUNEL-positive cells of 7%, 8% and 31.8% at 24, 48 and 72 h, respectively. In addition, RGNNV infection of the Bcl-x(L) GL-av cell line revealed a protective effect, with an enhanced viability of 3%, 40% and 73% at 24, 48, and 72 h, respectively. We conclude that NNV-induced apoptotic cell death can be lessened in transgenic grouper fish cells.","author":[{"dropping-particle":"","family":"Chen","given":"S-P","non-dropping-particle":"","parse-names":false,"suffix":""},{"dropping-particle":"","family":"Yang","given":"H-L","non-dropping-particle":"","parse-names":false,"suffix":""},{"dropping-particle":"","family":"Lin","given":"H-Y","non-dropping-particle":"","parse-names":false,"suffix":""},{"dropping-particle":"","family":"Chen","given":"M-C","non-dropping-particle":"","parse-names":false,"suffix":""},{"dropping-particle":"","family":"Wu","given":"J-L","non-dropping-particle":"","parse-names":false,"suffix":""},{"dropping-particle":"","family":"Hong","given":"J-R","non-dropping-particle":"","parse-names":false,"suffix":""}],"container-title":"Journal of fish diseases","id":"ITEM-1","issue":"6","issued":{"date-parts":[["2006","6"]]},"language":"eng","page":"347-354","publisher-place":"England","title":"Enhanced viability of a nervous necrosis virus-infected stable cell line  over-expressing a fusion product of the zfBcl-xL and green fluorescent protein genes.","type":"article-journal","volume":"29"},"uris":["http://www.mendeley.com/documents/?uuid=a64e0bee-abb6-44e0-bfc2-cae627638989"]}],"mendeley":{"formattedCitation":"(S.-P. Chen et al., 2006)","plainTextFormattedCitation":"(S.-P. Chen et al., 2006)","previouslyFormattedCitation":"(S.-P. Chen et al., 2006)"},"properties":{"noteIndex":0},"schema":"https://github.com/citation-style-language/schema/raw/master/csl-citation.json"}</w:instrText>
      </w:r>
      <w:r w:rsidR="001A33B5">
        <w:rPr>
          <w:rFonts w:ascii="Times New Roman" w:hAnsi="Times New Roman" w:cs="Times New Roman"/>
          <w:color w:val="000000"/>
          <w:sz w:val="24"/>
          <w:szCs w:val="24"/>
        </w:rPr>
        <w:fldChar w:fldCharType="separate"/>
      </w:r>
      <w:r w:rsidR="001A33B5">
        <w:rPr>
          <w:rFonts w:ascii="Times New Roman" w:hAnsi="Times New Roman" w:cs="Times New Roman"/>
          <w:noProof/>
          <w:color w:val="000000"/>
          <w:sz w:val="24"/>
          <w:szCs w:val="24"/>
        </w:rPr>
        <w:t>(</w:t>
      </w:r>
      <w:r w:rsidR="001A33B5" w:rsidRPr="005D6DE0">
        <w:rPr>
          <w:rFonts w:ascii="Times New Roman" w:hAnsi="Times New Roman" w:cs="Times New Roman"/>
          <w:noProof/>
          <w:color w:val="000000"/>
          <w:sz w:val="24"/>
          <w:szCs w:val="24"/>
        </w:rPr>
        <w:t>Chen et al., 2006)</w:t>
      </w:r>
      <w:r w:rsidR="001A33B5">
        <w:rPr>
          <w:rFonts w:ascii="Times New Roman" w:hAnsi="Times New Roman" w:cs="Times New Roman"/>
          <w:color w:val="000000"/>
          <w:sz w:val="24"/>
          <w:szCs w:val="24"/>
        </w:rPr>
        <w:fldChar w:fldCharType="end"/>
      </w:r>
      <w:r w:rsidR="001A33B5">
        <w:rPr>
          <w:rFonts w:ascii="Times New Roman" w:hAnsi="Times New Roman" w:cs="Times New Roman"/>
          <w:color w:val="000000"/>
          <w:sz w:val="24"/>
          <w:szCs w:val="24"/>
        </w:rPr>
        <w:t>.</w:t>
      </w:r>
    </w:p>
    <w:p w:rsidR="00A95FE4" w:rsidRPr="00A95FE4" w:rsidRDefault="00A95FE4" w:rsidP="00A95FE4">
      <w:pPr>
        <w:autoSpaceDE w:val="0"/>
        <w:autoSpaceDN w:val="0"/>
        <w:adjustRightInd w:val="0"/>
        <w:spacing w:after="0" w:line="360" w:lineRule="auto"/>
        <w:jc w:val="both"/>
        <w:rPr>
          <w:rFonts w:ascii="Times New Roman" w:hAnsi="Times New Roman" w:cs="Times New Roman"/>
          <w:sz w:val="24"/>
          <w:szCs w:val="24"/>
        </w:rPr>
      </w:pPr>
    </w:p>
    <w:p w:rsidR="00A95FE4" w:rsidRDefault="00A95FE4" w:rsidP="00A95FE4">
      <w:pPr>
        <w:autoSpaceDE w:val="0"/>
        <w:autoSpaceDN w:val="0"/>
        <w:adjustRightInd w:val="0"/>
        <w:spacing w:after="0" w:line="360" w:lineRule="auto"/>
        <w:jc w:val="both"/>
        <w:rPr>
          <w:rFonts w:ascii="Times New Roman" w:hAnsi="Times New Roman" w:cs="Times New Roman"/>
          <w:sz w:val="24"/>
          <w:szCs w:val="24"/>
        </w:rPr>
      </w:pPr>
      <w:r w:rsidRPr="00A95FE4">
        <w:rPr>
          <w:rFonts w:ascii="Times New Roman" w:hAnsi="Times New Roman" w:cs="Times New Roman"/>
          <w:sz w:val="24"/>
          <w:szCs w:val="24"/>
        </w:rPr>
        <w:t xml:space="preserve">Beyond gene editing, fish cell lines also have applications in in vitro ploidy manipulation. </w:t>
      </w:r>
      <w:r>
        <w:rPr>
          <w:rFonts w:ascii="Times New Roman" w:hAnsi="Times New Roman" w:cs="Times New Roman"/>
          <w:color w:val="000000"/>
          <w:sz w:val="24"/>
          <w:szCs w:val="24"/>
        </w:rPr>
        <w:fldChar w:fldCharType="begin" w:fldLock="1"/>
      </w:r>
      <w:r>
        <w:rPr>
          <w:rFonts w:ascii="Times New Roman" w:hAnsi="Times New Roman" w:cs="Times New Roman"/>
          <w:color w:val="000000"/>
          <w:sz w:val="24"/>
          <w:szCs w:val="24"/>
        </w:rPr>
        <w:instrText>ADDIN CSL_CITATION {"citationItems":[{"id":"ITEM-1","itemData":{"DOI":"10.1038/srep21814","ISSN":"2045-2322 (Electronic)","PMID":"26898354","abstract":"Polyploidy has many advantages over diploidy, such as rapid growth, sterility,  and disease resistance, and has been extensively applied in agriculture and aquaculture. Though generation of new polyploids via polyploidization has been achieved in plants by different ways, it is comparatively rare in animals. In this article, by a chemical compound, SP600125, polyploidization is induced in fish cells in vitro, and a stable autotetraploid cell line has been generated from diploid fibroblast cells of crucian carp. As a c-Jun N-terminal kinase (Jnk) inhibitor, SP600125 does not function during the induction process of polyploidization. Instead, the p53 signal pathway might be involved. Using the SP600125-induced tetraploid cells and eggs of crucian carp as the donors and recipients, respectively, nuclear transplantation was conducted such that tetraploid embryos were obtained. It suggests that combining polyploidization and the somatic cell nuclear transfer technique (SCNT) is an efficient way to generate polyploidy, and the presented method in this research for generating the tetraploid fish from diploid fish can provide a useful platform for polyploid breeding.","author":[{"dropping-particle":"","family":"Zhou","given":"Yonghua","non-dropping-particle":"","parse-names":false,"suffix":""},{"dropping-particle":"","family":"Wang","given":"Mei","non-dropping-particle":"","parse-names":false,"suffix":""},{"dropping-particle":"","family":"Jiang","given":"Minggui","non-dropping-particle":"","parse-names":false,"suffix":""},{"dropping-particle":"","family":"Peng","given":"Liangyue","non-dropping-particle":"","parse-names":false,"suffix":""},{"dropping-particle":"","family":"Wan","given":"Cong","non-dropping-particle":"","parse-names":false,"suffix":""},{"dropping-particle":"","family":"Liu","given":"Jinhui","non-dropping-particle":"","parse-names":false,"suffix":""},{"dropping-particle":"","family":"Liu","given":"Wenbin","non-dropping-particle":"","parse-names":false,"suffix":""},{"dropping-particle":"","family":"Zhao","given":"Rurong","non-dropping-particle":"","parse-names":false,"suffix":""},{"dropping-particle":"","family":"Zhao","given":"Xiaoyang","non-dropping-particle":"","parse-names":false,"suffix":""},{"dropping-particle":"","family":"Hu","given":"Wei","non-dropping-particle":"","parse-names":false,"suffix":""},{"dropping-particle":"","family":"Liu","given":"Shaojun","non-dropping-particle":"","parse-names":false,"suffix":""},{"dropping-particle":"","family":"Xiao","given":"Yamei","non-dropping-particle":"","parse-names":false,"suffix":""}],"container-title":"Scientific reports","id":"ITEM-1","issued":{"date-parts":[["2016","2"]]},"language":"eng","page":"21814","publisher-place":"England","title":"Autotetraploid cell line induced by SP600125 from crucian carp and its  developmental potentiality.","type":"article-journal","volume":"6"},"uris":["http://www.mendeley.com/documents/?uuid=4b79e1ee-c2df-43e7-a1ca-6d7544cab6b5"]}],"mendeley":{"formattedCitation":"(Zhou et al., 2016)","manualFormatting":"Zhou et al., (2016)","plainTextFormattedCitation":"(Zhou et al., 2016)","previouslyFormattedCitation":"(Zhou et al., 2016)"},"properties":{"noteIndex":0},"schema":"https://github.com/citation-style-language/schema/raw/master/csl-citation.json"}</w:instrText>
      </w:r>
      <w:r>
        <w:rPr>
          <w:rFonts w:ascii="Times New Roman" w:hAnsi="Times New Roman" w:cs="Times New Roman"/>
          <w:color w:val="000000"/>
          <w:sz w:val="24"/>
          <w:szCs w:val="24"/>
        </w:rPr>
        <w:fldChar w:fldCharType="separate"/>
      </w:r>
      <w:r w:rsidRPr="005D6DE0">
        <w:rPr>
          <w:rFonts w:ascii="Times New Roman" w:hAnsi="Times New Roman" w:cs="Times New Roman"/>
          <w:noProof/>
          <w:color w:val="000000"/>
          <w:sz w:val="24"/>
          <w:szCs w:val="24"/>
        </w:rPr>
        <w:t xml:space="preserve">Zhou et al., </w:t>
      </w:r>
      <w:r>
        <w:rPr>
          <w:rFonts w:ascii="Times New Roman" w:hAnsi="Times New Roman" w:cs="Times New Roman"/>
          <w:noProof/>
          <w:color w:val="000000"/>
          <w:sz w:val="24"/>
          <w:szCs w:val="24"/>
        </w:rPr>
        <w:t>(</w:t>
      </w:r>
      <w:r w:rsidRPr="005D6DE0">
        <w:rPr>
          <w:rFonts w:ascii="Times New Roman" w:hAnsi="Times New Roman" w:cs="Times New Roman"/>
          <w:noProof/>
          <w:color w:val="000000"/>
          <w:sz w:val="24"/>
          <w:szCs w:val="24"/>
        </w:rPr>
        <w:t>2016)</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xml:space="preserve"> </w:t>
      </w:r>
      <w:r w:rsidRPr="00C23AEB">
        <w:rPr>
          <w:rFonts w:ascii="Times New Roman" w:hAnsi="Times New Roman" w:cs="Times New Roman"/>
          <w:color w:val="000000"/>
          <w:sz w:val="24"/>
          <w:szCs w:val="24"/>
        </w:rPr>
        <w:t xml:space="preserve"> </w:t>
      </w:r>
      <w:r w:rsidRPr="00A95FE4">
        <w:rPr>
          <w:rFonts w:ascii="Times New Roman" w:hAnsi="Times New Roman" w:cs="Times New Roman"/>
          <w:sz w:val="24"/>
          <w:szCs w:val="24"/>
        </w:rPr>
        <w:t xml:space="preserve">successfully induced </w:t>
      </w:r>
      <w:proofErr w:type="spellStart"/>
      <w:r w:rsidRPr="00A95FE4">
        <w:rPr>
          <w:rFonts w:ascii="Times New Roman" w:hAnsi="Times New Roman" w:cs="Times New Roman"/>
          <w:sz w:val="24"/>
          <w:szCs w:val="24"/>
        </w:rPr>
        <w:t>polyploidization</w:t>
      </w:r>
      <w:proofErr w:type="spellEnd"/>
      <w:r w:rsidRPr="00A95FE4">
        <w:rPr>
          <w:rFonts w:ascii="Times New Roman" w:hAnsi="Times New Roman" w:cs="Times New Roman"/>
          <w:sz w:val="24"/>
          <w:szCs w:val="24"/>
        </w:rPr>
        <w:t xml:space="preserve"> in </w:t>
      </w:r>
      <w:proofErr w:type="spellStart"/>
      <w:r w:rsidRPr="00A95FE4">
        <w:rPr>
          <w:rFonts w:ascii="Times New Roman" w:hAnsi="Times New Roman" w:cs="Times New Roman"/>
          <w:sz w:val="24"/>
          <w:szCs w:val="24"/>
        </w:rPr>
        <w:t>crucian</w:t>
      </w:r>
      <w:proofErr w:type="spellEnd"/>
      <w:r w:rsidRPr="00A95FE4">
        <w:rPr>
          <w:rFonts w:ascii="Times New Roman" w:hAnsi="Times New Roman" w:cs="Times New Roman"/>
          <w:sz w:val="24"/>
          <w:szCs w:val="24"/>
        </w:rPr>
        <w:t xml:space="preserve"> carp using a chemical compound, leading to the development of an </w:t>
      </w:r>
      <w:proofErr w:type="spellStart"/>
      <w:r w:rsidRPr="00A95FE4">
        <w:rPr>
          <w:rFonts w:ascii="Times New Roman" w:hAnsi="Times New Roman" w:cs="Times New Roman"/>
          <w:sz w:val="24"/>
          <w:szCs w:val="24"/>
        </w:rPr>
        <w:t>autotetraploid</w:t>
      </w:r>
      <w:proofErr w:type="spellEnd"/>
      <w:r w:rsidRPr="00A95FE4">
        <w:rPr>
          <w:rFonts w:ascii="Times New Roman" w:hAnsi="Times New Roman" w:cs="Times New Roman"/>
          <w:sz w:val="24"/>
          <w:szCs w:val="24"/>
        </w:rPr>
        <w:t xml:space="preserve"> cell line.</w:t>
      </w:r>
      <w:r>
        <w:rPr>
          <w:rFonts w:ascii="Times New Roman" w:hAnsi="Times New Roman" w:cs="Times New Roman"/>
          <w:sz w:val="24"/>
          <w:szCs w:val="24"/>
        </w:rPr>
        <w:t xml:space="preserve"> </w:t>
      </w:r>
      <w:r w:rsidRPr="00A95FE4">
        <w:rPr>
          <w:rFonts w:ascii="Times New Roman" w:hAnsi="Times New Roman" w:cs="Times New Roman"/>
          <w:sz w:val="24"/>
          <w:szCs w:val="24"/>
        </w:rPr>
        <w:t>In summary, fish cell lines serve as a versatile platform for genetic studies, enabling gene editing, manipulation of disease resistance, cytokine expression, and even in vitro ploidy manipulation, thus contributing significantly to the advancement of fish biology research.</w:t>
      </w:r>
    </w:p>
    <w:p w:rsidR="002E7EEA" w:rsidRDefault="002E7EEA" w:rsidP="002E7EEA">
      <w:pPr>
        <w:autoSpaceDE w:val="0"/>
        <w:autoSpaceDN w:val="0"/>
        <w:adjustRightInd w:val="0"/>
        <w:spacing w:after="0" w:line="360" w:lineRule="auto"/>
        <w:jc w:val="both"/>
        <w:rPr>
          <w:rFonts w:ascii="Times New Roman" w:hAnsi="Times New Roman" w:cs="Times New Roman"/>
          <w:b/>
          <w:bCs/>
          <w:color w:val="000000"/>
          <w:sz w:val="24"/>
          <w:szCs w:val="24"/>
        </w:rPr>
      </w:pPr>
    </w:p>
    <w:p w:rsidR="00281174" w:rsidRPr="00BD463C" w:rsidRDefault="00314E46" w:rsidP="00D23B4B">
      <w:pPr>
        <w:autoSpaceDE w:val="0"/>
        <w:autoSpaceDN w:val="0"/>
        <w:adjustRightInd w:val="0"/>
        <w:spacing w:after="0" w:line="360" w:lineRule="auto"/>
        <w:jc w:val="both"/>
        <w:rPr>
          <w:rFonts w:ascii="Times New Roman" w:hAnsi="Times New Roman" w:cs="Times New Roman"/>
          <w:b/>
          <w:bCs/>
          <w:color w:val="000000"/>
          <w:sz w:val="24"/>
          <w:szCs w:val="24"/>
        </w:rPr>
      </w:pPr>
      <w:r w:rsidRPr="00C23AEB">
        <w:rPr>
          <w:rFonts w:ascii="Times New Roman" w:hAnsi="Times New Roman" w:cs="Times New Roman"/>
          <w:b/>
          <w:bCs/>
          <w:color w:val="000000"/>
          <w:sz w:val="24"/>
          <w:szCs w:val="24"/>
        </w:rPr>
        <w:t>Cancer research</w:t>
      </w:r>
    </w:p>
    <w:p w:rsidR="00281174" w:rsidRPr="00BD463C" w:rsidRDefault="00281174" w:rsidP="00281174">
      <w:pPr>
        <w:autoSpaceDE w:val="0"/>
        <w:autoSpaceDN w:val="0"/>
        <w:adjustRightInd w:val="0"/>
        <w:spacing w:after="0" w:line="360" w:lineRule="auto"/>
        <w:jc w:val="both"/>
        <w:rPr>
          <w:rFonts w:ascii="Times New Roman" w:hAnsi="Times New Roman" w:cs="Times New Roman"/>
          <w:sz w:val="24"/>
          <w:szCs w:val="24"/>
        </w:rPr>
      </w:pPr>
      <w:r w:rsidRPr="00BD463C">
        <w:rPr>
          <w:rFonts w:ascii="Times New Roman" w:hAnsi="Times New Roman" w:cs="Times New Roman"/>
          <w:sz w:val="24"/>
          <w:szCs w:val="24"/>
        </w:rPr>
        <w:t xml:space="preserve">Cell cultures offer a valuable platform for exploring the fundamental distinctions between healthy and malignant cells. Various factors like radiation, chemicals, and viruses have the potential to transform normal cells into cancerous ones, thus offering insights into the mechanisms and origins of cancer. Moreover, cancer cells cultivated in these cultures serve as a vital testing ground for identifying specific drugs capable of selectively targeting cancer cells. This approach has significantly enriched the study of cancer biology </w:t>
      </w:r>
      <w:r w:rsidR="00BD463C" w:rsidRPr="00BD463C">
        <w:rPr>
          <w:rFonts w:ascii="Times New Roman" w:hAnsi="Times New Roman" w:cs="Times New Roman"/>
          <w:color w:val="000000"/>
          <w:sz w:val="24"/>
          <w:szCs w:val="24"/>
        </w:rPr>
        <w:fldChar w:fldCharType="begin" w:fldLock="1"/>
      </w:r>
      <w:r w:rsidR="00BD463C" w:rsidRPr="00BD463C">
        <w:rPr>
          <w:rFonts w:ascii="Times New Roman" w:hAnsi="Times New Roman" w:cs="Times New Roman"/>
          <w:color w:val="000000"/>
          <w:sz w:val="24"/>
          <w:szCs w:val="24"/>
        </w:rPr>
        <w:instrText>ADDIN CSL_CITATION {"citationItems":[{"id":"ITEM-1","itemData":{"DOI":"10.1016/j.jconrel.2012.04.045","ISSN":"1873-4995 (Electronic)","PMID":"22613880","abstract":"Multicellular spheroids are three dimensional in vitro microscale tissue analogs.  The current article examines the suitability of spheroids as an in vitro platform for testing drug delivery systems. Spheroids model critical physiologic parameters present in vivo, including complex multicellular architecture, barriers to mass transport, and extracellular matrix deposition. Relative to two-dimensional cultures, spheroids also provide better target cells for drug testing and are appropriate in vitro models for studies of drug penetration. Key challenges associated with creation of uniformly sized spheroids, spheroids with small number of cells and co-culture spheroids are emphasized in the article. Moreover, the assay techniques required for the characterization of drug delivery and efficacy in spheroids and the challenges associated with such studies are discussed. Examples for the use of spheroids in drug delivery and testing are also emphasized. By addressing these challenges with possible solutions, multicellular spheroids are becoming an increasingly useful in vitro tool for drug screening and delivery to pathological tissues and organs.","author":[{"dropping-particle":"","family":"Mehta","given":"Geeta","non-dropping-particle":"","parse-names":false,"suffix":""},{"dropping-particle":"","family":"Hsiao","given":"Amy Y","non-dropping-particle":"","parse-names":false,"suffix":""},{"dropping-particle":"","family":"Ingram","given":"Marylou","non-dropping-particle":"","parse-names":false,"suffix":""},{"dropping-particle":"","family":"Luker","given":"Gary D","non-dropping-particle":"","parse-names":false,"suffix":""},{"dropping-particle":"","family":"Takayama","given":"Shuichi","non-dropping-particle":"","parse-names":false,"suffix":""}],"container-title":"Journal of controlled release : official journal of the Controlled Release  Society","id":"ITEM-1","issue":"2","issued":{"date-parts":[["2012","12"]]},"language":"eng","page":"192-204","publisher-place":"Netherlands","title":"Opportunities and challenges for use of tumor spheroids as models to test drug  delivery and efficacy.","type":"article-journal","volume":"164"},"uris":["http://www.mendeley.com/documents/?uuid=7dc0edd8-7ab3-40f1-a562-38e343b716ee"]}],"mendeley":{"formattedCitation":"(Mehta et al., 2012)","plainTextFormattedCitation":"(Mehta et al., 2012)","previouslyFormattedCitation":"(Mehta et al., 2012)"},"properties":{"noteIndex":0},"schema":"https://github.com/citation-style-language/schema/raw/master/csl-citation.json"}</w:instrText>
      </w:r>
      <w:r w:rsidR="00BD463C" w:rsidRPr="00BD463C">
        <w:rPr>
          <w:rFonts w:ascii="Times New Roman" w:hAnsi="Times New Roman" w:cs="Times New Roman"/>
          <w:color w:val="000000"/>
          <w:sz w:val="24"/>
          <w:szCs w:val="24"/>
        </w:rPr>
        <w:fldChar w:fldCharType="separate"/>
      </w:r>
      <w:r w:rsidR="00BD463C" w:rsidRPr="00BD463C">
        <w:rPr>
          <w:rFonts w:ascii="Times New Roman" w:hAnsi="Times New Roman" w:cs="Times New Roman"/>
          <w:noProof/>
          <w:color w:val="000000"/>
          <w:sz w:val="24"/>
          <w:szCs w:val="24"/>
        </w:rPr>
        <w:t>(Mehta et al., 2012)</w:t>
      </w:r>
      <w:r w:rsidR="00BD463C" w:rsidRPr="00BD463C">
        <w:rPr>
          <w:rFonts w:ascii="Times New Roman" w:hAnsi="Times New Roman" w:cs="Times New Roman"/>
          <w:color w:val="000000"/>
          <w:sz w:val="24"/>
          <w:szCs w:val="24"/>
        </w:rPr>
        <w:fldChar w:fldCharType="end"/>
      </w:r>
      <w:r w:rsidR="00BD463C" w:rsidRPr="00BD463C">
        <w:rPr>
          <w:rFonts w:ascii="Times New Roman" w:hAnsi="Times New Roman" w:cs="Times New Roman"/>
          <w:color w:val="000000"/>
          <w:sz w:val="24"/>
          <w:szCs w:val="24"/>
        </w:rPr>
        <w:t xml:space="preserve">. </w:t>
      </w:r>
      <w:r w:rsidR="00BD463C">
        <w:rPr>
          <w:rFonts w:ascii="Times New Roman" w:hAnsi="Times New Roman" w:cs="Times New Roman"/>
          <w:sz w:val="24"/>
          <w:szCs w:val="24"/>
        </w:rPr>
        <w:t xml:space="preserve"> </w:t>
      </w:r>
      <w:r w:rsidR="00BD463C" w:rsidRPr="00BD463C">
        <w:rPr>
          <w:rFonts w:ascii="Times New Roman" w:hAnsi="Times New Roman" w:cs="Times New Roman"/>
          <w:sz w:val="24"/>
          <w:szCs w:val="24"/>
        </w:rPr>
        <w:t>The area</w:t>
      </w:r>
      <w:r w:rsidRPr="00BD463C">
        <w:rPr>
          <w:rFonts w:ascii="Times New Roman" w:hAnsi="Times New Roman" w:cs="Times New Roman"/>
          <w:sz w:val="24"/>
          <w:szCs w:val="24"/>
        </w:rPr>
        <w:t xml:space="preserve"> of cell culture research has played a pivotal role in delving into several aspects of cancer. It has enabled the investigation of malignancy growth, cell death induction, DNA methylation, histone modifications, the expression of </w:t>
      </w:r>
      <w:proofErr w:type="spellStart"/>
      <w:r w:rsidRPr="00BD463C">
        <w:rPr>
          <w:rFonts w:ascii="Times New Roman" w:hAnsi="Times New Roman" w:cs="Times New Roman"/>
          <w:sz w:val="24"/>
          <w:szCs w:val="24"/>
        </w:rPr>
        <w:t>tumor</w:t>
      </w:r>
      <w:proofErr w:type="spellEnd"/>
      <w:r w:rsidRPr="00BD463C">
        <w:rPr>
          <w:rFonts w:ascii="Times New Roman" w:hAnsi="Times New Roman" w:cs="Times New Roman"/>
          <w:sz w:val="24"/>
          <w:szCs w:val="24"/>
        </w:rPr>
        <w:t xml:space="preserve"> suppressor genes, and the influence of diverse </w:t>
      </w:r>
      <w:r w:rsidRPr="00BD463C">
        <w:rPr>
          <w:rFonts w:ascii="Times New Roman" w:hAnsi="Times New Roman" w:cs="Times New Roman"/>
          <w:sz w:val="24"/>
          <w:szCs w:val="24"/>
        </w:rPr>
        <w:lastRenderedPageBreak/>
        <w:t xml:space="preserve">carcinogenic agents </w:t>
      </w:r>
      <w:r w:rsidR="00BD463C" w:rsidRPr="00BD463C">
        <w:rPr>
          <w:rFonts w:ascii="Times New Roman" w:hAnsi="Times New Roman" w:cs="Times New Roman"/>
          <w:color w:val="000000"/>
          <w:sz w:val="24"/>
          <w:szCs w:val="24"/>
        </w:rPr>
        <w:fldChar w:fldCharType="begin" w:fldLock="1"/>
      </w:r>
      <w:r w:rsidR="00BD463C" w:rsidRPr="00BD463C">
        <w:rPr>
          <w:rFonts w:ascii="Times New Roman" w:hAnsi="Times New Roman" w:cs="Times New Roman"/>
          <w:color w:val="000000"/>
          <w:sz w:val="24"/>
          <w:szCs w:val="24"/>
        </w:rPr>
        <w:instrText>ADDIN CSL_CITATION {"citationItems":[{"id":"ITEM-1","itemData":{"DOI":"10.1016/j.jconrel.2012.04.045","ISSN":"1873-4995 (Electronic)","PMID":"22613880","abstract":"Multicellular spheroids are three dimensional in vitro microscale tissue analogs.  The current article examines the suitability of spheroids as an in vitro platform for testing drug delivery systems. Spheroids model critical physiologic parameters present in vivo, including complex multicellular architecture, barriers to mass transport, and extracellular matrix deposition. Relative to two-dimensional cultures, spheroids also provide better target cells for drug testing and are appropriate in vitro models for studies of drug penetration. Key challenges associated with creation of uniformly sized spheroids, spheroids with small number of cells and co-culture spheroids are emphasized in the article. Moreover, the assay techniques required for the characterization of drug delivery and efficacy in spheroids and the challenges associated with such studies are discussed. Examples for the use of spheroids in drug delivery and testing are also emphasized. By addressing these challenges with possible solutions, multicellular spheroids are becoming an increasingly useful in vitro tool for drug screening and delivery to pathological tissues and organs.","author":[{"dropping-particle":"","family":"Mehta","given":"Geeta","non-dropping-particle":"","parse-names":false,"suffix":""},{"dropping-particle":"","family":"Hsiao","given":"Amy Y","non-dropping-particle":"","parse-names":false,"suffix":""},{"dropping-particle":"","family":"Ingram","given":"Marylou","non-dropping-particle":"","parse-names":false,"suffix":""},{"dropping-particle":"","family":"Luker","given":"Gary D","non-dropping-particle":"","parse-names":false,"suffix":""},{"dropping-particle":"","family":"Takayama","given":"Shuichi","non-dropping-particle":"","parse-names":false,"suffix":""}],"container-title":"Journal of controlled release : official journal of the Controlled Release  Society","id":"ITEM-1","issue":"2","issued":{"date-parts":[["2012","12"]]},"language":"eng","page":"192-204","publisher-place":"Netherlands","title":"Opportunities and challenges for use of tumor spheroids as models to test drug  delivery and efficacy.","type":"article-journal","volume":"164"},"uris":["http://www.mendeley.com/documents/?uuid=7dc0edd8-7ab3-40f1-a562-38e343b716ee"]}],"mendeley":{"formattedCitation":"(Mehta et al., 2012)","plainTextFormattedCitation":"(Mehta et al., 2012)","previouslyFormattedCitation":"(Mehta et al., 2012)"},"properties":{"noteIndex":0},"schema":"https://github.com/citation-style-language/schema/raw/master/csl-citation.json"}</w:instrText>
      </w:r>
      <w:r w:rsidR="00BD463C" w:rsidRPr="00BD463C">
        <w:rPr>
          <w:rFonts w:ascii="Times New Roman" w:hAnsi="Times New Roman" w:cs="Times New Roman"/>
          <w:color w:val="000000"/>
          <w:sz w:val="24"/>
          <w:szCs w:val="24"/>
        </w:rPr>
        <w:fldChar w:fldCharType="separate"/>
      </w:r>
      <w:r w:rsidR="00BD463C" w:rsidRPr="00BD463C">
        <w:rPr>
          <w:rFonts w:ascii="Times New Roman" w:hAnsi="Times New Roman" w:cs="Times New Roman"/>
          <w:noProof/>
          <w:color w:val="000000"/>
          <w:sz w:val="24"/>
          <w:szCs w:val="24"/>
        </w:rPr>
        <w:t>(Mehta et al., 2012)</w:t>
      </w:r>
      <w:r w:rsidR="00BD463C" w:rsidRPr="00BD463C">
        <w:rPr>
          <w:rFonts w:ascii="Times New Roman" w:hAnsi="Times New Roman" w:cs="Times New Roman"/>
          <w:color w:val="000000"/>
          <w:sz w:val="24"/>
          <w:szCs w:val="24"/>
        </w:rPr>
        <w:fldChar w:fldCharType="end"/>
      </w:r>
      <w:r w:rsidR="00BD463C" w:rsidRPr="00BD463C">
        <w:rPr>
          <w:rFonts w:ascii="Times New Roman" w:hAnsi="Times New Roman" w:cs="Times New Roman"/>
          <w:color w:val="000000"/>
          <w:sz w:val="24"/>
          <w:szCs w:val="24"/>
        </w:rPr>
        <w:t>.</w:t>
      </w:r>
      <w:r w:rsidR="00BD463C">
        <w:rPr>
          <w:rFonts w:ascii="Times New Roman" w:hAnsi="Times New Roman" w:cs="Times New Roman"/>
          <w:color w:val="000000"/>
          <w:sz w:val="24"/>
          <w:szCs w:val="24"/>
        </w:rPr>
        <w:t xml:space="preserve"> </w:t>
      </w:r>
      <w:r w:rsidRPr="00BD463C">
        <w:rPr>
          <w:rFonts w:ascii="Times New Roman" w:hAnsi="Times New Roman" w:cs="Times New Roman"/>
          <w:sz w:val="24"/>
          <w:szCs w:val="24"/>
        </w:rPr>
        <w:t xml:space="preserve">Mechanisms underlying the activation of </w:t>
      </w:r>
      <w:proofErr w:type="spellStart"/>
      <w:r w:rsidRPr="00BD463C">
        <w:rPr>
          <w:rFonts w:ascii="Times New Roman" w:hAnsi="Times New Roman" w:cs="Times New Roman"/>
          <w:sz w:val="24"/>
          <w:szCs w:val="24"/>
        </w:rPr>
        <w:t>procarcinogens</w:t>
      </w:r>
      <w:proofErr w:type="spellEnd"/>
      <w:r w:rsidRPr="00BD463C">
        <w:rPr>
          <w:rFonts w:ascii="Times New Roman" w:hAnsi="Times New Roman" w:cs="Times New Roman"/>
          <w:sz w:val="24"/>
          <w:szCs w:val="24"/>
        </w:rPr>
        <w:t xml:space="preserve">, as well as the dynamics of genetic material breakdown and repair, have been extensively explored using cell lines such as fathead minnow cells (FHM), goldfish </w:t>
      </w:r>
      <w:proofErr w:type="spellStart"/>
      <w:r w:rsidRPr="00BD463C">
        <w:rPr>
          <w:rFonts w:ascii="Times New Roman" w:hAnsi="Times New Roman" w:cs="Times New Roman"/>
          <w:sz w:val="24"/>
          <w:szCs w:val="24"/>
        </w:rPr>
        <w:t>erythrophoroma</w:t>
      </w:r>
      <w:proofErr w:type="spellEnd"/>
      <w:r w:rsidRPr="00BD463C">
        <w:rPr>
          <w:rFonts w:ascii="Times New Roman" w:hAnsi="Times New Roman" w:cs="Times New Roman"/>
          <w:sz w:val="24"/>
          <w:szCs w:val="24"/>
        </w:rPr>
        <w:t xml:space="preserve">-derived cell lines, and the goldfish fibroblast cell line RBCF-1 </w:t>
      </w:r>
      <w:r w:rsidR="00BD463C" w:rsidRPr="00BD463C">
        <w:rPr>
          <w:rFonts w:ascii="Times New Roman" w:hAnsi="Times New Roman" w:cs="Times New Roman"/>
          <w:color w:val="000000"/>
          <w:sz w:val="24"/>
          <w:szCs w:val="24"/>
        </w:rPr>
        <w:fldChar w:fldCharType="begin" w:fldLock="1"/>
      </w:r>
      <w:r w:rsidR="00BD463C" w:rsidRPr="00BD463C">
        <w:rPr>
          <w:rFonts w:ascii="Times New Roman" w:hAnsi="Times New Roman" w:cs="Times New Roman"/>
          <w:color w:val="000000"/>
          <w:sz w:val="24"/>
          <w:szCs w:val="24"/>
        </w:rPr>
        <w:instrText>ADDIN CSL_CITATION {"citationItems":[{"id":"ITEM-1","itemData":{"DOI":"10.1007/BF02623482","ISSN":"0883-8364 (Print)","PMID":"3782007","abstract":"Several established cell lines from different classes of vertebrates were assayed  for the presence of O6-methylguanine acceptor protein. This protein is instrumental in removing adducts from DNA caused by exposure to alkylating agents. Cultured cells had levels of acceptor protein activity within the range found in fresh tissues from animals in the same class. We suggest that cells from lower vertebrates are satisfactory in vitro models for studies of this DNA repair function.","author":[{"dropping-particle":"","family":"Grist","given":"E","non-dropping-particle":"","parse-names":false,"suffix":""},{"dropping-particle":"","family":"Woodhead","given":"A D","non-dropping-particle":"","parse-names":false,"suffix":""},{"dropping-particle":"","family":"Carlson","given":"C","non-dropping-particle":"","parse-names":false,"suffix":""}],"container-title":"In vitro cellular &amp; developmental biology : journal of the Tissue Culture  Association","id":"ITEM-1","issue":"11","issued":{"date-parts":[["1986","11"]]},"language":"eng","page":"677-680","publisher-place":"United States","title":"Established cell lines from nonmammalian vertebrates: models for DNA repair  studies.","type":"article-journal","volume":"22"},"uris":["http://www.mendeley.com/documents/?uuid=97999ca9-13ab-4535-95a8-6c1e8ec32a7a"]},{"id":"ITEM-2","itemData":{"DOI":"10.1002/jez.1402480307","ISSN":"0022-104X (Print)","PMID":"3062124","abstract":"Tissues of the fishes are as amenable to the techniques of modern cell culture as  mammalian tissues and organs, and yet this vast resource, comprising thousands of vertebrate species, remains largely unexplored. The model systems that have been developed demonstrate the utility of fish cells as sources of special adaptations and exaggerated physiological systems. In this review, we briefly describe several of the successful models along with recent developments in fish cell culture with the hope of stimulating increased interest in the lower vertebrates as useful complements to mammalian cell culture in biomedical research. The topics covered include epithelial ion transport, endocrinological studies, the cellular stress (heat shock) response, thermotolerance, cancer biology, and environmental toxicology.","author":[{"dropping-particle":"","family":"Hightower","given":"L E","non-dropping-particle":"","parse-names":false,"suffix":""},{"dropping-particle":"","family":"Renfro","given":"J L","non-dropping-particle":"","parse-names":false,"suffix":""}],"container-title":"The Journal of experimental zoology","id":"ITEM-2","issue":"3","issued":{"date-parts":[["1988","12"]]},"language":"eng","page":"290-302","publisher-place":"United States","title":"Recent applications of fish cell culture to biomedical research.","type":"article-journal","volume":"248"},"uris":["http://www.mendeley.com/documents/?uuid=b7443c2b-f923-4242-8b80-0b7905f04876"]}],"mendeley":{"formattedCitation":"(Grist et al., 1986; Hightower &amp; Renfro, 1988)","plainTextFormattedCitation":"(Grist et al., 1986; Hightower &amp; Renfro, 1988)","previouslyFormattedCitation":"(Grist et al., 1986; Hightower &amp; Renfro, 1988)"},"properties":{"noteIndex":0},"schema":"https://github.com/citation-style-language/schema/raw/master/csl-citation.json"}</w:instrText>
      </w:r>
      <w:r w:rsidR="00BD463C" w:rsidRPr="00BD463C">
        <w:rPr>
          <w:rFonts w:ascii="Times New Roman" w:hAnsi="Times New Roman" w:cs="Times New Roman"/>
          <w:color w:val="000000"/>
          <w:sz w:val="24"/>
          <w:szCs w:val="24"/>
        </w:rPr>
        <w:fldChar w:fldCharType="separate"/>
      </w:r>
      <w:r w:rsidR="00BD463C" w:rsidRPr="00BD463C">
        <w:rPr>
          <w:rFonts w:ascii="Times New Roman" w:hAnsi="Times New Roman" w:cs="Times New Roman"/>
          <w:noProof/>
          <w:color w:val="000000"/>
          <w:sz w:val="24"/>
          <w:szCs w:val="24"/>
        </w:rPr>
        <w:t>(Grist et al., 1986; Hightower &amp; Renfro, 1988)</w:t>
      </w:r>
      <w:r w:rsidR="00BD463C" w:rsidRPr="00BD463C">
        <w:rPr>
          <w:rFonts w:ascii="Times New Roman" w:hAnsi="Times New Roman" w:cs="Times New Roman"/>
          <w:color w:val="000000"/>
          <w:sz w:val="24"/>
          <w:szCs w:val="24"/>
        </w:rPr>
        <w:fldChar w:fldCharType="end"/>
      </w:r>
      <w:r w:rsidR="00BD463C" w:rsidRPr="00BD463C">
        <w:rPr>
          <w:rFonts w:ascii="Times New Roman" w:hAnsi="Times New Roman" w:cs="Times New Roman"/>
          <w:color w:val="000000"/>
          <w:sz w:val="24"/>
          <w:szCs w:val="24"/>
        </w:rPr>
        <w:t xml:space="preserve">. </w:t>
      </w:r>
      <w:r w:rsidRPr="00BD463C">
        <w:rPr>
          <w:rFonts w:ascii="Times New Roman" w:hAnsi="Times New Roman" w:cs="Times New Roman"/>
          <w:sz w:val="24"/>
          <w:szCs w:val="24"/>
        </w:rPr>
        <w:t xml:space="preserve">Furthermore, primary cell cultures of rainbow trout have been harnessed to examine the impact of aflatoxin B on cancer </w:t>
      </w:r>
      <w:r w:rsidR="00BD463C" w:rsidRPr="00BD463C">
        <w:rPr>
          <w:rFonts w:ascii="Times New Roman" w:hAnsi="Times New Roman" w:cs="Times New Roman"/>
          <w:color w:val="000000"/>
          <w:sz w:val="24"/>
          <w:szCs w:val="24"/>
        </w:rPr>
        <w:fldChar w:fldCharType="begin" w:fldLock="1"/>
      </w:r>
      <w:r w:rsidR="00BD463C" w:rsidRPr="00BD463C">
        <w:rPr>
          <w:rFonts w:ascii="Times New Roman" w:hAnsi="Times New Roman" w:cs="Times New Roman"/>
          <w:color w:val="000000"/>
          <w:sz w:val="24"/>
          <w:szCs w:val="24"/>
        </w:rPr>
        <w:instrText>ADDIN CSL_CITATION {"citationItems":[{"id":"ITEM-1","itemData":{"DOI":"10.1007/978-1-4684-4352-3_14","ISSN":"0090-5542 (Print)","PMID":"6816211","abstract":"Trout were fed a range of dietary components which altered their carcinogenic  response to aflatoxin B1 (AFB1). Dietary protein at levels substantially exceeding nutritional requirements were synergistic with AFB1. Cyclopropene fatty acids (CPFA) were carcinogenic when fed alone at 20 or 55 ppm, and synergistic when fed with AFB1. In contrast, several flavonoid and indole compounds, especially beta-naphthoflavone (beta-NF) and indole-3-carbinol, inhibited the carcinogenic response when fed prior to and along with AFB1. The mechanisms by which some of these dietary factors modulate AFB1 carcinogenesis were investigated. Dietary beta-naphthoflavone was shown to substantially induce the levels of mixed function oxidase (MFO) activities assayed in vitro. These changes were accompanied by alterations in AFB1 metabolism and binding in freshly isolated hepatocytes. AFB1 incubated in hepatocytes freshly isolated from fish fed beta-NF diet was metabolized more rapidly, showed enhanced rates of detoxication reactions, and decreased accumulation of AFB1-DNA adducts compared to control hepatocytes. These results suggest that beta-NF inhibits AFB1 carcinogenesis at least in part by altering MFO activities such that detoxication is enhanced and initial DNA damage by AFB1 is reduced. In contrast, high dietary protein is a synergist for AFB1 carcinogenesis, and this appears to occur primarily by enhancing the transformation probability for AFB1-initiated genome damage. Fish treated with AFB1 as embryos and then reared on high protein diets had substantially higher incidences of hepatocellular carcinoma (86%) than similarly treated fish fed normal protein diet (44%) or high protein controls without AFB1 exposure (0-2%). The synergistic behavior of dietary CPFAs also appears to partially involve enhanced transformation following DNA damage by AFB1. Fish exposed as embryos to AFB1 and then fed CPFA-containing diets are known to show promotion effects similar to the high protein results (Hendricks, J.D., Proc. 11th Int. Symp. of the Princess Takamatsu Cancer Research Fund, in press.) However, factors other than promotion are involved in the synergism between CPFA and AFB1. Preliminary studies indicate that dietary CPFAs repress MFO activities and depress DNA damage by AFB1 in vitro. If this occurs in vivo, then the net synergistic effect of dietary CPFAs would involve depression of initial AFB1-induced DNA damage, but highly efficient promotion of transformation from the r…","author":[{"dropping-particle":"","family":"Bailey","given":"G","non-dropping-particle":"","parse-names":false,"suffix":""},{"dropping-particle":"","family":"Taylor","given":"M","non-dropping-particle":"","parse-names":false,"suffix":""},{"dropping-particle":"","family":"Selivonchick","given":"D","non-dropping-particle":"","parse-names":false,"suffix":""},{"dropping-particle":"","family":"Eisele","given":"T","non-dropping-particle":"","parse-names":false,"suffix":""},{"dropping-particle":"","family":"Hendricks","given":"J","non-dropping-particle":"","parse-names":false,"suffix":""},{"dropping-particle":"","family":"Nixon","given":"J","non-dropping-particle":"","parse-names":false,"suffix":""},{"dropping-particle":"","family":"Pawlowski","given":"N","non-dropping-particle":"","parse-names":false,"suffix":""},{"dropping-particle":"","family":"Sinnhuber","given":"R","non-dropping-particle":"","parse-names":false,"suffix":""}],"container-title":"Basic life sciences","id":"ITEM-1","issued":{"date-parts":[["1982"]]},"language":"eng","page":"149-165","publisher-place":"United States","title":"Mechanisms of dietary modification of aflatoxin B1 carcinogenesis.","type":"article-journal","volume":"21"},"uris":["http://www.mendeley.com/documents/?uuid=05685950-122a-4aaf-9325-add44273e999"]}],"mendeley":{"formattedCitation":"(Bailey et al., 1982)","plainTextFormattedCitation":"(Bailey et al., 1982)","previouslyFormattedCitation":"(Bailey et al., 1982)"},"properties":{"noteIndex":0},"schema":"https://github.com/citation-style-language/schema/raw/master/csl-citation.json"}</w:instrText>
      </w:r>
      <w:r w:rsidR="00BD463C" w:rsidRPr="00BD463C">
        <w:rPr>
          <w:rFonts w:ascii="Times New Roman" w:hAnsi="Times New Roman" w:cs="Times New Roman"/>
          <w:color w:val="000000"/>
          <w:sz w:val="24"/>
          <w:szCs w:val="24"/>
        </w:rPr>
        <w:fldChar w:fldCharType="separate"/>
      </w:r>
      <w:r w:rsidR="00BD463C" w:rsidRPr="00BD463C">
        <w:rPr>
          <w:rFonts w:ascii="Times New Roman" w:hAnsi="Times New Roman" w:cs="Times New Roman"/>
          <w:noProof/>
          <w:color w:val="000000"/>
          <w:sz w:val="24"/>
          <w:szCs w:val="24"/>
        </w:rPr>
        <w:t>(Bailey et al., 1982)</w:t>
      </w:r>
      <w:r w:rsidR="00BD463C" w:rsidRPr="00BD463C">
        <w:rPr>
          <w:rFonts w:ascii="Times New Roman" w:hAnsi="Times New Roman" w:cs="Times New Roman"/>
          <w:color w:val="000000"/>
          <w:sz w:val="24"/>
          <w:szCs w:val="24"/>
        </w:rPr>
        <w:fldChar w:fldCharType="end"/>
      </w:r>
      <w:r w:rsidR="00BD463C" w:rsidRPr="00BD463C">
        <w:rPr>
          <w:rFonts w:ascii="Times New Roman" w:hAnsi="Times New Roman" w:cs="Times New Roman"/>
          <w:color w:val="000000"/>
          <w:sz w:val="24"/>
          <w:szCs w:val="24"/>
        </w:rPr>
        <w:t>.</w:t>
      </w:r>
    </w:p>
    <w:p w:rsidR="00BD463C" w:rsidRDefault="00BD463C" w:rsidP="00281174">
      <w:pPr>
        <w:autoSpaceDE w:val="0"/>
        <w:autoSpaceDN w:val="0"/>
        <w:adjustRightInd w:val="0"/>
        <w:spacing w:after="0" w:line="360" w:lineRule="auto"/>
        <w:jc w:val="both"/>
        <w:rPr>
          <w:rFonts w:ascii="Times New Roman" w:hAnsi="Times New Roman" w:cs="Times New Roman"/>
          <w:sz w:val="24"/>
          <w:szCs w:val="24"/>
        </w:rPr>
      </w:pPr>
    </w:p>
    <w:p w:rsidR="00281174" w:rsidRDefault="00BD463C" w:rsidP="00D23B4B">
      <w:pPr>
        <w:autoSpaceDE w:val="0"/>
        <w:autoSpaceDN w:val="0"/>
        <w:adjustRightInd w:val="0"/>
        <w:spacing w:after="0" w:line="360" w:lineRule="auto"/>
        <w:jc w:val="both"/>
        <w:rPr>
          <w:rFonts w:ascii="Times New Roman" w:hAnsi="Times New Roman" w:cs="Times New Roman"/>
          <w:sz w:val="24"/>
          <w:szCs w:val="24"/>
        </w:rPr>
      </w:pPr>
      <w:r w:rsidRPr="00BD463C">
        <w:rPr>
          <w:rFonts w:ascii="Times New Roman" w:hAnsi="Times New Roman" w:cs="Times New Roman"/>
          <w:sz w:val="24"/>
          <w:szCs w:val="24"/>
        </w:rPr>
        <w:t xml:space="preserve">In the field of </w:t>
      </w:r>
      <w:r w:rsidR="00281174" w:rsidRPr="00BD463C">
        <w:rPr>
          <w:rFonts w:ascii="Times New Roman" w:hAnsi="Times New Roman" w:cs="Times New Roman"/>
          <w:sz w:val="24"/>
          <w:szCs w:val="24"/>
        </w:rPr>
        <w:t xml:space="preserve">cancer research, fish cell lines have emerged as invaluable tools for </w:t>
      </w:r>
      <w:r w:rsidRPr="00BD463C">
        <w:rPr>
          <w:rFonts w:ascii="Times New Roman" w:hAnsi="Times New Roman" w:cs="Times New Roman"/>
          <w:sz w:val="24"/>
          <w:szCs w:val="24"/>
        </w:rPr>
        <w:t>unravelling</w:t>
      </w:r>
      <w:r w:rsidR="00281174" w:rsidRPr="00BD463C">
        <w:rPr>
          <w:rFonts w:ascii="Times New Roman" w:hAnsi="Times New Roman" w:cs="Times New Roman"/>
          <w:sz w:val="24"/>
          <w:szCs w:val="24"/>
        </w:rPr>
        <w:t xml:space="preserve"> the intricate mechanisms related to </w:t>
      </w:r>
      <w:proofErr w:type="spellStart"/>
      <w:r w:rsidR="00281174" w:rsidRPr="00BD463C">
        <w:rPr>
          <w:rFonts w:ascii="Times New Roman" w:hAnsi="Times New Roman" w:cs="Times New Roman"/>
          <w:sz w:val="24"/>
          <w:szCs w:val="24"/>
        </w:rPr>
        <w:t>procarcinogen</w:t>
      </w:r>
      <w:proofErr w:type="spellEnd"/>
      <w:r w:rsidR="00281174" w:rsidRPr="00BD463C">
        <w:rPr>
          <w:rFonts w:ascii="Times New Roman" w:hAnsi="Times New Roman" w:cs="Times New Roman"/>
          <w:sz w:val="24"/>
          <w:szCs w:val="24"/>
        </w:rPr>
        <w:t xml:space="preserve"> activation, molecular damage, and DNA repair processes </w:t>
      </w:r>
      <w:r w:rsidRPr="00BD463C">
        <w:rPr>
          <w:rFonts w:ascii="Times New Roman" w:hAnsi="Times New Roman" w:cs="Times New Roman"/>
          <w:color w:val="000000"/>
          <w:sz w:val="24"/>
          <w:szCs w:val="24"/>
        </w:rPr>
        <w:fldChar w:fldCharType="begin" w:fldLock="1"/>
      </w:r>
      <w:r w:rsidRPr="00BD463C">
        <w:rPr>
          <w:rFonts w:ascii="Times New Roman" w:hAnsi="Times New Roman" w:cs="Times New Roman"/>
          <w:color w:val="000000"/>
          <w:sz w:val="24"/>
          <w:szCs w:val="24"/>
        </w:rPr>
        <w:instrText>ADDIN CSL_CITATION {"citationItems":[{"id":"ITEM-1","itemData":{"DOI":"10.1007/BF02623482","ISSN":"0883-8364 (Print)","PMID":"3782007","abstract":"Several established cell lines from different classes of vertebrates were assayed  for the presence of O6-methylguanine acceptor protein. This protein is instrumental in removing adducts from DNA caused by exposure to alkylating agents. Cultured cells had levels of acceptor protein activity within the range found in fresh tissues from animals in the same class. We suggest that cells from lower vertebrates are satisfactory in vitro models for studies of this DNA repair function.","author":[{"dropping-particle":"","family":"Grist","given":"E","non-dropping-particle":"","parse-names":false,"suffix":""},{"dropping-particle":"","family":"Woodhead","given":"A D","non-dropping-particle":"","parse-names":false,"suffix":""},{"dropping-particle":"","family":"Carlson","given":"C","non-dropping-particle":"","parse-names":false,"suffix":""}],"container-title":"In vitro cellular &amp; developmental biology : journal of the Tissue Culture  Association","id":"ITEM-1","issue":"11","issued":{"date-parts":[["1986","11"]]},"language":"eng","page":"677-680","publisher-place":"United States","title":"Established cell lines from nonmammalian vertebrates: models for DNA repair  studies.","type":"article-journal","volume":"22"},"uris":["http://www.mendeley.com/documents/?uuid=97999ca9-13ab-4535-95a8-6c1e8ec32a7a"]}],"mendeley":{"formattedCitation":"(Grist et al., 1986)","plainTextFormattedCitation":"(Grist et al., 1986)","previouslyFormattedCitation":"(Grist et al., 1986)"},"properties":{"noteIndex":0},"schema":"https://github.com/citation-style-language/schema/raw/master/csl-citation.json"}</w:instrText>
      </w:r>
      <w:r w:rsidRPr="00BD463C">
        <w:rPr>
          <w:rFonts w:ascii="Times New Roman" w:hAnsi="Times New Roman" w:cs="Times New Roman"/>
          <w:color w:val="000000"/>
          <w:sz w:val="24"/>
          <w:szCs w:val="24"/>
        </w:rPr>
        <w:fldChar w:fldCharType="separate"/>
      </w:r>
      <w:r w:rsidRPr="00BD463C">
        <w:rPr>
          <w:rFonts w:ascii="Times New Roman" w:hAnsi="Times New Roman" w:cs="Times New Roman"/>
          <w:noProof/>
          <w:color w:val="000000"/>
          <w:sz w:val="24"/>
          <w:szCs w:val="24"/>
        </w:rPr>
        <w:t>(Grist et al., 1986)</w:t>
      </w:r>
      <w:r w:rsidRPr="00BD463C">
        <w:rPr>
          <w:rFonts w:ascii="Times New Roman" w:hAnsi="Times New Roman" w:cs="Times New Roman"/>
          <w:color w:val="000000"/>
          <w:sz w:val="24"/>
          <w:szCs w:val="24"/>
        </w:rPr>
        <w:fldChar w:fldCharType="end"/>
      </w:r>
      <w:r w:rsidRPr="00BD463C">
        <w:rPr>
          <w:rFonts w:ascii="Times New Roman" w:hAnsi="Times New Roman" w:cs="Times New Roman"/>
          <w:color w:val="000000"/>
          <w:sz w:val="24"/>
          <w:szCs w:val="24"/>
        </w:rPr>
        <w:t xml:space="preserve">. </w:t>
      </w:r>
      <w:r w:rsidR="00281174" w:rsidRPr="00BD463C">
        <w:rPr>
          <w:rFonts w:ascii="Times New Roman" w:hAnsi="Times New Roman" w:cs="Times New Roman"/>
          <w:sz w:val="24"/>
          <w:szCs w:val="24"/>
        </w:rPr>
        <w:t xml:space="preserve"> In essence, cell culture-based studies have revolutionized cancer research by enabling the detailed exploration of cancer cell </w:t>
      </w:r>
      <w:r w:rsidRPr="00BD463C">
        <w:rPr>
          <w:rFonts w:ascii="Times New Roman" w:hAnsi="Times New Roman" w:cs="Times New Roman"/>
          <w:sz w:val="24"/>
          <w:szCs w:val="24"/>
        </w:rPr>
        <w:t>behaviour</w:t>
      </w:r>
      <w:r w:rsidR="00281174" w:rsidRPr="00BD463C">
        <w:rPr>
          <w:rFonts w:ascii="Times New Roman" w:hAnsi="Times New Roman" w:cs="Times New Roman"/>
          <w:sz w:val="24"/>
          <w:szCs w:val="24"/>
        </w:rPr>
        <w:t>, responses to carcinogenic agents, and poten</w:t>
      </w:r>
      <w:r w:rsidR="00B33039">
        <w:rPr>
          <w:rFonts w:ascii="Times New Roman" w:hAnsi="Times New Roman" w:cs="Times New Roman"/>
          <w:sz w:val="24"/>
          <w:szCs w:val="24"/>
        </w:rPr>
        <w:t>tial therapeutic interventions.</w:t>
      </w:r>
    </w:p>
    <w:p w:rsidR="00B33039" w:rsidRPr="00B33039" w:rsidRDefault="00B33039" w:rsidP="00D23B4B">
      <w:pPr>
        <w:autoSpaceDE w:val="0"/>
        <w:autoSpaceDN w:val="0"/>
        <w:adjustRightInd w:val="0"/>
        <w:spacing w:after="0" w:line="360" w:lineRule="auto"/>
        <w:jc w:val="both"/>
        <w:rPr>
          <w:rFonts w:ascii="Times New Roman" w:hAnsi="Times New Roman" w:cs="Times New Roman"/>
          <w:sz w:val="24"/>
          <w:szCs w:val="24"/>
        </w:rPr>
      </w:pPr>
    </w:p>
    <w:p w:rsidR="00710F14" w:rsidRPr="00C23AEB" w:rsidRDefault="00710F14" w:rsidP="00D23B4B">
      <w:pPr>
        <w:autoSpaceDE w:val="0"/>
        <w:autoSpaceDN w:val="0"/>
        <w:adjustRightInd w:val="0"/>
        <w:spacing w:after="0" w:line="360" w:lineRule="auto"/>
        <w:jc w:val="both"/>
        <w:rPr>
          <w:rFonts w:ascii="Times New Roman" w:hAnsi="Times New Roman" w:cs="Times New Roman"/>
          <w:b/>
          <w:sz w:val="24"/>
          <w:szCs w:val="24"/>
        </w:rPr>
      </w:pPr>
      <w:r w:rsidRPr="00D1189C">
        <w:rPr>
          <w:rFonts w:ascii="Times New Roman" w:hAnsi="Times New Roman" w:cs="Times New Roman"/>
          <w:b/>
          <w:sz w:val="24"/>
          <w:szCs w:val="24"/>
        </w:rPr>
        <w:t>Three-dimensional cell cultures</w:t>
      </w:r>
    </w:p>
    <w:p w:rsidR="00AF3AF4" w:rsidRDefault="00AF3AF4"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r w:rsidRPr="00AF3AF4">
        <w:rPr>
          <w:rFonts w:ascii="Times New Roman" w:hAnsi="Times New Roman" w:cs="Times New Roman"/>
          <w:color w:val="000000" w:themeColor="text1"/>
          <w:sz w:val="24"/>
          <w:szCs w:val="24"/>
        </w:rPr>
        <w:t xml:space="preserve">3D cell models, interacting with their environment in all dimensions, provide more reliable data, closely resembling in vivo conditions. This study aimed to create a new in vitro infection model using a reproducible 3D spheroid cell culture system, potentially reducing the need for animal testing in fish disease research. The efficiency of 3D spheroids of rainbow trout cell lines, RTG-2 and RTS-11, in propagating </w:t>
      </w:r>
      <w:proofErr w:type="spellStart"/>
      <w:r w:rsidRPr="00AF3AF4">
        <w:rPr>
          <w:rFonts w:ascii="Times New Roman" w:hAnsi="Times New Roman" w:cs="Times New Roman"/>
          <w:color w:val="000000" w:themeColor="text1"/>
          <w:sz w:val="24"/>
          <w:szCs w:val="24"/>
        </w:rPr>
        <w:t>Saprolegnia</w:t>
      </w:r>
      <w:proofErr w:type="spellEnd"/>
      <w:r w:rsidRPr="00AF3AF4">
        <w:rPr>
          <w:rFonts w:ascii="Times New Roman" w:hAnsi="Times New Roman" w:cs="Times New Roman"/>
          <w:color w:val="000000" w:themeColor="text1"/>
          <w:sz w:val="24"/>
          <w:szCs w:val="24"/>
        </w:rPr>
        <w:t xml:space="preserve"> </w:t>
      </w:r>
      <w:proofErr w:type="spellStart"/>
      <w:r w:rsidRPr="00AF3AF4">
        <w:rPr>
          <w:rFonts w:ascii="Times New Roman" w:hAnsi="Times New Roman" w:cs="Times New Roman"/>
          <w:color w:val="000000" w:themeColor="text1"/>
          <w:sz w:val="24"/>
          <w:szCs w:val="24"/>
        </w:rPr>
        <w:t>parasitica</w:t>
      </w:r>
      <w:proofErr w:type="spellEnd"/>
      <w:r w:rsidRPr="00AF3AF4">
        <w:rPr>
          <w:rFonts w:ascii="Times New Roman" w:hAnsi="Times New Roman" w:cs="Times New Roman"/>
          <w:color w:val="000000" w:themeColor="text1"/>
          <w:sz w:val="24"/>
          <w:szCs w:val="24"/>
        </w:rPr>
        <w:t xml:space="preserve"> spores was successfully tested, simulating in vivo infection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{"citationItems":[{"id":"ITEM-1","itemData":{"ISSN":"0250-7005 (Print)","PMID":"9891460","abstract":"Cells cultured as spheroids present an heterogeneity similar to that of tumours  in vivo. In the spheroid peripheral layers, cells are proliferating, deeper cells are non-cycling, when in the aggregate centre, cells form often a necrotic core. A multicellular resistance is related on the cell contact to other cells or to the extracellular matrix. The mechanism of this resistance remains unknown. It seems to be linked to the spheroid centre hypoxia, quiescence of a large fraction of the cell population and to the apoptose inhibition. The \"classical\" or \"unicellular\" mechanisms of resistance, as mdr1, MRP, can coexist but are not responsible of this type of resistance. This culture model is a good opportunity to study a resistance which looks close to the patient tumour resistance. A new class of therapeutic molecules appears that can reverse multicellular resistance, inhibit tumours growth and preclude metastases. The mechanism of action of this new pharmacological class is the disruption of the cell adhesion forces.","author":[{"dropping-particle":"","family":"Desoize","given":"B","non-dropping-particle":"","parse-names":false,"suffix":""},{"dropping-particle":"","family":"Gimonet","given":"D","non-dropping-particle":"","parse-names":false,"suffix":""},{"dropping-particle":"","family":"Jardiller","given":"J C","non-dropping-particle":"","parse-names":false,"suffix":""}],"container-title":"Anticancer research","id":"ITEM-1","issue":"6A","issued":{"date-parts":[["1998"]]},"language":"eng","page":"4147-4158","publisher-place":"Greece","title":"Cell culture as spheroids: an approach to multicellular resistance.","type":"article-journal","volume":"18"},"uris":["http://www.mendeley.com/documents/?uuid=48d01159-6886-483b-8009-e2c6c52389f5"]}],"mendeley":{"formattedCitation":"(Desoize et al., 1998)","manualFormatting":"(Desoize et al., 1998","plainTextFormattedCitation":"(Desoize et al., 1998)","previouslyFormattedCitation":"(Desoize et al., 1998)"},"properties":{"noteIndex":0},"schema":"https://github.com/citation-style-language/schema/raw/master/csl-citation.json"}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B32938">
        <w:rPr>
          <w:rFonts w:ascii="Times New Roman" w:hAnsi="Times New Roman" w:cs="Times New Roman"/>
          <w:noProof/>
          <w:color w:val="000000" w:themeColor="text1"/>
          <w:sz w:val="24"/>
          <w:szCs w:val="24"/>
        </w:rPr>
        <w:t>(Desoize et al., 1998</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AF3AF4">
        <w:rPr>
          <w:rFonts w:ascii="Times New Roman" w:hAnsi="Times New Roman" w:cs="Times New Roman"/>
          <w:color w:val="000000" w:themeColor="text1"/>
          <w:sz w:val="24"/>
          <w:szCs w:val="24"/>
        </w:rPr>
        <w:t xml:space="preserve">3D cell cultures, as per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{"citationItems":[{"id":"ITEM-1","itemData":{"DOI":"10.1111/jfd.13331","ISSN":"1365-2761 (Electronic)","PMID":"33434302","abstract":"Understanding the ways in which pathogens infect host cells is essential to  improve and develop new treatment strategies. This study aimed to generate a novel in vitro infection model by establishing a reproducible 3D spheroid cell culture system that may lead to a reduced need for animals in fish disease research. 2D models (commonly cell lines) cannot replicate many key conditions of in vivo infections, but 3D spheroids have the potential to provide bridging technology between in vivo and in vitro systems. 3D spheroids were generated using cells from rainbow trout (Oncorhynchus mykiss) cell lines, RTG-2 and RTS-11. The RTG-2 spheroids were tested for their potential to be infected upon exposure to Saprolegnia parasitica spores. Positive infiltration of mycelia into the spheroids was verified by confocal microscopy. As a closer analogue of in vivo conditions encountered during infection, the straightforward model developed in this study shows promise as an additional tool that can be used to further our understanding of host-pathogen interactions for Saprolegnia and possibly a variety of other fish pathogens.","author":[{"dropping-particle":"","family":"Faber","given":"Marc N","non-dropping-particle":"","parse-names":false,"suffix":""},{"dropping-particle":"","family":"Sojan","given":"Jerry M","non-dropping-particle":"","parse-names":false,"suffix":""},{"dropping-particle":"","family":"Saraiva","given":"Marcia","non-dropping-particle":"","parse-names":false,"suffix":""},{"dropping-particle":"","family":"West","given":"Pieter","non-dropping-particle":"van","parse-names":false,"suffix":""},{"dropping-particle":"","family":"Secombes","given":"Christopher J","non-dropping-particle":"","parse-names":false,"suffix":""}],"container-title":"Journal of fish diseases","id":"ITEM-1","issue":"6","issued":{"date-parts":[["2021","6"]]},"language":"eng","page":"701-710","publisher-place":"England","title":"Development of a 3D spheroid cell culture system from fish cell lines for in  vitro infection studies: Evaluation with Saprolegnia parasitica.","type":"article-journal","volume":"44"},"uris":["http://www.mendeley.com/documents/?uuid=4015780c-bb79-4455-a44f-c16a55890d1a"]}],"mendeley":{"formattedCitation":"(Faber et al., 2021)","manualFormatting":"Faber et al., 2021)","plainTextFormattedCitation":"(Faber et al., 2021)","previouslyFormattedCitation":"(Faber et al., 2021)"},"properties":{"noteIndex":0},"schema":"https://github.com/citation-style-language/schema/raw/master/csl-citation.json"}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B32938">
        <w:rPr>
          <w:rFonts w:ascii="Times New Roman" w:hAnsi="Times New Roman" w:cs="Times New Roman"/>
          <w:noProof/>
          <w:color w:val="000000" w:themeColor="text1"/>
          <w:sz w:val="24"/>
          <w:szCs w:val="24"/>
        </w:rPr>
        <w:t xml:space="preserve">Faber et al., </w:t>
      </w:r>
      <w:r>
        <w:rPr>
          <w:rFonts w:ascii="Times New Roman" w:hAnsi="Times New Roman" w:cs="Times New Roman"/>
          <w:noProof/>
          <w:color w:val="000000" w:themeColor="text1"/>
          <w:sz w:val="24"/>
          <w:szCs w:val="24"/>
        </w:rPr>
        <w:t>(</w:t>
      </w:r>
      <w:r w:rsidRPr="00B32938">
        <w:rPr>
          <w:rFonts w:ascii="Times New Roman" w:hAnsi="Times New Roman" w:cs="Times New Roman"/>
          <w:noProof/>
          <w:color w:val="000000" w:themeColor="text1"/>
          <w:sz w:val="24"/>
          <w:szCs w:val="24"/>
        </w:rPr>
        <w:t>2021)</w:t>
      </w:r>
      <w:r>
        <w:rPr>
          <w:rFonts w:ascii="Times New Roman" w:hAnsi="Times New Roman" w:cs="Times New Roman"/>
          <w:color w:val="000000" w:themeColor="text1"/>
          <w:sz w:val="24"/>
          <w:szCs w:val="24"/>
        </w:rPr>
        <w:fldChar w:fldCharType="end"/>
      </w:r>
      <w:r w:rsidRPr="00AF3AF4">
        <w:rPr>
          <w:rFonts w:ascii="Times New Roman" w:hAnsi="Times New Roman" w:cs="Times New Roman"/>
          <w:color w:val="000000" w:themeColor="text1"/>
          <w:sz w:val="24"/>
          <w:szCs w:val="24"/>
        </w:rPr>
        <w:t>, allow for the examination of complex physiological processes in vitro.</w:t>
      </w:r>
      <w:r w:rsidR="00EF0C0F">
        <w:rPr>
          <w:rFonts w:ascii="Times New Roman" w:hAnsi="Times New Roman" w:cs="Times New Roman"/>
          <w:color w:val="000000" w:themeColor="text1"/>
          <w:sz w:val="24"/>
          <w:szCs w:val="24"/>
        </w:rPr>
        <w:t xml:space="preserve"> </w:t>
      </w:r>
      <w:r w:rsidRPr="00AF3AF4">
        <w:rPr>
          <w:rFonts w:ascii="Times New Roman" w:hAnsi="Times New Roman" w:cs="Times New Roman"/>
          <w:color w:val="000000" w:themeColor="text1"/>
          <w:sz w:val="24"/>
          <w:szCs w:val="24"/>
        </w:rPr>
        <w:t xml:space="preserve">3D cell systems, an advanced cell culture technique, better simulate in vivo conditions than traditional 2D culture. Studies indicate that essential receptors and </w:t>
      </w:r>
      <w:proofErr w:type="spellStart"/>
      <w:r w:rsidRPr="00AF3AF4">
        <w:rPr>
          <w:rFonts w:ascii="Times New Roman" w:hAnsi="Times New Roman" w:cs="Times New Roman"/>
          <w:color w:val="000000" w:themeColor="text1"/>
          <w:sz w:val="24"/>
          <w:szCs w:val="24"/>
        </w:rPr>
        <w:t>signaling</w:t>
      </w:r>
      <w:proofErr w:type="spellEnd"/>
      <w:r w:rsidRPr="00AF3AF4">
        <w:rPr>
          <w:rFonts w:ascii="Times New Roman" w:hAnsi="Times New Roman" w:cs="Times New Roman"/>
          <w:color w:val="000000" w:themeColor="text1"/>
          <w:sz w:val="24"/>
          <w:szCs w:val="24"/>
        </w:rPr>
        <w:t xml:space="preserve"> molecules are reduced or lost in 2D cell cultures (Hayward et al. 1995; </w:t>
      </w:r>
      <w:proofErr w:type="spellStart"/>
      <w:r w:rsidRPr="00AF3AF4">
        <w:rPr>
          <w:rFonts w:ascii="Times New Roman" w:hAnsi="Times New Roman" w:cs="Times New Roman"/>
          <w:color w:val="000000" w:themeColor="text1"/>
          <w:sz w:val="24"/>
          <w:szCs w:val="24"/>
        </w:rPr>
        <w:t>Novaro</w:t>
      </w:r>
      <w:proofErr w:type="spellEnd"/>
      <w:r w:rsidRPr="00AF3AF4">
        <w:rPr>
          <w:rFonts w:ascii="Times New Roman" w:hAnsi="Times New Roman" w:cs="Times New Roman"/>
          <w:color w:val="000000" w:themeColor="text1"/>
          <w:sz w:val="24"/>
          <w:szCs w:val="24"/>
        </w:rPr>
        <w:t xml:space="preserve"> et al. 2003; </w:t>
      </w:r>
      <w:proofErr w:type="spellStart"/>
      <w:r w:rsidRPr="00AF3AF4">
        <w:rPr>
          <w:rFonts w:ascii="Times New Roman" w:hAnsi="Times New Roman" w:cs="Times New Roman"/>
          <w:color w:val="000000" w:themeColor="text1"/>
          <w:sz w:val="24"/>
          <w:szCs w:val="24"/>
        </w:rPr>
        <w:t>Pickl</w:t>
      </w:r>
      <w:proofErr w:type="spellEnd"/>
      <w:r w:rsidRPr="00AF3AF4">
        <w:rPr>
          <w:rFonts w:ascii="Times New Roman" w:hAnsi="Times New Roman" w:cs="Times New Roman"/>
          <w:color w:val="000000" w:themeColor="text1"/>
          <w:sz w:val="24"/>
          <w:szCs w:val="24"/>
        </w:rPr>
        <w:t xml:space="preserve"> and </w:t>
      </w:r>
      <w:proofErr w:type="spellStart"/>
      <w:r w:rsidRPr="00AF3AF4">
        <w:rPr>
          <w:rFonts w:ascii="Times New Roman" w:hAnsi="Times New Roman" w:cs="Times New Roman"/>
          <w:color w:val="000000" w:themeColor="text1"/>
          <w:sz w:val="24"/>
          <w:szCs w:val="24"/>
        </w:rPr>
        <w:t>Ries</w:t>
      </w:r>
      <w:proofErr w:type="spellEnd"/>
      <w:r w:rsidRPr="00AF3AF4">
        <w:rPr>
          <w:rFonts w:ascii="Times New Roman" w:hAnsi="Times New Roman" w:cs="Times New Roman"/>
          <w:color w:val="000000" w:themeColor="text1"/>
          <w:sz w:val="24"/>
          <w:szCs w:val="24"/>
        </w:rPr>
        <w:t xml:space="preserve"> 2008; Yang et al. 2000). However, </w:t>
      </w:r>
      <w:r w:rsidR="00583428" w:rsidRPr="00583428">
        <w:rPr>
          <w:rFonts w:ascii="Times New Roman" w:hAnsi="Times New Roman" w:cs="Times New Roman"/>
          <w:color w:val="000000" w:themeColor="text1"/>
          <w:sz w:val="24"/>
          <w:szCs w:val="24"/>
        </w:rPr>
        <w:t xml:space="preserve">the utilization of 3D cell culture enables cells to proliferate and engage with their surroundings in a manner that mirrors the three-dimensional aspects of their natural environment. This technique was employed to develop 3D spheroids of rainbow trout cell lines, namely RTG-2 and RTS-11. These cellular constructs proved to be highly effective for cultivating </w:t>
      </w:r>
      <w:proofErr w:type="spellStart"/>
      <w:r w:rsidR="00583428" w:rsidRPr="00583428">
        <w:rPr>
          <w:rFonts w:ascii="Times New Roman" w:hAnsi="Times New Roman" w:cs="Times New Roman"/>
          <w:color w:val="000000" w:themeColor="text1"/>
          <w:sz w:val="24"/>
          <w:szCs w:val="24"/>
        </w:rPr>
        <w:t>Saprolegnia</w:t>
      </w:r>
      <w:proofErr w:type="spellEnd"/>
      <w:r w:rsidR="00583428" w:rsidRPr="00583428">
        <w:rPr>
          <w:rFonts w:ascii="Times New Roman" w:hAnsi="Times New Roman" w:cs="Times New Roman"/>
          <w:color w:val="000000" w:themeColor="text1"/>
          <w:sz w:val="24"/>
          <w:szCs w:val="24"/>
        </w:rPr>
        <w:t xml:space="preserve"> </w:t>
      </w:r>
      <w:proofErr w:type="spellStart"/>
      <w:r w:rsidR="00583428" w:rsidRPr="00583428">
        <w:rPr>
          <w:rFonts w:ascii="Times New Roman" w:hAnsi="Times New Roman" w:cs="Times New Roman"/>
          <w:color w:val="000000" w:themeColor="text1"/>
          <w:sz w:val="24"/>
          <w:szCs w:val="24"/>
        </w:rPr>
        <w:t>parasitica</w:t>
      </w:r>
      <w:proofErr w:type="spellEnd"/>
      <w:r w:rsidR="00583428" w:rsidRPr="00583428">
        <w:rPr>
          <w:rFonts w:ascii="Times New Roman" w:hAnsi="Times New Roman" w:cs="Times New Roman"/>
          <w:color w:val="000000" w:themeColor="text1"/>
          <w:sz w:val="24"/>
          <w:szCs w:val="24"/>
        </w:rPr>
        <w:t xml:space="preserve"> spores, successfully emulating a real-life infection scenario</w:t>
      </w:r>
      <w:r w:rsidR="00583428">
        <w:rPr>
          <w:rFonts w:ascii="Times New Roman" w:hAnsi="Times New Roman" w:cs="Times New Roman"/>
          <w:color w:val="000000" w:themeColor="text1"/>
          <w:sz w:val="24"/>
          <w:szCs w:val="24"/>
        </w:rPr>
        <w:t xml:space="preserve"> </w:t>
      </w:r>
      <w:r w:rsidRPr="00AF3AF4">
        <w:rPr>
          <w:rFonts w:ascii="Times New Roman" w:hAnsi="Times New Roman" w:cs="Times New Roman"/>
          <w:color w:val="000000" w:themeColor="text1"/>
          <w:sz w:val="24"/>
          <w:szCs w:val="24"/>
        </w:rPr>
        <w:t>(Faber et al. 2021).</w:t>
      </w:r>
    </w:p>
    <w:p w:rsidR="00583428" w:rsidRDefault="00583428"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p>
    <w:p w:rsidR="002E60C3" w:rsidRDefault="00583428" w:rsidP="00583428">
      <w:pPr>
        <w:autoSpaceDE w:val="0"/>
        <w:autoSpaceDN w:val="0"/>
        <w:adjustRightInd w:val="0"/>
        <w:spacing w:after="0" w:line="360" w:lineRule="auto"/>
        <w:jc w:val="both"/>
        <w:rPr>
          <w:rFonts w:ascii="Times New Roman" w:hAnsi="Times New Roman" w:cs="Times New Roman"/>
          <w:color w:val="000000" w:themeColor="text1"/>
          <w:sz w:val="24"/>
          <w:szCs w:val="24"/>
        </w:rPr>
      </w:pPr>
      <w:r w:rsidRPr="00583428">
        <w:rPr>
          <w:rFonts w:ascii="Times New Roman" w:hAnsi="Times New Roman" w:cs="Times New Roman"/>
          <w:color w:val="000000" w:themeColor="text1"/>
          <w:sz w:val="24"/>
          <w:szCs w:val="24"/>
        </w:rPr>
        <w:t>Adding extracellular matrix (ECM) components to cultures significantly improves cel</w:t>
      </w:r>
      <w:r w:rsidR="00B33039">
        <w:rPr>
          <w:rFonts w:ascii="Times New Roman" w:hAnsi="Times New Roman" w:cs="Times New Roman"/>
          <w:color w:val="000000" w:themeColor="text1"/>
          <w:sz w:val="24"/>
          <w:szCs w:val="24"/>
        </w:rPr>
        <w:t>l morphology</w:t>
      </w:r>
      <w:r w:rsidRPr="00583428">
        <w:rPr>
          <w:rFonts w:ascii="Times New Roman" w:hAnsi="Times New Roman" w:cs="Times New Roman"/>
          <w:color w:val="000000" w:themeColor="text1"/>
          <w:sz w:val="24"/>
          <w:szCs w:val="24"/>
        </w:rPr>
        <w:t xml:space="preserve">, differentiation, </w:t>
      </w:r>
      <w:r w:rsidR="00B33039">
        <w:rPr>
          <w:rFonts w:ascii="Times New Roman" w:hAnsi="Times New Roman" w:cs="Times New Roman"/>
          <w:color w:val="000000" w:themeColor="text1"/>
          <w:sz w:val="24"/>
          <w:szCs w:val="24"/>
        </w:rPr>
        <w:t>adhesion</w:t>
      </w:r>
      <w:r w:rsidR="00B33039">
        <w:rPr>
          <w:rFonts w:ascii="Times New Roman" w:hAnsi="Times New Roman" w:cs="Times New Roman"/>
          <w:color w:val="000000" w:themeColor="text1"/>
          <w:sz w:val="24"/>
          <w:szCs w:val="24"/>
        </w:rPr>
        <w:t xml:space="preserve">, polarity </w:t>
      </w:r>
      <w:r w:rsidRPr="00583428">
        <w:rPr>
          <w:rFonts w:ascii="Times New Roman" w:hAnsi="Times New Roman" w:cs="Times New Roman"/>
          <w:color w:val="000000" w:themeColor="text1"/>
          <w:sz w:val="24"/>
          <w:szCs w:val="24"/>
        </w:rPr>
        <w:t xml:space="preserve">and gene expression in 3D setups (Kenny et al. 2007; </w:t>
      </w:r>
      <w:proofErr w:type="spellStart"/>
      <w:r w:rsidRPr="00583428">
        <w:rPr>
          <w:rFonts w:ascii="Times New Roman" w:hAnsi="Times New Roman" w:cs="Times New Roman"/>
          <w:color w:val="000000" w:themeColor="text1"/>
          <w:sz w:val="24"/>
          <w:szCs w:val="24"/>
        </w:rPr>
        <w:t>Pampaloni</w:t>
      </w:r>
      <w:proofErr w:type="spellEnd"/>
      <w:r w:rsidRPr="00583428">
        <w:rPr>
          <w:rFonts w:ascii="Times New Roman" w:hAnsi="Times New Roman" w:cs="Times New Roman"/>
          <w:color w:val="000000" w:themeColor="text1"/>
          <w:sz w:val="24"/>
          <w:szCs w:val="24"/>
        </w:rPr>
        <w:t xml:space="preserve"> et al. 2007; Yamada and </w:t>
      </w:r>
      <w:proofErr w:type="spellStart"/>
      <w:r w:rsidRPr="00583428">
        <w:rPr>
          <w:rFonts w:ascii="Times New Roman" w:hAnsi="Times New Roman" w:cs="Times New Roman"/>
          <w:color w:val="000000" w:themeColor="text1"/>
          <w:sz w:val="24"/>
          <w:szCs w:val="24"/>
        </w:rPr>
        <w:t>Cukierman</w:t>
      </w:r>
      <w:proofErr w:type="spellEnd"/>
      <w:r w:rsidRPr="00583428">
        <w:rPr>
          <w:rFonts w:ascii="Times New Roman" w:hAnsi="Times New Roman" w:cs="Times New Roman"/>
          <w:color w:val="000000" w:themeColor="text1"/>
          <w:sz w:val="24"/>
          <w:szCs w:val="24"/>
        </w:rPr>
        <w:t xml:space="preserve"> 2007; Sung et al. 2013; Xu et al. 2013), </w:t>
      </w:r>
      <w:r w:rsidRPr="00583428">
        <w:rPr>
          <w:rFonts w:ascii="Times New Roman" w:hAnsi="Times New Roman" w:cs="Times New Roman"/>
          <w:color w:val="000000" w:themeColor="text1"/>
          <w:sz w:val="24"/>
          <w:szCs w:val="24"/>
        </w:rPr>
        <w:lastRenderedPageBreak/>
        <w:t>resembling the natural ECM's structure and chemistry (Wolf et al. 2009). 3D cell cultures in spheroids, simulating physiological conditions (</w:t>
      </w:r>
      <w:proofErr w:type="spellStart"/>
      <w:r w:rsidRPr="00583428">
        <w:rPr>
          <w:rFonts w:ascii="Times New Roman" w:hAnsi="Times New Roman" w:cs="Times New Roman"/>
          <w:color w:val="000000" w:themeColor="text1"/>
          <w:sz w:val="24"/>
          <w:szCs w:val="24"/>
        </w:rPr>
        <w:t>Desoize</w:t>
      </w:r>
      <w:proofErr w:type="spellEnd"/>
      <w:r w:rsidRPr="00583428">
        <w:rPr>
          <w:rFonts w:ascii="Times New Roman" w:hAnsi="Times New Roman" w:cs="Times New Roman"/>
          <w:color w:val="000000" w:themeColor="text1"/>
          <w:sz w:val="24"/>
          <w:szCs w:val="24"/>
        </w:rPr>
        <w:t xml:space="preserve"> et al. 1998), better replicate in vivo </w:t>
      </w:r>
      <w:proofErr w:type="spellStart"/>
      <w:r w:rsidRPr="00583428">
        <w:rPr>
          <w:rFonts w:ascii="Times New Roman" w:hAnsi="Times New Roman" w:cs="Times New Roman"/>
          <w:color w:val="000000" w:themeColor="text1"/>
          <w:sz w:val="24"/>
          <w:szCs w:val="24"/>
        </w:rPr>
        <w:t>tumor</w:t>
      </w:r>
      <w:proofErr w:type="spellEnd"/>
      <w:r w:rsidRPr="00583428">
        <w:rPr>
          <w:rFonts w:ascii="Times New Roman" w:hAnsi="Times New Roman" w:cs="Times New Roman"/>
          <w:color w:val="000000" w:themeColor="text1"/>
          <w:sz w:val="24"/>
          <w:szCs w:val="24"/>
        </w:rPr>
        <w:t xml:space="preserve"> </w:t>
      </w:r>
      <w:proofErr w:type="spellStart"/>
      <w:r w:rsidRPr="00583428">
        <w:rPr>
          <w:rFonts w:ascii="Times New Roman" w:hAnsi="Times New Roman" w:cs="Times New Roman"/>
          <w:color w:val="000000" w:themeColor="text1"/>
          <w:sz w:val="24"/>
          <w:szCs w:val="24"/>
        </w:rPr>
        <w:t>behavior</w:t>
      </w:r>
      <w:proofErr w:type="spellEnd"/>
      <w:r w:rsidRPr="00583428">
        <w:rPr>
          <w:rFonts w:ascii="Times New Roman" w:hAnsi="Times New Roman" w:cs="Times New Roman"/>
          <w:color w:val="000000" w:themeColor="text1"/>
          <w:sz w:val="24"/>
          <w:szCs w:val="24"/>
        </w:rPr>
        <w:t xml:space="preserve"> (</w:t>
      </w:r>
      <w:proofErr w:type="spellStart"/>
      <w:r w:rsidRPr="00583428">
        <w:rPr>
          <w:rFonts w:ascii="Times New Roman" w:hAnsi="Times New Roman" w:cs="Times New Roman"/>
          <w:color w:val="000000" w:themeColor="text1"/>
          <w:sz w:val="24"/>
          <w:szCs w:val="24"/>
        </w:rPr>
        <w:t>Hirschhaeuser</w:t>
      </w:r>
      <w:proofErr w:type="spellEnd"/>
      <w:r w:rsidRPr="00583428">
        <w:rPr>
          <w:rFonts w:ascii="Times New Roman" w:hAnsi="Times New Roman" w:cs="Times New Roman"/>
          <w:color w:val="000000" w:themeColor="text1"/>
          <w:sz w:val="24"/>
          <w:szCs w:val="24"/>
        </w:rPr>
        <w:t xml:space="preserve"> et al. 2010; Shield et al. 2009; </w:t>
      </w:r>
      <w:proofErr w:type="spellStart"/>
      <w:r w:rsidRPr="00583428">
        <w:rPr>
          <w:rFonts w:ascii="Times New Roman" w:hAnsi="Times New Roman" w:cs="Times New Roman"/>
          <w:color w:val="000000" w:themeColor="text1"/>
          <w:sz w:val="24"/>
          <w:szCs w:val="24"/>
        </w:rPr>
        <w:t>Weiswald</w:t>
      </w:r>
      <w:proofErr w:type="spellEnd"/>
      <w:r w:rsidRPr="00583428">
        <w:rPr>
          <w:rFonts w:ascii="Times New Roman" w:hAnsi="Times New Roman" w:cs="Times New Roman"/>
          <w:color w:val="000000" w:themeColor="text1"/>
          <w:sz w:val="24"/>
          <w:szCs w:val="24"/>
        </w:rPr>
        <w:t xml:space="preserve"> et al. 2015). Spheroids are created by </w:t>
      </w:r>
      <w:proofErr w:type="spellStart"/>
      <w:r w:rsidRPr="00583428">
        <w:rPr>
          <w:rFonts w:ascii="Times New Roman" w:hAnsi="Times New Roman" w:cs="Times New Roman"/>
          <w:color w:val="000000" w:themeColor="text1"/>
          <w:sz w:val="24"/>
          <w:szCs w:val="24"/>
        </w:rPr>
        <w:t>favoring</w:t>
      </w:r>
      <w:proofErr w:type="spellEnd"/>
      <w:r w:rsidRPr="00583428">
        <w:rPr>
          <w:rFonts w:ascii="Times New Roman" w:hAnsi="Times New Roman" w:cs="Times New Roman"/>
          <w:color w:val="000000" w:themeColor="text1"/>
          <w:sz w:val="24"/>
          <w:szCs w:val="24"/>
        </w:rPr>
        <w:t xml:space="preserve"> cell-cell adhesion over matrix adhesion (</w:t>
      </w:r>
      <w:proofErr w:type="spellStart"/>
      <w:r w:rsidRPr="00583428">
        <w:rPr>
          <w:rFonts w:ascii="Times New Roman" w:hAnsi="Times New Roman" w:cs="Times New Roman"/>
          <w:color w:val="000000" w:themeColor="text1"/>
          <w:sz w:val="24"/>
          <w:szCs w:val="24"/>
        </w:rPr>
        <w:t>Santini</w:t>
      </w:r>
      <w:proofErr w:type="spellEnd"/>
      <w:r w:rsidRPr="00583428">
        <w:rPr>
          <w:rFonts w:ascii="Times New Roman" w:hAnsi="Times New Roman" w:cs="Times New Roman"/>
          <w:color w:val="000000" w:themeColor="text1"/>
          <w:sz w:val="24"/>
          <w:szCs w:val="24"/>
        </w:rPr>
        <w:t xml:space="preserve"> et al. 1999) and can interact with various biomaterials (Hsiao et al. 2009; </w:t>
      </w:r>
      <w:proofErr w:type="spellStart"/>
      <w:r w:rsidRPr="00583428">
        <w:rPr>
          <w:rFonts w:ascii="Times New Roman" w:hAnsi="Times New Roman" w:cs="Times New Roman"/>
          <w:color w:val="000000" w:themeColor="text1"/>
          <w:sz w:val="24"/>
          <w:szCs w:val="24"/>
        </w:rPr>
        <w:t>Loessner</w:t>
      </w:r>
      <w:proofErr w:type="spellEnd"/>
      <w:r w:rsidRPr="00583428">
        <w:rPr>
          <w:rFonts w:ascii="Times New Roman" w:hAnsi="Times New Roman" w:cs="Times New Roman"/>
          <w:color w:val="000000" w:themeColor="text1"/>
          <w:sz w:val="24"/>
          <w:szCs w:val="24"/>
        </w:rPr>
        <w:t xml:space="preserve"> et al. 2010; Ong et al. 2010)</w:t>
      </w:r>
      <w:r>
        <w:rPr>
          <w:rFonts w:ascii="Times New Roman" w:hAnsi="Times New Roman" w:cs="Times New Roman"/>
          <w:color w:val="000000" w:themeColor="text1"/>
          <w:sz w:val="24"/>
          <w:szCs w:val="24"/>
        </w:rPr>
        <w:t xml:space="preserve">. </w:t>
      </w:r>
      <w:r w:rsidRPr="00583428">
        <w:rPr>
          <w:rFonts w:ascii="Times New Roman" w:hAnsi="Times New Roman" w:cs="Times New Roman"/>
          <w:color w:val="000000" w:themeColor="text1"/>
          <w:sz w:val="24"/>
          <w:szCs w:val="24"/>
        </w:rPr>
        <w:t>3D cultures emulate complex physiological processes, useful for drug screening, discovery, and cancer biology (</w:t>
      </w:r>
      <w:proofErr w:type="spellStart"/>
      <w:r w:rsidRPr="00583428">
        <w:rPr>
          <w:rFonts w:ascii="Times New Roman" w:hAnsi="Times New Roman" w:cs="Times New Roman"/>
          <w:color w:val="000000" w:themeColor="text1"/>
          <w:sz w:val="24"/>
          <w:szCs w:val="24"/>
        </w:rPr>
        <w:t>Tsuruga</w:t>
      </w:r>
      <w:proofErr w:type="spellEnd"/>
      <w:r w:rsidRPr="00583428">
        <w:rPr>
          <w:rFonts w:ascii="Times New Roman" w:hAnsi="Times New Roman" w:cs="Times New Roman"/>
          <w:color w:val="000000" w:themeColor="text1"/>
          <w:sz w:val="24"/>
          <w:szCs w:val="24"/>
        </w:rPr>
        <w:t xml:space="preserve"> et al. 2008; </w:t>
      </w:r>
      <w:proofErr w:type="spellStart"/>
      <w:r w:rsidRPr="00583428">
        <w:rPr>
          <w:rFonts w:ascii="Times New Roman" w:hAnsi="Times New Roman" w:cs="Times New Roman"/>
          <w:color w:val="000000" w:themeColor="text1"/>
          <w:sz w:val="24"/>
          <w:szCs w:val="24"/>
        </w:rPr>
        <w:t>Ballester</w:t>
      </w:r>
      <w:proofErr w:type="spellEnd"/>
      <w:r w:rsidRPr="00583428">
        <w:rPr>
          <w:rFonts w:ascii="Times New Roman" w:hAnsi="Times New Roman" w:cs="Times New Roman"/>
          <w:color w:val="000000" w:themeColor="text1"/>
          <w:sz w:val="24"/>
          <w:szCs w:val="24"/>
        </w:rPr>
        <w:t xml:space="preserve"> et al. 2019). Primary cells, like hepatocytes, thrive in 3D collagen gels for extended periods (</w:t>
      </w:r>
      <w:proofErr w:type="spellStart"/>
      <w:r w:rsidRPr="00583428">
        <w:rPr>
          <w:rFonts w:ascii="Times New Roman" w:hAnsi="Times New Roman" w:cs="Times New Roman"/>
          <w:color w:val="000000" w:themeColor="text1"/>
          <w:sz w:val="24"/>
          <w:szCs w:val="24"/>
        </w:rPr>
        <w:t>Schippers</w:t>
      </w:r>
      <w:proofErr w:type="spellEnd"/>
      <w:r w:rsidRPr="00583428">
        <w:rPr>
          <w:rFonts w:ascii="Times New Roman" w:hAnsi="Times New Roman" w:cs="Times New Roman"/>
          <w:color w:val="000000" w:themeColor="text1"/>
          <w:sz w:val="24"/>
          <w:szCs w:val="24"/>
        </w:rPr>
        <w:t xml:space="preserve"> et al. 1997), enhancing accuracy and reliability. Developing fish primary cell 3D cultures, especially for drug screening, accelerates targeted treatment discovery, crucial for advancing drug development and biomedical research.</w:t>
      </w:r>
    </w:p>
    <w:p w:rsidR="00583428" w:rsidRPr="00050785" w:rsidRDefault="00583428" w:rsidP="00583428">
      <w:pPr>
        <w:autoSpaceDE w:val="0"/>
        <w:autoSpaceDN w:val="0"/>
        <w:adjustRightInd w:val="0"/>
        <w:spacing w:after="0" w:line="360" w:lineRule="auto"/>
        <w:jc w:val="both"/>
        <w:rPr>
          <w:rFonts w:ascii="Times New Roman" w:hAnsi="Times New Roman" w:cs="Times New Roman"/>
          <w:color w:val="000000" w:themeColor="text1"/>
          <w:sz w:val="24"/>
          <w:szCs w:val="24"/>
        </w:rPr>
      </w:pPr>
    </w:p>
    <w:p w:rsidR="00B33039" w:rsidRDefault="00B33039" w:rsidP="00D23B4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B33039">
        <w:rPr>
          <w:rFonts w:ascii="Times New Roman" w:hAnsi="Times New Roman" w:cs="Times New Roman"/>
          <w:b/>
          <w:color w:val="000000" w:themeColor="text1"/>
          <w:sz w:val="24"/>
          <w:szCs w:val="24"/>
        </w:rPr>
        <w:t>Fish Cell Cultures: Pros and Cons</w:t>
      </w:r>
    </w:p>
    <w:p w:rsidR="00EF0C0F" w:rsidRDefault="00EF0C0F"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r w:rsidRPr="00EF0C0F">
        <w:rPr>
          <w:rFonts w:ascii="Times New Roman" w:hAnsi="Times New Roman" w:cs="Times New Roman"/>
          <w:color w:val="000000" w:themeColor="text1"/>
          <w:sz w:val="24"/>
          <w:szCs w:val="24"/>
        </w:rPr>
        <w:t xml:space="preserve">Fish cell culture systems offer a defined, adjustable environment, cost-efficiency, ease of use, and an infinite source of homogenous cells, avoiding animal use in research. However, cell lines can mutate and drift </w:t>
      </w:r>
      <w:proofErr w:type="spellStart"/>
      <w:r w:rsidRPr="00EF0C0F">
        <w:rPr>
          <w:rFonts w:ascii="Times New Roman" w:hAnsi="Times New Roman" w:cs="Times New Roman"/>
          <w:color w:val="000000" w:themeColor="text1"/>
          <w:sz w:val="24"/>
          <w:szCs w:val="24"/>
        </w:rPr>
        <w:t>genotypically</w:t>
      </w:r>
      <w:proofErr w:type="spellEnd"/>
      <w:r w:rsidRPr="00EF0C0F">
        <w:rPr>
          <w:rFonts w:ascii="Times New Roman" w:hAnsi="Times New Roman" w:cs="Times New Roman"/>
          <w:color w:val="000000" w:themeColor="text1"/>
          <w:sz w:val="24"/>
          <w:szCs w:val="24"/>
        </w:rPr>
        <w:t xml:space="preserve"> and phenotypically during serial culture. Subpopulations often form in frequently used cell lines, especially those stored in cell banks for a long time. Rapidly growing clones within a population can cause phenotypic changes over time (Bahia et al. 2002; </w:t>
      </w:r>
      <w:proofErr w:type="spellStart"/>
      <w:r w:rsidRPr="00EF0C0F">
        <w:rPr>
          <w:rFonts w:ascii="Times New Roman" w:hAnsi="Times New Roman" w:cs="Times New Roman"/>
          <w:color w:val="000000" w:themeColor="text1"/>
          <w:sz w:val="24"/>
          <w:szCs w:val="24"/>
        </w:rPr>
        <w:t>Burdall</w:t>
      </w:r>
      <w:proofErr w:type="spellEnd"/>
      <w:r w:rsidRPr="00EF0C0F">
        <w:rPr>
          <w:rFonts w:ascii="Times New Roman" w:hAnsi="Times New Roman" w:cs="Times New Roman"/>
          <w:color w:val="000000" w:themeColor="text1"/>
          <w:sz w:val="24"/>
          <w:szCs w:val="24"/>
        </w:rPr>
        <w:t xml:space="preserve"> et al. 2003). </w:t>
      </w:r>
      <w:proofErr w:type="spellStart"/>
      <w:r w:rsidR="00583428" w:rsidRPr="00583428">
        <w:rPr>
          <w:rFonts w:ascii="Times New Roman" w:hAnsi="Times New Roman" w:cs="Times New Roman"/>
          <w:color w:val="000000" w:themeColor="text1"/>
          <w:sz w:val="24"/>
          <w:szCs w:val="24"/>
        </w:rPr>
        <w:t>Bioinformatic</w:t>
      </w:r>
      <w:proofErr w:type="spellEnd"/>
      <w:r w:rsidR="00583428" w:rsidRPr="00583428">
        <w:rPr>
          <w:rFonts w:ascii="Times New Roman" w:hAnsi="Times New Roman" w:cs="Times New Roman"/>
          <w:color w:val="000000" w:themeColor="text1"/>
          <w:sz w:val="24"/>
          <w:szCs w:val="24"/>
        </w:rPr>
        <w:t xml:space="preserve"> assessment of proteomic characteristics revealed a diminished presence of mitochondria in Hepa1-6 cell lines, suggesting notable shifts in metabolic pathways in co</w:t>
      </w:r>
      <w:r w:rsidR="00583428">
        <w:rPr>
          <w:rFonts w:ascii="Times New Roman" w:hAnsi="Times New Roman" w:cs="Times New Roman"/>
          <w:color w:val="000000" w:themeColor="text1"/>
          <w:sz w:val="24"/>
          <w:szCs w:val="24"/>
        </w:rPr>
        <w:t xml:space="preserve">mparison to primary hepatocytes </w:t>
      </w:r>
      <w:r w:rsidRPr="00EF0C0F">
        <w:rPr>
          <w:rFonts w:ascii="Times New Roman" w:hAnsi="Times New Roman" w:cs="Times New Roman"/>
          <w:color w:val="000000" w:themeColor="text1"/>
          <w:sz w:val="24"/>
          <w:szCs w:val="24"/>
        </w:rPr>
        <w:t xml:space="preserve">(Pan et al. 2009). </w:t>
      </w:r>
      <w:r w:rsidR="00583428" w:rsidRPr="00583428">
        <w:rPr>
          <w:rFonts w:ascii="Times New Roman" w:hAnsi="Times New Roman" w:cs="Times New Roman"/>
          <w:color w:val="000000" w:themeColor="text1"/>
          <w:sz w:val="24"/>
          <w:szCs w:val="24"/>
        </w:rPr>
        <w:t>This poses a significant issue when considering the validity of using these cell lines as reliable models</w:t>
      </w:r>
      <w:r w:rsidR="00583428">
        <w:rPr>
          <w:rFonts w:ascii="Times New Roman" w:hAnsi="Times New Roman" w:cs="Times New Roman"/>
          <w:color w:val="000000" w:themeColor="text1"/>
          <w:sz w:val="24"/>
          <w:szCs w:val="24"/>
        </w:rPr>
        <w:t>.</w:t>
      </w:r>
    </w:p>
    <w:p w:rsidR="00583428" w:rsidRPr="00050785" w:rsidRDefault="00583428"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p>
    <w:p w:rsidR="00C23AEB" w:rsidRPr="00050785" w:rsidRDefault="00C23AEB" w:rsidP="00D23B4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050785">
        <w:rPr>
          <w:rFonts w:ascii="Times New Roman" w:hAnsi="Times New Roman" w:cs="Times New Roman"/>
          <w:b/>
          <w:color w:val="000000" w:themeColor="text1"/>
          <w:sz w:val="24"/>
          <w:szCs w:val="24"/>
        </w:rPr>
        <w:t>Future Prospects</w:t>
      </w:r>
    </w:p>
    <w:p w:rsidR="00C23AEB" w:rsidRDefault="00583428"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r w:rsidRPr="00583428">
        <w:rPr>
          <w:rFonts w:ascii="Times New Roman" w:hAnsi="Times New Roman" w:cs="Times New Roman"/>
          <w:color w:val="000000" w:themeColor="text1"/>
          <w:sz w:val="24"/>
          <w:szCs w:val="24"/>
        </w:rPr>
        <w:t>The absence of suitable fish cell cultures presents a barrier to isolating pathogens specific to species and tissues. Additionally, established cell lines are not accessible through repositories, and the potential of using fish as a cell line source remains</w:t>
      </w:r>
      <w:r>
        <w:rPr>
          <w:rFonts w:ascii="Times New Roman" w:hAnsi="Times New Roman" w:cs="Times New Roman"/>
          <w:color w:val="000000" w:themeColor="text1"/>
          <w:sz w:val="24"/>
          <w:szCs w:val="24"/>
        </w:rPr>
        <w:t xml:space="preserve"> unexplored</w:t>
      </w:r>
      <w:r w:rsidRPr="00583428">
        <w:rPr>
          <w:rFonts w:ascii="Times New Roman" w:hAnsi="Times New Roman" w:cs="Times New Roman"/>
          <w:color w:val="000000" w:themeColor="text1"/>
          <w:sz w:val="24"/>
          <w:szCs w:val="24"/>
        </w:rPr>
        <w:t>. To establish cell lines as consistent research tools, it's essential to employ standardized media, reagents, tools, quality-control protocols, thorough characterization, and proper documentation during their development.</w:t>
      </w:r>
      <w:r w:rsidR="00921FCB" w:rsidRPr="00921FCB">
        <w:rPr>
          <w:rFonts w:ascii="Times New Roman" w:hAnsi="Times New Roman" w:cs="Times New Roman"/>
          <w:color w:val="000000" w:themeColor="text1"/>
          <w:sz w:val="24"/>
          <w:szCs w:val="24"/>
        </w:rPr>
        <w:t xml:space="preserve"> Utilising 3D cell culture technologies to maintain organoids obtained from the snake venom gland for an extended period of time in vitro can be beneficial for producing </w:t>
      </w:r>
      <w:proofErr w:type="spellStart"/>
      <w:r w:rsidR="00921FCB" w:rsidRPr="00921FCB">
        <w:rPr>
          <w:rFonts w:ascii="Times New Roman" w:hAnsi="Times New Roman" w:cs="Times New Roman"/>
          <w:color w:val="000000" w:themeColor="text1"/>
          <w:sz w:val="24"/>
          <w:szCs w:val="24"/>
        </w:rPr>
        <w:t>antivenom</w:t>
      </w:r>
      <w:proofErr w:type="spellEnd"/>
      <w:r w:rsidR="00921FCB" w:rsidRPr="00921FCB">
        <w:rPr>
          <w:rFonts w:ascii="Times New Roman" w:hAnsi="Times New Roman" w:cs="Times New Roman"/>
          <w:color w:val="000000" w:themeColor="text1"/>
          <w:sz w:val="24"/>
          <w:szCs w:val="24"/>
        </w:rPr>
        <w:t xml:space="preserve"> and other therapies </w:t>
      </w:r>
      <w:r w:rsidR="00C23AEB" w:rsidRPr="00050785">
        <w:rPr>
          <w:rFonts w:ascii="Times New Roman" w:hAnsi="Times New Roman" w:cs="Times New Roman"/>
          <w:color w:val="000000" w:themeColor="text1"/>
          <w:sz w:val="24"/>
          <w:szCs w:val="24"/>
        </w:rPr>
        <w:t>(</w:t>
      </w:r>
      <w:proofErr w:type="spellStart"/>
      <w:r w:rsidR="00C23AEB" w:rsidRPr="00050785">
        <w:rPr>
          <w:rFonts w:ascii="Times New Roman" w:hAnsi="Times New Roman" w:cs="Times New Roman"/>
          <w:color w:val="000000" w:themeColor="text1"/>
          <w:sz w:val="24"/>
          <w:szCs w:val="24"/>
        </w:rPr>
        <w:t>Puschhof</w:t>
      </w:r>
      <w:proofErr w:type="spellEnd"/>
      <w:r w:rsidR="00C23AEB" w:rsidRPr="00050785">
        <w:rPr>
          <w:rFonts w:ascii="Times New Roman" w:hAnsi="Times New Roman" w:cs="Times New Roman"/>
          <w:color w:val="000000" w:themeColor="text1"/>
          <w:sz w:val="24"/>
          <w:szCs w:val="24"/>
        </w:rPr>
        <w:t xml:space="preserve"> et al. 2021). </w:t>
      </w:r>
      <w:r w:rsidR="00921FCB" w:rsidRPr="00921FCB">
        <w:rPr>
          <w:rFonts w:ascii="Times New Roman" w:hAnsi="Times New Roman" w:cs="Times New Roman"/>
          <w:color w:val="000000" w:themeColor="text1"/>
          <w:sz w:val="24"/>
          <w:szCs w:val="24"/>
        </w:rPr>
        <w:t xml:space="preserve">Sharks, sting rays, </w:t>
      </w:r>
      <w:proofErr w:type="spellStart"/>
      <w:r w:rsidR="00921FCB" w:rsidRPr="00921FCB">
        <w:rPr>
          <w:rFonts w:ascii="Times New Roman" w:hAnsi="Times New Roman" w:cs="Times New Roman"/>
          <w:color w:val="000000" w:themeColor="text1"/>
          <w:sz w:val="24"/>
          <w:szCs w:val="24"/>
        </w:rPr>
        <w:t>silurid</w:t>
      </w:r>
      <w:proofErr w:type="spellEnd"/>
      <w:r w:rsidR="00921FCB" w:rsidRPr="00921FCB">
        <w:rPr>
          <w:rFonts w:ascii="Times New Roman" w:hAnsi="Times New Roman" w:cs="Times New Roman"/>
          <w:color w:val="000000" w:themeColor="text1"/>
          <w:sz w:val="24"/>
          <w:szCs w:val="24"/>
        </w:rPr>
        <w:t xml:space="preserve"> </w:t>
      </w:r>
      <w:proofErr w:type="gramStart"/>
      <w:r w:rsidR="00921FCB" w:rsidRPr="00921FCB">
        <w:rPr>
          <w:rFonts w:ascii="Times New Roman" w:hAnsi="Times New Roman" w:cs="Times New Roman"/>
          <w:color w:val="000000" w:themeColor="text1"/>
          <w:sz w:val="24"/>
          <w:szCs w:val="24"/>
        </w:rPr>
        <w:t>catfish,  stonefish</w:t>
      </w:r>
      <w:proofErr w:type="gramEnd"/>
      <w:r w:rsidR="00921FCB" w:rsidRPr="00921FCB">
        <w:rPr>
          <w:rFonts w:ascii="Times New Roman" w:hAnsi="Times New Roman" w:cs="Times New Roman"/>
          <w:color w:val="000000" w:themeColor="text1"/>
          <w:sz w:val="24"/>
          <w:szCs w:val="24"/>
        </w:rPr>
        <w:t>, and rabbitfish are just a few of the fish clades known to</w:t>
      </w:r>
      <w:r w:rsidR="00921FCB">
        <w:rPr>
          <w:rFonts w:ascii="Times New Roman" w:hAnsi="Times New Roman" w:cs="Times New Roman"/>
          <w:color w:val="000000" w:themeColor="text1"/>
          <w:sz w:val="24"/>
          <w:szCs w:val="24"/>
        </w:rPr>
        <w:t xml:space="preserve"> generate highly toxic poisons </w:t>
      </w:r>
      <w:r w:rsidR="00C23AEB" w:rsidRPr="00050785">
        <w:rPr>
          <w:rFonts w:ascii="Times New Roman" w:hAnsi="Times New Roman" w:cs="Times New Roman"/>
          <w:color w:val="000000" w:themeColor="text1"/>
          <w:sz w:val="24"/>
          <w:szCs w:val="24"/>
        </w:rPr>
        <w:lastRenderedPageBreak/>
        <w:t xml:space="preserve">(Pandey and </w:t>
      </w:r>
      <w:proofErr w:type="spellStart"/>
      <w:r w:rsidR="00C23AEB" w:rsidRPr="00050785">
        <w:rPr>
          <w:rFonts w:ascii="Times New Roman" w:hAnsi="Times New Roman" w:cs="Times New Roman"/>
          <w:color w:val="000000" w:themeColor="text1"/>
          <w:sz w:val="24"/>
          <w:szCs w:val="24"/>
        </w:rPr>
        <w:t>Upadhyay</w:t>
      </w:r>
      <w:proofErr w:type="spellEnd"/>
      <w:r w:rsidR="00C23AEB" w:rsidRPr="00050785">
        <w:rPr>
          <w:rFonts w:ascii="Times New Roman" w:hAnsi="Times New Roman" w:cs="Times New Roman"/>
          <w:color w:val="000000" w:themeColor="text1"/>
          <w:sz w:val="24"/>
          <w:szCs w:val="24"/>
        </w:rPr>
        <w:t xml:space="preserve"> 2020). </w:t>
      </w:r>
      <w:r w:rsidR="000944E6" w:rsidRPr="000944E6">
        <w:rPr>
          <w:rFonts w:ascii="Times New Roman" w:hAnsi="Times New Roman" w:cs="Times New Roman"/>
          <w:color w:val="000000" w:themeColor="text1"/>
          <w:sz w:val="24"/>
          <w:szCs w:val="24"/>
        </w:rPr>
        <w:t xml:space="preserve">Fish toxins are physiologically important substances that can affect the body in a variety of ways, such as enzymatic, antimicrobial, cytotoxic, </w:t>
      </w:r>
      <w:proofErr w:type="spellStart"/>
      <w:r w:rsidR="000944E6" w:rsidRPr="000944E6">
        <w:rPr>
          <w:rFonts w:ascii="Times New Roman" w:hAnsi="Times New Roman" w:cs="Times New Roman"/>
          <w:color w:val="000000" w:themeColor="text1"/>
          <w:sz w:val="24"/>
          <w:szCs w:val="24"/>
        </w:rPr>
        <w:t>hemolytic</w:t>
      </w:r>
      <w:proofErr w:type="spellEnd"/>
      <w:r w:rsidR="000944E6" w:rsidRPr="000944E6">
        <w:rPr>
          <w:rFonts w:ascii="Times New Roman" w:hAnsi="Times New Roman" w:cs="Times New Roman"/>
          <w:color w:val="000000" w:themeColor="text1"/>
          <w:sz w:val="24"/>
          <w:szCs w:val="24"/>
        </w:rPr>
        <w:t>, cardiovascular, neuromuscular, and</w:t>
      </w:r>
      <w:r w:rsidR="000944E6">
        <w:rPr>
          <w:rFonts w:ascii="Times New Roman" w:hAnsi="Times New Roman" w:cs="Times New Roman"/>
          <w:color w:val="000000" w:themeColor="text1"/>
          <w:sz w:val="24"/>
          <w:szCs w:val="24"/>
        </w:rPr>
        <w:t xml:space="preserve"> potentially carcinogenic ways </w:t>
      </w:r>
      <w:r w:rsidR="00C23AEB" w:rsidRPr="00050785">
        <w:rPr>
          <w:rFonts w:ascii="Times New Roman" w:hAnsi="Times New Roman" w:cs="Times New Roman"/>
          <w:color w:val="000000" w:themeColor="text1"/>
          <w:sz w:val="24"/>
          <w:szCs w:val="24"/>
        </w:rPr>
        <w:t xml:space="preserve">(Ortiz et al. 2015). </w:t>
      </w:r>
      <w:r w:rsidR="0091544E">
        <w:rPr>
          <w:rFonts w:ascii="Times New Roman" w:hAnsi="Times New Roman" w:cs="Times New Roman"/>
          <w:color w:val="000000" w:themeColor="text1"/>
          <w:sz w:val="24"/>
          <w:szCs w:val="24"/>
        </w:rPr>
        <w:t>Fish toxins</w:t>
      </w:r>
      <w:r w:rsidR="00921FCB" w:rsidRPr="00921FCB">
        <w:rPr>
          <w:rFonts w:ascii="Times New Roman" w:hAnsi="Times New Roman" w:cs="Times New Roman"/>
          <w:color w:val="000000" w:themeColor="text1"/>
          <w:sz w:val="24"/>
          <w:szCs w:val="24"/>
        </w:rPr>
        <w:t xml:space="preserve"> are therefore useful for a variety of pharmacological, </w:t>
      </w:r>
      <w:r w:rsidR="00921FCB">
        <w:rPr>
          <w:rFonts w:ascii="Times New Roman" w:hAnsi="Times New Roman" w:cs="Times New Roman"/>
          <w:color w:val="000000" w:themeColor="text1"/>
          <w:sz w:val="24"/>
          <w:szCs w:val="24"/>
        </w:rPr>
        <w:t xml:space="preserve">medicinal, and </w:t>
      </w:r>
      <w:proofErr w:type="spellStart"/>
      <w:r w:rsidR="00921FCB">
        <w:rPr>
          <w:rFonts w:ascii="Times New Roman" w:hAnsi="Times New Roman" w:cs="Times New Roman"/>
          <w:color w:val="000000" w:themeColor="text1"/>
          <w:sz w:val="24"/>
          <w:szCs w:val="24"/>
        </w:rPr>
        <w:t>pesticidal</w:t>
      </w:r>
      <w:proofErr w:type="spellEnd"/>
      <w:r w:rsidR="00921FCB">
        <w:rPr>
          <w:rFonts w:ascii="Times New Roman" w:hAnsi="Times New Roman" w:cs="Times New Roman"/>
          <w:color w:val="000000" w:themeColor="text1"/>
          <w:sz w:val="24"/>
          <w:szCs w:val="24"/>
        </w:rPr>
        <w:t xml:space="preserve"> uses </w:t>
      </w:r>
      <w:r w:rsidR="00C23AEB" w:rsidRPr="00050785">
        <w:rPr>
          <w:rFonts w:ascii="Times New Roman" w:hAnsi="Times New Roman" w:cs="Times New Roman"/>
          <w:color w:val="000000" w:themeColor="text1"/>
          <w:sz w:val="24"/>
          <w:szCs w:val="24"/>
        </w:rPr>
        <w:t xml:space="preserve">(Church and Hodgson 2002; Pandey and </w:t>
      </w:r>
      <w:proofErr w:type="spellStart"/>
      <w:r w:rsidR="00C23AEB" w:rsidRPr="00050785">
        <w:rPr>
          <w:rFonts w:ascii="Times New Roman" w:hAnsi="Times New Roman" w:cs="Times New Roman"/>
          <w:color w:val="000000" w:themeColor="text1"/>
          <w:sz w:val="24"/>
          <w:szCs w:val="24"/>
        </w:rPr>
        <w:t>Upadhyay</w:t>
      </w:r>
      <w:proofErr w:type="spellEnd"/>
      <w:r w:rsidR="00C23AEB" w:rsidRPr="00050785">
        <w:rPr>
          <w:rFonts w:ascii="Times New Roman" w:hAnsi="Times New Roman" w:cs="Times New Roman"/>
          <w:color w:val="000000" w:themeColor="text1"/>
          <w:sz w:val="24"/>
          <w:szCs w:val="24"/>
        </w:rPr>
        <w:t xml:space="preserve"> 2020). </w:t>
      </w:r>
      <w:r w:rsidR="000944E6" w:rsidRPr="000944E6">
        <w:rPr>
          <w:rFonts w:ascii="Times New Roman" w:hAnsi="Times New Roman" w:cs="Times New Roman"/>
          <w:color w:val="000000" w:themeColor="text1"/>
          <w:sz w:val="24"/>
          <w:szCs w:val="24"/>
        </w:rPr>
        <w:t>To generate fish venom for use in biomedical research, employ the aforementioned technique.</w:t>
      </w:r>
    </w:p>
    <w:p w:rsidR="000944E6" w:rsidRPr="00050785" w:rsidRDefault="000944E6"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p>
    <w:p w:rsidR="00C23AEB" w:rsidRPr="00050785" w:rsidRDefault="00921FCB"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the development</w:t>
      </w:r>
      <w:r w:rsidRPr="00921FCB">
        <w:rPr>
          <w:rFonts w:ascii="Times New Roman" w:hAnsi="Times New Roman" w:cs="Times New Roman"/>
          <w:color w:val="000000" w:themeColor="text1"/>
          <w:sz w:val="24"/>
          <w:szCs w:val="24"/>
        </w:rPr>
        <w:t xml:space="preserve"> of new drugs and investigations of biological mechanisms, luciferase-</w:t>
      </w:r>
      <w:proofErr w:type="spellStart"/>
      <w:r w:rsidRPr="00921FCB">
        <w:rPr>
          <w:rFonts w:ascii="Times New Roman" w:hAnsi="Times New Roman" w:cs="Times New Roman"/>
          <w:color w:val="000000" w:themeColor="text1"/>
          <w:sz w:val="24"/>
          <w:szCs w:val="24"/>
        </w:rPr>
        <w:t>labeled</w:t>
      </w:r>
      <w:proofErr w:type="spellEnd"/>
      <w:r w:rsidRPr="00921FCB">
        <w:rPr>
          <w:rFonts w:ascii="Times New Roman" w:hAnsi="Times New Roman" w:cs="Times New Roman"/>
          <w:color w:val="000000" w:themeColor="text1"/>
          <w:sz w:val="24"/>
          <w:szCs w:val="24"/>
        </w:rPr>
        <w:t xml:space="preserve"> reporter cell lines are employed. Through the use of bioluminescence imaging, these cutting-edge models offer a relatively easy, reliable, and extremely sensitive way to quantify biological processes and evaluate medication efficacy in live animal models. Toxicologists require primary cells' strong biological relevance and cell lines' ability to proliferate for use in regular predictive experiments. Finding cells with a high level of biological relevance and then creating or getting enough cells to conduct the experiment without adding cell variability are two of the main difficulties that many scientists face while constructing a cell-based assay. The genetically altered </w:t>
      </w:r>
      <w:proofErr w:type="spellStart"/>
      <w:r w:rsidRPr="00921FCB">
        <w:rPr>
          <w:rFonts w:ascii="Times New Roman" w:hAnsi="Times New Roman" w:cs="Times New Roman"/>
          <w:color w:val="000000" w:themeColor="text1"/>
          <w:sz w:val="24"/>
          <w:szCs w:val="24"/>
        </w:rPr>
        <w:t>hTERT</w:t>
      </w:r>
      <w:proofErr w:type="spellEnd"/>
      <w:r w:rsidRPr="00921FCB">
        <w:rPr>
          <w:rFonts w:ascii="Times New Roman" w:hAnsi="Times New Roman" w:cs="Times New Roman"/>
          <w:color w:val="000000" w:themeColor="text1"/>
          <w:sz w:val="24"/>
          <w:szCs w:val="24"/>
        </w:rPr>
        <w:t>-immortalized primary cells display the growth traits of a continuous cell line while retaining t</w:t>
      </w:r>
      <w:r>
        <w:rPr>
          <w:rFonts w:ascii="Times New Roman" w:hAnsi="Times New Roman" w:cs="Times New Roman"/>
          <w:color w:val="000000" w:themeColor="text1"/>
          <w:sz w:val="24"/>
          <w:szCs w:val="24"/>
        </w:rPr>
        <w:t>he physiology of a primary cell</w:t>
      </w:r>
      <w:r w:rsidR="00C23AEB" w:rsidRPr="00050785">
        <w:rPr>
          <w:rFonts w:ascii="Times New Roman" w:hAnsi="Times New Roman" w:cs="Times New Roman"/>
          <w:color w:val="000000" w:themeColor="text1"/>
          <w:sz w:val="24"/>
          <w:szCs w:val="24"/>
        </w:rPr>
        <w:t>.</w:t>
      </w:r>
    </w:p>
    <w:p w:rsidR="00C23AEB" w:rsidRPr="00050785" w:rsidRDefault="00C23AEB"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p>
    <w:p w:rsidR="00C23AEB" w:rsidRPr="00050785" w:rsidRDefault="00921FCB"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r w:rsidRPr="00921FCB">
        <w:rPr>
          <w:rFonts w:ascii="Times New Roman" w:hAnsi="Times New Roman" w:cs="Times New Roman"/>
          <w:color w:val="000000" w:themeColor="text1"/>
          <w:sz w:val="24"/>
          <w:szCs w:val="24"/>
        </w:rPr>
        <w:t xml:space="preserve">Since using incorrectly identified or cross-contaminated cell lines might render experimental results invalid, authenticating cell lines need to be a step in the cell culture procedure. Because of improper handling and a disregard for tissue culture best practises, cross-contamination of cell lines has persisted. These drawbacks raise concerns about their applicability in biological research since they may lead to illogical, inconsistent, and </w:t>
      </w:r>
      <w:proofErr w:type="spellStart"/>
      <w:r w:rsidRPr="00921FCB">
        <w:rPr>
          <w:rFonts w:ascii="Times New Roman" w:hAnsi="Times New Roman" w:cs="Times New Roman"/>
          <w:color w:val="000000" w:themeColor="text1"/>
          <w:sz w:val="24"/>
          <w:szCs w:val="24"/>
        </w:rPr>
        <w:t>unreplicable</w:t>
      </w:r>
      <w:proofErr w:type="spellEnd"/>
      <w:r w:rsidRPr="00921FCB">
        <w:rPr>
          <w:rFonts w:ascii="Times New Roman" w:hAnsi="Times New Roman" w:cs="Times New Roman"/>
          <w:color w:val="000000" w:themeColor="text1"/>
          <w:sz w:val="24"/>
          <w:szCs w:val="24"/>
        </w:rPr>
        <w:t xml:space="preserve"> results or encourage unneeded further investigation. Before starting a multitude of research, cell lines must be well characterised in order to be utilised as models in a relevant way. DNA fingerprinting employing multi-locus probes, short tandem repeat (STR) profiling, karyotyping, </w:t>
      </w:r>
      <w:proofErr w:type="spellStart"/>
      <w:r w:rsidRPr="00921FCB">
        <w:rPr>
          <w:rFonts w:ascii="Times New Roman" w:hAnsi="Times New Roman" w:cs="Times New Roman"/>
          <w:color w:val="000000" w:themeColor="text1"/>
          <w:sz w:val="24"/>
          <w:szCs w:val="24"/>
        </w:rPr>
        <w:t>isoenzyme</w:t>
      </w:r>
      <w:proofErr w:type="spellEnd"/>
      <w:r w:rsidRPr="00921FCB">
        <w:rPr>
          <w:rFonts w:ascii="Times New Roman" w:hAnsi="Times New Roman" w:cs="Times New Roman"/>
          <w:color w:val="000000" w:themeColor="text1"/>
          <w:sz w:val="24"/>
          <w:szCs w:val="24"/>
        </w:rPr>
        <w:t xml:space="preserve"> typing, and HLA typing may all be used to identify and characterise cell cultur</w:t>
      </w:r>
      <w:r w:rsidR="00306D5E">
        <w:rPr>
          <w:rFonts w:ascii="Times New Roman" w:hAnsi="Times New Roman" w:cs="Times New Roman"/>
          <w:color w:val="000000" w:themeColor="text1"/>
          <w:sz w:val="24"/>
          <w:szCs w:val="24"/>
        </w:rPr>
        <w:t xml:space="preserve">es </w:t>
      </w:r>
      <w:r w:rsidR="00C23AEB" w:rsidRPr="00050785">
        <w:rPr>
          <w:rFonts w:ascii="Times New Roman" w:hAnsi="Times New Roman" w:cs="Times New Roman"/>
          <w:color w:val="000000" w:themeColor="text1"/>
          <w:sz w:val="24"/>
          <w:szCs w:val="24"/>
        </w:rPr>
        <w:t>(</w:t>
      </w:r>
      <w:bookmarkStart w:id="0" w:name="_GoBack"/>
      <w:bookmarkEnd w:id="0"/>
      <w:r w:rsidR="00C23AEB" w:rsidRPr="00050785">
        <w:rPr>
          <w:rFonts w:ascii="Times New Roman" w:hAnsi="Times New Roman" w:cs="Times New Roman"/>
          <w:color w:val="000000" w:themeColor="text1"/>
          <w:sz w:val="24"/>
          <w:szCs w:val="24"/>
        </w:rPr>
        <w:t xml:space="preserve">Masters et al. 2001). </w:t>
      </w:r>
      <w:r w:rsidR="00306D5E" w:rsidRPr="00306D5E">
        <w:rPr>
          <w:rFonts w:ascii="Times New Roman" w:hAnsi="Times New Roman" w:cs="Times New Roman"/>
          <w:color w:val="000000" w:themeColor="text1"/>
          <w:sz w:val="24"/>
          <w:szCs w:val="24"/>
        </w:rPr>
        <w:t xml:space="preserve">Multiple screening techniques may be employed to detect contamination. Mycoplasma infection can negatively impact the health of cells in culture for an extended period of time without being visible to the naked eye. The study will be more effective and productive if an appropriate cell model is used. It is important to take into account certain factors while choosing the medium and reagents for the cultivation of stem cells or primary cells. </w:t>
      </w:r>
      <w:proofErr w:type="spellStart"/>
      <w:r w:rsidR="00306D5E" w:rsidRPr="00306D5E">
        <w:rPr>
          <w:rFonts w:ascii="Times New Roman" w:hAnsi="Times New Roman" w:cs="Times New Roman"/>
          <w:color w:val="000000" w:themeColor="text1"/>
          <w:sz w:val="24"/>
          <w:szCs w:val="24"/>
        </w:rPr>
        <w:t>Cryo</w:t>
      </w:r>
      <w:proofErr w:type="spellEnd"/>
      <w:r w:rsidR="00306D5E" w:rsidRPr="00306D5E">
        <w:rPr>
          <w:rFonts w:ascii="Times New Roman" w:hAnsi="Times New Roman" w:cs="Times New Roman"/>
          <w:color w:val="000000" w:themeColor="text1"/>
          <w:sz w:val="24"/>
          <w:szCs w:val="24"/>
        </w:rPr>
        <w:t>-containers and proliferation tests are tools that can he</w:t>
      </w:r>
      <w:r w:rsidR="00306D5E">
        <w:rPr>
          <w:rFonts w:ascii="Times New Roman" w:hAnsi="Times New Roman" w:cs="Times New Roman"/>
          <w:color w:val="000000" w:themeColor="text1"/>
          <w:sz w:val="24"/>
          <w:szCs w:val="24"/>
        </w:rPr>
        <w:t>lp maintain the health of cells</w:t>
      </w:r>
      <w:r w:rsidR="00C23AEB" w:rsidRPr="00050785">
        <w:rPr>
          <w:rFonts w:ascii="Times New Roman" w:hAnsi="Times New Roman" w:cs="Times New Roman"/>
          <w:color w:val="000000" w:themeColor="text1"/>
          <w:sz w:val="24"/>
          <w:szCs w:val="24"/>
        </w:rPr>
        <w:t>.</w:t>
      </w:r>
    </w:p>
    <w:p w:rsidR="00C23AEB" w:rsidRPr="00050785" w:rsidRDefault="00C23AEB"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p>
    <w:p w:rsidR="00C23AEB" w:rsidRPr="00B628BB" w:rsidRDefault="00C23AEB" w:rsidP="00D23B4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B628BB">
        <w:rPr>
          <w:rFonts w:ascii="Times New Roman" w:hAnsi="Times New Roman" w:cs="Times New Roman"/>
          <w:b/>
          <w:color w:val="000000" w:themeColor="text1"/>
          <w:sz w:val="24"/>
          <w:szCs w:val="24"/>
        </w:rPr>
        <w:lastRenderedPageBreak/>
        <w:t>Conclusion</w:t>
      </w:r>
    </w:p>
    <w:p w:rsidR="00FE011A" w:rsidRDefault="0091544E"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r w:rsidRPr="0091544E">
        <w:rPr>
          <w:rFonts w:ascii="Times New Roman" w:hAnsi="Times New Roman" w:cs="Times New Roman"/>
          <w:color w:val="000000" w:themeColor="text1"/>
          <w:sz w:val="24"/>
          <w:szCs w:val="24"/>
        </w:rPr>
        <w:t>Cell culture systems have emerged as the cornerstone of diverse fields within the life sciences, supplanting the need for animals in numerous tests and assays. Their untapped potential in stem cell research and targeted therapy holds promise. Ongoing efforts by scientists aim to enhance cell lines in terms of growth, product synthesis, energy metabolism, and glycosylation attributes. Fish cell cultures have showcased their efficacy as ethical alternatives for biological research, underscoring the need for increased representation in repositories. It is imperative to establish a variety of fish cell lines from various tissues, organs, and species to facilitate disease diagnosis and the exploration of species- and tissu</w:t>
      </w:r>
      <w:r>
        <w:rPr>
          <w:rFonts w:ascii="Times New Roman" w:hAnsi="Times New Roman" w:cs="Times New Roman"/>
          <w:color w:val="000000" w:themeColor="text1"/>
          <w:sz w:val="24"/>
          <w:szCs w:val="24"/>
        </w:rPr>
        <w:t>e-specific responses</w:t>
      </w:r>
      <w:r w:rsidR="00C82278" w:rsidRPr="00C82278">
        <w:rPr>
          <w:rFonts w:ascii="Times New Roman" w:hAnsi="Times New Roman" w:cs="Times New Roman"/>
          <w:color w:val="000000" w:themeColor="text1"/>
          <w:sz w:val="24"/>
          <w:szCs w:val="24"/>
        </w:rPr>
        <w:t>.</w:t>
      </w:r>
      <w:r w:rsidR="00C82278">
        <w:rPr>
          <w:rFonts w:ascii="Times New Roman" w:hAnsi="Times New Roman" w:cs="Times New Roman"/>
          <w:color w:val="000000" w:themeColor="text1"/>
          <w:sz w:val="24"/>
          <w:szCs w:val="24"/>
        </w:rPr>
        <w:t xml:space="preserve"> </w:t>
      </w:r>
      <w:r w:rsidR="00C82278" w:rsidRPr="00C82278">
        <w:rPr>
          <w:rFonts w:ascii="Times New Roman" w:hAnsi="Times New Roman" w:cs="Times New Roman"/>
          <w:color w:val="000000" w:themeColor="text1"/>
          <w:sz w:val="24"/>
          <w:szCs w:val="24"/>
        </w:rPr>
        <w:t>Fish cell line development for therapeutic protein expression remains empirical, with improvements in selection procedures and genetic engineering. Primary cells are increasingly needed in various applications, including drug discovery. Combining primary cells with 3D cell culture technologies is essential for improved research, as 3D cell culture systems with primary cells show promise in biomedical research.</w:t>
      </w:r>
    </w:p>
    <w:p w:rsidR="00C82278" w:rsidRDefault="00C82278"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p>
    <w:p w:rsidR="00240DA1" w:rsidRPr="00050785" w:rsidRDefault="00C82278"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r w:rsidRPr="00C82278">
        <w:rPr>
          <w:rFonts w:ascii="Times New Roman" w:hAnsi="Times New Roman" w:cs="Times New Roman"/>
          <w:color w:val="000000" w:themeColor="text1"/>
          <w:sz w:val="24"/>
          <w:szCs w:val="24"/>
        </w:rPr>
        <w:t>Acknowledging and authenticating cell lines is crucial for accurate research efforts. Fish cell cultures are considered standard research agents and require proper care and quality control measures. They can aid in aquaculture production, early disease diagnosis, and efficient management strategies against infectious pathogens. Developing cell cultures from economically relevant fish species can aid in virus disease diagnosis, vaccine development, and antiviral agent identification. Despite the diversity of fish species, the fish cell culture field remains unexplored. Future research will require improvised 3D cultures with physiological relevance and adopt animal cell culture guidelines to achieve these goals.</w:t>
      </w:r>
    </w:p>
    <w:p w:rsidR="00C82278" w:rsidRDefault="00C82278"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p>
    <w:p w:rsidR="00240DA1" w:rsidRDefault="000602ED"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References</w:t>
      </w:r>
    </w:p>
    <w:p w:rsidR="000602ED" w:rsidRDefault="000602ED"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color w:val="000000" w:themeColor="text1"/>
          <w:sz w:val="24"/>
          <w:szCs w:val="24"/>
        </w:rPr>
        <w:fldChar w:fldCharType="begin" w:fldLock="1"/>
      </w:r>
      <w:r w:rsidRPr="000602ED">
        <w:rPr>
          <w:rFonts w:ascii="Times New Roman" w:hAnsi="Times New Roman" w:cs="Times New Roman"/>
          <w:color w:val="000000" w:themeColor="text1"/>
          <w:sz w:val="24"/>
          <w:szCs w:val="24"/>
        </w:rPr>
        <w:instrText xml:space="preserve">ADDIN Mendeley Bibliography CSL_BIBLIOGRAPHY </w:instrText>
      </w:r>
      <w:r w:rsidRPr="000602ED">
        <w:rPr>
          <w:rFonts w:ascii="Times New Roman" w:hAnsi="Times New Roman" w:cs="Times New Roman"/>
          <w:color w:val="000000" w:themeColor="text1"/>
          <w:sz w:val="24"/>
          <w:szCs w:val="24"/>
        </w:rPr>
        <w:fldChar w:fldCharType="separate"/>
      </w:r>
      <w:r w:rsidRPr="000602ED">
        <w:rPr>
          <w:rFonts w:ascii="Times New Roman" w:hAnsi="Times New Roman" w:cs="Times New Roman"/>
          <w:noProof/>
          <w:sz w:val="24"/>
          <w:szCs w:val="24"/>
        </w:rPr>
        <w:t xml:space="preserve">Ahmed, V. P. I., Chandra, V., Sudhakaran, R., Kumar, S. R., Sarathi, M., Babu, V. S., Ramesh, B., &amp; Hameed, A. S. S. (2009). Development and characterization of cell lines derived from rohu, Labeo rohita  (Hamilton), and catla, Catla catla (Hamilton). </w:t>
      </w:r>
      <w:r w:rsidRPr="000602ED">
        <w:rPr>
          <w:rFonts w:ascii="Times New Roman" w:hAnsi="Times New Roman" w:cs="Times New Roman"/>
          <w:i/>
          <w:iCs/>
          <w:noProof/>
          <w:sz w:val="24"/>
          <w:szCs w:val="24"/>
        </w:rPr>
        <w:t>Journal of Fish Diseases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32</w:t>
      </w:r>
      <w:r w:rsidRPr="000602ED">
        <w:rPr>
          <w:rFonts w:ascii="Times New Roman" w:hAnsi="Times New Roman" w:cs="Times New Roman"/>
          <w:noProof/>
          <w:sz w:val="24"/>
          <w:szCs w:val="24"/>
        </w:rPr>
        <w:t>(3), 211–218. https://doi.org/10.1111/j.1365-2761.2008.00966.x</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Babich, H., &amp; Borenfreund, E. (1991). Cytotoxicity and genotoxicity assays with cultured fish cells: A review. </w:t>
      </w:r>
      <w:r w:rsidRPr="000602ED">
        <w:rPr>
          <w:rFonts w:ascii="Times New Roman" w:hAnsi="Times New Roman" w:cs="Times New Roman"/>
          <w:i/>
          <w:iCs/>
          <w:noProof/>
          <w:sz w:val="24"/>
          <w:szCs w:val="24"/>
        </w:rPr>
        <w:t>Toxicology in Vitro : An International Journal Published in Association with BIBRA</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5</w:t>
      </w:r>
      <w:r w:rsidRPr="000602ED">
        <w:rPr>
          <w:rFonts w:ascii="Times New Roman" w:hAnsi="Times New Roman" w:cs="Times New Roman"/>
          <w:noProof/>
          <w:sz w:val="24"/>
          <w:szCs w:val="24"/>
        </w:rPr>
        <w:t>(1), 91–100. https://doi.org/10.1016/0887-2333(91)90052-f</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Bailey, G., Taylor, M., Selivonchick, D., Eisele, T., Hendricks, J., Nixon, J., Pawlowski, N., &amp; </w:t>
      </w:r>
      <w:r w:rsidRPr="000602ED">
        <w:rPr>
          <w:rFonts w:ascii="Times New Roman" w:hAnsi="Times New Roman" w:cs="Times New Roman"/>
          <w:noProof/>
          <w:sz w:val="24"/>
          <w:szCs w:val="24"/>
        </w:rPr>
        <w:lastRenderedPageBreak/>
        <w:t xml:space="preserve">Sinnhuber, R. (1982). Mechanisms of dietary modification of aflatoxin B1 carcinogenesis. </w:t>
      </w:r>
      <w:r w:rsidRPr="000602ED">
        <w:rPr>
          <w:rFonts w:ascii="Times New Roman" w:hAnsi="Times New Roman" w:cs="Times New Roman"/>
          <w:i/>
          <w:iCs/>
          <w:noProof/>
          <w:sz w:val="24"/>
          <w:szCs w:val="24"/>
        </w:rPr>
        <w:t>Basic Life Sciences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21</w:t>
      </w:r>
      <w:r w:rsidRPr="000602ED">
        <w:rPr>
          <w:rFonts w:ascii="Times New Roman" w:hAnsi="Times New Roman" w:cs="Times New Roman"/>
          <w:noProof/>
          <w:sz w:val="24"/>
          <w:szCs w:val="24"/>
        </w:rPr>
        <w:t>, 149–165. https://doi.org/10.1007/978-1-4684-4352-3_14</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Bairoch, A. (2018). The Cellosaurus, a Cell-Line Knowledge Resource. </w:t>
      </w:r>
      <w:r w:rsidRPr="000602ED">
        <w:rPr>
          <w:rFonts w:ascii="Times New Roman" w:hAnsi="Times New Roman" w:cs="Times New Roman"/>
          <w:i/>
          <w:iCs/>
          <w:noProof/>
          <w:sz w:val="24"/>
          <w:szCs w:val="24"/>
        </w:rPr>
        <w:t>Journal of Biomolecular Techniques : JBT</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29</w:t>
      </w:r>
      <w:r w:rsidRPr="000602ED">
        <w:rPr>
          <w:rFonts w:ascii="Times New Roman" w:hAnsi="Times New Roman" w:cs="Times New Roman"/>
          <w:noProof/>
          <w:sz w:val="24"/>
          <w:szCs w:val="24"/>
        </w:rPr>
        <w:t>(2), 25–38. https://doi.org/10.7171/jbt.18-2902-002</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Baker, B. I., &amp; Ingleton, P. M. (1975). Secretion of prolactin and growth hormone by teleost pituitariesin vitro. </w:t>
      </w:r>
      <w:r w:rsidRPr="000602ED">
        <w:rPr>
          <w:rFonts w:ascii="Times New Roman" w:hAnsi="Times New Roman" w:cs="Times New Roman"/>
          <w:i/>
          <w:iCs/>
          <w:noProof/>
          <w:sz w:val="24"/>
          <w:szCs w:val="24"/>
        </w:rPr>
        <w:t>Journal of Comparative Physiology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100</w:t>
      </w:r>
      <w:r w:rsidRPr="000602ED">
        <w:rPr>
          <w:rFonts w:ascii="Times New Roman" w:hAnsi="Times New Roman" w:cs="Times New Roman"/>
          <w:noProof/>
          <w:sz w:val="24"/>
          <w:szCs w:val="24"/>
        </w:rPr>
        <w:t>, 269–282.</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Balmer, B. F., Powers, R. L., Zhang, T.-H., Lee, J., Vigant, F., Lee, B., Jung, M. E., Purcell, M. K., Snekvik, K., &amp; Aguilar, H. C. (2017). Inhibition of an Aquatic Rhabdovirus Demonstrates Promise of a Broad-Spectrum  Antiviral for Use in Aquaculture. </w:t>
      </w:r>
      <w:r w:rsidRPr="000602ED">
        <w:rPr>
          <w:rFonts w:ascii="Times New Roman" w:hAnsi="Times New Roman" w:cs="Times New Roman"/>
          <w:i/>
          <w:iCs/>
          <w:noProof/>
          <w:sz w:val="24"/>
          <w:szCs w:val="24"/>
        </w:rPr>
        <w:t>Journal of Virology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91</w:t>
      </w:r>
      <w:r w:rsidRPr="000602ED">
        <w:rPr>
          <w:rFonts w:ascii="Times New Roman" w:hAnsi="Times New Roman" w:cs="Times New Roman"/>
          <w:noProof/>
          <w:sz w:val="24"/>
          <w:szCs w:val="24"/>
        </w:rPr>
        <w:t>(4). https://doi.org/10.1128/JVI.02181-16</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Behrens, A., Schirmer, K., Bols, N. C., &amp; Segner, H. (2001). Polycyclic aromatic hydrocarbons as inducers of cytochrome P4501A enzyme activity in  the rainbow trout liver cell line, RTL-W1, and in primary cultures of rainbow trout hepatocytes. </w:t>
      </w:r>
      <w:r w:rsidRPr="000602ED">
        <w:rPr>
          <w:rFonts w:ascii="Times New Roman" w:hAnsi="Times New Roman" w:cs="Times New Roman"/>
          <w:i/>
          <w:iCs/>
          <w:noProof/>
          <w:sz w:val="24"/>
          <w:szCs w:val="24"/>
        </w:rPr>
        <w:t>Environmental Toxicology and Chemistry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20</w:t>
      </w:r>
      <w:r w:rsidRPr="000602ED">
        <w:rPr>
          <w:rFonts w:ascii="Times New Roman" w:hAnsi="Times New Roman" w:cs="Times New Roman"/>
          <w:noProof/>
          <w:sz w:val="24"/>
          <w:szCs w:val="24"/>
        </w:rPr>
        <w:t>(3), 632–643.</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Biering, E., Villoing, S., Sommerset, I., &amp; Christie, K. E. (2005). Update on viral vaccines for fish. </w:t>
      </w:r>
      <w:r w:rsidRPr="000602ED">
        <w:rPr>
          <w:rFonts w:ascii="Times New Roman" w:hAnsi="Times New Roman" w:cs="Times New Roman"/>
          <w:i/>
          <w:iCs/>
          <w:noProof/>
          <w:sz w:val="24"/>
          <w:szCs w:val="24"/>
        </w:rPr>
        <w:t>Developments in Biologicals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121</w:t>
      </w:r>
      <w:r w:rsidRPr="000602ED">
        <w:rPr>
          <w:rFonts w:ascii="Times New Roman" w:hAnsi="Times New Roman" w:cs="Times New Roman"/>
          <w:noProof/>
          <w:sz w:val="24"/>
          <w:szCs w:val="24"/>
        </w:rPr>
        <w:t>, 97–113.</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Bloch, S. R., Vo, N. T. K., Walsh, S. K., Chen, C., Lee, L. E. J., Hodson, P. V, &amp; Bols, N. C. (2015). Development of a cell line from the American eel brain expressing endothelial cell properties. </w:t>
      </w:r>
      <w:r w:rsidRPr="000602ED">
        <w:rPr>
          <w:rFonts w:ascii="Times New Roman" w:hAnsi="Times New Roman" w:cs="Times New Roman"/>
          <w:i/>
          <w:iCs/>
          <w:noProof/>
          <w:sz w:val="24"/>
          <w:szCs w:val="24"/>
        </w:rPr>
        <w:t>In Vitro Cellular \&amp; Developmental Biology - Animal</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52</w:t>
      </w:r>
      <w:r w:rsidRPr="000602ED">
        <w:rPr>
          <w:rFonts w:ascii="Times New Roman" w:hAnsi="Times New Roman" w:cs="Times New Roman"/>
          <w:noProof/>
          <w:sz w:val="24"/>
          <w:szCs w:val="24"/>
        </w:rPr>
        <w:t>, 395–409.</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Bols, N. C. (1991). Biotechnology and aquaculture: the role of cell cultures. </w:t>
      </w:r>
      <w:r w:rsidRPr="000602ED">
        <w:rPr>
          <w:rFonts w:ascii="Times New Roman" w:hAnsi="Times New Roman" w:cs="Times New Roman"/>
          <w:i/>
          <w:iCs/>
          <w:noProof/>
          <w:sz w:val="24"/>
          <w:szCs w:val="24"/>
        </w:rPr>
        <w:t>Biotechnology Advances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9</w:t>
      </w:r>
      <w:r w:rsidRPr="000602ED">
        <w:rPr>
          <w:rFonts w:ascii="Times New Roman" w:hAnsi="Times New Roman" w:cs="Times New Roman"/>
          <w:noProof/>
          <w:sz w:val="24"/>
          <w:szCs w:val="24"/>
        </w:rPr>
        <w:t>(1), 31–49. https://doi.org/10.1016/0734-9750(91)90403-i</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Bols, N. C., &amp; Dayeh, V. R. (2005). </w:t>
      </w:r>
      <w:r w:rsidRPr="000602ED">
        <w:rPr>
          <w:rFonts w:ascii="Times New Roman" w:hAnsi="Times New Roman" w:cs="Times New Roman"/>
          <w:i/>
          <w:iCs/>
          <w:noProof/>
          <w:sz w:val="24"/>
          <w:szCs w:val="24"/>
        </w:rPr>
        <w:t>Use of fish cell lines in the toxicology and ecotoxicology of fish . Piscine cell lines in environmental toxicology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6</w:t>
      </w:r>
      <w:r w:rsidRPr="000602ED">
        <w:rPr>
          <w:rFonts w:ascii="Times New Roman" w:hAnsi="Times New Roman" w:cs="Times New Roman"/>
          <w:noProof/>
          <w:sz w:val="24"/>
          <w:szCs w:val="24"/>
        </w:rPr>
        <w:t>.</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Caminada, D., Zaja, R., Smital, T., &amp; Fent, K. (2008). Human pharmaceuticals modulate P-gp1 (ABCB1) transport activity in the fish cell  line PLHC-1. </w:t>
      </w:r>
      <w:r w:rsidRPr="000602ED">
        <w:rPr>
          <w:rFonts w:ascii="Times New Roman" w:hAnsi="Times New Roman" w:cs="Times New Roman"/>
          <w:i/>
          <w:iCs/>
          <w:noProof/>
          <w:sz w:val="24"/>
          <w:szCs w:val="24"/>
        </w:rPr>
        <w:t>Aquatic Toxicology (Amsterdam, Netherlands)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90</w:t>
      </w:r>
      <w:r w:rsidRPr="000602ED">
        <w:rPr>
          <w:rFonts w:ascii="Times New Roman" w:hAnsi="Times New Roman" w:cs="Times New Roman"/>
          <w:noProof/>
          <w:sz w:val="24"/>
          <w:szCs w:val="24"/>
        </w:rPr>
        <w:t>(3), 214–222. https://doi.org/10.1016/j.aquatox.2008.08.013</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Castaño, A., Cantarino, M. J., Castillo, P., &amp; Tarazona, J. V. (1996). Correlations between the RTG-2 cytotoxicity test EC50 and in vivo LC50 rainbow trout bioassay. </w:t>
      </w:r>
      <w:r w:rsidRPr="000602ED">
        <w:rPr>
          <w:rFonts w:ascii="Times New Roman" w:hAnsi="Times New Roman" w:cs="Times New Roman"/>
          <w:i/>
          <w:iCs/>
          <w:noProof/>
          <w:sz w:val="24"/>
          <w:szCs w:val="24"/>
        </w:rPr>
        <w:t>Chemosphere</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32</w:t>
      </w:r>
      <w:r w:rsidRPr="000602ED">
        <w:rPr>
          <w:rFonts w:ascii="Times New Roman" w:hAnsi="Times New Roman" w:cs="Times New Roman"/>
          <w:noProof/>
          <w:sz w:val="24"/>
          <w:szCs w:val="24"/>
        </w:rPr>
        <w:t>(11), 2141–2157. https://doi.org/https://doi.org/10.1016/0045-6535(96)00126-9</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Chang, N., Sun, C., Gao, L., Zhu, D., Xu, X., Zhu, X., Xiong, J.-W., &amp; Xi, J. J. (2013). Genome editing with RNA-guided Cas9 nuclease in zebrafish embryos. </w:t>
      </w:r>
      <w:r w:rsidRPr="000602ED">
        <w:rPr>
          <w:rFonts w:ascii="Times New Roman" w:hAnsi="Times New Roman" w:cs="Times New Roman"/>
          <w:i/>
          <w:iCs/>
          <w:noProof/>
          <w:sz w:val="24"/>
          <w:szCs w:val="24"/>
        </w:rPr>
        <w:t>Cell Research</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23</w:t>
      </w:r>
      <w:r w:rsidRPr="000602ED">
        <w:rPr>
          <w:rFonts w:ascii="Times New Roman" w:hAnsi="Times New Roman" w:cs="Times New Roman"/>
          <w:noProof/>
          <w:sz w:val="24"/>
          <w:szCs w:val="24"/>
        </w:rPr>
        <w:t>(4), 465–472. https://doi.org/10.1038/cr.2013.45</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Chen, M. J., Chiou, P. P., Liao, Y.-H., Lin, C.-M., &amp; Chen, T. T. (2010). Development and </w:t>
      </w:r>
      <w:r w:rsidRPr="000602ED">
        <w:rPr>
          <w:rFonts w:ascii="Times New Roman" w:hAnsi="Times New Roman" w:cs="Times New Roman"/>
          <w:noProof/>
          <w:sz w:val="24"/>
          <w:szCs w:val="24"/>
        </w:rPr>
        <w:lastRenderedPageBreak/>
        <w:t xml:space="preserve">characterization of five rainbow trout pituitary single-cell  clone lines capable of producing pituitary hormones. </w:t>
      </w:r>
      <w:r w:rsidRPr="000602ED">
        <w:rPr>
          <w:rFonts w:ascii="Times New Roman" w:hAnsi="Times New Roman" w:cs="Times New Roman"/>
          <w:i/>
          <w:iCs/>
          <w:noProof/>
          <w:sz w:val="24"/>
          <w:szCs w:val="24"/>
        </w:rPr>
        <w:t>The Journal of Endocrinology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205</w:t>
      </w:r>
      <w:r w:rsidRPr="000602ED">
        <w:rPr>
          <w:rFonts w:ascii="Times New Roman" w:hAnsi="Times New Roman" w:cs="Times New Roman"/>
          <w:noProof/>
          <w:sz w:val="24"/>
          <w:szCs w:val="24"/>
        </w:rPr>
        <w:t>(1), 69–78. https://doi.org/10.1677/JOE-09-0315</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Chen, S.-L., Sha, Z.-X., Ye, H.-Q., Liu, Y., Tian, Y.-S., Hong, Y., &amp; Tang, Q.-S. (2007). Pluripotency and chimera competence of an embryonic stem cell line from the sea  perch (Lateolabrax japonicus). </w:t>
      </w:r>
      <w:r w:rsidRPr="000602ED">
        <w:rPr>
          <w:rFonts w:ascii="Times New Roman" w:hAnsi="Times New Roman" w:cs="Times New Roman"/>
          <w:i/>
          <w:iCs/>
          <w:noProof/>
          <w:sz w:val="24"/>
          <w:szCs w:val="24"/>
        </w:rPr>
        <w:t>Marine Biotechnology (New York, N.Y.)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9</w:t>
      </w:r>
      <w:r w:rsidRPr="000602ED">
        <w:rPr>
          <w:rFonts w:ascii="Times New Roman" w:hAnsi="Times New Roman" w:cs="Times New Roman"/>
          <w:noProof/>
          <w:sz w:val="24"/>
          <w:szCs w:val="24"/>
        </w:rPr>
        <w:t>(1), 82–91. https://doi.org/10.1007/s10126-006-6050-1</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Chen, S.-P., Yang, H.-L., Lin, H.-Y., Chen, M.-C., Wu, J.-L., &amp; Hong, J.-R. (2006). Enhanced viability of a nervous necrosis virus-infected stable cell line  over-expressing a fusion product of the zfBcl-xL and green fluorescent protein genes. </w:t>
      </w:r>
      <w:r w:rsidRPr="000602ED">
        <w:rPr>
          <w:rFonts w:ascii="Times New Roman" w:hAnsi="Times New Roman" w:cs="Times New Roman"/>
          <w:i/>
          <w:iCs/>
          <w:noProof/>
          <w:sz w:val="24"/>
          <w:szCs w:val="24"/>
        </w:rPr>
        <w:t>Journal of Fish Diseases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29</w:t>
      </w:r>
      <w:r w:rsidRPr="000602ED">
        <w:rPr>
          <w:rFonts w:ascii="Times New Roman" w:hAnsi="Times New Roman" w:cs="Times New Roman"/>
          <w:noProof/>
          <w:sz w:val="24"/>
          <w:szCs w:val="24"/>
        </w:rPr>
        <w:t>(6), 347–354. https://doi.org/10.1111/j.1365-2761.2006.00725.x</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Ciarlo, C. A., &amp; Zon, L. I. (2016). Embryonic cell culture in zebrafish. </w:t>
      </w:r>
      <w:r w:rsidRPr="000602ED">
        <w:rPr>
          <w:rFonts w:ascii="Times New Roman" w:hAnsi="Times New Roman" w:cs="Times New Roman"/>
          <w:i/>
          <w:iCs/>
          <w:noProof/>
          <w:sz w:val="24"/>
          <w:szCs w:val="24"/>
        </w:rPr>
        <w:t>Methods in Cell Biology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133</w:t>
      </w:r>
      <w:r w:rsidRPr="000602ED">
        <w:rPr>
          <w:rFonts w:ascii="Times New Roman" w:hAnsi="Times New Roman" w:cs="Times New Roman"/>
          <w:noProof/>
          <w:sz w:val="24"/>
          <w:szCs w:val="24"/>
        </w:rPr>
        <w:t>, 1–10. https://doi.org/10.1016/bs.mcb.2016.02.010</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Collet, B., Collins, C., &amp; Lester, K. (2018). Engineered cell lines for fish health research. </w:t>
      </w:r>
      <w:r w:rsidRPr="000602ED">
        <w:rPr>
          <w:rFonts w:ascii="Times New Roman" w:hAnsi="Times New Roman" w:cs="Times New Roman"/>
          <w:i/>
          <w:iCs/>
          <w:noProof/>
          <w:sz w:val="24"/>
          <w:szCs w:val="24"/>
        </w:rPr>
        <w:t>Developmental and Comparative Immunology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80</w:t>
      </w:r>
      <w:r w:rsidRPr="000602ED">
        <w:rPr>
          <w:rFonts w:ascii="Times New Roman" w:hAnsi="Times New Roman" w:cs="Times New Roman"/>
          <w:noProof/>
          <w:sz w:val="24"/>
          <w:szCs w:val="24"/>
        </w:rPr>
        <w:t>, 34–40. https://doi.org/10.1016/j.dci.2017.01.013</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Collodi, P., Kamei, Y., Ernst, T., Miranda, C., Buhler, D. R., &amp; Barnes, D. W. (1992). Culture of cells from zebrafish (Brachydanio rerio) embryo and adult tissues. </w:t>
      </w:r>
      <w:r w:rsidRPr="000602ED">
        <w:rPr>
          <w:rFonts w:ascii="Times New Roman" w:hAnsi="Times New Roman" w:cs="Times New Roman"/>
          <w:i/>
          <w:iCs/>
          <w:noProof/>
          <w:sz w:val="24"/>
          <w:szCs w:val="24"/>
        </w:rPr>
        <w:t>Cell Biology and Toxicology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8</w:t>
      </w:r>
      <w:r w:rsidRPr="000602ED">
        <w:rPr>
          <w:rFonts w:ascii="Times New Roman" w:hAnsi="Times New Roman" w:cs="Times New Roman"/>
          <w:noProof/>
          <w:sz w:val="24"/>
          <w:szCs w:val="24"/>
        </w:rPr>
        <w:t>(1), 43–61. https://doi.org/10.1007/BF00119294</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Corripio-Miyar, Y., Secombes, C. J., &amp; Zou, J. (2012). Long-term stimulation of trout head kidney cells with the cytokines MCSF, IL-2  and IL-6: gene expression dynamics. </w:t>
      </w:r>
      <w:r w:rsidRPr="000602ED">
        <w:rPr>
          <w:rFonts w:ascii="Times New Roman" w:hAnsi="Times New Roman" w:cs="Times New Roman"/>
          <w:i/>
          <w:iCs/>
          <w:noProof/>
          <w:sz w:val="24"/>
          <w:szCs w:val="24"/>
        </w:rPr>
        <w:t>Fish &amp; Shellfish Immunology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32</w:t>
      </w:r>
      <w:r w:rsidRPr="000602ED">
        <w:rPr>
          <w:rFonts w:ascii="Times New Roman" w:hAnsi="Times New Roman" w:cs="Times New Roman"/>
          <w:noProof/>
          <w:sz w:val="24"/>
          <w:szCs w:val="24"/>
        </w:rPr>
        <w:t>(1), 35–44. https://doi.org/10.1016/j.fsi.2011.10.016</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Dehler, C. E., Boudinot, P., Martin, S. A. M., &amp; Collet, B. (2016). Development of an Efficient Genome Editing Method by CRISPR/Cas9 in a Fish Cell  Line. </w:t>
      </w:r>
      <w:r w:rsidRPr="000602ED">
        <w:rPr>
          <w:rFonts w:ascii="Times New Roman" w:hAnsi="Times New Roman" w:cs="Times New Roman"/>
          <w:i/>
          <w:iCs/>
          <w:noProof/>
          <w:sz w:val="24"/>
          <w:szCs w:val="24"/>
        </w:rPr>
        <w:t>Marine Biotechnology (New York, N.Y.)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18</w:t>
      </w:r>
      <w:r w:rsidRPr="000602ED">
        <w:rPr>
          <w:rFonts w:ascii="Times New Roman" w:hAnsi="Times New Roman" w:cs="Times New Roman"/>
          <w:noProof/>
          <w:sz w:val="24"/>
          <w:szCs w:val="24"/>
        </w:rPr>
        <w:t>(4), 449–452. https://doi.org/10.1007/s10126-016-9708-6</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Desoize, B., Gimonet, D., &amp; Jardiller, J. C. (1998). Cell culture as spheroids: an approach to multicellular resistance. </w:t>
      </w:r>
      <w:r w:rsidRPr="000602ED">
        <w:rPr>
          <w:rFonts w:ascii="Times New Roman" w:hAnsi="Times New Roman" w:cs="Times New Roman"/>
          <w:i/>
          <w:iCs/>
          <w:noProof/>
          <w:sz w:val="24"/>
          <w:szCs w:val="24"/>
        </w:rPr>
        <w:t>Anticancer Research</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18</w:t>
      </w:r>
      <w:r w:rsidRPr="000602ED">
        <w:rPr>
          <w:rFonts w:ascii="Times New Roman" w:hAnsi="Times New Roman" w:cs="Times New Roman"/>
          <w:noProof/>
          <w:sz w:val="24"/>
          <w:szCs w:val="24"/>
        </w:rPr>
        <w:t>(6A), 4147–4158.</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Dhar, A. K., Manna, S. K., &amp; Thomas Allnutt, F. C. (2014). Viral vaccines for farmed finfish. </w:t>
      </w:r>
      <w:r w:rsidRPr="000602ED">
        <w:rPr>
          <w:rFonts w:ascii="Times New Roman" w:hAnsi="Times New Roman" w:cs="Times New Roman"/>
          <w:i/>
          <w:iCs/>
          <w:noProof/>
          <w:sz w:val="24"/>
          <w:szCs w:val="24"/>
        </w:rPr>
        <w:t>Virusdisease</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25</w:t>
      </w:r>
      <w:r w:rsidRPr="000602ED">
        <w:rPr>
          <w:rFonts w:ascii="Times New Roman" w:hAnsi="Times New Roman" w:cs="Times New Roman"/>
          <w:noProof/>
          <w:sz w:val="24"/>
          <w:szCs w:val="24"/>
        </w:rPr>
        <w:t>(1), 1–17. https://doi.org/10.1007/s13337-013-0186-4</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Dolgin, E. (2019). Sizzling interest in lab-grown meat belies lack of basic research. In </w:t>
      </w:r>
      <w:r w:rsidRPr="000602ED">
        <w:rPr>
          <w:rFonts w:ascii="Times New Roman" w:hAnsi="Times New Roman" w:cs="Times New Roman"/>
          <w:i/>
          <w:iCs/>
          <w:noProof/>
          <w:sz w:val="24"/>
          <w:szCs w:val="24"/>
        </w:rPr>
        <w:t>Nature</w:t>
      </w:r>
      <w:r w:rsidRPr="000602ED">
        <w:rPr>
          <w:rFonts w:ascii="Times New Roman" w:hAnsi="Times New Roman" w:cs="Times New Roman"/>
          <w:noProof/>
          <w:sz w:val="24"/>
          <w:szCs w:val="24"/>
        </w:rPr>
        <w:t xml:space="preserve"> (Vol. 566, Issue 7743, pp. 161–162). https://doi.org/10.1038/d41586-019-00373-w</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Dubey, A., Goswami, M., Yadav, K., &amp; Chaudhary, D. (2015). Oxidative Stress and Nano-Toxicity Induced by TiO2 and ZnO on WAG Cell Line. </w:t>
      </w:r>
      <w:r w:rsidRPr="000602ED">
        <w:rPr>
          <w:rFonts w:ascii="Times New Roman" w:hAnsi="Times New Roman" w:cs="Times New Roman"/>
          <w:i/>
          <w:iCs/>
          <w:noProof/>
          <w:sz w:val="24"/>
          <w:szCs w:val="24"/>
        </w:rPr>
        <w:t>PLoS ONE</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10</w:t>
      </w:r>
      <w:r w:rsidRPr="000602ED">
        <w:rPr>
          <w:rFonts w:ascii="Times New Roman" w:hAnsi="Times New Roman" w:cs="Times New Roman"/>
          <w:noProof/>
          <w:sz w:val="24"/>
          <w:szCs w:val="24"/>
        </w:rPr>
        <w:t>(5), 1–26. https://doi.org/10.1371/journal.pone.0127493</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lastRenderedPageBreak/>
        <w:t xml:space="preserve">Dubey, A., Goswami, M., Yadav, K., Mishra, A., &amp; Kumar, A. (2015). Establishment of a Novel Muscle Cell Line From Wallago attu for In Vitro Study of Pesticide Toxicity. </w:t>
      </w:r>
      <w:r w:rsidRPr="000602ED">
        <w:rPr>
          <w:rFonts w:ascii="Times New Roman" w:hAnsi="Times New Roman" w:cs="Times New Roman"/>
          <w:i/>
          <w:iCs/>
          <w:noProof/>
          <w:sz w:val="24"/>
          <w:szCs w:val="24"/>
        </w:rPr>
        <w:t>Gene, Cell and Tissue</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w:t>
      </w:r>
      <w:r w:rsidRPr="000602ED">
        <w:rPr>
          <w:rFonts w:ascii="Times New Roman" w:hAnsi="Times New Roman" w:cs="Times New Roman"/>
          <w:noProof/>
          <w:sz w:val="24"/>
          <w:szCs w:val="24"/>
        </w:rPr>
        <w:t>(1), 1–7. https://doi.org/10.17795/gct-25568</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Faber, M. N., Sojan, J. M., Saraiva, M., van West, P., &amp; Secombes, C. J. (2021). Development of a 3D spheroid cell culture system from fish cell lines for in  vitro infection studies: Evaluation with Saprolegnia parasitica. </w:t>
      </w:r>
      <w:r w:rsidRPr="000602ED">
        <w:rPr>
          <w:rFonts w:ascii="Times New Roman" w:hAnsi="Times New Roman" w:cs="Times New Roman"/>
          <w:i/>
          <w:iCs/>
          <w:noProof/>
          <w:sz w:val="24"/>
          <w:szCs w:val="24"/>
        </w:rPr>
        <w:t>Journal of Fish Diseases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44</w:t>
      </w:r>
      <w:r w:rsidRPr="000602ED">
        <w:rPr>
          <w:rFonts w:ascii="Times New Roman" w:hAnsi="Times New Roman" w:cs="Times New Roman"/>
          <w:noProof/>
          <w:sz w:val="24"/>
          <w:szCs w:val="24"/>
        </w:rPr>
        <w:t>(6), 701–710. https://doi.org/10.1111/jfd.13331</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Fan, Z., Liu, L., Huang, X., Zhao, Y., Zhou, L., Wang, D., &amp; Wei, J. (2017). Establishment and growth responses of Nile tilapia embryonic stem-like cell lines  under feeder-free condition. </w:t>
      </w:r>
      <w:r w:rsidRPr="000602ED">
        <w:rPr>
          <w:rFonts w:ascii="Times New Roman" w:hAnsi="Times New Roman" w:cs="Times New Roman"/>
          <w:i/>
          <w:iCs/>
          <w:noProof/>
          <w:sz w:val="24"/>
          <w:szCs w:val="24"/>
        </w:rPr>
        <w:t>Development, Growth &amp; Differentiation</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59</w:t>
      </w:r>
      <w:r w:rsidRPr="000602ED">
        <w:rPr>
          <w:rFonts w:ascii="Times New Roman" w:hAnsi="Times New Roman" w:cs="Times New Roman"/>
          <w:noProof/>
          <w:sz w:val="24"/>
          <w:szCs w:val="24"/>
        </w:rPr>
        <w:t>(2), 83–93. https://doi.org/10.1111/dgd.12341</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Fent, K. (2001). Fish cell lines as versatile tools in ecotoxicology: assessment of cytotoxicity,  cytochrome P4501A induction potential and estrogenic activity of chemicals and environmental samples. </w:t>
      </w:r>
      <w:r w:rsidRPr="000602ED">
        <w:rPr>
          <w:rFonts w:ascii="Times New Roman" w:hAnsi="Times New Roman" w:cs="Times New Roman"/>
          <w:i/>
          <w:iCs/>
          <w:noProof/>
          <w:sz w:val="24"/>
          <w:szCs w:val="24"/>
        </w:rPr>
        <w:t>Toxicology in Vitro : An International Journal Published in Association with  BIBRA</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15</w:t>
      </w:r>
      <w:r w:rsidRPr="000602ED">
        <w:rPr>
          <w:rFonts w:ascii="Times New Roman" w:hAnsi="Times New Roman" w:cs="Times New Roman"/>
          <w:noProof/>
          <w:sz w:val="24"/>
          <w:szCs w:val="24"/>
        </w:rPr>
        <w:t>(4–5), 477–488. https://doi.org/10.1016/s0887-2333(01)00053-4</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Fijan, N. (1968). Progress report on acute mortality of channel catfish fingerlings caused by a  virus. </w:t>
      </w:r>
      <w:r w:rsidRPr="000602ED">
        <w:rPr>
          <w:rFonts w:ascii="Times New Roman" w:hAnsi="Times New Roman" w:cs="Times New Roman"/>
          <w:i/>
          <w:iCs/>
          <w:noProof/>
          <w:sz w:val="24"/>
          <w:szCs w:val="24"/>
        </w:rPr>
        <w:t>Bulletin - Office International Des Epizooties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69</w:t>
      </w:r>
      <w:r w:rsidRPr="000602ED">
        <w:rPr>
          <w:rFonts w:ascii="Times New Roman" w:hAnsi="Times New Roman" w:cs="Times New Roman"/>
          <w:noProof/>
          <w:sz w:val="24"/>
          <w:szCs w:val="24"/>
        </w:rPr>
        <w:t>(7), 1167–1168.</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Goswami, M, Sharma, B. S., Tripathi, A. K., Yadav, K., Bahuguna, S. N., Nagpure, N. S., Lakra, W. S., &amp; Jena, J. K. (2012). Development and characterization of cell culture systems from Puntius (Tor)  chelynoides (McClelland). </w:t>
      </w:r>
      <w:r w:rsidRPr="000602ED">
        <w:rPr>
          <w:rFonts w:ascii="Times New Roman" w:hAnsi="Times New Roman" w:cs="Times New Roman"/>
          <w:i/>
          <w:iCs/>
          <w:noProof/>
          <w:sz w:val="24"/>
          <w:szCs w:val="24"/>
        </w:rPr>
        <w:t>Gene</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500</w:t>
      </w:r>
      <w:r w:rsidRPr="000602ED">
        <w:rPr>
          <w:rFonts w:ascii="Times New Roman" w:hAnsi="Times New Roman" w:cs="Times New Roman"/>
          <w:noProof/>
          <w:sz w:val="24"/>
          <w:szCs w:val="24"/>
        </w:rPr>
        <w:t>(1), 140–147. https://doi.org/10.1016/j.gene.2012.03.016</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Goswami, Mukunda, Nagpure, N. S., &amp; Jena, J. K. (2014). Fish cell line repository: An enduring effort for conservation. </w:t>
      </w:r>
      <w:r w:rsidRPr="000602ED">
        <w:rPr>
          <w:rFonts w:ascii="Times New Roman" w:hAnsi="Times New Roman" w:cs="Times New Roman"/>
          <w:i/>
          <w:iCs/>
          <w:noProof/>
          <w:sz w:val="24"/>
          <w:szCs w:val="24"/>
        </w:rPr>
        <w:t>Current Science</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107</w:t>
      </w:r>
      <w:r w:rsidRPr="000602ED">
        <w:rPr>
          <w:rFonts w:ascii="Times New Roman" w:hAnsi="Times New Roman" w:cs="Times New Roman"/>
          <w:noProof/>
          <w:sz w:val="24"/>
          <w:szCs w:val="24"/>
        </w:rPr>
        <w:t>(5), 738–739. https://doi.org/10.18520/cs/v107/i5/738-739</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Gratacap, R. L., Regan, T., Dehler, C. E., Martin, S. A. M., Boudinot, P., Collet, B., &amp; Houston, R. D. (2020). Efficient CRISPR/Cas9 genome editing in a salmonid fish cell line using a  lentivirus delivery system. </w:t>
      </w:r>
      <w:r w:rsidRPr="000602ED">
        <w:rPr>
          <w:rFonts w:ascii="Times New Roman" w:hAnsi="Times New Roman" w:cs="Times New Roman"/>
          <w:i/>
          <w:iCs/>
          <w:noProof/>
          <w:sz w:val="24"/>
          <w:szCs w:val="24"/>
        </w:rPr>
        <w:t>BMC Biotechnology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20</w:t>
      </w:r>
      <w:r w:rsidRPr="000602ED">
        <w:rPr>
          <w:rFonts w:ascii="Times New Roman" w:hAnsi="Times New Roman" w:cs="Times New Roman"/>
          <w:noProof/>
          <w:sz w:val="24"/>
          <w:szCs w:val="24"/>
        </w:rPr>
        <w:t>(1), 35. https://doi.org/10.1186/s12896-020-00626-x</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Gray, M. R. (1989). Substrate inactivation of enzymes in vitro and in vivo. </w:t>
      </w:r>
      <w:r w:rsidRPr="000602ED">
        <w:rPr>
          <w:rFonts w:ascii="Times New Roman" w:hAnsi="Times New Roman" w:cs="Times New Roman"/>
          <w:i/>
          <w:iCs/>
          <w:noProof/>
          <w:sz w:val="24"/>
          <w:szCs w:val="24"/>
        </w:rPr>
        <w:t>Biotechnology Advances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7</w:t>
      </w:r>
      <w:r w:rsidRPr="000602ED">
        <w:rPr>
          <w:rFonts w:ascii="Times New Roman" w:hAnsi="Times New Roman" w:cs="Times New Roman"/>
          <w:noProof/>
          <w:sz w:val="24"/>
          <w:szCs w:val="24"/>
        </w:rPr>
        <w:t>(4), 527–575. https://doi.org/https://doi.org/10.1016/0734-9750(89)90722-2</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Grist, E., Woodhead, A. D., &amp; Carlson, C. (1986). Established cell lines from nonmammalian vertebrates: models for DNA repair  studies. </w:t>
      </w:r>
      <w:r w:rsidRPr="000602ED">
        <w:rPr>
          <w:rFonts w:ascii="Times New Roman" w:hAnsi="Times New Roman" w:cs="Times New Roman"/>
          <w:i/>
          <w:iCs/>
          <w:noProof/>
          <w:sz w:val="24"/>
          <w:szCs w:val="24"/>
        </w:rPr>
        <w:t>In Vitro Cellular &amp; Developmental Biology : Journal of the Tissue Culture  Association</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22</w:t>
      </w:r>
      <w:r w:rsidRPr="000602ED">
        <w:rPr>
          <w:rFonts w:ascii="Times New Roman" w:hAnsi="Times New Roman" w:cs="Times New Roman"/>
          <w:noProof/>
          <w:sz w:val="24"/>
          <w:szCs w:val="24"/>
        </w:rPr>
        <w:t xml:space="preserve">(11), 677–680. </w:t>
      </w:r>
      <w:r w:rsidRPr="000602ED">
        <w:rPr>
          <w:rFonts w:ascii="Times New Roman" w:hAnsi="Times New Roman" w:cs="Times New Roman"/>
          <w:noProof/>
          <w:sz w:val="24"/>
          <w:szCs w:val="24"/>
        </w:rPr>
        <w:lastRenderedPageBreak/>
        <w:t>https://doi.org/10.1007/BF02623482</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Hao, K., Yuan, S., Yu, F., Chen, X. H., Bian, W. J., Feng, Y. H., &amp; Zhao, Z. (2021). Acyclovir inhibits channel catfish virus replication and protects channel catfish  ovary cells from apoptosis. </w:t>
      </w:r>
      <w:r w:rsidRPr="000602ED">
        <w:rPr>
          <w:rFonts w:ascii="Times New Roman" w:hAnsi="Times New Roman" w:cs="Times New Roman"/>
          <w:i/>
          <w:iCs/>
          <w:noProof/>
          <w:sz w:val="24"/>
          <w:szCs w:val="24"/>
        </w:rPr>
        <w:t>Virus Research</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292</w:t>
      </w:r>
      <w:r w:rsidRPr="000602ED">
        <w:rPr>
          <w:rFonts w:ascii="Times New Roman" w:hAnsi="Times New Roman" w:cs="Times New Roman"/>
          <w:noProof/>
          <w:sz w:val="24"/>
          <w:szCs w:val="24"/>
        </w:rPr>
        <w:t>, 198249. https://doi.org/10.1016/j.virusres.2020.198249</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Heilmann, S., Ratnakumar, K., Langdon, E., Kansler, E., Kim, I., Campbell, N. R., Perry, E., McMahon, A., Kaufman, C., van Rooijen, E., Lee, W., Iacobuzio-Donahue, C., Hynes, R., Zon, L., Xavier, J., &amp; White, R. (2015). A Quantitative System for Studying Metastasis Using Transparent Zebrafish. </w:t>
      </w:r>
      <w:r w:rsidRPr="000602ED">
        <w:rPr>
          <w:rFonts w:ascii="Times New Roman" w:hAnsi="Times New Roman" w:cs="Times New Roman"/>
          <w:i/>
          <w:iCs/>
          <w:noProof/>
          <w:sz w:val="24"/>
          <w:szCs w:val="24"/>
        </w:rPr>
        <w:t>Cancer Research</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75</w:t>
      </w:r>
      <w:r w:rsidRPr="000602ED">
        <w:rPr>
          <w:rFonts w:ascii="Times New Roman" w:hAnsi="Times New Roman" w:cs="Times New Roman"/>
          <w:noProof/>
          <w:sz w:val="24"/>
          <w:szCs w:val="24"/>
        </w:rPr>
        <w:t>(20), 4272–4282. https://doi.org/10.1158/0008-5472.CAN-14-3319</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Higaki, S., Koyama, Y., Shimada, M., Ono, Y., Tooyama, I., Fujioka, Y., Sakai, N., Ikeuchi, T., &amp; Takada, T. (2013). Response to fish specific reproductive hormones and endocrine disrupting  chemicals of a Sertoli cell line expressing endogenous receptors from an endemic cyprinid Gnathopogon caerulescens. </w:t>
      </w:r>
      <w:r w:rsidRPr="000602ED">
        <w:rPr>
          <w:rFonts w:ascii="Times New Roman" w:hAnsi="Times New Roman" w:cs="Times New Roman"/>
          <w:i/>
          <w:iCs/>
          <w:noProof/>
          <w:sz w:val="24"/>
          <w:szCs w:val="24"/>
        </w:rPr>
        <w:t>General and Comparative Endocrinology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191</w:t>
      </w:r>
      <w:r w:rsidRPr="000602ED">
        <w:rPr>
          <w:rFonts w:ascii="Times New Roman" w:hAnsi="Times New Roman" w:cs="Times New Roman"/>
          <w:noProof/>
          <w:sz w:val="24"/>
          <w:szCs w:val="24"/>
        </w:rPr>
        <w:t>, 65–73. https://doi.org/10.1016/j.ygcen.2013.06.002</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Hightower, L. E., &amp; Renfro, J. L. (1988). Recent applications of fish cell culture to biomedical research. </w:t>
      </w:r>
      <w:r w:rsidRPr="000602ED">
        <w:rPr>
          <w:rFonts w:ascii="Times New Roman" w:hAnsi="Times New Roman" w:cs="Times New Roman"/>
          <w:i/>
          <w:iCs/>
          <w:noProof/>
          <w:sz w:val="24"/>
          <w:szCs w:val="24"/>
        </w:rPr>
        <w:t>The Journal of Experimental Zoology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248</w:t>
      </w:r>
      <w:r w:rsidRPr="000602ED">
        <w:rPr>
          <w:rFonts w:ascii="Times New Roman" w:hAnsi="Times New Roman" w:cs="Times New Roman"/>
          <w:noProof/>
          <w:sz w:val="24"/>
          <w:szCs w:val="24"/>
        </w:rPr>
        <w:t>(3), 290–302. https://doi.org/10.1002/jez.1402480307</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Holen, E., Kausland, A., &amp; Skjærven, K. (2010). Embryonic stem cells isolated from Atlantic cod (Gadus morhua) and the  developmental expression of a stage-specific transcription factor ac-Pou2. </w:t>
      </w:r>
      <w:r w:rsidRPr="000602ED">
        <w:rPr>
          <w:rFonts w:ascii="Times New Roman" w:hAnsi="Times New Roman" w:cs="Times New Roman"/>
          <w:i/>
          <w:iCs/>
          <w:noProof/>
          <w:sz w:val="24"/>
          <w:szCs w:val="24"/>
        </w:rPr>
        <w:t>Fish Physiology and Biochemistry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36</w:t>
      </w:r>
      <w:r w:rsidRPr="000602ED">
        <w:rPr>
          <w:rFonts w:ascii="Times New Roman" w:hAnsi="Times New Roman" w:cs="Times New Roman"/>
          <w:noProof/>
          <w:sz w:val="24"/>
          <w:szCs w:val="24"/>
        </w:rPr>
        <w:t>(4), 1029–1039. https://doi.org/10.1007/s10695-010-9381-z</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Hong, Y, Winkler, C., &amp; Schartl, M. (1996). Pluripotency and differentiation of embryonic stem cell lines from the medakafish  (Oryzias latipes). </w:t>
      </w:r>
      <w:r w:rsidRPr="000602ED">
        <w:rPr>
          <w:rFonts w:ascii="Times New Roman" w:hAnsi="Times New Roman" w:cs="Times New Roman"/>
          <w:i/>
          <w:iCs/>
          <w:noProof/>
          <w:sz w:val="24"/>
          <w:szCs w:val="24"/>
        </w:rPr>
        <w:t>Mechanisms of Development</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60</w:t>
      </w:r>
      <w:r w:rsidRPr="000602ED">
        <w:rPr>
          <w:rFonts w:ascii="Times New Roman" w:hAnsi="Times New Roman" w:cs="Times New Roman"/>
          <w:noProof/>
          <w:sz w:val="24"/>
          <w:szCs w:val="24"/>
        </w:rPr>
        <w:t>(1), 33–44. https://doi.org/10.1016/s0925-4773(96)00596-5</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Hong, Yunhan, Liu, T., Zhao, H., Xu, H., Wang, W., Liu, R., Chen, T., Deng, J., &amp; Gui, J. (2004). Establishment of a normal medakafish spermatogonial cell line capable of sperm  production in vitro. </w:t>
      </w:r>
      <w:r w:rsidRPr="000602ED">
        <w:rPr>
          <w:rFonts w:ascii="Times New Roman" w:hAnsi="Times New Roman" w:cs="Times New Roman"/>
          <w:i/>
          <w:iCs/>
          <w:noProof/>
          <w:sz w:val="24"/>
          <w:szCs w:val="24"/>
        </w:rPr>
        <w:t>Proceedings of the National Academy of Sciences of the United States of America</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101</w:t>
      </w:r>
      <w:r w:rsidRPr="000602ED">
        <w:rPr>
          <w:rFonts w:ascii="Times New Roman" w:hAnsi="Times New Roman" w:cs="Times New Roman"/>
          <w:noProof/>
          <w:sz w:val="24"/>
          <w:szCs w:val="24"/>
        </w:rPr>
        <w:t>(21), 8011–8016. https://doi.org/10.1073/pnas.0308668101</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Hsiung, G. D. (1984). Diagnostic virology: from animals to automation. </w:t>
      </w:r>
      <w:r w:rsidRPr="000602ED">
        <w:rPr>
          <w:rFonts w:ascii="Times New Roman" w:hAnsi="Times New Roman" w:cs="Times New Roman"/>
          <w:i/>
          <w:iCs/>
          <w:noProof/>
          <w:sz w:val="24"/>
          <w:szCs w:val="24"/>
        </w:rPr>
        <w:t>The Yale Journal of Biology and Medicine</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57</w:t>
      </w:r>
      <w:r w:rsidRPr="000602ED">
        <w:rPr>
          <w:rFonts w:ascii="Times New Roman" w:hAnsi="Times New Roman" w:cs="Times New Roman"/>
          <w:noProof/>
          <w:sz w:val="24"/>
          <w:szCs w:val="24"/>
        </w:rPr>
        <w:t>(5), 727–733.</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Huang, Y.-C., &amp; Han, Y.-S. (2010). </w:t>
      </w:r>
      <w:r w:rsidRPr="000602ED">
        <w:rPr>
          <w:rFonts w:ascii="Times New Roman" w:hAnsi="Times New Roman" w:cs="Times New Roman"/>
          <w:i/>
          <w:iCs/>
          <w:noProof/>
          <w:sz w:val="24"/>
          <w:szCs w:val="24"/>
        </w:rPr>
        <w:t>Anti-nervous necrosis virus drug screening using fish cell line</w:t>
      </w:r>
      <w:r w:rsidRPr="000602ED">
        <w:rPr>
          <w:rFonts w:ascii="Times New Roman" w:hAnsi="Times New Roman" w:cs="Times New Roman"/>
          <w:noProof/>
          <w:sz w:val="24"/>
          <w:szCs w:val="24"/>
        </w:rPr>
        <w:t>.</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Hwang, W. Y., Fu, Y., Reyon, D., Maeder, M. L., Tsai, S. Q., Sander, J. D., Peterson, R. T., Yeh, J.-R. J., &amp; Joung, J. K. (2013). Efficient genome editing in zebrafish using a </w:t>
      </w:r>
      <w:r w:rsidRPr="000602ED">
        <w:rPr>
          <w:rFonts w:ascii="Times New Roman" w:hAnsi="Times New Roman" w:cs="Times New Roman"/>
          <w:noProof/>
          <w:sz w:val="24"/>
          <w:szCs w:val="24"/>
        </w:rPr>
        <w:lastRenderedPageBreak/>
        <w:t xml:space="preserve">CRISPR-Cas system. </w:t>
      </w:r>
      <w:r w:rsidRPr="000602ED">
        <w:rPr>
          <w:rFonts w:ascii="Times New Roman" w:hAnsi="Times New Roman" w:cs="Times New Roman"/>
          <w:i/>
          <w:iCs/>
          <w:noProof/>
          <w:sz w:val="24"/>
          <w:szCs w:val="24"/>
        </w:rPr>
        <w:t>Nature Biotechnology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31</w:t>
      </w:r>
      <w:r w:rsidRPr="000602ED">
        <w:rPr>
          <w:rFonts w:ascii="Times New Roman" w:hAnsi="Times New Roman" w:cs="Times New Roman"/>
          <w:noProof/>
          <w:sz w:val="24"/>
          <w:szCs w:val="24"/>
        </w:rPr>
        <w:t>(3), 227–229. https://doi.org/10.1038/nbt.2501</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Jensen, I., Larsen, R., &amp; Robertsen, B. (2002). An antiviral state induced in Chinook salmon embryo cells (CHSE-214) by  transfection with the double-stranded RNA poly I:C. </w:t>
      </w:r>
      <w:r w:rsidRPr="000602ED">
        <w:rPr>
          <w:rFonts w:ascii="Times New Roman" w:hAnsi="Times New Roman" w:cs="Times New Roman"/>
          <w:i/>
          <w:iCs/>
          <w:noProof/>
          <w:sz w:val="24"/>
          <w:szCs w:val="24"/>
        </w:rPr>
        <w:t>Fish &amp; Shellfish Immunology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13</w:t>
      </w:r>
      <w:r w:rsidRPr="000602ED">
        <w:rPr>
          <w:rFonts w:ascii="Times New Roman" w:hAnsi="Times New Roman" w:cs="Times New Roman"/>
          <w:noProof/>
          <w:sz w:val="24"/>
          <w:szCs w:val="24"/>
        </w:rPr>
        <w:t>(5), 367–378. https://doi.org/10.1006/fsim.2002.0412</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Kasi Elumalai, L. (2012). Synergistic Effect of Seaweed Manure and Bacillus sp. on Growth and Biochemical Constituents of Vigna radiata L. </w:t>
      </w:r>
      <w:r w:rsidRPr="000602ED">
        <w:rPr>
          <w:rFonts w:ascii="Times New Roman" w:hAnsi="Times New Roman" w:cs="Times New Roman"/>
          <w:i/>
          <w:iCs/>
          <w:noProof/>
          <w:sz w:val="24"/>
          <w:szCs w:val="24"/>
        </w:rPr>
        <w:t>Journal of Biofertilizers &amp; Biopesticides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03</w:t>
      </w:r>
      <w:r w:rsidRPr="000602ED">
        <w:rPr>
          <w:rFonts w:ascii="Times New Roman" w:hAnsi="Times New Roman" w:cs="Times New Roman"/>
          <w:noProof/>
          <w:sz w:val="24"/>
          <w:szCs w:val="24"/>
        </w:rPr>
        <w:t>(03). https://doi.org/10.4172/2155-6202.1000121</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Kelly, R. K., Souter, B., &amp; Miller, H. R. P. (1978). Fish cell lines: comparisons of CHSE-214, FHM, and RTG-2 in assaying IHN and IPN viruses. </w:t>
      </w:r>
      <w:r w:rsidRPr="000602ED">
        <w:rPr>
          <w:rFonts w:ascii="Times New Roman" w:hAnsi="Times New Roman" w:cs="Times New Roman"/>
          <w:i/>
          <w:iCs/>
          <w:noProof/>
          <w:sz w:val="24"/>
          <w:szCs w:val="24"/>
        </w:rPr>
        <w:t>Wsq: Women’s Studies Quarterly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35</w:t>
      </w:r>
      <w:r w:rsidRPr="000602ED">
        <w:rPr>
          <w:rFonts w:ascii="Times New Roman" w:hAnsi="Times New Roman" w:cs="Times New Roman"/>
          <w:noProof/>
          <w:sz w:val="24"/>
          <w:szCs w:val="24"/>
        </w:rPr>
        <w:t>, 1009–1011.</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Kienzler, A., Bony, S., &amp; Devaux, A. (2013). DNA repair activity in fish and interest in ecotoxicology: A review. </w:t>
      </w:r>
      <w:r w:rsidRPr="000602ED">
        <w:rPr>
          <w:rFonts w:ascii="Times New Roman" w:hAnsi="Times New Roman" w:cs="Times New Roman"/>
          <w:i/>
          <w:iCs/>
          <w:noProof/>
          <w:sz w:val="24"/>
          <w:szCs w:val="24"/>
        </w:rPr>
        <w:t>Aquatic Toxicology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134</w:t>
      </w:r>
      <w:r w:rsidRPr="000602ED">
        <w:rPr>
          <w:rFonts w:ascii="Times New Roman" w:hAnsi="Times New Roman" w:cs="Times New Roman"/>
          <w:noProof/>
          <w:sz w:val="24"/>
          <w:szCs w:val="24"/>
        </w:rPr>
        <w:t>–</w:t>
      </w:r>
      <w:r w:rsidRPr="000602ED">
        <w:rPr>
          <w:rFonts w:ascii="Times New Roman" w:hAnsi="Times New Roman" w:cs="Times New Roman"/>
          <w:i/>
          <w:iCs/>
          <w:noProof/>
          <w:sz w:val="24"/>
          <w:szCs w:val="24"/>
        </w:rPr>
        <w:t>135</w:t>
      </w:r>
      <w:r w:rsidRPr="000602ED">
        <w:rPr>
          <w:rFonts w:ascii="Times New Roman" w:hAnsi="Times New Roman" w:cs="Times New Roman"/>
          <w:noProof/>
          <w:sz w:val="24"/>
          <w:szCs w:val="24"/>
        </w:rPr>
        <w:t>, 47–56. https://doi.org/https://doi.org/10.1016/j.aquatox.2013.03.005</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Klingelfus, T., Disner, G. R., Voigt, C. L., Alle, L. F., Cestari, M. M., &amp; Leme, D. M. (2019). Nanomaterials induce DNA-protein crosslink and DNA oxidation: A mechanistic study  with RTG-2 fish cell line and Comet assay modifications. </w:t>
      </w:r>
      <w:r w:rsidRPr="000602ED">
        <w:rPr>
          <w:rFonts w:ascii="Times New Roman" w:hAnsi="Times New Roman" w:cs="Times New Roman"/>
          <w:i/>
          <w:iCs/>
          <w:noProof/>
          <w:sz w:val="24"/>
          <w:szCs w:val="24"/>
        </w:rPr>
        <w:t>Chemosphere</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215</w:t>
      </w:r>
      <w:r w:rsidRPr="000602ED">
        <w:rPr>
          <w:rFonts w:ascii="Times New Roman" w:hAnsi="Times New Roman" w:cs="Times New Roman"/>
          <w:noProof/>
          <w:sz w:val="24"/>
          <w:szCs w:val="24"/>
        </w:rPr>
        <w:t>, 703–709. https://doi.org/10.1016/j.chemosphere.2018.10.118</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Krishnan, K., Khanna, V. G., &amp; Hameed, S. (2010). Antiviral activity of dasyscyphin C extracted from Eclipta prostrata against fish nodavirus. </w:t>
      </w:r>
      <w:r w:rsidRPr="000602ED">
        <w:rPr>
          <w:rFonts w:ascii="Times New Roman" w:hAnsi="Times New Roman" w:cs="Times New Roman"/>
          <w:i/>
          <w:iCs/>
          <w:noProof/>
          <w:sz w:val="24"/>
          <w:szCs w:val="24"/>
        </w:rPr>
        <w:t>Journal of Antivirals and Antiretrovirals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w:t>
      </w:r>
      <w:r w:rsidRPr="000602ED">
        <w:rPr>
          <w:rFonts w:ascii="Times New Roman" w:hAnsi="Times New Roman" w:cs="Times New Roman"/>
          <w:noProof/>
          <w:sz w:val="24"/>
          <w:szCs w:val="24"/>
        </w:rPr>
        <w:t>(1), 29–32. https://doi.org/10.4172/jaa.1000018</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Lee, L. E., Clemons, J. H., Bechtel, D. G., Caldwell, S. J., Han, K. B., Pasitschniak-Arts, M., Mosser, D. D., &amp; Bols, N. C. (1993). Development and characterization of a rainbow trout liver cell line expressing  cytochrome P450-dependent monooxygenase activity. </w:t>
      </w:r>
      <w:r w:rsidRPr="000602ED">
        <w:rPr>
          <w:rFonts w:ascii="Times New Roman" w:hAnsi="Times New Roman" w:cs="Times New Roman"/>
          <w:i/>
          <w:iCs/>
          <w:noProof/>
          <w:sz w:val="24"/>
          <w:szCs w:val="24"/>
        </w:rPr>
        <w:t>Cell Biology and Toxicology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9</w:t>
      </w:r>
      <w:r w:rsidRPr="000602ED">
        <w:rPr>
          <w:rFonts w:ascii="Times New Roman" w:hAnsi="Times New Roman" w:cs="Times New Roman"/>
          <w:noProof/>
          <w:sz w:val="24"/>
          <w:szCs w:val="24"/>
        </w:rPr>
        <w:t>(3), 279–294. https://doi.org/10.1007/BF00755606</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Leland, D. S., &amp; Ginocchio, C. C. (2007). Role of cell culture for virus detection in the age of technology. </w:t>
      </w:r>
      <w:r w:rsidRPr="000602ED">
        <w:rPr>
          <w:rFonts w:ascii="Times New Roman" w:hAnsi="Times New Roman" w:cs="Times New Roman"/>
          <w:i/>
          <w:iCs/>
          <w:noProof/>
          <w:sz w:val="24"/>
          <w:szCs w:val="24"/>
        </w:rPr>
        <w:t>Clinical Microbiology Reviews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20</w:t>
      </w:r>
      <w:r w:rsidRPr="000602ED">
        <w:rPr>
          <w:rFonts w:ascii="Times New Roman" w:hAnsi="Times New Roman" w:cs="Times New Roman"/>
          <w:noProof/>
          <w:sz w:val="24"/>
          <w:szCs w:val="24"/>
        </w:rPr>
        <w:t>(1), 49–78. https://doi.org/10.1128/CMR.00002-06</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Liu, Q., Yuan, Y., Zhu, F., Hong, Y., &amp; Ge, R. (2018). Efficient genome editing using CRISPR/Cas9 ribonucleoprotein approach in cultured  Medaka fish cells. </w:t>
      </w:r>
      <w:r w:rsidRPr="000602ED">
        <w:rPr>
          <w:rFonts w:ascii="Times New Roman" w:hAnsi="Times New Roman" w:cs="Times New Roman"/>
          <w:i/>
          <w:iCs/>
          <w:noProof/>
          <w:sz w:val="24"/>
          <w:szCs w:val="24"/>
        </w:rPr>
        <w:t>Biology Open</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7</w:t>
      </w:r>
      <w:r w:rsidRPr="000602ED">
        <w:rPr>
          <w:rFonts w:ascii="Times New Roman" w:hAnsi="Times New Roman" w:cs="Times New Roman"/>
          <w:noProof/>
          <w:sz w:val="24"/>
          <w:szCs w:val="24"/>
        </w:rPr>
        <w:t>(8). https://doi.org/10.1242/bio.035170</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Ma, J., Fan, Y., Zhou, Y., Liu, W., Jiang, N., Zhang, J., &amp; Zeng, L. (2018). Efficient resistance to grass carp reovirus infection in JAM-A knockout cells  using CRISPR/Cas9. </w:t>
      </w:r>
      <w:r w:rsidRPr="000602ED">
        <w:rPr>
          <w:rFonts w:ascii="Times New Roman" w:hAnsi="Times New Roman" w:cs="Times New Roman"/>
          <w:i/>
          <w:iCs/>
          <w:noProof/>
          <w:sz w:val="24"/>
          <w:szCs w:val="24"/>
        </w:rPr>
        <w:t>Fish &amp; Shellfish Immunology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76</w:t>
      </w:r>
      <w:r w:rsidRPr="000602ED">
        <w:rPr>
          <w:rFonts w:ascii="Times New Roman" w:hAnsi="Times New Roman" w:cs="Times New Roman"/>
          <w:noProof/>
          <w:sz w:val="24"/>
          <w:szCs w:val="24"/>
        </w:rPr>
        <w:t>, 206–215. https://doi.org/10.1016/j.fsi.2018.02.039</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lastRenderedPageBreak/>
        <w:t xml:space="preserve">Maestri, E. (2021). The 3rs principle in animal experimentation: A legal review of the state of the art in europe and the case in Italy. </w:t>
      </w:r>
      <w:r w:rsidRPr="000602ED">
        <w:rPr>
          <w:rFonts w:ascii="Times New Roman" w:hAnsi="Times New Roman" w:cs="Times New Roman"/>
          <w:i/>
          <w:iCs/>
          <w:noProof/>
          <w:sz w:val="24"/>
          <w:szCs w:val="24"/>
        </w:rPr>
        <w:t>BioTech</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10</w:t>
      </w:r>
      <w:r w:rsidRPr="000602ED">
        <w:rPr>
          <w:rFonts w:ascii="Times New Roman" w:hAnsi="Times New Roman" w:cs="Times New Roman"/>
          <w:noProof/>
          <w:sz w:val="24"/>
          <w:szCs w:val="24"/>
        </w:rPr>
        <w:t>(2). https://doi.org/10.3390/biotech10020009</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Mehta, G., Hsiao, A. Y., Ingram, M., Luker, G. D., &amp; Takayama, S. (2012). Opportunities and challenges for use of tumor spheroids as models to test drug  delivery and efficacy. </w:t>
      </w:r>
      <w:r w:rsidRPr="000602ED">
        <w:rPr>
          <w:rFonts w:ascii="Times New Roman" w:hAnsi="Times New Roman" w:cs="Times New Roman"/>
          <w:i/>
          <w:iCs/>
          <w:noProof/>
          <w:sz w:val="24"/>
          <w:szCs w:val="24"/>
        </w:rPr>
        <w:t>Journal of Controlled Release : Official Journal of the Controlled Release  Society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164</w:t>
      </w:r>
      <w:r w:rsidRPr="000602ED">
        <w:rPr>
          <w:rFonts w:ascii="Times New Roman" w:hAnsi="Times New Roman" w:cs="Times New Roman"/>
          <w:noProof/>
          <w:sz w:val="24"/>
          <w:szCs w:val="24"/>
        </w:rPr>
        <w:t>(2), 192–204. https://doi.org/10.1016/j.jconrel.2012.04.045</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Nagpure, N. S., Mishra, A. K., Ninawe, A. S., Rasal, A., Dubey, A., Kumar, A., Goswami, M., Kumar, R., &amp; Jena, J. K. (2016). Molecular and Cytogenetic Characterization of Fish Cell Lines and its Application in Aquatic Research. </w:t>
      </w:r>
      <w:r w:rsidRPr="000602ED">
        <w:rPr>
          <w:rFonts w:ascii="Times New Roman" w:hAnsi="Times New Roman" w:cs="Times New Roman"/>
          <w:i/>
          <w:iCs/>
          <w:noProof/>
          <w:sz w:val="24"/>
          <w:szCs w:val="24"/>
        </w:rPr>
        <w:t>National Academy Science Letters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39</w:t>
      </w:r>
      <w:r w:rsidRPr="000602ED">
        <w:rPr>
          <w:rFonts w:ascii="Times New Roman" w:hAnsi="Times New Roman" w:cs="Times New Roman"/>
          <w:noProof/>
          <w:sz w:val="24"/>
          <w:szCs w:val="24"/>
        </w:rPr>
        <w:t>(1), 11–16. https://doi.org/10.1007/s40009-015-0365-5</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Nakajima, K., Ito, T., Kurita, J., Kawakami, H., Itano, T., Fukuda, Y., Aoi, Y., Tooriyama, T., &amp; Manabe, S. (2002). Effectiveness of a Vaccine against Red Sea Bream Iridoviral Disease in Various Cultured Marine Fish under Laboratory Conditions. </w:t>
      </w:r>
      <w:r w:rsidRPr="000602ED">
        <w:rPr>
          <w:rFonts w:ascii="Times New Roman" w:hAnsi="Times New Roman" w:cs="Times New Roman"/>
          <w:i/>
          <w:iCs/>
          <w:noProof/>
          <w:sz w:val="24"/>
          <w:szCs w:val="24"/>
        </w:rPr>
        <w:t>Fish Pathology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37</w:t>
      </w:r>
      <w:r w:rsidRPr="000602ED">
        <w:rPr>
          <w:rFonts w:ascii="Times New Roman" w:hAnsi="Times New Roman" w:cs="Times New Roman"/>
          <w:noProof/>
          <w:sz w:val="24"/>
          <w:szCs w:val="24"/>
        </w:rPr>
        <w:t>(2), 90–91. https://doi.org/10.3147/jsfp.37.90</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Nicholson, B. L. (1989). </w:t>
      </w:r>
      <w:r w:rsidRPr="000602ED">
        <w:rPr>
          <w:rFonts w:ascii="Times New Roman" w:hAnsi="Times New Roman" w:cs="Times New Roman"/>
          <w:i/>
          <w:iCs/>
          <w:noProof/>
          <w:sz w:val="24"/>
          <w:szCs w:val="24"/>
        </w:rPr>
        <w:t>Fish Cell Culture: An Update</w:t>
      </w:r>
      <w:r w:rsidRPr="000602ED">
        <w:rPr>
          <w:rFonts w:ascii="Times New Roman" w:hAnsi="Times New Roman" w:cs="Times New Roman"/>
          <w:noProof/>
          <w:sz w:val="24"/>
          <w:szCs w:val="24"/>
        </w:rPr>
        <w:t xml:space="preserve"> (K. MARAMOROSCH &amp; G. H. B. T.-A. in C. C. SATO (eds.); Vol. 7, pp. 1–18). Elsevier. https://doi.org/https://doi.org/10.1016/B978-0-12-007907-0.50007-4</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Oh, S.-Y., Kim, W.-S., Oh, M.-J., &amp; Nishizawa, T. (2016). Multiplication Rate of Red Seabream Iridovirus (RSIV) in Rock Bream Oplegnathus fasciatus at Different Fish Rearing Temperatures. </w:t>
      </w:r>
      <w:r w:rsidRPr="000602ED">
        <w:rPr>
          <w:rFonts w:ascii="Times New Roman" w:hAnsi="Times New Roman" w:cs="Times New Roman"/>
          <w:i/>
          <w:iCs/>
          <w:noProof/>
          <w:sz w:val="24"/>
          <w:szCs w:val="24"/>
        </w:rPr>
        <w:t>Fish Pathology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51</w:t>
      </w:r>
      <w:r w:rsidRPr="000602ED">
        <w:rPr>
          <w:rFonts w:ascii="Times New Roman" w:hAnsi="Times New Roman" w:cs="Times New Roman"/>
          <w:noProof/>
          <w:sz w:val="24"/>
          <w:szCs w:val="24"/>
        </w:rPr>
        <w:t>, 194–198. https://doi.org/10.3147/jsfp.51.194</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Ortega-Villaizan, M., Martinez-Lopez, A., Garcia-Valtanen, P., Chico, V., Perez, L., Coll, J. M., &amp; Estepa, A. (2012). Ex vivo transfection of trout pronephros leukocytes, a model for cell culture  screening of fish DNA vaccine candidates. </w:t>
      </w:r>
      <w:r w:rsidRPr="000602ED">
        <w:rPr>
          <w:rFonts w:ascii="Times New Roman" w:hAnsi="Times New Roman" w:cs="Times New Roman"/>
          <w:i/>
          <w:iCs/>
          <w:noProof/>
          <w:sz w:val="24"/>
          <w:szCs w:val="24"/>
        </w:rPr>
        <w:t>Vaccine</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30</w:t>
      </w:r>
      <w:r w:rsidRPr="000602ED">
        <w:rPr>
          <w:rFonts w:ascii="Times New Roman" w:hAnsi="Times New Roman" w:cs="Times New Roman"/>
          <w:noProof/>
          <w:sz w:val="24"/>
          <w:szCs w:val="24"/>
        </w:rPr>
        <w:t>(41), 5983–5990. https://doi.org/10.1016/j.vaccine.2012.07.013</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Ott, T. (2004). </w:t>
      </w:r>
      <w:r w:rsidRPr="000602ED">
        <w:rPr>
          <w:rFonts w:ascii="Times New Roman" w:hAnsi="Times New Roman" w:cs="Times New Roman"/>
          <w:i/>
          <w:iCs/>
          <w:noProof/>
          <w:sz w:val="24"/>
          <w:szCs w:val="24"/>
        </w:rPr>
        <w:t>Tissue Culture of Fish Cell Lines</w:t>
      </w:r>
      <w:r w:rsidRPr="000602ED">
        <w:rPr>
          <w:rFonts w:ascii="Times New Roman" w:hAnsi="Times New Roman" w:cs="Times New Roman"/>
          <w:noProof/>
          <w:sz w:val="24"/>
          <w:szCs w:val="24"/>
        </w:rPr>
        <w:t>.</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Parameswaran, V., Shukla, R., Bhonde, R., &amp; Hameed, A. S. (2006). Splenic cell line from sea bass, Lates calcarifer: Establishment and characterization. </w:t>
      </w:r>
      <w:r w:rsidRPr="000602ED">
        <w:rPr>
          <w:rFonts w:ascii="Times New Roman" w:hAnsi="Times New Roman" w:cs="Times New Roman"/>
          <w:i/>
          <w:iCs/>
          <w:noProof/>
          <w:sz w:val="24"/>
          <w:szCs w:val="24"/>
        </w:rPr>
        <w:t>Aquaculture</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261</w:t>
      </w:r>
      <w:r w:rsidRPr="000602ED">
        <w:rPr>
          <w:rFonts w:ascii="Times New Roman" w:hAnsi="Times New Roman" w:cs="Times New Roman"/>
          <w:noProof/>
          <w:sz w:val="24"/>
          <w:szCs w:val="24"/>
        </w:rPr>
        <w:t>, 43–53. https://doi.org/10.1016/j.aquaculture.2006.07.034</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Rachlin, J. W., &amp; Perlmutter, A. (1968). Fish cells in culture for study of aquatic toxicants. </w:t>
      </w:r>
      <w:r w:rsidRPr="000602ED">
        <w:rPr>
          <w:rFonts w:ascii="Times New Roman" w:hAnsi="Times New Roman" w:cs="Times New Roman"/>
          <w:i/>
          <w:iCs/>
          <w:noProof/>
          <w:sz w:val="24"/>
          <w:szCs w:val="24"/>
        </w:rPr>
        <w:t>Water Research</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w:t>
      </w:r>
      <w:r w:rsidRPr="000602ED">
        <w:rPr>
          <w:rFonts w:ascii="Times New Roman" w:hAnsi="Times New Roman" w:cs="Times New Roman"/>
          <w:noProof/>
          <w:sz w:val="24"/>
          <w:szCs w:val="24"/>
        </w:rPr>
        <w:t>(6), 409–414. https://doi.org/https://doi.org/10.1016/0043-1354(68)90060-2</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Rapanan, J. L., Pascual, A. S., Uppalapati, C. K., Cooper, K. E., Leyva, K. J., &amp; Hull, E. E. (2015). Zebrafish keratocyte explants to study collective cell migration and  </w:t>
      </w:r>
      <w:r w:rsidRPr="000602ED">
        <w:rPr>
          <w:rFonts w:ascii="Times New Roman" w:hAnsi="Times New Roman" w:cs="Times New Roman"/>
          <w:noProof/>
          <w:sz w:val="24"/>
          <w:szCs w:val="24"/>
        </w:rPr>
        <w:lastRenderedPageBreak/>
        <w:t xml:space="preserve">reepithelialization in cutaneous wound healing. </w:t>
      </w:r>
      <w:r w:rsidRPr="000602ED">
        <w:rPr>
          <w:rFonts w:ascii="Times New Roman" w:hAnsi="Times New Roman" w:cs="Times New Roman"/>
          <w:i/>
          <w:iCs/>
          <w:noProof/>
          <w:sz w:val="24"/>
          <w:szCs w:val="24"/>
        </w:rPr>
        <w:t>Journal of Visualized Experiments : JoVE</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96</w:t>
      </w:r>
      <w:r w:rsidRPr="000602ED">
        <w:rPr>
          <w:rFonts w:ascii="Times New Roman" w:hAnsi="Times New Roman" w:cs="Times New Roman"/>
          <w:noProof/>
          <w:sz w:val="24"/>
          <w:szCs w:val="24"/>
        </w:rPr>
        <w:t>. https://doi.org/10.3791/52489</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Rehberger, K., Kropf, C., &amp; Segner, H. (2018). In vitro or not in vitro : a short journey through a long history. </w:t>
      </w:r>
      <w:r w:rsidRPr="000602ED">
        <w:rPr>
          <w:rFonts w:ascii="Times New Roman" w:hAnsi="Times New Roman" w:cs="Times New Roman"/>
          <w:i/>
          <w:iCs/>
          <w:noProof/>
          <w:sz w:val="24"/>
          <w:szCs w:val="24"/>
        </w:rPr>
        <w:t>Environmental Sciences Europe</w:t>
      </w:r>
      <w:r w:rsidRPr="000602ED">
        <w:rPr>
          <w:rFonts w:ascii="Times New Roman" w:hAnsi="Times New Roman" w:cs="Times New Roman"/>
          <w:noProof/>
          <w:sz w:val="24"/>
          <w:szCs w:val="24"/>
        </w:rPr>
        <w:t>. https://doi.org/10.1186/s12302-018-0151-3</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Reichert, M., Bergmann, S. M., Hwang, J., Buchholz, R., &amp; Lindenberger, C. (2017). Antiviral activity of exopolysaccharides from Arthrospira platensis against koi  herpesvirus. </w:t>
      </w:r>
      <w:r w:rsidRPr="000602ED">
        <w:rPr>
          <w:rFonts w:ascii="Times New Roman" w:hAnsi="Times New Roman" w:cs="Times New Roman"/>
          <w:i/>
          <w:iCs/>
          <w:noProof/>
          <w:sz w:val="24"/>
          <w:szCs w:val="24"/>
        </w:rPr>
        <w:t>Journal of Fish Diseases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40</w:t>
      </w:r>
      <w:r w:rsidRPr="000602ED">
        <w:rPr>
          <w:rFonts w:ascii="Times New Roman" w:hAnsi="Times New Roman" w:cs="Times New Roman"/>
          <w:noProof/>
          <w:sz w:val="24"/>
          <w:szCs w:val="24"/>
        </w:rPr>
        <w:t>(10), 1441–1450. https://doi.org/10.1111/jfd.12618</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Rubio, N., Datar, I., Stachura, D., Kaplan, D., &amp; Krueger, K. (2019). Cell-Based Fish: A Novel Approach to Seafood Production and an Opportunity for Cellular Agriculture. </w:t>
      </w:r>
      <w:r w:rsidRPr="000602ED">
        <w:rPr>
          <w:rFonts w:ascii="Times New Roman" w:hAnsi="Times New Roman" w:cs="Times New Roman"/>
          <w:i/>
          <w:iCs/>
          <w:noProof/>
          <w:sz w:val="24"/>
          <w:szCs w:val="24"/>
        </w:rPr>
        <w:t>Frontiers in Sustainable Food Systems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3</w:t>
      </w:r>
      <w:r w:rsidRPr="000602ED">
        <w:rPr>
          <w:rFonts w:ascii="Times New Roman" w:hAnsi="Times New Roman" w:cs="Times New Roman"/>
          <w:noProof/>
          <w:sz w:val="24"/>
          <w:szCs w:val="24"/>
        </w:rPr>
        <w:t>(June), 1–13. https://doi.org/10.3389/fsufs.2019.00043</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Salunke, A., Pandya, P., Upadhyay, A., &amp; Parikh, P. (2022). Assessment of sublethal toxicity using proliferation markers in fish cell line-ICG exposed to agrochemicals. </w:t>
      </w:r>
      <w:r w:rsidRPr="000602ED">
        <w:rPr>
          <w:rFonts w:ascii="Times New Roman" w:hAnsi="Times New Roman" w:cs="Times New Roman"/>
          <w:i/>
          <w:iCs/>
          <w:noProof/>
          <w:sz w:val="24"/>
          <w:szCs w:val="24"/>
        </w:rPr>
        <w:t>Journal of Applied Biology &amp; Biotechnology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10</w:t>
      </w:r>
      <w:r w:rsidRPr="000602ED">
        <w:rPr>
          <w:rFonts w:ascii="Times New Roman" w:hAnsi="Times New Roman" w:cs="Times New Roman"/>
          <w:noProof/>
          <w:sz w:val="24"/>
          <w:szCs w:val="24"/>
        </w:rPr>
        <w:t>(03), 54–64. https://doi.org/10.7324/jabb.2022.100308</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Sato, A., &amp; Okamoto, N. (2010). Induction of virus-specific cell-mediated cytotoxic responses of isogeneic  ginbuna crucian carp, after oral immunization with inactivated virus. </w:t>
      </w:r>
      <w:r w:rsidRPr="000602ED">
        <w:rPr>
          <w:rFonts w:ascii="Times New Roman" w:hAnsi="Times New Roman" w:cs="Times New Roman"/>
          <w:i/>
          <w:iCs/>
          <w:noProof/>
          <w:sz w:val="24"/>
          <w:szCs w:val="24"/>
        </w:rPr>
        <w:t>Fish &amp; Shellfish Immunology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29</w:t>
      </w:r>
      <w:r w:rsidRPr="000602ED">
        <w:rPr>
          <w:rFonts w:ascii="Times New Roman" w:hAnsi="Times New Roman" w:cs="Times New Roman"/>
          <w:noProof/>
          <w:sz w:val="24"/>
          <w:szCs w:val="24"/>
        </w:rPr>
        <w:t>(3), 414–421. https://doi.org/10.1016/j.fsi.2010.04.017</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Schirmer, K. (2006). Proposal to improve vertebrate cell cultures to establish them as substitutes for the regulatory testing of chemicals and effluents using fish. </w:t>
      </w:r>
      <w:r w:rsidRPr="000602ED">
        <w:rPr>
          <w:rFonts w:ascii="Times New Roman" w:hAnsi="Times New Roman" w:cs="Times New Roman"/>
          <w:i/>
          <w:iCs/>
          <w:noProof/>
          <w:sz w:val="24"/>
          <w:szCs w:val="24"/>
        </w:rPr>
        <w:t>Toxicology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224</w:t>
      </w:r>
      <w:r w:rsidRPr="000602ED">
        <w:rPr>
          <w:rFonts w:ascii="Times New Roman" w:hAnsi="Times New Roman" w:cs="Times New Roman"/>
          <w:noProof/>
          <w:sz w:val="24"/>
          <w:szCs w:val="24"/>
        </w:rPr>
        <w:t>(3), 163–183. https://doi.org/10.1016/j.tox.2006.04.042</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Schug, H., Maner, J., Hülskamp, M., Begnaud, F., Debonneville, C., Berthaud, F., Gimeno, S., &amp; Schirmer, K. (2020). Extending the concept of predicting fish acute toxicity in vitro to the intestinal cell line rtgutgc. </w:t>
      </w:r>
      <w:r w:rsidRPr="000602ED">
        <w:rPr>
          <w:rFonts w:ascii="Times New Roman" w:hAnsi="Times New Roman" w:cs="Times New Roman"/>
          <w:i/>
          <w:iCs/>
          <w:noProof/>
          <w:sz w:val="24"/>
          <w:szCs w:val="24"/>
        </w:rPr>
        <w:t>Altex</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37</w:t>
      </w:r>
      <w:r w:rsidRPr="000602ED">
        <w:rPr>
          <w:rFonts w:ascii="Times New Roman" w:hAnsi="Times New Roman" w:cs="Times New Roman"/>
          <w:noProof/>
          <w:sz w:val="24"/>
          <w:szCs w:val="24"/>
        </w:rPr>
        <w:t>(1). https://doi.org/10.14573/altex.1905032</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Segner, H. (1998). Fish cell lines as a tool in aquatic toxicology. </w:t>
      </w:r>
      <w:r w:rsidRPr="000602ED">
        <w:rPr>
          <w:rFonts w:ascii="Times New Roman" w:hAnsi="Times New Roman" w:cs="Times New Roman"/>
          <w:i/>
          <w:iCs/>
          <w:noProof/>
          <w:sz w:val="24"/>
          <w:szCs w:val="24"/>
        </w:rPr>
        <w:t>EXS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86</w:t>
      </w:r>
      <w:r w:rsidRPr="000602ED">
        <w:rPr>
          <w:rFonts w:ascii="Times New Roman" w:hAnsi="Times New Roman" w:cs="Times New Roman"/>
          <w:noProof/>
          <w:sz w:val="24"/>
          <w:szCs w:val="24"/>
        </w:rPr>
        <w:t>, 1–38. https://doi.org/10.1007/978-3-0348-8853-0_1</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Segner, H., &amp; Cravedi, J. P. (2001). Metabolic activity in primary cultures of fish hepatocytes. </w:t>
      </w:r>
      <w:r w:rsidRPr="000602ED">
        <w:rPr>
          <w:rFonts w:ascii="Times New Roman" w:hAnsi="Times New Roman" w:cs="Times New Roman"/>
          <w:i/>
          <w:iCs/>
          <w:noProof/>
          <w:sz w:val="24"/>
          <w:szCs w:val="24"/>
        </w:rPr>
        <w:t>Alternatives to Laboratory Animals : ATLA</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29</w:t>
      </w:r>
      <w:r w:rsidRPr="000602ED">
        <w:rPr>
          <w:rFonts w:ascii="Times New Roman" w:hAnsi="Times New Roman" w:cs="Times New Roman"/>
          <w:noProof/>
          <w:sz w:val="24"/>
          <w:szCs w:val="24"/>
        </w:rPr>
        <w:t>(3), 251–257. https://doi.org/10.1177/026119290102900321</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Sommerset, I., Krossøy, B., Biering, E., &amp; Frost, P. (2005). Vaccines for fish in aquaculture. </w:t>
      </w:r>
      <w:r w:rsidRPr="000602ED">
        <w:rPr>
          <w:rFonts w:ascii="Times New Roman" w:hAnsi="Times New Roman" w:cs="Times New Roman"/>
          <w:i/>
          <w:iCs/>
          <w:noProof/>
          <w:sz w:val="24"/>
          <w:szCs w:val="24"/>
        </w:rPr>
        <w:t>Expert Review of Vaccines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4</w:t>
      </w:r>
      <w:r w:rsidRPr="000602ED">
        <w:rPr>
          <w:rFonts w:ascii="Times New Roman" w:hAnsi="Times New Roman" w:cs="Times New Roman"/>
          <w:noProof/>
          <w:sz w:val="24"/>
          <w:szCs w:val="24"/>
        </w:rPr>
        <w:t>(1), 89–101. https://doi.org/10.1586/14760584.4.1.89</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Sun, L., Bradford, C. S., Ghosh, C., Collodi, P., &amp; Barnes, D. W. (1995). ES-like cell cultures derived from early zebrafish embryos. </w:t>
      </w:r>
      <w:r w:rsidRPr="000602ED">
        <w:rPr>
          <w:rFonts w:ascii="Times New Roman" w:hAnsi="Times New Roman" w:cs="Times New Roman"/>
          <w:i/>
          <w:iCs/>
          <w:noProof/>
          <w:sz w:val="24"/>
          <w:szCs w:val="24"/>
        </w:rPr>
        <w:t>Molecular Marine Biology and Biotechnology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4</w:t>
      </w:r>
      <w:r w:rsidRPr="000602ED">
        <w:rPr>
          <w:rFonts w:ascii="Times New Roman" w:hAnsi="Times New Roman" w:cs="Times New Roman"/>
          <w:noProof/>
          <w:sz w:val="24"/>
          <w:szCs w:val="24"/>
        </w:rPr>
        <w:t>(3), 193–199.</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lastRenderedPageBreak/>
        <w:t xml:space="preserve">Taju, G., Abdul Majeed, S., Nambi, K. S. N., Farook, M. A., Vimal, S., &amp; Sahul Hameed, A. S. (2014). In vitro cytotoxic, genotoxic and oxidative stress of cypermethrin on five fish cell lines. </w:t>
      </w:r>
      <w:r w:rsidRPr="000602ED">
        <w:rPr>
          <w:rFonts w:ascii="Times New Roman" w:hAnsi="Times New Roman" w:cs="Times New Roman"/>
          <w:i/>
          <w:iCs/>
          <w:noProof/>
          <w:sz w:val="24"/>
          <w:szCs w:val="24"/>
        </w:rPr>
        <w:t>Pesticide Biochemistry and Physiology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113</w:t>
      </w:r>
      <w:r w:rsidRPr="000602ED">
        <w:rPr>
          <w:rFonts w:ascii="Times New Roman" w:hAnsi="Times New Roman" w:cs="Times New Roman"/>
          <w:noProof/>
          <w:sz w:val="24"/>
          <w:szCs w:val="24"/>
        </w:rPr>
        <w:t>(1), 15–24. https://doi.org/10.1016/j.pestbp.2014.06.006</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Taju, G., Abdul Majeed, S., Nambi, K. S. N., &amp; Sahul Hameed, A. S. (2017). Application of fish cell lines for evaluating the chromium induced cytotoxicity, genotoxicity and oxidative stress. </w:t>
      </w:r>
      <w:r w:rsidRPr="000602ED">
        <w:rPr>
          <w:rFonts w:ascii="Times New Roman" w:hAnsi="Times New Roman" w:cs="Times New Roman"/>
          <w:i/>
          <w:iCs/>
          <w:noProof/>
          <w:sz w:val="24"/>
          <w:szCs w:val="24"/>
        </w:rPr>
        <w:t>Chemosphere</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184</w:t>
      </w:r>
      <w:r w:rsidRPr="000602ED">
        <w:rPr>
          <w:rFonts w:ascii="Times New Roman" w:hAnsi="Times New Roman" w:cs="Times New Roman"/>
          <w:noProof/>
          <w:sz w:val="24"/>
          <w:szCs w:val="24"/>
        </w:rPr>
        <w:t>, 1–12. https://doi.org/10.1016/j.chemosphere.2017.05.151</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Thomson, J. A., Itskovitz-Eldor, J., Shapiro, S. S., Waknitz, M. A., Swiergiel, J. J., Marshall, V. S., &amp; Jones, J. M. (1998). Embryonic stem cell lines derived from human blastocysts. </w:t>
      </w:r>
      <w:r w:rsidRPr="000602ED">
        <w:rPr>
          <w:rFonts w:ascii="Times New Roman" w:hAnsi="Times New Roman" w:cs="Times New Roman"/>
          <w:i/>
          <w:iCs/>
          <w:noProof/>
          <w:sz w:val="24"/>
          <w:szCs w:val="24"/>
        </w:rPr>
        <w:t>Science (New York, N.Y.)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282</w:t>
      </w:r>
      <w:r w:rsidRPr="000602ED">
        <w:rPr>
          <w:rFonts w:ascii="Times New Roman" w:hAnsi="Times New Roman" w:cs="Times New Roman"/>
          <w:noProof/>
          <w:sz w:val="24"/>
          <w:szCs w:val="24"/>
        </w:rPr>
        <w:t>(5391), 1145–1147. https://doi.org/10.1126/science.282.5391.1145</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TILL, J. E., &amp; McCULLOCH, E. A. (1961). A direct measurement of the radiation sensitivity of normal mouse bone marrow  cells. </w:t>
      </w:r>
      <w:r w:rsidRPr="000602ED">
        <w:rPr>
          <w:rFonts w:ascii="Times New Roman" w:hAnsi="Times New Roman" w:cs="Times New Roman"/>
          <w:i/>
          <w:iCs/>
          <w:noProof/>
          <w:sz w:val="24"/>
          <w:szCs w:val="24"/>
        </w:rPr>
        <w:t>Radiation Research</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14</w:t>
      </w:r>
      <w:r w:rsidRPr="000602ED">
        <w:rPr>
          <w:rFonts w:ascii="Times New Roman" w:hAnsi="Times New Roman" w:cs="Times New Roman"/>
          <w:noProof/>
          <w:sz w:val="24"/>
          <w:szCs w:val="24"/>
        </w:rPr>
        <w:t>, 213–222.</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Troszok, A., Kolek, L., Szczygieł, J., Wawrzeczko, J., Borzym, E., Reichert, M., Kamińska, T., Ostrowski, T., Jurecka, P., Adamek, M., Rakus, K., &amp; Irnazarow, I. (2018). Acyclovir inhibits Cyprinid herpesvirus 3 multiplication in vitro. </w:t>
      </w:r>
      <w:r w:rsidRPr="000602ED">
        <w:rPr>
          <w:rFonts w:ascii="Times New Roman" w:hAnsi="Times New Roman" w:cs="Times New Roman"/>
          <w:i/>
          <w:iCs/>
          <w:noProof/>
          <w:sz w:val="24"/>
          <w:szCs w:val="24"/>
        </w:rPr>
        <w:t>Journal of Fish Diseases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41</w:t>
      </w:r>
      <w:r w:rsidRPr="000602ED">
        <w:rPr>
          <w:rFonts w:ascii="Times New Roman" w:hAnsi="Times New Roman" w:cs="Times New Roman"/>
          <w:noProof/>
          <w:sz w:val="24"/>
          <w:szCs w:val="24"/>
        </w:rPr>
        <w:t>(11), 1709–1718. https://doi.org/10.1111/jfd.12880</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Vergès-Castillo, A., González-Vargas, I. A., Muñoz-Cueto, J. A., Martín-Robles, Á. J., &amp; Pendon, C. (2021). Establishment and characterisation of single cell-derived embryonic stem cell  lines from the gilthead seabream, Sparus aurata. </w:t>
      </w:r>
      <w:r w:rsidRPr="000602ED">
        <w:rPr>
          <w:rFonts w:ascii="Times New Roman" w:hAnsi="Times New Roman" w:cs="Times New Roman"/>
          <w:i/>
          <w:iCs/>
          <w:noProof/>
          <w:sz w:val="24"/>
          <w:szCs w:val="24"/>
        </w:rPr>
        <w:t>Comparative Biochemistry and Physiology. Part B, Biochemistry &amp; Molecular Biology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256</w:t>
      </w:r>
      <w:r w:rsidRPr="000602ED">
        <w:rPr>
          <w:rFonts w:ascii="Times New Roman" w:hAnsi="Times New Roman" w:cs="Times New Roman"/>
          <w:noProof/>
          <w:sz w:val="24"/>
          <w:szCs w:val="24"/>
        </w:rPr>
        <w:t>, 110626. https://doi.org/10.1016/j.cbpb.2021.110626</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W S Lakra, T. R., &amp; Swaminathan, K. P. J. (2011). </w:t>
      </w:r>
      <w:r w:rsidRPr="000602ED">
        <w:rPr>
          <w:rFonts w:ascii="Times New Roman" w:hAnsi="Times New Roman" w:cs="Times New Roman"/>
          <w:i/>
          <w:iCs/>
          <w:noProof/>
          <w:sz w:val="24"/>
          <w:szCs w:val="24"/>
        </w:rPr>
        <w:t>Development , characterization , conservation and storage of fish cell lines : a review</w:t>
      </w:r>
      <w:r w:rsidRPr="000602ED">
        <w:rPr>
          <w:rFonts w:ascii="Times New Roman" w:hAnsi="Times New Roman" w:cs="Times New Roman"/>
          <w:noProof/>
          <w:sz w:val="24"/>
          <w:szCs w:val="24"/>
        </w:rPr>
        <w:t>. 1–20. https://doi.org/10.1007/s10695-010-9411-x</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Yi, M., Hong, N., &amp; Hong, Y. (2009). Generation of medaka fish haploid embryonic stem cells. </w:t>
      </w:r>
      <w:r w:rsidRPr="000602ED">
        <w:rPr>
          <w:rFonts w:ascii="Times New Roman" w:hAnsi="Times New Roman" w:cs="Times New Roman"/>
          <w:i/>
          <w:iCs/>
          <w:noProof/>
          <w:sz w:val="24"/>
          <w:szCs w:val="24"/>
        </w:rPr>
        <w:t>Science (New York, N.Y.)</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326</w:t>
      </w:r>
      <w:r w:rsidRPr="000602ED">
        <w:rPr>
          <w:rFonts w:ascii="Times New Roman" w:hAnsi="Times New Roman" w:cs="Times New Roman"/>
          <w:noProof/>
          <w:sz w:val="24"/>
          <w:szCs w:val="24"/>
        </w:rPr>
        <w:t>(5951), 430–433. https://doi.org/10.1126/science.1175151</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Yoshizaki, G., Ichikawa, M., Hayashi, M., Iwasaki, Y., Miwa, M., Shikina, S., &amp; Okutsu, T. (2010). Sexual plasticity of ovarian germ cells in rainbow trout. </w:t>
      </w:r>
      <w:r w:rsidRPr="000602ED">
        <w:rPr>
          <w:rFonts w:ascii="Times New Roman" w:hAnsi="Times New Roman" w:cs="Times New Roman"/>
          <w:i/>
          <w:iCs/>
          <w:noProof/>
          <w:sz w:val="24"/>
          <w:szCs w:val="24"/>
        </w:rPr>
        <w:t>Development (Cambridge, England)</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137</w:t>
      </w:r>
      <w:r w:rsidRPr="000602ED">
        <w:rPr>
          <w:rFonts w:ascii="Times New Roman" w:hAnsi="Times New Roman" w:cs="Times New Roman"/>
          <w:noProof/>
          <w:sz w:val="24"/>
          <w:szCs w:val="24"/>
        </w:rPr>
        <w:t>(8), 1227–1230. https://doi.org/10.1242/dev.044982</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Žegura, B., &amp; Filipič, M. (2019). The application of the Comet assay in fish cell lines. </w:t>
      </w:r>
      <w:r w:rsidRPr="000602ED">
        <w:rPr>
          <w:rFonts w:ascii="Times New Roman" w:hAnsi="Times New Roman" w:cs="Times New Roman"/>
          <w:i/>
          <w:iCs/>
          <w:noProof/>
          <w:sz w:val="24"/>
          <w:szCs w:val="24"/>
        </w:rPr>
        <w:t>Mutation Research. Genetic Toxicology and Environmental Mutagenesis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842</w:t>
      </w:r>
      <w:r w:rsidRPr="000602ED">
        <w:rPr>
          <w:rFonts w:ascii="Times New Roman" w:hAnsi="Times New Roman" w:cs="Times New Roman"/>
          <w:noProof/>
          <w:sz w:val="24"/>
          <w:szCs w:val="24"/>
        </w:rPr>
        <w:t>, 72–84. https://doi.org/10.1016/j.mrgentox.2019.01.011</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lastRenderedPageBreak/>
        <w:t xml:space="preserve">Zhou, Y., Wang, M., Jiang, M., Peng, L., Wan, C., Liu, J., Liu, W., Zhao, R., Zhao, X., Hu, W., Liu, S., &amp; Xiao, Y. (2016). Autotetraploid cell line induced by SP600125 from crucian carp and its  developmental potentiality. </w:t>
      </w:r>
      <w:r w:rsidRPr="000602ED">
        <w:rPr>
          <w:rFonts w:ascii="Times New Roman" w:hAnsi="Times New Roman" w:cs="Times New Roman"/>
          <w:i/>
          <w:iCs/>
          <w:noProof/>
          <w:sz w:val="24"/>
          <w:szCs w:val="24"/>
        </w:rPr>
        <w:t>Scientific Reports</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6</w:t>
      </w:r>
      <w:r w:rsidRPr="000602ED">
        <w:rPr>
          <w:rFonts w:ascii="Times New Roman" w:hAnsi="Times New Roman" w:cs="Times New Roman"/>
          <w:noProof/>
          <w:sz w:val="24"/>
          <w:szCs w:val="24"/>
        </w:rPr>
        <w:t>, 21814. https://doi.org/10.1038/srep21814</w:t>
      </w:r>
    </w:p>
    <w:p w:rsidR="000602ED" w:rsidRPr="000602ED" w:rsidRDefault="000602ED" w:rsidP="00D23B4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0602ED">
        <w:rPr>
          <w:rFonts w:ascii="Times New Roman" w:hAnsi="Times New Roman" w:cs="Times New Roman"/>
          <w:noProof/>
          <w:sz w:val="24"/>
          <w:szCs w:val="24"/>
        </w:rPr>
        <w:t xml:space="preserve">Zurita, J. L., Jos, Á., Cameán, A. M., Salguero, M., López-Artíguez, M., &amp; Repetto, G. (2007). Ecotoxicological evaluation of sodium fluoroacetate on aquatic organisms and investigation of the effects on two fish cell lines. </w:t>
      </w:r>
      <w:r w:rsidRPr="000602ED">
        <w:rPr>
          <w:rFonts w:ascii="Times New Roman" w:hAnsi="Times New Roman" w:cs="Times New Roman"/>
          <w:i/>
          <w:iCs/>
          <w:noProof/>
          <w:sz w:val="24"/>
          <w:szCs w:val="24"/>
        </w:rPr>
        <w:t>Chemosphere</w:t>
      </w:r>
      <w:r w:rsidRPr="000602ED">
        <w:rPr>
          <w:rFonts w:ascii="Times New Roman" w:hAnsi="Times New Roman" w:cs="Times New Roman"/>
          <w:noProof/>
          <w:sz w:val="24"/>
          <w:szCs w:val="24"/>
        </w:rPr>
        <w:t xml:space="preserve">, </w:t>
      </w:r>
      <w:r w:rsidRPr="000602ED">
        <w:rPr>
          <w:rFonts w:ascii="Times New Roman" w:hAnsi="Times New Roman" w:cs="Times New Roman"/>
          <w:i/>
          <w:iCs/>
          <w:noProof/>
          <w:sz w:val="24"/>
          <w:szCs w:val="24"/>
        </w:rPr>
        <w:t>67</w:t>
      </w:r>
      <w:r w:rsidRPr="000602ED">
        <w:rPr>
          <w:rFonts w:ascii="Times New Roman" w:hAnsi="Times New Roman" w:cs="Times New Roman"/>
          <w:noProof/>
          <w:sz w:val="24"/>
          <w:szCs w:val="24"/>
        </w:rPr>
        <w:t>(1), 1–12. https://doi.org/10.1016/j.chemosphere.2006.10.027</w:t>
      </w:r>
    </w:p>
    <w:p w:rsidR="000602ED" w:rsidRPr="000602ED" w:rsidRDefault="000602ED" w:rsidP="00D23B4B">
      <w:pPr>
        <w:autoSpaceDE w:val="0"/>
        <w:autoSpaceDN w:val="0"/>
        <w:adjustRightInd w:val="0"/>
        <w:spacing w:after="0" w:line="360" w:lineRule="auto"/>
        <w:jc w:val="both"/>
        <w:rPr>
          <w:rFonts w:ascii="Times New Roman" w:hAnsi="Times New Roman" w:cs="Times New Roman"/>
          <w:color w:val="000000" w:themeColor="text1"/>
          <w:sz w:val="24"/>
          <w:szCs w:val="24"/>
        </w:rPr>
      </w:pPr>
      <w:r w:rsidRPr="000602ED">
        <w:rPr>
          <w:rFonts w:ascii="Times New Roman" w:hAnsi="Times New Roman" w:cs="Times New Roman"/>
          <w:color w:val="000000" w:themeColor="text1"/>
          <w:sz w:val="24"/>
          <w:szCs w:val="24"/>
        </w:rPr>
        <w:fldChar w:fldCharType="end"/>
      </w:r>
    </w:p>
    <w:sectPr w:rsidR="000602ED" w:rsidRPr="000602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5024B"/>
    <w:multiLevelType w:val="hybridMultilevel"/>
    <w:tmpl w:val="30AECD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4AA"/>
    <w:rsid w:val="00050785"/>
    <w:rsid w:val="00057A79"/>
    <w:rsid w:val="000602ED"/>
    <w:rsid w:val="00065993"/>
    <w:rsid w:val="000944E6"/>
    <w:rsid w:val="000C67FA"/>
    <w:rsid w:val="00105521"/>
    <w:rsid w:val="001128F6"/>
    <w:rsid w:val="00125A26"/>
    <w:rsid w:val="001276D5"/>
    <w:rsid w:val="00131257"/>
    <w:rsid w:val="00142E71"/>
    <w:rsid w:val="001732E7"/>
    <w:rsid w:val="00193959"/>
    <w:rsid w:val="00195547"/>
    <w:rsid w:val="001A33B5"/>
    <w:rsid w:val="001A7713"/>
    <w:rsid w:val="001D1526"/>
    <w:rsid w:val="001D458B"/>
    <w:rsid w:val="001F3EDD"/>
    <w:rsid w:val="00232897"/>
    <w:rsid w:val="002356E4"/>
    <w:rsid w:val="00240DA1"/>
    <w:rsid w:val="00255E0D"/>
    <w:rsid w:val="00260B03"/>
    <w:rsid w:val="002761F4"/>
    <w:rsid w:val="00281174"/>
    <w:rsid w:val="002C1448"/>
    <w:rsid w:val="002E1502"/>
    <w:rsid w:val="002E4C22"/>
    <w:rsid w:val="002E60C3"/>
    <w:rsid w:val="002E7320"/>
    <w:rsid w:val="002E7EEA"/>
    <w:rsid w:val="003010C5"/>
    <w:rsid w:val="00306D5E"/>
    <w:rsid w:val="0031268A"/>
    <w:rsid w:val="00314E46"/>
    <w:rsid w:val="00367E3F"/>
    <w:rsid w:val="003705A2"/>
    <w:rsid w:val="003A010D"/>
    <w:rsid w:val="003A7C04"/>
    <w:rsid w:val="003D227B"/>
    <w:rsid w:val="003E0495"/>
    <w:rsid w:val="00425367"/>
    <w:rsid w:val="00425AB9"/>
    <w:rsid w:val="004400F8"/>
    <w:rsid w:val="00482717"/>
    <w:rsid w:val="004F096D"/>
    <w:rsid w:val="004F166E"/>
    <w:rsid w:val="00507B89"/>
    <w:rsid w:val="00521A07"/>
    <w:rsid w:val="005524AA"/>
    <w:rsid w:val="00563750"/>
    <w:rsid w:val="005705AF"/>
    <w:rsid w:val="00583428"/>
    <w:rsid w:val="005952A2"/>
    <w:rsid w:val="005D6DE0"/>
    <w:rsid w:val="005E0713"/>
    <w:rsid w:val="005E145A"/>
    <w:rsid w:val="005F0BDD"/>
    <w:rsid w:val="00636E98"/>
    <w:rsid w:val="00686C43"/>
    <w:rsid w:val="006B5EB9"/>
    <w:rsid w:val="006E3C64"/>
    <w:rsid w:val="006F012D"/>
    <w:rsid w:val="00710F14"/>
    <w:rsid w:val="00760A31"/>
    <w:rsid w:val="007740A2"/>
    <w:rsid w:val="007C5C2E"/>
    <w:rsid w:val="007F26B6"/>
    <w:rsid w:val="00811AE7"/>
    <w:rsid w:val="00821E6B"/>
    <w:rsid w:val="00836F08"/>
    <w:rsid w:val="00865DBF"/>
    <w:rsid w:val="0088515C"/>
    <w:rsid w:val="00893D2B"/>
    <w:rsid w:val="008A0538"/>
    <w:rsid w:val="008F76D2"/>
    <w:rsid w:val="0091544E"/>
    <w:rsid w:val="00921FCB"/>
    <w:rsid w:val="009277B7"/>
    <w:rsid w:val="0094241E"/>
    <w:rsid w:val="00945974"/>
    <w:rsid w:val="0097099E"/>
    <w:rsid w:val="009956A6"/>
    <w:rsid w:val="009B1F22"/>
    <w:rsid w:val="009C4D32"/>
    <w:rsid w:val="009F4244"/>
    <w:rsid w:val="00A01D29"/>
    <w:rsid w:val="00A22D42"/>
    <w:rsid w:val="00A5542B"/>
    <w:rsid w:val="00A60A65"/>
    <w:rsid w:val="00A824F8"/>
    <w:rsid w:val="00A95FE4"/>
    <w:rsid w:val="00AF3AF4"/>
    <w:rsid w:val="00B02947"/>
    <w:rsid w:val="00B04D3F"/>
    <w:rsid w:val="00B167B0"/>
    <w:rsid w:val="00B32938"/>
    <w:rsid w:val="00B33039"/>
    <w:rsid w:val="00B479FB"/>
    <w:rsid w:val="00B628BB"/>
    <w:rsid w:val="00B6336B"/>
    <w:rsid w:val="00BB2FE4"/>
    <w:rsid w:val="00BB337D"/>
    <w:rsid w:val="00BC2FBE"/>
    <w:rsid w:val="00BC7BF2"/>
    <w:rsid w:val="00BD463C"/>
    <w:rsid w:val="00BE7662"/>
    <w:rsid w:val="00C03D9E"/>
    <w:rsid w:val="00C226EF"/>
    <w:rsid w:val="00C23AEB"/>
    <w:rsid w:val="00C31EFC"/>
    <w:rsid w:val="00C82278"/>
    <w:rsid w:val="00C9116F"/>
    <w:rsid w:val="00C91B79"/>
    <w:rsid w:val="00CA2459"/>
    <w:rsid w:val="00CD2117"/>
    <w:rsid w:val="00CD6478"/>
    <w:rsid w:val="00CF2792"/>
    <w:rsid w:val="00D1189C"/>
    <w:rsid w:val="00D23B4B"/>
    <w:rsid w:val="00D410A8"/>
    <w:rsid w:val="00D9790D"/>
    <w:rsid w:val="00DB3119"/>
    <w:rsid w:val="00DC5D1B"/>
    <w:rsid w:val="00E179C7"/>
    <w:rsid w:val="00E73609"/>
    <w:rsid w:val="00E86AAC"/>
    <w:rsid w:val="00EC68C9"/>
    <w:rsid w:val="00ED4692"/>
    <w:rsid w:val="00EE48ED"/>
    <w:rsid w:val="00EF0C0F"/>
    <w:rsid w:val="00EF0D9B"/>
    <w:rsid w:val="00F10940"/>
    <w:rsid w:val="00F468FF"/>
    <w:rsid w:val="00FB2B4C"/>
    <w:rsid w:val="00FE011A"/>
    <w:rsid w:val="00FE1ECD"/>
    <w:rsid w:val="00FF23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FEF1"/>
  <w15:chartTrackingRefBased/>
  <w15:docId w15:val="{19D17990-38F7-41F2-9867-F32485525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6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6D2"/>
    <w:rPr>
      <w:rFonts w:asciiTheme="majorHAnsi" w:eastAsiaTheme="majorEastAsia" w:hAnsiTheme="majorHAnsi" w:cstheme="majorBidi"/>
      <w:color w:val="2E74B5" w:themeColor="accent1" w:themeShade="BF"/>
      <w:sz w:val="32"/>
      <w:szCs w:val="32"/>
    </w:rPr>
  </w:style>
  <w:style w:type="paragraph" w:customStyle="1" w:styleId="Default">
    <w:name w:val="Default"/>
    <w:rsid w:val="00125A2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D23B4B"/>
    <w:rPr>
      <w:color w:val="0563C1"/>
      <w:u w:val="single"/>
    </w:rPr>
  </w:style>
  <w:style w:type="table" w:styleId="TableGrid">
    <w:name w:val="Table Grid"/>
    <w:basedOn w:val="TableNormal"/>
    <w:uiPriority w:val="39"/>
    <w:rsid w:val="00425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25AB9"/>
    <w:pPr>
      <w:spacing w:after="200" w:line="240" w:lineRule="auto"/>
    </w:pPr>
    <w:rPr>
      <w:i/>
      <w:iCs/>
      <w:color w:val="44546A" w:themeColor="text2"/>
      <w:sz w:val="18"/>
      <w:szCs w:val="18"/>
    </w:rPr>
  </w:style>
  <w:style w:type="paragraph" w:styleId="ListParagraph">
    <w:name w:val="List Paragraph"/>
    <w:basedOn w:val="Normal"/>
    <w:uiPriority w:val="34"/>
    <w:qFormat/>
    <w:rsid w:val="00425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823517">
      <w:bodyDiv w:val="1"/>
      <w:marLeft w:val="0"/>
      <w:marRight w:val="0"/>
      <w:marTop w:val="0"/>
      <w:marBottom w:val="0"/>
      <w:divBdr>
        <w:top w:val="none" w:sz="0" w:space="0" w:color="auto"/>
        <w:left w:val="none" w:sz="0" w:space="0" w:color="auto"/>
        <w:bottom w:val="none" w:sz="0" w:space="0" w:color="auto"/>
        <w:right w:val="none" w:sz="0" w:space="0" w:color="auto"/>
      </w:divBdr>
      <w:divsChild>
        <w:div w:id="264269986">
          <w:marLeft w:val="0"/>
          <w:marRight w:val="0"/>
          <w:marTop w:val="0"/>
          <w:marBottom w:val="0"/>
          <w:divBdr>
            <w:top w:val="single" w:sz="2" w:space="0" w:color="D9D9E3"/>
            <w:left w:val="single" w:sz="2" w:space="0" w:color="D9D9E3"/>
            <w:bottom w:val="single" w:sz="2" w:space="0" w:color="D9D9E3"/>
            <w:right w:val="single" w:sz="2" w:space="0" w:color="D9D9E3"/>
          </w:divBdr>
          <w:divsChild>
            <w:div w:id="32996518">
              <w:marLeft w:val="0"/>
              <w:marRight w:val="0"/>
              <w:marTop w:val="0"/>
              <w:marBottom w:val="0"/>
              <w:divBdr>
                <w:top w:val="single" w:sz="2" w:space="0" w:color="D9D9E3"/>
                <w:left w:val="single" w:sz="2" w:space="0" w:color="D9D9E3"/>
                <w:bottom w:val="single" w:sz="2" w:space="0" w:color="D9D9E3"/>
                <w:right w:val="single" w:sz="2" w:space="0" w:color="D9D9E3"/>
              </w:divBdr>
              <w:divsChild>
                <w:div w:id="283390212">
                  <w:marLeft w:val="0"/>
                  <w:marRight w:val="0"/>
                  <w:marTop w:val="0"/>
                  <w:marBottom w:val="0"/>
                  <w:divBdr>
                    <w:top w:val="single" w:sz="2" w:space="0" w:color="D9D9E3"/>
                    <w:left w:val="single" w:sz="2" w:space="0" w:color="D9D9E3"/>
                    <w:bottom w:val="single" w:sz="2" w:space="0" w:color="D9D9E3"/>
                    <w:right w:val="single" w:sz="2" w:space="0" w:color="D9D9E3"/>
                  </w:divBdr>
                  <w:divsChild>
                    <w:div w:id="2088501465">
                      <w:marLeft w:val="0"/>
                      <w:marRight w:val="0"/>
                      <w:marTop w:val="0"/>
                      <w:marBottom w:val="0"/>
                      <w:divBdr>
                        <w:top w:val="single" w:sz="2" w:space="0" w:color="D9D9E3"/>
                        <w:left w:val="single" w:sz="2" w:space="0" w:color="D9D9E3"/>
                        <w:bottom w:val="single" w:sz="2" w:space="0" w:color="D9D9E3"/>
                        <w:right w:val="single" w:sz="2" w:space="0" w:color="D9D9E3"/>
                      </w:divBdr>
                      <w:divsChild>
                        <w:div w:id="191112291">
                          <w:marLeft w:val="0"/>
                          <w:marRight w:val="0"/>
                          <w:marTop w:val="0"/>
                          <w:marBottom w:val="0"/>
                          <w:divBdr>
                            <w:top w:val="single" w:sz="2" w:space="0" w:color="auto"/>
                            <w:left w:val="single" w:sz="2" w:space="0" w:color="auto"/>
                            <w:bottom w:val="single" w:sz="6" w:space="0" w:color="auto"/>
                            <w:right w:val="single" w:sz="2" w:space="0" w:color="auto"/>
                          </w:divBdr>
                          <w:divsChild>
                            <w:div w:id="1008992950">
                              <w:marLeft w:val="0"/>
                              <w:marRight w:val="0"/>
                              <w:marTop w:val="100"/>
                              <w:marBottom w:val="100"/>
                              <w:divBdr>
                                <w:top w:val="single" w:sz="2" w:space="0" w:color="D9D9E3"/>
                                <w:left w:val="single" w:sz="2" w:space="0" w:color="D9D9E3"/>
                                <w:bottom w:val="single" w:sz="2" w:space="0" w:color="D9D9E3"/>
                                <w:right w:val="single" w:sz="2" w:space="0" w:color="D9D9E3"/>
                              </w:divBdr>
                              <w:divsChild>
                                <w:div w:id="293489514">
                                  <w:marLeft w:val="0"/>
                                  <w:marRight w:val="0"/>
                                  <w:marTop w:val="0"/>
                                  <w:marBottom w:val="0"/>
                                  <w:divBdr>
                                    <w:top w:val="single" w:sz="2" w:space="0" w:color="D9D9E3"/>
                                    <w:left w:val="single" w:sz="2" w:space="0" w:color="D9D9E3"/>
                                    <w:bottom w:val="single" w:sz="2" w:space="0" w:color="D9D9E3"/>
                                    <w:right w:val="single" w:sz="2" w:space="0" w:color="D9D9E3"/>
                                  </w:divBdr>
                                  <w:divsChild>
                                    <w:div w:id="1057633117">
                                      <w:marLeft w:val="0"/>
                                      <w:marRight w:val="0"/>
                                      <w:marTop w:val="0"/>
                                      <w:marBottom w:val="0"/>
                                      <w:divBdr>
                                        <w:top w:val="single" w:sz="2" w:space="0" w:color="D9D9E3"/>
                                        <w:left w:val="single" w:sz="2" w:space="0" w:color="D9D9E3"/>
                                        <w:bottom w:val="single" w:sz="2" w:space="0" w:color="D9D9E3"/>
                                        <w:right w:val="single" w:sz="2" w:space="0" w:color="D9D9E3"/>
                                      </w:divBdr>
                                      <w:divsChild>
                                        <w:div w:id="1264070240">
                                          <w:marLeft w:val="0"/>
                                          <w:marRight w:val="0"/>
                                          <w:marTop w:val="0"/>
                                          <w:marBottom w:val="0"/>
                                          <w:divBdr>
                                            <w:top w:val="single" w:sz="2" w:space="0" w:color="D9D9E3"/>
                                            <w:left w:val="single" w:sz="2" w:space="0" w:color="D9D9E3"/>
                                            <w:bottom w:val="single" w:sz="2" w:space="0" w:color="D9D9E3"/>
                                            <w:right w:val="single" w:sz="2" w:space="0" w:color="D9D9E3"/>
                                          </w:divBdr>
                                          <w:divsChild>
                                            <w:div w:id="1112940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15963665">
          <w:marLeft w:val="0"/>
          <w:marRight w:val="0"/>
          <w:marTop w:val="0"/>
          <w:marBottom w:val="0"/>
          <w:divBdr>
            <w:top w:val="none" w:sz="0" w:space="0" w:color="auto"/>
            <w:left w:val="none" w:sz="0" w:space="0" w:color="auto"/>
            <w:bottom w:val="none" w:sz="0" w:space="0" w:color="auto"/>
            <w:right w:val="none" w:sz="0" w:space="0" w:color="auto"/>
          </w:divBdr>
        </w:div>
      </w:divsChild>
    </w:div>
    <w:div w:id="694503948">
      <w:bodyDiv w:val="1"/>
      <w:marLeft w:val="0"/>
      <w:marRight w:val="0"/>
      <w:marTop w:val="0"/>
      <w:marBottom w:val="0"/>
      <w:divBdr>
        <w:top w:val="none" w:sz="0" w:space="0" w:color="auto"/>
        <w:left w:val="none" w:sz="0" w:space="0" w:color="auto"/>
        <w:bottom w:val="none" w:sz="0" w:space="0" w:color="auto"/>
        <w:right w:val="none" w:sz="0" w:space="0" w:color="auto"/>
      </w:divBdr>
    </w:div>
    <w:div w:id="1256134624">
      <w:bodyDiv w:val="1"/>
      <w:marLeft w:val="0"/>
      <w:marRight w:val="0"/>
      <w:marTop w:val="0"/>
      <w:marBottom w:val="0"/>
      <w:divBdr>
        <w:top w:val="none" w:sz="0" w:space="0" w:color="auto"/>
        <w:left w:val="none" w:sz="0" w:space="0" w:color="auto"/>
        <w:bottom w:val="none" w:sz="0" w:space="0" w:color="auto"/>
        <w:right w:val="none" w:sz="0" w:space="0" w:color="auto"/>
      </w:divBdr>
    </w:div>
    <w:div w:id="1469203408">
      <w:bodyDiv w:val="1"/>
      <w:marLeft w:val="0"/>
      <w:marRight w:val="0"/>
      <w:marTop w:val="0"/>
      <w:marBottom w:val="0"/>
      <w:divBdr>
        <w:top w:val="none" w:sz="0" w:space="0" w:color="auto"/>
        <w:left w:val="none" w:sz="0" w:space="0" w:color="auto"/>
        <w:bottom w:val="none" w:sz="0" w:space="0" w:color="auto"/>
        <w:right w:val="none" w:sz="0" w:space="0" w:color="auto"/>
      </w:divBdr>
      <w:divsChild>
        <w:div w:id="1358388483">
          <w:marLeft w:val="0"/>
          <w:marRight w:val="0"/>
          <w:marTop w:val="0"/>
          <w:marBottom w:val="0"/>
          <w:divBdr>
            <w:top w:val="single" w:sz="2" w:space="0" w:color="D9D9E3"/>
            <w:left w:val="single" w:sz="2" w:space="0" w:color="D9D9E3"/>
            <w:bottom w:val="single" w:sz="2" w:space="0" w:color="D9D9E3"/>
            <w:right w:val="single" w:sz="2" w:space="0" w:color="D9D9E3"/>
          </w:divBdr>
          <w:divsChild>
            <w:div w:id="525021890">
              <w:marLeft w:val="0"/>
              <w:marRight w:val="0"/>
              <w:marTop w:val="0"/>
              <w:marBottom w:val="0"/>
              <w:divBdr>
                <w:top w:val="single" w:sz="2" w:space="0" w:color="D9D9E3"/>
                <w:left w:val="single" w:sz="2" w:space="0" w:color="D9D9E3"/>
                <w:bottom w:val="single" w:sz="2" w:space="0" w:color="D9D9E3"/>
                <w:right w:val="single" w:sz="2" w:space="0" w:color="D9D9E3"/>
              </w:divBdr>
              <w:divsChild>
                <w:div w:id="1158688452">
                  <w:marLeft w:val="0"/>
                  <w:marRight w:val="0"/>
                  <w:marTop w:val="0"/>
                  <w:marBottom w:val="0"/>
                  <w:divBdr>
                    <w:top w:val="single" w:sz="2" w:space="0" w:color="D9D9E3"/>
                    <w:left w:val="single" w:sz="2" w:space="0" w:color="D9D9E3"/>
                    <w:bottom w:val="single" w:sz="2" w:space="0" w:color="D9D9E3"/>
                    <w:right w:val="single" w:sz="2" w:space="0" w:color="D9D9E3"/>
                  </w:divBdr>
                  <w:divsChild>
                    <w:div w:id="1276402696">
                      <w:marLeft w:val="0"/>
                      <w:marRight w:val="0"/>
                      <w:marTop w:val="0"/>
                      <w:marBottom w:val="0"/>
                      <w:divBdr>
                        <w:top w:val="single" w:sz="2" w:space="0" w:color="D9D9E3"/>
                        <w:left w:val="single" w:sz="2" w:space="0" w:color="D9D9E3"/>
                        <w:bottom w:val="single" w:sz="2" w:space="0" w:color="D9D9E3"/>
                        <w:right w:val="single" w:sz="2" w:space="0" w:color="D9D9E3"/>
                      </w:divBdr>
                      <w:divsChild>
                        <w:div w:id="150296467">
                          <w:marLeft w:val="0"/>
                          <w:marRight w:val="0"/>
                          <w:marTop w:val="0"/>
                          <w:marBottom w:val="0"/>
                          <w:divBdr>
                            <w:top w:val="single" w:sz="2" w:space="0" w:color="auto"/>
                            <w:left w:val="single" w:sz="2" w:space="0" w:color="auto"/>
                            <w:bottom w:val="single" w:sz="6" w:space="0" w:color="auto"/>
                            <w:right w:val="single" w:sz="2" w:space="0" w:color="auto"/>
                          </w:divBdr>
                          <w:divsChild>
                            <w:div w:id="17805682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051045">
                                  <w:marLeft w:val="0"/>
                                  <w:marRight w:val="0"/>
                                  <w:marTop w:val="0"/>
                                  <w:marBottom w:val="0"/>
                                  <w:divBdr>
                                    <w:top w:val="single" w:sz="2" w:space="0" w:color="D9D9E3"/>
                                    <w:left w:val="single" w:sz="2" w:space="0" w:color="D9D9E3"/>
                                    <w:bottom w:val="single" w:sz="2" w:space="0" w:color="D9D9E3"/>
                                    <w:right w:val="single" w:sz="2" w:space="0" w:color="D9D9E3"/>
                                  </w:divBdr>
                                  <w:divsChild>
                                    <w:div w:id="563025601">
                                      <w:marLeft w:val="0"/>
                                      <w:marRight w:val="0"/>
                                      <w:marTop w:val="0"/>
                                      <w:marBottom w:val="0"/>
                                      <w:divBdr>
                                        <w:top w:val="single" w:sz="2" w:space="0" w:color="D9D9E3"/>
                                        <w:left w:val="single" w:sz="2" w:space="0" w:color="D9D9E3"/>
                                        <w:bottom w:val="single" w:sz="2" w:space="0" w:color="D9D9E3"/>
                                        <w:right w:val="single" w:sz="2" w:space="0" w:color="D9D9E3"/>
                                      </w:divBdr>
                                      <w:divsChild>
                                        <w:div w:id="652487560">
                                          <w:marLeft w:val="0"/>
                                          <w:marRight w:val="0"/>
                                          <w:marTop w:val="0"/>
                                          <w:marBottom w:val="0"/>
                                          <w:divBdr>
                                            <w:top w:val="single" w:sz="2" w:space="0" w:color="D9D9E3"/>
                                            <w:left w:val="single" w:sz="2" w:space="0" w:color="D9D9E3"/>
                                            <w:bottom w:val="single" w:sz="2" w:space="0" w:color="D9D9E3"/>
                                            <w:right w:val="single" w:sz="2" w:space="0" w:color="D9D9E3"/>
                                          </w:divBdr>
                                          <w:divsChild>
                                            <w:div w:id="639966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16072883">
          <w:marLeft w:val="0"/>
          <w:marRight w:val="0"/>
          <w:marTop w:val="0"/>
          <w:marBottom w:val="0"/>
          <w:divBdr>
            <w:top w:val="none" w:sz="0" w:space="0" w:color="auto"/>
            <w:left w:val="none" w:sz="0" w:space="0" w:color="auto"/>
            <w:bottom w:val="none" w:sz="0" w:space="0" w:color="auto"/>
            <w:right w:val="none" w:sz="0" w:space="0" w:color="auto"/>
          </w:divBdr>
        </w:div>
      </w:divsChild>
    </w:div>
    <w:div w:id="156679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hl.res.in/" TargetMode="External"/><Relationship Id="rId3" Type="http://schemas.openxmlformats.org/officeDocument/2006/relationships/styles" Target="styles.xml"/><Relationship Id="rId7" Type="http://schemas.openxmlformats.org/officeDocument/2006/relationships/hyperlink" Target="https://mail.nbfgr.res.in/nrfc/index.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hp59@yahoo.co.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4D11E-0CBF-43A0-94FF-ABA24C6FD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24</Pages>
  <Words>45184</Words>
  <Characters>257552</Characters>
  <Application>Microsoft Office Word</Application>
  <DocSecurity>0</DocSecurity>
  <Lines>2146</Lines>
  <Paragraphs>604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kaureh@gmail.com</dc:creator>
  <cp:keywords/>
  <dc:description/>
  <cp:lastModifiedBy>kaureh@gmail.com</cp:lastModifiedBy>
  <cp:revision>30</cp:revision>
  <dcterms:created xsi:type="dcterms:W3CDTF">2023-07-26T09:47:00Z</dcterms:created>
  <dcterms:modified xsi:type="dcterms:W3CDTF">2023-09-04T10:08:00Z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4b09f320-3d3b-3730-af92-7502bf3e4e0c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