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AC358" w14:textId="553708CE" w:rsidR="00466548" w:rsidRPr="00466548" w:rsidRDefault="008D3C1E" w:rsidP="0012776A">
      <w:pPr>
        <w:pStyle w:val="papertitle"/>
        <w:spacing w:after="0"/>
        <w:ind w:left="57"/>
        <w:rPr>
          <w:rFonts w:eastAsia="MS Mincho"/>
        </w:rPr>
      </w:pPr>
      <w:r w:rsidRPr="008D3C1E">
        <w:rPr>
          <w:rFonts w:eastAsia="MS Mincho"/>
        </w:rPr>
        <w:t>Cyclodextrin and their Imminent Applications: A Sophisticated Pharmaceutical Ingredient for Drug Delivery</w:t>
      </w:r>
    </w:p>
    <w:p w14:paraId="0164F5B8" w14:textId="77777777" w:rsidR="008A55B5" w:rsidRPr="00466548" w:rsidRDefault="008A55B5" w:rsidP="00466548">
      <w:pPr>
        <w:rPr>
          <w:rFonts w:eastAsia="MS Mincho"/>
        </w:rPr>
      </w:pPr>
    </w:p>
    <w:p w14:paraId="193332F1" w14:textId="77777777" w:rsidR="008A55B5" w:rsidRPr="00466548" w:rsidRDefault="008A55B5" w:rsidP="00466548">
      <w:pPr>
        <w:pStyle w:val="Author"/>
        <w:spacing w:before="0" w:after="0"/>
        <w:rPr>
          <w:rFonts w:eastAsia="MS Mincho"/>
          <w:sz w:val="20"/>
          <w:szCs w:val="20"/>
        </w:rPr>
        <w:sectPr w:rsidR="008A55B5" w:rsidRPr="00466548" w:rsidSect="0012776A">
          <w:headerReference w:type="default" r:id="rId7"/>
          <w:footerReference w:type="default" r:id="rId8"/>
          <w:pgSz w:w="11909" w:h="16834" w:code="9"/>
          <w:pgMar w:top="567" w:right="567" w:bottom="567" w:left="567" w:header="720" w:footer="720" w:gutter="0"/>
          <w:pgNumType w:start="1"/>
          <w:cols w:space="720"/>
          <w:docGrid w:linePitch="360"/>
        </w:sectPr>
      </w:pPr>
    </w:p>
    <w:p w14:paraId="5C3609A3" w14:textId="3A12B484" w:rsidR="008A55B5" w:rsidRPr="005A4930" w:rsidRDefault="00B526A6" w:rsidP="00466548">
      <w:pPr>
        <w:pStyle w:val="Author"/>
        <w:spacing w:before="0" w:after="0"/>
        <w:rPr>
          <w:rFonts w:eastAsia="MS Mincho"/>
          <w:sz w:val="20"/>
          <w:szCs w:val="20"/>
        </w:rPr>
      </w:pPr>
      <w:r w:rsidRPr="005A4930">
        <w:rPr>
          <w:rFonts w:eastAsia="MS Mincho"/>
          <w:sz w:val="20"/>
          <w:szCs w:val="20"/>
        </w:rPr>
        <w:lastRenderedPageBreak/>
        <w:t>Niku A</w:t>
      </w:r>
      <w:r w:rsidR="005F303E" w:rsidRPr="005A4930">
        <w:rPr>
          <w:rFonts w:eastAsia="MS Mincho"/>
          <w:sz w:val="20"/>
          <w:szCs w:val="20"/>
        </w:rPr>
        <w:t>h</w:t>
      </w:r>
      <w:r w:rsidRPr="005A4930">
        <w:rPr>
          <w:rFonts w:eastAsia="MS Mincho"/>
          <w:sz w:val="20"/>
          <w:szCs w:val="20"/>
        </w:rPr>
        <w:t>med</w:t>
      </w:r>
    </w:p>
    <w:p w14:paraId="201C9F80" w14:textId="530E3303" w:rsidR="008A55B5" w:rsidRPr="005A4930" w:rsidRDefault="00F12A8D" w:rsidP="00466548">
      <w:pPr>
        <w:pStyle w:val="Affiliation"/>
        <w:rPr>
          <w:rFonts w:eastAsia="MS Mincho"/>
        </w:rPr>
      </w:pPr>
      <w:r w:rsidRPr="005A4930">
        <w:rPr>
          <w:rFonts w:eastAsia="MS Mincho"/>
        </w:rPr>
        <w:t xml:space="preserve">Department of Chemical </w:t>
      </w:r>
      <w:proofErr w:type="spellStart"/>
      <w:r w:rsidRPr="005A4930">
        <w:rPr>
          <w:rFonts w:eastAsia="MS Mincho"/>
        </w:rPr>
        <w:t>Scienes</w:t>
      </w:r>
      <w:proofErr w:type="spellEnd"/>
    </w:p>
    <w:p w14:paraId="2C78A06E" w14:textId="26B2A7CA" w:rsidR="008A55B5" w:rsidRPr="005A4930" w:rsidRDefault="00F12A8D" w:rsidP="00466548">
      <w:pPr>
        <w:pStyle w:val="Affiliation"/>
        <w:rPr>
          <w:rFonts w:eastAsia="MS Mincho"/>
        </w:rPr>
      </w:pPr>
      <w:proofErr w:type="spellStart"/>
      <w:r w:rsidRPr="005A4930">
        <w:rPr>
          <w:rFonts w:eastAsia="MS Mincho"/>
        </w:rPr>
        <w:t>Tezpur</w:t>
      </w:r>
      <w:proofErr w:type="spellEnd"/>
      <w:r w:rsidRPr="005A4930">
        <w:rPr>
          <w:rFonts w:eastAsia="MS Mincho"/>
        </w:rPr>
        <w:t xml:space="preserve"> University, </w:t>
      </w:r>
      <w:proofErr w:type="spellStart"/>
      <w:r w:rsidRPr="005A4930">
        <w:rPr>
          <w:rFonts w:eastAsia="MS Mincho"/>
        </w:rPr>
        <w:t>Napaam</w:t>
      </w:r>
      <w:proofErr w:type="spellEnd"/>
      <w:r w:rsidRPr="005A4930">
        <w:rPr>
          <w:rFonts w:eastAsia="MS Mincho"/>
        </w:rPr>
        <w:t xml:space="preserve">, </w:t>
      </w:r>
      <w:proofErr w:type="spellStart"/>
      <w:r w:rsidRPr="005A4930">
        <w:rPr>
          <w:rFonts w:eastAsia="MS Mincho"/>
        </w:rPr>
        <w:t>Tezpur</w:t>
      </w:r>
      <w:proofErr w:type="spellEnd"/>
      <w:r w:rsidRPr="005A4930">
        <w:rPr>
          <w:rFonts w:eastAsia="MS Mincho"/>
        </w:rPr>
        <w:t>, Assam 784028</w:t>
      </w:r>
    </w:p>
    <w:p w14:paraId="2AAF6970" w14:textId="25D3B957" w:rsidR="008A55B5" w:rsidRPr="005A4930" w:rsidRDefault="00F12A8D" w:rsidP="00466548">
      <w:pPr>
        <w:pStyle w:val="Affiliation"/>
        <w:rPr>
          <w:rFonts w:eastAsia="MS Mincho"/>
        </w:rPr>
      </w:pPr>
      <w:r w:rsidRPr="005A4930">
        <w:rPr>
          <w:rFonts w:eastAsia="MS Mincho"/>
        </w:rPr>
        <w:t>nahmed@tezu.ernet.in</w:t>
      </w:r>
    </w:p>
    <w:p w14:paraId="266CC07C" w14:textId="77777777" w:rsidR="00466548" w:rsidRPr="008D3C1E" w:rsidRDefault="00466548" w:rsidP="00466548">
      <w:pPr>
        <w:pStyle w:val="Affiliation"/>
        <w:rPr>
          <w:rFonts w:eastAsia="MS Mincho"/>
          <w:highlight w:val="yellow"/>
        </w:rPr>
      </w:pPr>
    </w:p>
    <w:p w14:paraId="352123DF" w14:textId="59C8768A" w:rsidR="008A55B5" w:rsidRPr="005A4930" w:rsidRDefault="00B526A6" w:rsidP="00466548">
      <w:pPr>
        <w:pStyle w:val="Author"/>
        <w:spacing w:before="0" w:after="0"/>
        <w:rPr>
          <w:rFonts w:eastAsia="MS Mincho"/>
          <w:sz w:val="20"/>
          <w:szCs w:val="20"/>
        </w:rPr>
      </w:pPr>
      <w:r w:rsidRPr="005A4930">
        <w:rPr>
          <w:rFonts w:eastAsia="MS Mincho"/>
          <w:sz w:val="20"/>
          <w:szCs w:val="20"/>
        </w:rPr>
        <w:lastRenderedPageBreak/>
        <w:t>Dabasish Deka</w:t>
      </w:r>
    </w:p>
    <w:p w14:paraId="4805CF85" w14:textId="77777777" w:rsidR="00F12A8D" w:rsidRPr="005A4930" w:rsidRDefault="00F12A8D" w:rsidP="00F12A8D">
      <w:pPr>
        <w:pStyle w:val="Affiliation"/>
        <w:rPr>
          <w:rFonts w:eastAsia="MS Mincho"/>
        </w:rPr>
      </w:pPr>
      <w:r w:rsidRPr="005A4930">
        <w:rPr>
          <w:rFonts w:eastAsia="MS Mincho"/>
        </w:rPr>
        <w:t xml:space="preserve">Department of Chemical </w:t>
      </w:r>
      <w:proofErr w:type="spellStart"/>
      <w:r w:rsidRPr="005A4930">
        <w:rPr>
          <w:rFonts w:eastAsia="MS Mincho"/>
        </w:rPr>
        <w:t>Scienes</w:t>
      </w:r>
      <w:proofErr w:type="spellEnd"/>
    </w:p>
    <w:p w14:paraId="4C28EF68" w14:textId="08FF98B4" w:rsidR="00EF0965" w:rsidRPr="00EF0965" w:rsidRDefault="00F12A8D" w:rsidP="00EF0965">
      <w:pPr>
        <w:pStyle w:val="Affiliation"/>
        <w:rPr>
          <w:rFonts w:eastAsia="MS Mincho"/>
        </w:rPr>
      </w:pPr>
      <w:proofErr w:type="spellStart"/>
      <w:r w:rsidRPr="005A4930">
        <w:rPr>
          <w:rFonts w:eastAsia="MS Mincho"/>
        </w:rPr>
        <w:t>Tezpur</w:t>
      </w:r>
      <w:proofErr w:type="spellEnd"/>
      <w:r w:rsidRPr="005A4930">
        <w:rPr>
          <w:rFonts w:eastAsia="MS Mincho"/>
        </w:rPr>
        <w:t xml:space="preserve"> University, </w:t>
      </w:r>
      <w:proofErr w:type="spellStart"/>
      <w:r w:rsidRPr="005A4930">
        <w:rPr>
          <w:rFonts w:eastAsia="MS Mincho"/>
        </w:rPr>
        <w:t>Napaam</w:t>
      </w:r>
      <w:proofErr w:type="spellEnd"/>
      <w:r w:rsidRPr="005A4930">
        <w:rPr>
          <w:rFonts w:eastAsia="MS Mincho"/>
        </w:rPr>
        <w:t xml:space="preserve">, </w:t>
      </w:r>
      <w:proofErr w:type="spellStart"/>
      <w:r w:rsidRPr="005A4930">
        <w:rPr>
          <w:rFonts w:eastAsia="MS Mincho"/>
        </w:rPr>
        <w:t>Tezpur</w:t>
      </w:r>
      <w:proofErr w:type="spellEnd"/>
      <w:r w:rsidRPr="005A4930">
        <w:rPr>
          <w:rFonts w:eastAsia="MS Mincho"/>
        </w:rPr>
        <w:t>, Assam 784028</w:t>
      </w:r>
    </w:p>
    <w:p w14:paraId="1A9264C4" w14:textId="597546E4" w:rsidR="00F12A8D" w:rsidRPr="005A4930" w:rsidRDefault="00EF0965" w:rsidP="00F12A8D">
      <w:pPr>
        <w:pStyle w:val="Affiliation"/>
        <w:rPr>
          <w:rFonts w:eastAsia="MS Mincho"/>
        </w:rPr>
      </w:pPr>
      <w:r>
        <w:rPr>
          <w:rFonts w:eastAsia="MS Mincho"/>
        </w:rPr>
        <w:t>dabasish</w:t>
      </w:r>
      <w:r w:rsidR="00F12A8D" w:rsidRPr="005A4930">
        <w:rPr>
          <w:rFonts w:eastAsia="MS Mincho"/>
        </w:rPr>
        <w:t>@tezu.ernet.in</w:t>
      </w:r>
    </w:p>
    <w:p w14:paraId="5A14A5E9" w14:textId="77777777" w:rsidR="00466548" w:rsidRDefault="00466548" w:rsidP="00466548">
      <w:pPr>
        <w:pStyle w:val="Affiliation"/>
        <w:rPr>
          <w:rFonts w:eastAsia="MS Mincho"/>
        </w:rPr>
      </w:pPr>
    </w:p>
    <w:p w14:paraId="652DB5B5" w14:textId="77777777" w:rsidR="00466548" w:rsidRDefault="00466548" w:rsidP="00466548">
      <w:pPr>
        <w:pStyle w:val="Affiliation"/>
        <w:rPr>
          <w:rFonts w:eastAsia="MS Mincho"/>
        </w:rPr>
        <w:sectPr w:rsidR="00466548" w:rsidSect="00466548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14:paraId="25A0C755" w14:textId="77777777" w:rsidR="00466548" w:rsidRPr="00466548" w:rsidRDefault="00466548" w:rsidP="00466548">
      <w:pPr>
        <w:pStyle w:val="Affiliation"/>
        <w:rPr>
          <w:rFonts w:eastAsia="MS Mincho"/>
          <w:sz w:val="48"/>
          <w:szCs w:val="48"/>
        </w:rPr>
      </w:pPr>
    </w:p>
    <w:p w14:paraId="240BD4E8" w14:textId="77777777" w:rsidR="00466548" w:rsidRPr="00466548" w:rsidRDefault="00466548" w:rsidP="00466548">
      <w:pPr>
        <w:pStyle w:val="Affiliation"/>
        <w:rPr>
          <w:rFonts w:eastAsia="MS Mincho"/>
        </w:rPr>
        <w:sectPr w:rsidR="00466548" w:rsidRPr="00466548" w:rsidSect="00466548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74F397A1" w14:textId="77777777" w:rsidR="00466548" w:rsidRPr="00402841" w:rsidRDefault="00402841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lastRenderedPageBreak/>
        <w:t>ABSTRACT</w:t>
      </w:r>
    </w:p>
    <w:p w14:paraId="3AD621E0" w14:textId="3BEC37B6" w:rsidR="00D75E37" w:rsidRPr="005A4930" w:rsidRDefault="006E3A41" w:rsidP="007F3833">
      <w:pPr>
        <w:pStyle w:val="Abstract"/>
        <w:spacing w:after="0"/>
        <w:ind w:firstLine="720"/>
        <w:rPr>
          <w:b w:val="0"/>
          <w:sz w:val="20"/>
          <w:szCs w:val="20"/>
        </w:rPr>
      </w:pPr>
      <w:proofErr w:type="spellStart"/>
      <w:r>
        <w:rPr>
          <w:b w:val="0"/>
          <w:sz w:val="20"/>
          <w:szCs w:val="20"/>
        </w:rPr>
        <w:t>Cyclodextrin</w:t>
      </w:r>
      <w:proofErr w:type="spellEnd"/>
      <w:r w:rsidR="00BE2785">
        <w:rPr>
          <w:b w:val="0"/>
          <w:sz w:val="20"/>
          <w:szCs w:val="20"/>
        </w:rPr>
        <w:t xml:space="preserve"> signifies</w:t>
      </w:r>
      <w:r w:rsidR="000D6836" w:rsidRPr="005A4930">
        <w:rPr>
          <w:b w:val="0"/>
          <w:sz w:val="20"/>
          <w:szCs w:val="20"/>
        </w:rPr>
        <w:t xml:space="preserve"> an important class of </w:t>
      </w:r>
      <w:proofErr w:type="spellStart"/>
      <w:r w:rsidR="000D6836" w:rsidRPr="005A4930">
        <w:rPr>
          <w:b w:val="0"/>
          <w:sz w:val="20"/>
          <w:szCs w:val="20"/>
        </w:rPr>
        <w:t>supramolecular</w:t>
      </w:r>
      <w:proofErr w:type="spellEnd"/>
      <w:r w:rsidR="000D6836" w:rsidRPr="005A4930">
        <w:rPr>
          <w:b w:val="0"/>
          <w:sz w:val="20"/>
          <w:szCs w:val="20"/>
        </w:rPr>
        <w:t xml:space="preserve"> </w:t>
      </w:r>
      <w:r w:rsidR="00BE2785">
        <w:rPr>
          <w:b w:val="0"/>
          <w:sz w:val="20"/>
          <w:szCs w:val="20"/>
        </w:rPr>
        <w:t>chemistry. In this book chapter;</w:t>
      </w:r>
      <w:r w:rsidR="000D6836" w:rsidRPr="005A4930">
        <w:rPr>
          <w:b w:val="0"/>
          <w:sz w:val="20"/>
          <w:szCs w:val="20"/>
        </w:rPr>
        <w:t xml:space="preserve"> </w:t>
      </w:r>
      <w:r w:rsidR="00A9579A">
        <w:rPr>
          <w:b w:val="0"/>
          <w:sz w:val="20"/>
          <w:szCs w:val="20"/>
        </w:rPr>
        <w:t xml:space="preserve">fundamental ideas of </w:t>
      </w:r>
      <w:r w:rsidR="000D6836" w:rsidRPr="005A4930">
        <w:rPr>
          <w:b w:val="0"/>
          <w:sz w:val="20"/>
          <w:szCs w:val="20"/>
        </w:rPr>
        <w:t xml:space="preserve">structure, synthesis and application of this class of </w:t>
      </w:r>
      <w:proofErr w:type="spellStart"/>
      <w:r w:rsidR="000D6836" w:rsidRPr="005A4930">
        <w:rPr>
          <w:b w:val="0"/>
          <w:sz w:val="20"/>
          <w:szCs w:val="20"/>
        </w:rPr>
        <w:t>supramolecular</w:t>
      </w:r>
      <w:proofErr w:type="spellEnd"/>
      <w:r w:rsidR="000D6836" w:rsidRPr="005A4930">
        <w:rPr>
          <w:b w:val="0"/>
          <w:sz w:val="20"/>
          <w:szCs w:val="20"/>
        </w:rPr>
        <w:t xml:space="preserve"> chemistry is </w:t>
      </w:r>
      <w:r w:rsidR="00CF799F" w:rsidRPr="00CF799F">
        <w:rPr>
          <w:b w:val="0"/>
          <w:sz w:val="20"/>
          <w:szCs w:val="20"/>
        </w:rPr>
        <w:t>explored</w:t>
      </w:r>
      <w:r w:rsidR="000D6836" w:rsidRPr="005A4930">
        <w:rPr>
          <w:b w:val="0"/>
          <w:sz w:val="20"/>
          <w:szCs w:val="20"/>
        </w:rPr>
        <w:t>. Focus has been given to</w:t>
      </w:r>
      <w:r w:rsidR="00BE2785">
        <w:rPr>
          <w:b w:val="0"/>
          <w:sz w:val="20"/>
          <w:szCs w:val="20"/>
        </w:rPr>
        <w:t xml:space="preserve"> medicinal </w:t>
      </w:r>
      <w:r w:rsidR="00BE2785" w:rsidRPr="005A4930">
        <w:rPr>
          <w:b w:val="0"/>
          <w:sz w:val="20"/>
          <w:szCs w:val="20"/>
        </w:rPr>
        <w:t>application</w:t>
      </w:r>
      <w:r w:rsidR="00BE2785">
        <w:rPr>
          <w:b w:val="0"/>
          <w:sz w:val="20"/>
          <w:szCs w:val="20"/>
        </w:rPr>
        <w:t xml:space="preserve"> like drug delivery and </w:t>
      </w:r>
      <w:r w:rsidR="00EC285A">
        <w:rPr>
          <w:b w:val="0"/>
          <w:sz w:val="20"/>
          <w:szCs w:val="20"/>
        </w:rPr>
        <w:t xml:space="preserve">encapsulation with </w:t>
      </w:r>
      <w:r w:rsidR="00A9579A">
        <w:rPr>
          <w:b w:val="0"/>
          <w:sz w:val="20"/>
          <w:szCs w:val="20"/>
        </w:rPr>
        <w:t>potential</w:t>
      </w:r>
      <w:r w:rsidR="00EC285A">
        <w:rPr>
          <w:b w:val="0"/>
          <w:sz w:val="20"/>
          <w:szCs w:val="20"/>
        </w:rPr>
        <w:t xml:space="preserve"> impact</w:t>
      </w:r>
      <w:r w:rsidR="00EF3E01">
        <w:rPr>
          <w:b w:val="0"/>
          <w:sz w:val="20"/>
          <w:szCs w:val="20"/>
        </w:rPr>
        <w:t>.</w:t>
      </w:r>
      <w:r w:rsidR="000D6836" w:rsidRPr="005A4930">
        <w:rPr>
          <w:b w:val="0"/>
          <w:sz w:val="20"/>
          <w:szCs w:val="20"/>
        </w:rPr>
        <w:t xml:space="preserve"> </w:t>
      </w:r>
    </w:p>
    <w:p w14:paraId="496ED1AC" w14:textId="77777777" w:rsidR="00466548" w:rsidRPr="008D3C1E" w:rsidRDefault="00466548" w:rsidP="00466548">
      <w:pPr>
        <w:pStyle w:val="Abstract"/>
        <w:spacing w:after="0"/>
        <w:ind w:firstLine="0"/>
        <w:rPr>
          <w:rFonts w:eastAsia="MS Mincho"/>
          <w:b w:val="0"/>
          <w:sz w:val="20"/>
          <w:szCs w:val="20"/>
          <w:highlight w:val="yellow"/>
        </w:rPr>
      </w:pPr>
    </w:p>
    <w:p w14:paraId="355F0652" w14:textId="2103D11F" w:rsidR="003C6F24" w:rsidRPr="003C6F24" w:rsidRDefault="0072064C" w:rsidP="0018521A">
      <w:pPr>
        <w:pStyle w:val="keywords"/>
        <w:ind w:firstLine="0"/>
        <w:jc w:val="left"/>
        <w:rPr>
          <w:rFonts w:eastAsia="MS Mincho"/>
          <w:b w:val="0"/>
          <w:i w:val="0"/>
          <w:sz w:val="20"/>
          <w:szCs w:val="20"/>
        </w:rPr>
      </w:pPr>
      <w:r w:rsidRPr="0018521A">
        <w:rPr>
          <w:rFonts w:eastAsia="MS Mincho"/>
          <w:i w:val="0"/>
          <w:sz w:val="20"/>
          <w:szCs w:val="20"/>
        </w:rPr>
        <w:t>Keywords</w:t>
      </w:r>
      <w:r w:rsidR="0018521A" w:rsidRPr="0018521A">
        <w:rPr>
          <w:rFonts w:eastAsia="MS Mincho"/>
          <w:b w:val="0"/>
          <w:i w:val="0"/>
          <w:sz w:val="20"/>
          <w:szCs w:val="20"/>
        </w:rPr>
        <w:t>- C</w:t>
      </w:r>
      <w:r w:rsidR="003C6F24" w:rsidRPr="0018521A">
        <w:rPr>
          <w:rFonts w:eastAsia="MS Mincho"/>
          <w:b w:val="0"/>
          <w:i w:val="0"/>
          <w:sz w:val="20"/>
          <w:szCs w:val="20"/>
        </w:rPr>
        <w:t>yclodextrin,</w:t>
      </w:r>
      <w:r w:rsidR="008A55B5" w:rsidRPr="0018521A">
        <w:rPr>
          <w:rFonts w:eastAsia="MS Mincho"/>
          <w:b w:val="0"/>
          <w:i w:val="0"/>
          <w:sz w:val="20"/>
          <w:szCs w:val="20"/>
        </w:rPr>
        <w:t xml:space="preserve"> </w:t>
      </w:r>
      <w:r w:rsidR="006E3A41" w:rsidRPr="006E3A41">
        <w:rPr>
          <w:rFonts w:eastAsia="MS Mincho"/>
          <w:b w:val="0"/>
          <w:i w:val="0"/>
          <w:sz w:val="20"/>
          <w:szCs w:val="20"/>
        </w:rPr>
        <w:t>supramolecular</w:t>
      </w:r>
      <w:r w:rsidR="004E3EBA">
        <w:rPr>
          <w:rFonts w:eastAsia="MS Mincho"/>
          <w:b w:val="0"/>
          <w:i w:val="0"/>
          <w:sz w:val="20"/>
          <w:szCs w:val="20"/>
        </w:rPr>
        <w:t xml:space="preserve">, </w:t>
      </w:r>
      <w:r w:rsidR="006E3A41" w:rsidRPr="006E3A41">
        <w:rPr>
          <w:rFonts w:eastAsia="MS Mincho"/>
          <w:b w:val="0"/>
          <w:i w:val="0"/>
          <w:sz w:val="20"/>
          <w:szCs w:val="20"/>
        </w:rPr>
        <w:t>medicinal</w:t>
      </w:r>
      <w:r w:rsidR="003C6F24">
        <w:rPr>
          <w:rFonts w:eastAsia="MS Mincho"/>
          <w:b w:val="0"/>
          <w:i w:val="0"/>
          <w:sz w:val="20"/>
          <w:szCs w:val="20"/>
        </w:rPr>
        <w:t xml:space="preserve">, </w:t>
      </w:r>
      <w:r w:rsidR="00EC285A">
        <w:rPr>
          <w:rFonts w:eastAsia="MS Mincho"/>
          <w:b w:val="0"/>
          <w:i w:val="0"/>
          <w:sz w:val="20"/>
          <w:szCs w:val="20"/>
        </w:rPr>
        <w:t>drug d</w:t>
      </w:r>
      <w:r w:rsidR="003C6F24" w:rsidRPr="003C6F24">
        <w:rPr>
          <w:rFonts w:eastAsia="MS Mincho"/>
          <w:b w:val="0"/>
          <w:i w:val="0"/>
          <w:sz w:val="20"/>
          <w:szCs w:val="20"/>
        </w:rPr>
        <w:t>elivery</w:t>
      </w:r>
      <w:r w:rsidR="00EC285A">
        <w:rPr>
          <w:rFonts w:eastAsia="MS Mincho"/>
          <w:b w:val="0"/>
          <w:i w:val="0"/>
          <w:sz w:val="20"/>
          <w:szCs w:val="20"/>
        </w:rPr>
        <w:t xml:space="preserve">, </w:t>
      </w:r>
      <w:r w:rsidR="00194DAE">
        <w:rPr>
          <w:rFonts w:eastAsia="MS Mincho"/>
          <w:b w:val="0"/>
          <w:i w:val="0"/>
          <w:sz w:val="20"/>
          <w:szCs w:val="20"/>
        </w:rPr>
        <w:t xml:space="preserve"> </w:t>
      </w:r>
    </w:p>
    <w:p w14:paraId="196D2F22" w14:textId="77777777" w:rsidR="00466548" w:rsidRPr="00466548" w:rsidRDefault="00466548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14:paraId="0CB5D936" w14:textId="77777777" w:rsidR="008A55B5" w:rsidRPr="00402841" w:rsidRDefault="00402841" w:rsidP="00466548">
      <w:pPr>
        <w:pStyle w:val="Heading1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14:paraId="375AA663" w14:textId="77777777" w:rsidR="00466548" w:rsidRPr="00466548" w:rsidRDefault="00466548" w:rsidP="00466548">
      <w:pPr>
        <w:rPr>
          <w:rFonts w:eastAsia="MS Mincho"/>
        </w:rPr>
      </w:pPr>
    </w:p>
    <w:p w14:paraId="09F35158" w14:textId="19214051" w:rsidR="00AD1108" w:rsidRDefault="006B577B" w:rsidP="0012776A">
      <w:pPr>
        <w:pStyle w:val="BodyText"/>
        <w:spacing w:after="0"/>
      </w:pPr>
      <w:r>
        <w:tab/>
      </w:r>
      <w:r>
        <w:tab/>
      </w:r>
      <w:proofErr w:type="spellStart"/>
      <w:r w:rsidR="00AD1108">
        <w:t>Cyclodextrins</w:t>
      </w:r>
      <w:proofErr w:type="spellEnd"/>
      <w:r w:rsidR="00AD1108">
        <w:t xml:space="preserve"> are a fa</w:t>
      </w:r>
      <w:r w:rsidR="00AA5ABA">
        <w:t>mily of cyclic oligosaccharides which are</w:t>
      </w:r>
      <w:r w:rsidR="00AD1108">
        <w:t xml:space="preserve"> made up of a </w:t>
      </w:r>
      <w:proofErr w:type="spellStart"/>
      <w:r w:rsidR="00AD1108">
        <w:t>macrocyclic</w:t>
      </w:r>
      <w:proofErr w:type="spellEnd"/>
      <w:r w:rsidR="00AD1108">
        <w:t xml:space="preserve"> ring of glucose subunits </w:t>
      </w:r>
      <w:r w:rsidR="00AA5ABA">
        <w:t>connecte</w:t>
      </w:r>
      <w:r w:rsidR="00AD1108">
        <w:t>d by α-1</w:t>
      </w:r>
      <w:proofErr w:type="gramStart"/>
      <w:r w:rsidR="00AD1108">
        <w:t>,4</w:t>
      </w:r>
      <w:proofErr w:type="gramEnd"/>
      <w:r w:rsidR="00AD1108">
        <w:t xml:space="preserve"> </w:t>
      </w:r>
      <w:proofErr w:type="spellStart"/>
      <w:r w:rsidR="0014304B">
        <w:t>glycosidic</w:t>
      </w:r>
      <w:proofErr w:type="spellEnd"/>
      <w:r w:rsidR="0014304B">
        <w:t xml:space="preserve"> bonds. They </w:t>
      </w:r>
      <w:r w:rsidR="00AD1108">
        <w:t xml:space="preserve">are mainly obtained from starch </w:t>
      </w:r>
      <w:r w:rsidR="0014304B">
        <w:t xml:space="preserve">or starch derivatives through </w:t>
      </w:r>
      <w:proofErr w:type="gramStart"/>
      <w:r w:rsidR="0014304B">
        <w:t>a</w:t>
      </w:r>
      <w:proofErr w:type="gramEnd"/>
      <w:r w:rsidR="0014304B">
        <w:t xml:space="preserve"> </w:t>
      </w:r>
      <w:r w:rsidR="00AD1108">
        <w:t>enzymat</w:t>
      </w:r>
      <w:r w:rsidR="0014304B">
        <w:t xml:space="preserve">ic conversion. </w:t>
      </w:r>
      <w:proofErr w:type="spellStart"/>
      <w:r w:rsidR="0014304B">
        <w:t>Cyclodextrins</w:t>
      </w:r>
      <w:proofErr w:type="spellEnd"/>
      <w:r w:rsidR="0014304B">
        <w:t xml:space="preserve"> belongs to</w:t>
      </w:r>
      <w:r w:rsidR="00AD1108">
        <w:t xml:space="preserve"> a family of cage</w:t>
      </w:r>
      <w:r w:rsidR="00AA5ABA">
        <w:t>d shaped</w:t>
      </w:r>
      <w:r w:rsidR="00AD1108">
        <w:t xml:space="preserve"> molecules </w:t>
      </w:r>
      <w:r w:rsidR="0014304B">
        <w:t xml:space="preserve">and </w:t>
      </w:r>
      <w:r w:rsidR="00AD1108">
        <w:t>due to their unique structure with cavity</w:t>
      </w:r>
      <w:r w:rsidR="0014304B">
        <w:t>, they</w:t>
      </w:r>
      <w:r w:rsidR="00AD1108">
        <w:t xml:space="preserve"> can encapsulate other molecules</w:t>
      </w:r>
      <w:r w:rsidR="00740E19">
        <w:t xml:space="preserve"> </w:t>
      </w:r>
      <w:r w:rsidR="00BE2785">
        <w:t>[1]</w:t>
      </w:r>
      <w:r w:rsidR="00AD1108">
        <w:t>.</w:t>
      </w:r>
    </w:p>
    <w:p w14:paraId="4D30B688" w14:textId="049F97A1" w:rsidR="00466548" w:rsidRPr="00466548" w:rsidRDefault="00AA5ABA" w:rsidP="00466548">
      <w:pPr>
        <w:pStyle w:val="BodyText"/>
        <w:spacing w:after="0" w:line="240" w:lineRule="auto"/>
        <w:ind w:firstLine="0"/>
      </w:pPr>
      <w:proofErr w:type="spellStart"/>
      <w:r>
        <w:t>Cyclodextrin</w:t>
      </w:r>
      <w:proofErr w:type="spellEnd"/>
      <w:r>
        <w:t xml:space="preserve"> was</w:t>
      </w:r>
      <w:r w:rsidR="00AD1108">
        <w:t xml:space="preserve"> called "</w:t>
      </w:r>
      <w:proofErr w:type="spellStart"/>
      <w:r w:rsidR="00AD1108">
        <w:t>cellulosine</w:t>
      </w:r>
      <w:proofErr w:type="spellEnd"/>
      <w:r w:rsidR="00AD1108">
        <w:t xml:space="preserve">" by A. Villiers in 1891. In between 1911 and 1935, </w:t>
      </w:r>
      <w:proofErr w:type="spellStart"/>
      <w:r w:rsidR="00AD1108">
        <w:t>Pringsheim</w:t>
      </w:r>
      <w:proofErr w:type="spellEnd"/>
      <w:r w:rsidR="00AD1108">
        <w:t xml:space="preserve"> in Germany did </w:t>
      </w:r>
      <w:r>
        <w:t xml:space="preserve">significant </w:t>
      </w:r>
      <w:r w:rsidR="00AD1108">
        <w:t xml:space="preserve">research in this area, demonstrating that </w:t>
      </w:r>
      <w:proofErr w:type="spellStart"/>
      <w:r w:rsidR="00AD1108">
        <w:t>cyclodextrins</w:t>
      </w:r>
      <w:proofErr w:type="spellEnd"/>
      <w:r w:rsidR="00AD1108">
        <w:t xml:space="preserve"> form stable aqueous complexes with many other </w:t>
      </w:r>
      <w:r>
        <w:t xml:space="preserve">class of </w:t>
      </w:r>
      <w:r w:rsidR="00AD1108">
        <w:t xml:space="preserve">chemicals. In </w:t>
      </w:r>
      <w:r>
        <w:t xml:space="preserve">between 1935 and </w:t>
      </w:r>
      <w:r w:rsidR="00AD1108">
        <w:t xml:space="preserve">1950, </w:t>
      </w:r>
      <w:proofErr w:type="spellStart"/>
      <w:r w:rsidR="00AD1108">
        <w:t>cyclodextrin</w:t>
      </w:r>
      <w:proofErr w:type="spellEnd"/>
      <w:r w:rsidR="00AD1108">
        <w:t xml:space="preserve"> were </w:t>
      </w:r>
      <w:r>
        <w:t>investigate</w:t>
      </w:r>
      <w:r w:rsidR="00AD1108">
        <w:t>d by structural results on the “</w:t>
      </w:r>
      <w:proofErr w:type="spellStart"/>
      <w:r w:rsidR="00AD1108">
        <w:t>Schardinger</w:t>
      </w:r>
      <w:proofErr w:type="spellEnd"/>
      <w:r w:rsidR="00AD1108">
        <w:t xml:space="preserve"> </w:t>
      </w:r>
      <w:proofErr w:type="spellStart"/>
      <w:r w:rsidR="00AD1108">
        <w:t>dextrins</w:t>
      </w:r>
      <w:proofErr w:type="spellEnd"/>
      <w:r w:rsidR="00AD1108">
        <w:t xml:space="preserve">. In 1949, Cramer </w:t>
      </w:r>
      <w:r>
        <w:t xml:space="preserve">first </w:t>
      </w:r>
      <w:r w:rsidR="00AD1108">
        <w:t xml:space="preserve">introduced the </w:t>
      </w:r>
      <w:r>
        <w:t>concept</w:t>
      </w:r>
      <w:r w:rsidR="00AD1108">
        <w:t xml:space="preserve"> of nomenclature to </w:t>
      </w:r>
      <w:proofErr w:type="spellStart"/>
      <w:r w:rsidR="00AD1108">
        <w:t>cyclodextrin</w:t>
      </w:r>
      <w:proofErr w:type="spellEnd"/>
      <w:r w:rsidR="00AD1108">
        <w:t xml:space="preserve">-based compounds. In the last 50 years, </w:t>
      </w:r>
      <w:proofErr w:type="spellStart"/>
      <w:r w:rsidR="00AD1108">
        <w:t>cyclodextrins</w:t>
      </w:r>
      <w:proofErr w:type="spellEnd"/>
      <w:r w:rsidR="00AD1108">
        <w:t xml:space="preserve"> have attained ground in many industrial applications, </w:t>
      </w:r>
      <w:r>
        <w:t>mostly</w:t>
      </w:r>
      <w:r w:rsidR="00AD1108">
        <w:t xml:space="preserve"> in the pharmaceutical formulation, chemical industries, environmental engineering and food sectors. In this chapter, we present an overview and applications of </w:t>
      </w:r>
      <w:proofErr w:type="spellStart"/>
      <w:r w:rsidR="00AD1108">
        <w:t>cyclodextrins</w:t>
      </w:r>
      <w:proofErr w:type="spellEnd"/>
      <w:r w:rsidR="00AA0475">
        <w:t xml:space="preserve"> [1</w:t>
      </w:r>
      <w:proofErr w:type="gramStart"/>
      <w:r w:rsidR="00AA0475">
        <w:t>,2</w:t>
      </w:r>
      <w:proofErr w:type="gramEnd"/>
      <w:r w:rsidR="00AA0475">
        <w:t>]</w:t>
      </w:r>
      <w:r w:rsidR="008A55B5" w:rsidRPr="00466548">
        <w:t>.</w:t>
      </w:r>
    </w:p>
    <w:p w14:paraId="53B1BF5D" w14:textId="4084263E" w:rsidR="00767BF4" w:rsidRPr="0012776A" w:rsidRDefault="00520055" w:rsidP="0012776A">
      <w:pPr>
        <w:pStyle w:val="Heading1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STRUCTURE</w:t>
      </w:r>
      <w:r w:rsidR="00BE2785">
        <w:rPr>
          <w:rFonts w:ascii="Times New Roman" w:eastAsia="MS Mincho" w:hAnsi="Times New Roman"/>
          <w:sz w:val="20"/>
          <w:szCs w:val="20"/>
        </w:rPr>
        <w:t xml:space="preserve"> OF </w:t>
      </w:r>
      <w:r w:rsidR="00BE2785" w:rsidRPr="00BE2785">
        <w:rPr>
          <w:rFonts w:ascii="Times New Roman" w:eastAsia="MS Mincho" w:hAnsi="Times New Roman"/>
          <w:sz w:val="20"/>
          <w:szCs w:val="20"/>
        </w:rPr>
        <w:t>CYCLODEXTRIN</w:t>
      </w:r>
    </w:p>
    <w:p w14:paraId="0BCCBE2F" w14:textId="5583F806" w:rsidR="00017B77" w:rsidRDefault="00A9579A" w:rsidP="00017B77">
      <w:pPr>
        <w:pStyle w:val="BodyText"/>
        <w:spacing w:after="0" w:line="240" w:lineRule="auto"/>
        <w:ind w:firstLine="0"/>
      </w:pPr>
      <w:r>
        <w:t xml:space="preserve">Chemically </w:t>
      </w:r>
      <w:proofErr w:type="spellStart"/>
      <w:r>
        <w:t>c</w:t>
      </w:r>
      <w:r w:rsidR="00017B77" w:rsidRPr="00017B77">
        <w:t>yclodextrins</w:t>
      </w:r>
      <w:proofErr w:type="spellEnd"/>
      <w:r w:rsidR="00017B77" w:rsidRPr="00017B77">
        <w:t xml:space="preserve"> are composed of </w:t>
      </w:r>
      <w:r w:rsidR="00AA5ABA">
        <w:t>five</w:t>
      </w:r>
      <w:r w:rsidR="00017B77" w:rsidRPr="00017B77">
        <w:t xml:space="preserve"> or more α-D-</w:t>
      </w:r>
      <w:proofErr w:type="spellStart"/>
      <w:r w:rsidR="00017B77" w:rsidRPr="00017B77">
        <w:t>glucopyranoside</w:t>
      </w:r>
      <w:proofErr w:type="spellEnd"/>
      <w:r w:rsidR="00017B77" w:rsidRPr="00017B77">
        <w:t xml:space="preserve"> units joined by α-1</w:t>
      </w:r>
      <w:proofErr w:type="gramStart"/>
      <w:r w:rsidR="00017B77" w:rsidRPr="00017B77">
        <w:t>,4</w:t>
      </w:r>
      <w:proofErr w:type="gramEnd"/>
      <w:r w:rsidR="00017B77" w:rsidRPr="00017B77">
        <w:t xml:space="preserve"> </w:t>
      </w:r>
      <w:proofErr w:type="spellStart"/>
      <w:r w:rsidR="00017B77" w:rsidRPr="00017B77">
        <w:t>glycosidic</w:t>
      </w:r>
      <w:proofErr w:type="spellEnd"/>
      <w:r w:rsidR="00017B77" w:rsidRPr="00017B77">
        <w:t xml:space="preserve"> bonds. </w:t>
      </w:r>
      <w:r w:rsidR="007A1F35">
        <w:t xml:space="preserve">These </w:t>
      </w:r>
      <w:proofErr w:type="spellStart"/>
      <w:r w:rsidR="007A1F35">
        <w:t>glycosidic</w:t>
      </w:r>
      <w:proofErr w:type="spellEnd"/>
      <w:r w:rsidR="007A1F35">
        <w:t xml:space="preserve"> bonds form a cyclic structures and it </w:t>
      </w:r>
      <w:r w:rsidR="00AA5ABA">
        <w:t xml:space="preserve">consist of </w:t>
      </w:r>
      <w:r w:rsidR="00017B77" w:rsidRPr="00017B77">
        <w:t>a</w:t>
      </w:r>
      <w:r w:rsidR="005D195A">
        <w:t xml:space="preserve"> lipophilic central cavity. The outer surface have a</w:t>
      </w:r>
      <w:r w:rsidR="00017B77" w:rsidRPr="00017B77">
        <w:t xml:space="preserve"> hydrophilic</w:t>
      </w:r>
      <w:r w:rsidR="005D195A">
        <w:t xml:space="preserve"> property</w:t>
      </w:r>
      <w:r w:rsidR="00017B77" w:rsidRPr="00017B77">
        <w:t>. The pr</w:t>
      </w:r>
      <w:r w:rsidR="00AA5ABA">
        <w:t>imary hydroxyls can rotate and decrease</w:t>
      </w:r>
      <w:r w:rsidR="00017B77" w:rsidRPr="00017B77">
        <w:t xml:space="preserve"> the </w:t>
      </w:r>
      <w:proofErr w:type="spellStart"/>
      <w:r w:rsidR="00017B77" w:rsidRPr="00017B77">
        <w:t>cyclodextrin</w:t>
      </w:r>
      <w:proofErr w:type="spellEnd"/>
      <w:r w:rsidR="00017B77" w:rsidRPr="00017B77">
        <w:t xml:space="preserve"> di</w:t>
      </w:r>
      <w:r w:rsidR="002B778A">
        <w:t>ameter while secondary hydroxyl groups</w:t>
      </w:r>
      <w:r w:rsidR="00017B77" w:rsidRPr="00017B77">
        <w:t xml:space="preserve"> form strong hydrogen bonds and provide stiffness to </w:t>
      </w:r>
      <w:proofErr w:type="spellStart"/>
      <w:r w:rsidR="00017B77" w:rsidRPr="00017B77">
        <w:t>c</w:t>
      </w:r>
      <w:r w:rsidR="002B778A">
        <w:t>yclodextrin</w:t>
      </w:r>
      <w:proofErr w:type="spellEnd"/>
      <w:r w:rsidR="002B778A">
        <w:t>. Substitution</w:t>
      </w:r>
      <w:r w:rsidR="00017B77" w:rsidRPr="00017B77">
        <w:t xml:space="preserve"> of the hydrogen bond forming hydroxyl groups, by lipophilic </w:t>
      </w:r>
      <w:proofErr w:type="spellStart"/>
      <w:r w:rsidR="00017B77" w:rsidRPr="00017B77">
        <w:t>methoxy</w:t>
      </w:r>
      <w:proofErr w:type="spellEnd"/>
      <w:r w:rsidR="00017B77" w:rsidRPr="00017B77">
        <w:t xml:space="preserve"> functions, </w:t>
      </w:r>
      <w:r w:rsidR="002B778A">
        <w:t xml:space="preserve">in general </w:t>
      </w:r>
      <w:r w:rsidR="00017B77" w:rsidRPr="00017B77">
        <w:t xml:space="preserve">results </w:t>
      </w:r>
      <w:r w:rsidR="002B778A">
        <w:t>in dramatic improvement in</w:t>
      </w:r>
      <w:r w:rsidR="00017B77" w:rsidRPr="00017B77">
        <w:t xml:space="preserve"> aqueous solubility</w:t>
      </w:r>
      <w:r w:rsidR="002B778A">
        <w:t xml:space="preserve"> properties</w:t>
      </w:r>
      <w:r w:rsidR="00017B77" w:rsidRPr="00017B77">
        <w:t xml:space="preserve">. Due to this </w:t>
      </w:r>
      <w:r w:rsidR="002202B4">
        <w:t>distinctive structure,</w:t>
      </w:r>
      <w:r w:rsidR="001A0641">
        <w:t xml:space="preserve"> </w:t>
      </w:r>
      <w:proofErr w:type="spellStart"/>
      <w:r w:rsidR="002202B4">
        <w:t>cyclodextrin</w:t>
      </w:r>
      <w:proofErr w:type="spellEnd"/>
      <w:r w:rsidR="00017B77" w:rsidRPr="00017B77">
        <w:t xml:space="preserve"> can encapsulate guest molecules leading to the formation of inclusion complexes. This encapsulation characteristic is very </w:t>
      </w:r>
      <w:r w:rsidR="002202B4">
        <w:t xml:space="preserve">exclusive and </w:t>
      </w:r>
      <w:r w:rsidR="00017B77" w:rsidRPr="00017B77">
        <w:t>significant</w:t>
      </w:r>
      <w:r w:rsidR="002202B4">
        <w:t>,</w:t>
      </w:r>
      <w:r w:rsidR="00017B77" w:rsidRPr="00017B77">
        <w:t xml:space="preserve"> </w:t>
      </w:r>
      <w:r w:rsidR="002202B4">
        <w:t>leading to application</w:t>
      </w:r>
      <w:r w:rsidR="00017B77" w:rsidRPr="00017B77">
        <w:t xml:space="preserve"> in different industries such as medicine or agro chemistry</w:t>
      </w:r>
      <w:r w:rsidR="001A0641">
        <w:t xml:space="preserve"> </w:t>
      </w:r>
      <w:r w:rsidR="00AA0475">
        <w:t>[2</w:t>
      </w:r>
      <w:proofErr w:type="gramStart"/>
      <w:r w:rsidR="00AA0475">
        <w:t>,3</w:t>
      </w:r>
      <w:proofErr w:type="gramEnd"/>
      <w:r w:rsidR="00AA0475">
        <w:t>]</w:t>
      </w:r>
      <w:r w:rsidR="008A55B5" w:rsidRPr="00466548">
        <w:t>.</w:t>
      </w:r>
    </w:p>
    <w:p w14:paraId="65073790" w14:textId="7DE92331" w:rsidR="00767BF4" w:rsidRDefault="00B94FDB" w:rsidP="00017B77">
      <w:pPr>
        <w:pStyle w:val="BodyText"/>
        <w:spacing w:after="0" w:line="240" w:lineRule="auto"/>
        <w:ind w:firstLine="0"/>
        <w:jc w:val="center"/>
      </w:pPr>
      <w:r>
        <w:object w:dxaOrig="10424" w:dyaOrig="3653" w14:anchorId="3F32D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75pt;height:117.15pt" o:ole="">
            <v:imagedata r:id="rId9" o:title=""/>
          </v:shape>
          <o:OLEObject Type="Embed" ProgID="ChemDraw.Document.6.0" ShapeID="_x0000_i1025" DrawAspect="Content" ObjectID="_1752518219" r:id="rId10"/>
        </w:object>
      </w:r>
    </w:p>
    <w:p w14:paraId="52CE6638" w14:textId="215A1518" w:rsidR="00017B77" w:rsidRDefault="008B715A" w:rsidP="00017B77">
      <w:pPr>
        <w:pStyle w:val="BodyText"/>
        <w:spacing w:after="0" w:line="240" w:lineRule="auto"/>
        <w:ind w:firstLine="0"/>
        <w:jc w:val="center"/>
        <w:rPr>
          <w:b/>
        </w:rPr>
      </w:pPr>
      <w:r w:rsidRPr="008B715A">
        <w:rPr>
          <w:b/>
        </w:rPr>
        <w:t xml:space="preserve">Figure 1: Anatomy of </w:t>
      </w:r>
      <w:proofErr w:type="spellStart"/>
      <w:r w:rsidRPr="008B715A">
        <w:rPr>
          <w:b/>
        </w:rPr>
        <w:t>cyclodextrins</w:t>
      </w:r>
      <w:proofErr w:type="spellEnd"/>
    </w:p>
    <w:p w14:paraId="0D356F82" w14:textId="77777777" w:rsidR="00F36C7C" w:rsidRPr="008B715A" w:rsidRDefault="00F36C7C" w:rsidP="00017B77">
      <w:pPr>
        <w:pStyle w:val="BodyText"/>
        <w:spacing w:after="0" w:line="240" w:lineRule="auto"/>
        <w:ind w:firstLine="0"/>
        <w:jc w:val="center"/>
        <w:rPr>
          <w:b/>
        </w:rPr>
      </w:pPr>
    </w:p>
    <w:p w14:paraId="60EB74EA" w14:textId="77777777" w:rsidR="004171C7" w:rsidRPr="00466548" w:rsidRDefault="004171C7" w:rsidP="00466548">
      <w:pPr>
        <w:pStyle w:val="BodyText"/>
        <w:spacing w:after="0" w:line="240" w:lineRule="auto"/>
        <w:ind w:firstLine="0"/>
      </w:pPr>
    </w:p>
    <w:p w14:paraId="139F80E6" w14:textId="0818D8B7" w:rsidR="00032681" w:rsidRPr="0012776A" w:rsidRDefault="00E60554" w:rsidP="0012776A">
      <w:pPr>
        <w:pStyle w:val="Heading1"/>
        <w:spacing w:before="0" w:after="0"/>
        <w:rPr>
          <w:rFonts w:ascii="Times New Roman" w:eastAsia="MS Mincho" w:hAnsi="Times New Roman"/>
          <w:sz w:val="20"/>
          <w:szCs w:val="20"/>
        </w:rPr>
      </w:pPr>
      <w:r w:rsidRPr="00032681">
        <w:rPr>
          <w:rFonts w:ascii="Times New Roman" w:eastAsia="MS Mincho" w:hAnsi="Times New Roman"/>
          <w:sz w:val="20"/>
          <w:szCs w:val="20"/>
        </w:rPr>
        <w:t>FAMILY OF CYCLODEXTRINS</w:t>
      </w:r>
    </w:p>
    <w:p w14:paraId="4DCFE388" w14:textId="79127836" w:rsidR="008A55B5" w:rsidRDefault="00D01167" w:rsidP="0012776A">
      <w:pPr>
        <w:pStyle w:val="BodyText"/>
        <w:spacing w:after="0" w:line="240" w:lineRule="auto"/>
        <w:ind w:firstLine="0"/>
      </w:pPr>
      <w:r>
        <w:tab/>
      </w:r>
      <w:r>
        <w:tab/>
      </w:r>
      <w:r w:rsidR="00B1325B" w:rsidRPr="00B1325B">
        <w:t xml:space="preserve">Three important </w:t>
      </w:r>
      <w:r w:rsidR="00F019A4">
        <w:t xml:space="preserve">type of </w:t>
      </w:r>
      <w:proofErr w:type="spellStart"/>
      <w:r w:rsidR="00B1325B" w:rsidRPr="00B1325B">
        <w:t>cyclodextrin</w:t>
      </w:r>
      <w:proofErr w:type="spellEnd"/>
      <w:r w:rsidR="00B1325B" w:rsidRPr="00B1325B">
        <w:t xml:space="preserve"> family are </w:t>
      </w:r>
      <w:r w:rsidR="00B1325B" w:rsidRPr="006D0739">
        <w:rPr>
          <w:i/>
        </w:rPr>
        <w:t>α</w:t>
      </w:r>
      <w:r w:rsidR="00B1325B" w:rsidRPr="00B1325B">
        <w:t>-</w:t>
      </w:r>
      <w:proofErr w:type="spellStart"/>
      <w:r w:rsidR="00B1325B" w:rsidRPr="00B1325B">
        <w:t>cyclodextrin</w:t>
      </w:r>
      <w:proofErr w:type="spellEnd"/>
      <w:r w:rsidR="00B1325B" w:rsidRPr="00B1325B">
        <w:t xml:space="preserve">, </w:t>
      </w:r>
      <w:r w:rsidR="00B1325B" w:rsidRPr="006D0739">
        <w:rPr>
          <w:i/>
        </w:rPr>
        <w:t>β</w:t>
      </w:r>
      <w:r w:rsidR="00B1325B" w:rsidRPr="00B1325B">
        <w:t>-</w:t>
      </w:r>
      <w:proofErr w:type="spellStart"/>
      <w:r w:rsidR="00B1325B" w:rsidRPr="00B1325B">
        <w:t>cyclodextrin</w:t>
      </w:r>
      <w:proofErr w:type="spellEnd"/>
      <w:r w:rsidR="00B1325B" w:rsidRPr="00B1325B">
        <w:t xml:space="preserve"> and </w:t>
      </w:r>
      <w:r w:rsidR="00B1325B" w:rsidRPr="006D0739">
        <w:rPr>
          <w:i/>
        </w:rPr>
        <w:t>γ</w:t>
      </w:r>
      <w:r w:rsidR="00B1325B" w:rsidRPr="00B1325B">
        <w:t>-</w:t>
      </w:r>
      <w:proofErr w:type="spellStart"/>
      <w:r w:rsidR="00B1325B" w:rsidRPr="00B1325B">
        <w:t>cyclodextrin</w:t>
      </w:r>
      <w:proofErr w:type="spellEnd"/>
      <w:r w:rsidR="00B1325B" w:rsidRPr="00B1325B">
        <w:t xml:space="preserve">. </w:t>
      </w:r>
      <w:r w:rsidR="002202B4">
        <w:t>In addition to this, s</w:t>
      </w:r>
      <w:r w:rsidR="00B1325B" w:rsidRPr="00B1325B">
        <w:t xml:space="preserve">everal minor </w:t>
      </w:r>
      <w:proofErr w:type="spellStart"/>
      <w:r w:rsidR="00B1325B" w:rsidRPr="00B1325B">
        <w:t>cyclodextrin</w:t>
      </w:r>
      <w:proofErr w:type="spellEnd"/>
      <w:r w:rsidR="00B1325B" w:rsidRPr="00B1325B">
        <w:t xml:space="preserve"> are also known like δ-</w:t>
      </w:r>
      <w:proofErr w:type="spellStart"/>
      <w:r w:rsidR="00B1325B" w:rsidRPr="00B1325B">
        <w:t>cyclo</w:t>
      </w:r>
      <w:r w:rsidR="00983DAC">
        <w:t>dextrin</w:t>
      </w:r>
      <w:proofErr w:type="spellEnd"/>
      <w:r w:rsidR="00983DAC">
        <w:t xml:space="preserve"> and ε-</w:t>
      </w:r>
      <w:proofErr w:type="spellStart"/>
      <w:r w:rsidR="00983DAC">
        <w:t>cyclodextrin</w:t>
      </w:r>
      <w:proofErr w:type="spellEnd"/>
      <w:r w:rsidR="00983DAC">
        <w:t xml:space="preserve">. </w:t>
      </w:r>
      <w:proofErr w:type="gramStart"/>
      <w:r w:rsidR="00B1325B" w:rsidRPr="006D0739">
        <w:rPr>
          <w:i/>
        </w:rPr>
        <w:t>α</w:t>
      </w:r>
      <w:proofErr w:type="gramEnd"/>
      <w:r w:rsidR="00B1325B" w:rsidRPr="00B1325B">
        <w:t xml:space="preserve">, </w:t>
      </w:r>
      <w:r w:rsidR="00B1325B" w:rsidRPr="006D0739">
        <w:rPr>
          <w:i/>
        </w:rPr>
        <w:t>β</w:t>
      </w:r>
      <w:r w:rsidR="00B1325B" w:rsidRPr="00B1325B">
        <w:t xml:space="preserve">, </w:t>
      </w:r>
      <w:r w:rsidR="00B1325B" w:rsidRPr="006D0739">
        <w:rPr>
          <w:i/>
        </w:rPr>
        <w:t>δ</w:t>
      </w:r>
      <w:r w:rsidR="00B1325B" w:rsidRPr="00B1325B">
        <w:t xml:space="preserve"> nomenclature </w:t>
      </w:r>
      <w:r w:rsidR="00316838">
        <w:t xml:space="preserve">are used to </w:t>
      </w:r>
      <w:r w:rsidR="00B1325B" w:rsidRPr="00B1325B">
        <w:t xml:space="preserve">distinguishes the </w:t>
      </w:r>
      <w:proofErr w:type="spellStart"/>
      <w:r w:rsidR="00316838">
        <w:t>cyclodextrin</w:t>
      </w:r>
      <w:proofErr w:type="spellEnd"/>
      <w:r w:rsidR="00316838">
        <w:t xml:space="preserve"> with different ring size in a</w:t>
      </w:r>
      <w:r w:rsidR="00B1325B" w:rsidRPr="00B1325B">
        <w:t xml:space="preserve"> homologous series</w:t>
      </w:r>
      <w:r w:rsidR="00473AB6">
        <w:t>.</w:t>
      </w:r>
      <w:r w:rsidR="00060815">
        <w:t xml:space="preserve"> </w:t>
      </w:r>
      <w:r w:rsidR="00473AB6">
        <w:t>(Table 1)</w:t>
      </w:r>
    </w:p>
    <w:p w14:paraId="17BAA997" w14:textId="6D3604E8" w:rsidR="009C5CE0" w:rsidRPr="009C5CE0" w:rsidRDefault="009C5CE0" w:rsidP="009C5CE0">
      <w:pPr>
        <w:rPr>
          <w:b/>
          <w:szCs w:val="24"/>
        </w:rPr>
      </w:pPr>
      <w:r w:rsidRPr="009C5CE0">
        <w:rPr>
          <w:b/>
          <w:szCs w:val="24"/>
        </w:rPr>
        <w:lastRenderedPageBreak/>
        <w:t>Table</w:t>
      </w:r>
      <w:r w:rsidR="009E40DC">
        <w:rPr>
          <w:b/>
          <w:szCs w:val="24"/>
        </w:rPr>
        <w:t xml:space="preserve"> 1</w:t>
      </w:r>
      <w:r w:rsidRPr="009C5CE0">
        <w:rPr>
          <w:b/>
          <w:szCs w:val="24"/>
        </w:rPr>
        <w:t xml:space="preserve">: Properties of different </w:t>
      </w:r>
      <w:proofErr w:type="spellStart"/>
      <w:r w:rsidRPr="009C5CE0">
        <w:rPr>
          <w:b/>
          <w:szCs w:val="24"/>
        </w:rPr>
        <w:t>Cyclodextrins</w:t>
      </w:r>
      <w:proofErr w:type="spellEnd"/>
    </w:p>
    <w:tbl>
      <w:tblPr>
        <w:tblStyle w:val="PlainTable5"/>
        <w:tblW w:w="0" w:type="auto"/>
        <w:jc w:val="center"/>
        <w:tblBorders>
          <w:top w:val="single" w:sz="12" w:space="0" w:color="auto"/>
          <w:left w:val="dashSmallGap" w:sz="4" w:space="0" w:color="9BBB59" w:themeColor="accent3"/>
          <w:bottom w:val="single" w:sz="12" w:space="0" w:color="auto"/>
          <w:right w:val="dashSmallGap" w:sz="4" w:space="0" w:color="9BBB59" w:themeColor="accent3"/>
        </w:tblBorders>
        <w:tblLook w:val="04A0" w:firstRow="1" w:lastRow="0" w:firstColumn="1" w:lastColumn="0" w:noHBand="0" w:noVBand="1"/>
      </w:tblPr>
      <w:tblGrid>
        <w:gridCol w:w="1675"/>
        <w:gridCol w:w="1799"/>
        <w:gridCol w:w="398"/>
        <w:gridCol w:w="1155"/>
        <w:gridCol w:w="621"/>
        <w:gridCol w:w="1373"/>
        <w:gridCol w:w="1998"/>
      </w:tblGrid>
      <w:tr w:rsidR="009C5CE0" w14:paraId="48255EC4" w14:textId="77777777" w:rsidTr="00660C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75" w:type="dxa"/>
            <w:tcBorders>
              <w:top w:val="single" w:sz="12" w:space="0" w:color="auto"/>
              <w:bottom w:val="single" w:sz="12" w:space="0" w:color="auto"/>
              <w:right w:val="none" w:sz="0" w:space="0" w:color="auto"/>
            </w:tcBorders>
          </w:tcPr>
          <w:p w14:paraId="6F08C23F" w14:textId="77777777" w:rsidR="009C5CE0" w:rsidRPr="0012776A" w:rsidRDefault="009C5CE0" w:rsidP="00166677">
            <w:pPr>
              <w:rPr>
                <w:rFonts w:cs="Times New Roman"/>
                <w:b/>
                <w:i w:val="0"/>
                <w:sz w:val="20"/>
                <w:szCs w:val="20"/>
              </w:rPr>
            </w:pP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Family</w:t>
            </w:r>
          </w:p>
        </w:tc>
        <w:tc>
          <w:tcPr>
            <w:tcW w:w="1799" w:type="dxa"/>
            <w:tcBorders>
              <w:top w:val="single" w:sz="12" w:space="0" w:color="auto"/>
              <w:bottom w:val="single" w:sz="12" w:space="0" w:color="auto"/>
            </w:tcBorders>
          </w:tcPr>
          <w:p w14:paraId="3E10D429" w14:textId="77777777" w:rsidR="009C5CE0" w:rsidRPr="0012776A" w:rsidRDefault="009C5CE0" w:rsidP="00166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 w:val="20"/>
                <w:szCs w:val="20"/>
              </w:rPr>
            </w:pP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Number of glucose units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26A80AAE" w14:textId="77777777" w:rsidR="009C5CE0" w:rsidRPr="0012776A" w:rsidRDefault="009C5CE0" w:rsidP="00166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 w:val="20"/>
                <w:szCs w:val="20"/>
              </w:rPr>
            </w:pP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Ring size</w:t>
            </w:r>
          </w:p>
        </w:tc>
        <w:tc>
          <w:tcPr>
            <w:tcW w:w="199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7AE6A43" w14:textId="77777777" w:rsidR="009C5CE0" w:rsidRPr="0012776A" w:rsidRDefault="009C5CE0" w:rsidP="00166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 w:val="20"/>
                <w:szCs w:val="20"/>
              </w:rPr>
            </w:pP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Internal cavity (Å)</w:t>
            </w:r>
          </w:p>
        </w:tc>
        <w:tc>
          <w:tcPr>
            <w:tcW w:w="1998" w:type="dxa"/>
            <w:tcBorders>
              <w:top w:val="single" w:sz="12" w:space="0" w:color="auto"/>
              <w:bottom w:val="single" w:sz="12" w:space="0" w:color="auto"/>
            </w:tcBorders>
          </w:tcPr>
          <w:p w14:paraId="192F56E5" w14:textId="77777777" w:rsidR="009C5CE0" w:rsidRPr="0012776A" w:rsidRDefault="009C5CE0" w:rsidP="001666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i w:val="0"/>
                <w:sz w:val="20"/>
                <w:szCs w:val="20"/>
              </w:rPr>
            </w:pP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Water solubility at 25</w:t>
            </w:r>
            <w:r w:rsidRPr="0012776A">
              <w:rPr>
                <w:rFonts w:asciiTheme="majorEastAsia" w:hAnsiTheme="majorEastAsia" w:cstheme="majorEastAsia" w:hint="eastAsia"/>
                <w:b/>
                <w:i w:val="0"/>
                <w:sz w:val="20"/>
                <w:szCs w:val="20"/>
              </w:rPr>
              <w:t>°</w:t>
            </w:r>
            <w:r w:rsidRPr="0012776A">
              <w:rPr>
                <w:rFonts w:cs="Times New Roman"/>
                <w:b/>
                <w:i w:val="0"/>
                <w:sz w:val="20"/>
                <w:szCs w:val="20"/>
              </w:rPr>
              <w:t>C (g/L)</w:t>
            </w:r>
          </w:p>
        </w:tc>
      </w:tr>
      <w:tr w:rsidR="009C5CE0" w14:paraId="2FDDF4F1" w14:textId="77777777" w:rsidTr="00660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top w:val="single" w:sz="12" w:space="0" w:color="auto"/>
              <w:right w:val="none" w:sz="0" w:space="0" w:color="auto"/>
            </w:tcBorders>
          </w:tcPr>
          <w:p w14:paraId="5CB15B4B" w14:textId="77777777" w:rsidR="009C5CE0" w:rsidRPr="0012776A" w:rsidRDefault="009C5CE0" w:rsidP="00166677">
            <w:pPr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α</w:t>
            </w:r>
          </w:p>
        </w:tc>
        <w:tc>
          <w:tcPr>
            <w:tcW w:w="2197" w:type="dxa"/>
            <w:gridSpan w:val="2"/>
            <w:tcBorders>
              <w:top w:val="single" w:sz="12" w:space="0" w:color="auto"/>
            </w:tcBorders>
          </w:tcPr>
          <w:p w14:paraId="1B084123" w14:textId="77777777" w:rsidR="009C5CE0" w:rsidRPr="0012776A" w:rsidRDefault="009C5CE0" w:rsidP="0016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</w:tcBorders>
          </w:tcPr>
          <w:p w14:paraId="26B79CFB" w14:textId="77777777" w:rsidR="009C5CE0" w:rsidRPr="0012776A" w:rsidRDefault="009C5CE0" w:rsidP="00FE60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30</w:t>
            </w:r>
          </w:p>
        </w:tc>
        <w:tc>
          <w:tcPr>
            <w:tcW w:w="1373" w:type="dxa"/>
            <w:tcBorders>
              <w:top w:val="single" w:sz="12" w:space="0" w:color="auto"/>
            </w:tcBorders>
          </w:tcPr>
          <w:p w14:paraId="6D0E04AD" w14:textId="77777777" w:rsidR="009C5CE0" w:rsidRPr="0012776A" w:rsidRDefault="009C5CE0" w:rsidP="00FE60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5.0</w:t>
            </w:r>
          </w:p>
        </w:tc>
        <w:tc>
          <w:tcPr>
            <w:tcW w:w="1998" w:type="dxa"/>
            <w:tcBorders>
              <w:top w:val="single" w:sz="12" w:space="0" w:color="auto"/>
            </w:tcBorders>
          </w:tcPr>
          <w:p w14:paraId="4DD6433A" w14:textId="77777777" w:rsidR="009C5CE0" w:rsidRPr="0012776A" w:rsidRDefault="009C5CE0" w:rsidP="0016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145</w:t>
            </w:r>
          </w:p>
        </w:tc>
      </w:tr>
      <w:tr w:rsidR="009C5CE0" w14:paraId="4BFB7670" w14:textId="77777777" w:rsidTr="00660C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right w:val="none" w:sz="0" w:space="0" w:color="auto"/>
            </w:tcBorders>
          </w:tcPr>
          <w:p w14:paraId="710A9877" w14:textId="77777777" w:rsidR="009C5CE0" w:rsidRPr="0012776A" w:rsidRDefault="009C5CE0" w:rsidP="00166677">
            <w:pPr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β</w:t>
            </w:r>
          </w:p>
        </w:tc>
        <w:tc>
          <w:tcPr>
            <w:tcW w:w="2197" w:type="dxa"/>
            <w:gridSpan w:val="2"/>
          </w:tcPr>
          <w:p w14:paraId="3E88020B" w14:textId="77777777" w:rsidR="009C5CE0" w:rsidRPr="0012776A" w:rsidRDefault="009C5CE0" w:rsidP="00166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1776" w:type="dxa"/>
            <w:gridSpan w:val="2"/>
          </w:tcPr>
          <w:p w14:paraId="02C340BC" w14:textId="77777777" w:rsidR="009C5CE0" w:rsidRPr="0012776A" w:rsidRDefault="009C5CE0" w:rsidP="00FE60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35</w:t>
            </w:r>
          </w:p>
        </w:tc>
        <w:tc>
          <w:tcPr>
            <w:tcW w:w="1373" w:type="dxa"/>
          </w:tcPr>
          <w:p w14:paraId="17970C85" w14:textId="77777777" w:rsidR="009C5CE0" w:rsidRPr="0012776A" w:rsidRDefault="009C5CE0" w:rsidP="00FE600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6.2</w:t>
            </w:r>
          </w:p>
        </w:tc>
        <w:tc>
          <w:tcPr>
            <w:tcW w:w="1998" w:type="dxa"/>
          </w:tcPr>
          <w:p w14:paraId="18C801D8" w14:textId="77777777" w:rsidR="009C5CE0" w:rsidRPr="0012776A" w:rsidRDefault="009C5CE0" w:rsidP="001666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18.5</w:t>
            </w:r>
          </w:p>
        </w:tc>
      </w:tr>
      <w:tr w:rsidR="009C5CE0" w14:paraId="715A8D79" w14:textId="77777777" w:rsidTr="00660C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5" w:type="dxa"/>
            <w:tcBorders>
              <w:right w:val="none" w:sz="0" w:space="0" w:color="auto"/>
            </w:tcBorders>
          </w:tcPr>
          <w:p w14:paraId="08FB7EA8" w14:textId="77777777" w:rsidR="009C5CE0" w:rsidRPr="0012776A" w:rsidRDefault="009C5CE0" w:rsidP="00166677">
            <w:pPr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δ</w:t>
            </w:r>
          </w:p>
        </w:tc>
        <w:tc>
          <w:tcPr>
            <w:tcW w:w="2197" w:type="dxa"/>
            <w:gridSpan w:val="2"/>
          </w:tcPr>
          <w:p w14:paraId="3336AFF3" w14:textId="77777777" w:rsidR="009C5CE0" w:rsidRPr="0012776A" w:rsidRDefault="009C5CE0" w:rsidP="0016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1776" w:type="dxa"/>
            <w:gridSpan w:val="2"/>
          </w:tcPr>
          <w:p w14:paraId="5408CA9A" w14:textId="77777777" w:rsidR="009C5CE0" w:rsidRPr="0012776A" w:rsidRDefault="009C5CE0" w:rsidP="00FE60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1373" w:type="dxa"/>
          </w:tcPr>
          <w:p w14:paraId="7051612A" w14:textId="77777777" w:rsidR="009C5CE0" w:rsidRPr="0012776A" w:rsidRDefault="009C5CE0" w:rsidP="00FE600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8.0</w:t>
            </w:r>
          </w:p>
        </w:tc>
        <w:tc>
          <w:tcPr>
            <w:tcW w:w="1998" w:type="dxa"/>
          </w:tcPr>
          <w:p w14:paraId="7D0985AF" w14:textId="77777777" w:rsidR="009C5CE0" w:rsidRPr="0012776A" w:rsidRDefault="009C5CE0" w:rsidP="001666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  <w:r w:rsidRPr="0012776A">
              <w:rPr>
                <w:rFonts w:cs="Times New Roman"/>
                <w:sz w:val="20"/>
                <w:szCs w:val="20"/>
              </w:rPr>
              <w:t>232</w:t>
            </w:r>
          </w:p>
        </w:tc>
      </w:tr>
    </w:tbl>
    <w:p w14:paraId="452A901D" w14:textId="77777777" w:rsidR="001A5B72" w:rsidRDefault="001A5B72" w:rsidP="001A5B72">
      <w:pPr>
        <w:rPr>
          <w:sz w:val="24"/>
          <w:szCs w:val="24"/>
        </w:rPr>
      </w:pPr>
    </w:p>
    <w:p w14:paraId="39F24162" w14:textId="4E494CDE" w:rsidR="009C5CE0" w:rsidRDefault="001A5B72" w:rsidP="001A5B72">
      <w:pPr>
        <w:rPr>
          <w:sz w:val="24"/>
          <w:szCs w:val="24"/>
        </w:rPr>
      </w:pPr>
      <w:r>
        <w:rPr>
          <w:noProof/>
          <w:lang w:val="en-IN" w:eastAsia="en-IN"/>
        </w:rPr>
        <w:drawing>
          <wp:inline distT="0" distB="0" distL="0" distR="0" wp14:anchorId="6D16B1A5" wp14:editId="1AA9EE58">
            <wp:extent cx="1794680" cy="2330795"/>
            <wp:effectExtent l="19050" t="19050" r="15240" b="12700"/>
            <wp:docPr id="2" name="Picture 2" descr="https://ars.els-cdn.com/content/image/1-s2.0-S0308814622004290-gr2_l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s.els-cdn.com/content/image/1-s2.0-S0308814622004290-gr2_lr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790" cy="23361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920B54B" w14:textId="3C3EAC0A" w:rsidR="00032681" w:rsidRPr="0012776A" w:rsidRDefault="004C738C" w:rsidP="0012776A">
      <w:pPr>
        <w:rPr>
          <w:b/>
          <w:szCs w:val="24"/>
        </w:rPr>
      </w:pPr>
      <w:r w:rsidRPr="004C738C">
        <w:rPr>
          <w:b/>
          <w:szCs w:val="24"/>
        </w:rPr>
        <w:t xml:space="preserve">Figure 2: Dimensions of α-CD, β-CD and γ-CD, respectively. Original information provided by </w:t>
      </w:r>
      <w:proofErr w:type="spellStart"/>
      <w:r w:rsidRPr="004C738C">
        <w:rPr>
          <w:b/>
          <w:szCs w:val="24"/>
        </w:rPr>
        <w:t>Crini</w:t>
      </w:r>
      <w:proofErr w:type="spellEnd"/>
      <w:r w:rsidRPr="004C738C">
        <w:rPr>
          <w:b/>
          <w:szCs w:val="24"/>
        </w:rPr>
        <w:t xml:space="preserve"> (2014)</w:t>
      </w:r>
    </w:p>
    <w:p w14:paraId="3B58BC36" w14:textId="2D4EF629" w:rsidR="00767BF4" w:rsidRPr="00032681" w:rsidRDefault="00032681" w:rsidP="00032681">
      <w:pPr>
        <w:pStyle w:val="BodyText"/>
        <w:spacing w:after="0" w:line="240" w:lineRule="auto"/>
        <w:ind w:firstLine="0"/>
        <w:jc w:val="center"/>
        <w:rPr>
          <w:b/>
        </w:rPr>
      </w:pPr>
      <w:r w:rsidRPr="00032681">
        <w:rPr>
          <w:b/>
        </w:rPr>
        <w:t>IV: PREPARATION</w:t>
      </w:r>
      <w:r w:rsidR="002F2505">
        <w:rPr>
          <w:b/>
        </w:rPr>
        <w:t xml:space="preserve"> AND CHERECTERIZATION</w:t>
      </w:r>
    </w:p>
    <w:p w14:paraId="1A05F678" w14:textId="420881A1" w:rsidR="001043AD" w:rsidRDefault="00910884" w:rsidP="00B213F2">
      <w:pPr>
        <w:pStyle w:val="BodyText"/>
        <w:spacing w:after="0"/>
        <w:ind w:firstLine="0"/>
      </w:pPr>
      <w:r>
        <w:t xml:space="preserve">Photosynthetic </w:t>
      </w:r>
      <w:r w:rsidR="001043AD">
        <w:t>plant</w:t>
      </w:r>
      <w:r>
        <w:t>s produce</w:t>
      </w:r>
      <w:r w:rsidR="001043AD">
        <w:t xml:space="preserve"> starch and cellulose. Degradation process of starch with a variety of enzymes in aqueous </w:t>
      </w:r>
      <w:r w:rsidR="0097726E">
        <w:t>solution</w:t>
      </w:r>
      <w:r w:rsidR="001043AD">
        <w:t xml:space="preserve"> results in </w:t>
      </w:r>
      <w:proofErr w:type="spellStart"/>
      <w:r w:rsidR="001043AD">
        <w:t>dextrins</w:t>
      </w:r>
      <w:proofErr w:type="spellEnd"/>
      <w:r w:rsidR="001043AD">
        <w:t xml:space="preserve">. The degradation of </w:t>
      </w:r>
      <w:proofErr w:type="spellStart"/>
      <w:r w:rsidR="001043AD">
        <w:t>dextrins</w:t>
      </w:r>
      <w:proofErr w:type="spellEnd"/>
      <w:r w:rsidR="001043AD">
        <w:t xml:space="preserve"> by </w:t>
      </w:r>
      <w:proofErr w:type="spellStart"/>
      <w:r w:rsidR="001043AD">
        <w:t>glucosyltransferase</w:t>
      </w:r>
      <w:proofErr w:type="spellEnd"/>
      <w:r w:rsidR="001043AD">
        <w:t xml:space="preserve"> enzyme in absence of water </w:t>
      </w:r>
      <w:r w:rsidR="0097726E">
        <w:t>result</w:t>
      </w:r>
      <w:r w:rsidR="001043AD">
        <w:t xml:space="preserve">s </w:t>
      </w:r>
      <w:r w:rsidR="0097726E">
        <w:t xml:space="preserve">in </w:t>
      </w:r>
      <w:proofErr w:type="spellStart"/>
      <w:r w:rsidR="001043AD">
        <w:t>cyclodextrins</w:t>
      </w:r>
      <w:proofErr w:type="spellEnd"/>
      <w:r w:rsidR="001043AD">
        <w:t>.</w:t>
      </w:r>
    </w:p>
    <w:p w14:paraId="6CA706CB" w14:textId="35486054" w:rsidR="008A55B5" w:rsidRDefault="0097726E" w:rsidP="001043AD">
      <w:pPr>
        <w:pStyle w:val="BodyText"/>
        <w:spacing w:after="0" w:line="240" w:lineRule="auto"/>
        <w:ind w:firstLine="0"/>
      </w:pPr>
      <w:r>
        <w:t xml:space="preserve">There are number of </w:t>
      </w:r>
      <w:r w:rsidR="009B37EB">
        <w:t>synthetic</w:t>
      </w:r>
      <w:r>
        <w:t xml:space="preserve"> approach</w:t>
      </w:r>
      <w:r w:rsidR="009B37EB">
        <w:t xml:space="preserve"> can be adopted</w:t>
      </w:r>
      <w:r w:rsidR="004A2969">
        <w:t xml:space="preserve"> </w:t>
      </w:r>
      <w:r w:rsidR="001043AD">
        <w:t xml:space="preserve">to prepare </w:t>
      </w:r>
      <w:proofErr w:type="spellStart"/>
      <w:r w:rsidR="001043AD">
        <w:t>cyclodextrins</w:t>
      </w:r>
      <w:proofErr w:type="spellEnd"/>
      <w:r w:rsidR="001043AD">
        <w:t xml:space="preserve">-guest complexes. Important </w:t>
      </w:r>
      <w:r w:rsidR="00CA7040">
        <w:t>approache</w:t>
      </w:r>
      <w:r w:rsidR="001043AD">
        <w:t>s includes co-precipitation, kneading, super critical carbon dioxide, microwave irradiation and spray drying</w:t>
      </w:r>
      <w:r w:rsidR="00CA7040">
        <w:t xml:space="preserve"> like technique</w:t>
      </w:r>
      <w:r w:rsidR="001043AD">
        <w:t xml:space="preserve">. Scanning electron microscopy (SEM), Fourier-transform infrared spectroscopy (FT-IR), powder X-ray diffraction (PXRD) and thermogravimetric analysis (TGA) and differential scanning </w:t>
      </w:r>
      <w:proofErr w:type="spellStart"/>
      <w:r w:rsidR="001043AD">
        <w:t>calorimetry</w:t>
      </w:r>
      <w:proofErr w:type="spellEnd"/>
      <w:r w:rsidR="001043AD">
        <w:t xml:space="preserve"> (DSC) </w:t>
      </w:r>
      <w:r w:rsidR="00CA7040">
        <w:t xml:space="preserve">are few </w:t>
      </w:r>
      <w:r w:rsidR="001043AD">
        <w:t xml:space="preserve">analytical techniques </w:t>
      </w:r>
      <w:r w:rsidR="00CA7040">
        <w:t>which are employed to characterize G</w:t>
      </w:r>
      <w:r w:rsidR="001043AD">
        <w:t>uest-</w:t>
      </w:r>
      <w:proofErr w:type="spellStart"/>
      <w:r w:rsidR="001043AD">
        <w:t>Cyclodextrin</w:t>
      </w:r>
      <w:proofErr w:type="spellEnd"/>
      <w:r w:rsidR="001043AD">
        <w:t xml:space="preserve"> </w:t>
      </w:r>
      <w:r w:rsidR="00155C55">
        <w:t>complex formation in solid phase</w:t>
      </w:r>
      <w:r w:rsidR="001043AD">
        <w:t>. In solution phase,</w:t>
      </w:r>
      <w:r w:rsidR="00281375">
        <w:t xml:space="preserve"> </w:t>
      </w:r>
      <w:r w:rsidR="001043AD">
        <w:t>it is characterized by different analytical techniques</w:t>
      </w:r>
      <w:r w:rsidR="00281375">
        <w:t xml:space="preserve"> </w:t>
      </w:r>
      <w:r w:rsidR="00281375" w:rsidRPr="00281375">
        <w:t>such as UV-visible spectroscopy, nuclear magnetic resonance (NMR) spectroscopy, high-performance liquid chromatography (HPLC) and fluorescence spectroscopy</w:t>
      </w:r>
      <w:r w:rsidR="006F250D">
        <w:t xml:space="preserve"> </w:t>
      </w:r>
      <w:r w:rsidR="00260F60">
        <w:t>[2]</w:t>
      </w:r>
      <w:r w:rsidR="00281375">
        <w:t>.</w:t>
      </w:r>
    </w:p>
    <w:p w14:paraId="776FD069" w14:textId="77777777" w:rsidR="002941FE" w:rsidRDefault="002941FE" w:rsidP="001043AD">
      <w:pPr>
        <w:pStyle w:val="BodyText"/>
        <w:spacing w:after="0" w:line="240" w:lineRule="auto"/>
        <w:ind w:firstLine="0"/>
      </w:pPr>
    </w:p>
    <w:p w14:paraId="5EBC99CC" w14:textId="18F091BB" w:rsidR="00767BF4" w:rsidRPr="0012776A" w:rsidRDefault="002941FE" w:rsidP="0012776A">
      <w:pPr>
        <w:pStyle w:val="BodyText"/>
        <w:spacing w:after="0" w:line="240" w:lineRule="auto"/>
        <w:ind w:firstLine="0"/>
        <w:jc w:val="center"/>
        <w:rPr>
          <w:b/>
        </w:rPr>
      </w:pPr>
      <w:r w:rsidRPr="002941FE">
        <w:rPr>
          <w:b/>
        </w:rPr>
        <w:t>V: APPLICATION IN SUPRAMOLECULAR CHEMISTRY</w:t>
      </w:r>
    </w:p>
    <w:p w14:paraId="04651149" w14:textId="7438BDB5" w:rsidR="00D01167" w:rsidRPr="00D01167" w:rsidRDefault="00D759A9" w:rsidP="00D01167">
      <w:pPr>
        <w:pStyle w:val="Heading2"/>
        <w:spacing w:before="0" w:after="0"/>
        <w:rPr>
          <w:b/>
          <w:i w:val="0"/>
        </w:rPr>
      </w:pPr>
      <w:r>
        <w:rPr>
          <w:b/>
          <w:i w:val="0"/>
        </w:rPr>
        <w:t>Overview</w:t>
      </w:r>
    </w:p>
    <w:p w14:paraId="21D6DAC4" w14:textId="10B2DB2C" w:rsidR="00C932C8" w:rsidRDefault="00C932C8" w:rsidP="00C932C8">
      <w:pPr>
        <w:pStyle w:val="bulletlist"/>
        <w:numPr>
          <w:ilvl w:val="0"/>
          <w:numId w:val="0"/>
        </w:numPr>
      </w:pPr>
      <w:r>
        <w:t xml:space="preserve">The </w:t>
      </w:r>
      <w:proofErr w:type="spellStart"/>
      <w:r>
        <w:t>cyclodextrin</w:t>
      </w:r>
      <w:proofErr w:type="spellEnd"/>
      <w:r>
        <w:t xml:space="preserve"> molecules have a unique structur</w:t>
      </w:r>
      <w:r w:rsidR="002A76CC">
        <w:t>al feature</w:t>
      </w:r>
      <w:r>
        <w:t xml:space="preserve"> with a hydrophobic cavity and a hydrophilic surface in which a guest molecule can be entrapped. A polar guest molecule interact with </w:t>
      </w:r>
      <w:proofErr w:type="spellStart"/>
      <w:r>
        <w:t>cyclodextrin</w:t>
      </w:r>
      <w:r w:rsidR="004D1F15">
        <w:t>s</w:t>
      </w:r>
      <w:proofErr w:type="spellEnd"/>
      <w:r>
        <w:t xml:space="preserve"> in </w:t>
      </w:r>
      <w:r w:rsidR="004D1F15">
        <w:t>aqueous</w:t>
      </w:r>
      <w:r>
        <w:t xml:space="preserve"> medium to form 1:</w:t>
      </w:r>
      <w:r w:rsidR="00877393">
        <w:t>1 molecular inclusion compounds. I</w:t>
      </w:r>
      <w:r>
        <w:t xml:space="preserve">n general, the guest molecule is included within the </w:t>
      </w:r>
      <w:proofErr w:type="spellStart"/>
      <w:r>
        <w:t>cyclodextrin</w:t>
      </w:r>
      <w:r w:rsidR="00F019A4">
        <w:t>s</w:t>
      </w:r>
      <w:proofErr w:type="spellEnd"/>
      <w:r>
        <w:t xml:space="preserve"> cavity</w:t>
      </w:r>
      <w:r w:rsidR="00B6464A">
        <w:t xml:space="preserve"> </w:t>
      </w:r>
      <w:r w:rsidR="00AA0475">
        <w:t>[5]</w:t>
      </w:r>
      <w:r>
        <w:t>.</w:t>
      </w:r>
    </w:p>
    <w:p w14:paraId="74B58CAC" w14:textId="0C39A426" w:rsidR="00C932C8" w:rsidRDefault="00B94FDB" w:rsidP="00C932C8">
      <w:pPr>
        <w:pStyle w:val="bulletlist"/>
        <w:numPr>
          <w:ilvl w:val="0"/>
          <w:numId w:val="0"/>
        </w:numPr>
        <w:jc w:val="center"/>
      </w:pPr>
      <w:r>
        <w:object w:dxaOrig="5638" w:dyaOrig="2114" w14:anchorId="51443AC1">
          <v:shape id="_x0000_i1026" type="#_x0000_t75" style="width:262.75pt;height:97.25pt" o:ole="">
            <v:imagedata r:id="rId12" o:title=""/>
          </v:shape>
          <o:OLEObject Type="Embed" ProgID="ChemDraw.Document.6.0" ShapeID="_x0000_i1026" DrawAspect="Content" ObjectID="_1752518220" r:id="rId13"/>
        </w:object>
      </w:r>
    </w:p>
    <w:p w14:paraId="4399C6CE" w14:textId="642B9EB9" w:rsidR="00C932C8" w:rsidRPr="00060815" w:rsidRDefault="00C932C8" w:rsidP="00060815">
      <w:pPr>
        <w:pStyle w:val="bulletlist"/>
        <w:numPr>
          <w:ilvl w:val="0"/>
          <w:numId w:val="0"/>
        </w:numPr>
        <w:ind w:left="576" w:hanging="288"/>
        <w:rPr>
          <w:b/>
        </w:rPr>
      </w:pPr>
      <w:r w:rsidRPr="00C932C8">
        <w:rPr>
          <w:b/>
        </w:rPr>
        <w:t xml:space="preserve">Figure 3: Scheme of the formation of an inclusion complex between a </w:t>
      </w:r>
      <w:proofErr w:type="spellStart"/>
      <w:r w:rsidRPr="00C932C8">
        <w:rPr>
          <w:b/>
        </w:rPr>
        <w:t>cyclodextrin</w:t>
      </w:r>
      <w:proofErr w:type="spellEnd"/>
      <w:r w:rsidRPr="00C932C8">
        <w:rPr>
          <w:b/>
        </w:rPr>
        <w:t xml:space="preserve"> </w:t>
      </w:r>
      <w:r w:rsidR="00A9579A">
        <w:rPr>
          <w:b/>
        </w:rPr>
        <w:t xml:space="preserve">molecule </w:t>
      </w:r>
      <w:r w:rsidRPr="00C932C8">
        <w:rPr>
          <w:b/>
        </w:rPr>
        <w:t>and a guest</w:t>
      </w:r>
    </w:p>
    <w:p w14:paraId="7D6CABC4" w14:textId="09AE403D" w:rsidR="00C932C8" w:rsidRDefault="00160C5D" w:rsidP="0012776A">
      <w:pPr>
        <w:pStyle w:val="bulletlist"/>
        <w:numPr>
          <w:ilvl w:val="0"/>
          <w:numId w:val="0"/>
        </w:numPr>
        <w:spacing w:after="0" w:line="240" w:lineRule="auto"/>
      </w:pPr>
      <w:r>
        <w:t>The key factor</w:t>
      </w:r>
      <w:r w:rsidR="00C932C8">
        <w:t xml:space="preserve"> for formation of inclusion comp</w:t>
      </w:r>
      <w:r w:rsidR="002A76CC">
        <w:t xml:space="preserve">lex </w:t>
      </w:r>
      <w:r>
        <w:t xml:space="preserve">of the </w:t>
      </w:r>
      <w:proofErr w:type="spellStart"/>
      <w:r>
        <w:t>cyclode</w:t>
      </w:r>
      <w:bookmarkStart w:id="0" w:name="_GoBack"/>
      <w:bookmarkEnd w:id="0"/>
      <w:r>
        <w:t>xtrin</w:t>
      </w:r>
      <w:r w:rsidR="00F019A4">
        <w:t>s</w:t>
      </w:r>
      <w:proofErr w:type="spellEnd"/>
      <w:r>
        <w:t xml:space="preserve"> </w:t>
      </w:r>
      <w:r w:rsidR="002A76CC">
        <w:t xml:space="preserve">involves the following important </w:t>
      </w:r>
      <w:r w:rsidR="00C932C8">
        <w:t>factors:</w:t>
      </w:r>
    </w:p>
    <w:p w14:paraId="4D0683BA" w14:textId="66FE69C2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proofErr w:type="spellStart"/>
      <w:r>
        <w:t>i</w:t>
      </w:r>
      <w:proofErr w:type="spellEnd"/>
      <w:r>
        <w:t>.</w:t>
      </w:r>
      <w:r>
        <w:tab/>
        <w:t xml:space="preserve">Steric </w:t>
      </w:r>
      <w:r w:rsidR="002A76CC">
        <w:t xml:space="preserve">flexibility and </w:t>
      </w:r>
      <w:r>
        <w:t>fit</w:t>
      </w:r>
      <w:r w:rsidR="002A76CC">
        <w:t>ness</w:t>
      </w:r>
      <w:r>
        <w:t xml:space="preserve"> </w:t>
      </w:r>
    </w:p>
    <w:p w14:paraId="0DF8446D" w14:textId="73BB8421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r>
        <w:t>ii. Hydrophobic effects</w:t>
      </w:r>
    </w:p>
    <w:p w14:paraId="0865B283" w14:textId="7BC8E8A9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proofErr w:type="gramStart"/>
      <w:r>
        <w:t>iii</w:t>
      </w:r>
      <w:proofErr w:type="gramEnd"/>
      <w:r>
        <w:t>. Van der Waals interactions</w:t>
      </w:r>
    </w:p>
    <w:p w14:paraId="407E05CF" w14:textId="65929334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r>
        <w:t>iv. Dipole-dipole interactions</w:t>
      </w:r>
    </w:p>
    <w:p w14:paraId="3DB1B535" w14:textId="43261CD0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r>
        <w:lastRenderedPageBreak/>
        <w:t>v. Hydrogen bonding</w:t>
      </w:r>
    </w:p>
    <w:p w14:paraId="65819861" w14:textId="282C391F" w:rsidR="00C932C8" w:rsidRDefault="00C932C8" w:rsidP="00B54167">
      <w:pPr>
        <w:pStyle w:val="bulletlist"/>
        <w:numPr>
          <w:ilvl w:val="0"/>
          <w:numId w:val="0"/>
        </w:numPr>
        <w:spacing w:after="0" w:line="240" w:lineRule="auto"/>
        <w:ind w:left="576"/>
      </w:pPr>
      <w:r>
        <w:t>vi. Electrostatic interactions</w:t>
      </w:r>
    </w:p>
    <w:p w14:paraId="1ACF4393" w14:textId="414E7129" w:rsidR="00767BF4" w:rsidRDefault="00C932C8" w:rsidP="00C932C8">
      <w:pPr>
        <w:pStyle w:val="bulletlist"/>
        <w:numPr>
          <w:ilvl w:val="0"/>
          <w:numId w:val="0"/>
        </w:numPr>
        <w:spacing w:after="0" w:line="240" w:lineRule="auto"/>
      </w:pPr>
      <w:proofErr w:type="spellStart"/>
      <w:r>
        <w:t>Cyclodextrins</w:t>
      </w:r>
      <w:proofErr w:type="spellEnd"/>
      <w:r>
        <w:t xml:space="preserve"> are well established </w:t>
      </w:r>
      <w:r w:rsidR="002A76CC">
        <w:t xml:space="preserve">and well-studied </w:t>
      </w:r>
      <w:r>
        <w:t xml:space="preserve">in the field of </w:t>
      </w:r>
      <w:proofErr w:type="spellStart"/>
      <w:r>
        <w:t>supramo</w:t>
      </w:r>
      <w:r w:rsidR="00A80387">
        <w:t>lecular</w:t>
      </w:r>
      <w:proofErr w:type="spellEnd"/>
      <w:r w:rsidR="00A80387">
        <w:t xml:space="preserve"> chemistry. A</w:t>
      </w:r>
      <w:r>
        <w:t xml:space="preserve">pplications of inclusion systems </w:t>
      </w:r>
      <w:r w:rsidR="00A80387">
        <w:t xml:space="preserve">have gained considerable interest </w:t>
      </w:r>
      <w:r>
        <w:t xml:space="preserve">of </w:t>
      </w:r>
      <w:proofErr w:type="spellStart"/>
      <w:r>
        <w:t>cyclodextrin</w:t>
      </w:r>
      <w:proofErr w:type="spellEnd"/>
      <w:r>
        <w:t xml:space="preserve"> due availability in high purity, s</w:t>
      </w:r>
      <w:r w:rsidR="00A80387">
        <w:t>olubility, biocompatible nature</w:t>
      </w:r>
      <w:r>
        <w:t xml:space="preserve"> and possibility of functionalization using different synthetic methods</w:t>
      </w:r>
      <w:r w:rsidR="00A80387">
        <w:t xml:space="preserve"> is also significant. Due to significant</w:t>
      </w:r>
      <w:r>
        <w:t xml:space="preserve"> inclusion </w:t>
      </w:r>
      <w:r w:rsidR="00A80387">
        <w:t>capability</w:t>
      </w:r>
      <w:r w:rsidR="00200EED">
        <w:t xml:space="preserve">, </w:t>
      </w:r>
      <w:r w:rsidR="00200EED" w:rsidRPr="006D0739">
        <w:rPr>
          <w:i/>
        </w:rPr>
        <w:t>α</w:t>
      </w:r>
      <w:r w:rsidR="00200EED">
        <w:t xml:space="preserve">-CD and </w:t>
      </w:r>
      <w:r w:rsidR="00200EED" w:rsidRPr="006D0739">
        <w:rPr>
          <w:i/>
        </w:rPr>
        <w:t>β</w:t>
      </w:r>
      <w:r w:rsidR="00200EED">
        <w:t>-CD are employed</w:t>
      </w:r>
      <w:r>
        <w:t xml:space="preserve"> in the design and construction of </w:t>
      </w:r>
      <w:proofErr w:type="spellStart"/>
      <w:r>
        <w:t>supramolecular</w:t>
      </w:r>
      <w:proofErr w:type="spellEnd"/>
      <w:r>
        <w:t xml:space="preserve"> structures. Different str</w:t>
      </w:r>
      <w:r w:rsidR="00200EED">
        <w:t>ategies are adopted to manipulate CDs in host-</w:t>
      </w:r>
      <w:r>
        <w:t>guest delivery systems. They are used in medicinal example in tablets, aqueous parenteral solutions, nasal sprays and eye drop solutions. In aqu</w:t>
      </w:r>
      <w:r w:rsidR="00C6652D">
        <w:t xml:space="preserve">eous solutions </w:t>
      </w:r>
      <w:proofErr w:type="spellStart"/>
      <w:r w:rsidR="00C6652D">
        <w:t>cyclodextrins</w:t>
      </w:r>
      <w:proofErr w:type="spellEnd"/>
      <w:r w:rsidR="00C6652D">
        <w:t xml:space="preserve"> is evidenced to</w:t>
      </w:r>
      <w:r>
        <w:t xml:space="preserve"> form inclusion complexes with many drug molecules by ta</w:t>
      </w:r>
      <w:r w:rsidR="00C6652D">
        <w:t>king up a drug molecule, or</w:t>
      </w:r>
      <w:r>
        <w:t xml:space="preserve"> lipophilic moiety of the molecule inside the central cavity</w:t>
      </w:r>
      <w:r w:rsidR="00C6652D">
        <w:t xml:space="preserve"> available</w:t>
      </w:r>
      <w:r>
        <w:t xml:space="preserve">. In general, no covalent bonds are </w:t>
      </w:r>
      <w:r w:rsidR="00C6652D">
        <w:t xml:space="preserve">established to be </w:t>
      </w:r>
      <w:r>
        <w:t xml:space="preserve">formed or broken during the complex formation process and drug molecules in the complex are in </w:t>
      </w:r>
      <w:r w:rsidR="00C6652D">
        <w:t xml:space="preserve">very </w:t>
      </w:r>
      <w:r>
        <w:t xml:space="preserve">fast equilibrium with free molecules in the solution phase. </w:t>
      </w:r>
      <w:proofErr w:type="spellStart"/>
      <w:r>
        <w:t>Cyclodextrins</w:t>
      </w:r>
      <w:proofErr w:type="spellEnd"/>
      <w:r>
        <w:t xml:space="preserve"> a</w:t>
      </w:r>
      <w:r w:rsidR="00C6652D">
        <w:t>nd their derivatives have been use</w:t>
      </w:r>
      <w:r>
        <w:t xml:space="preserve">d to synthesize novel </w:t>
      </w:r>
      <w:proofErr w:type="spellStart"/>
      <w:r>
        <w:t>nanomaterials</w:t>
      </w:r>
      <w:proofErr w:type="spellEnd"/>
      <w:r>
        <w:t xml:space="preserve"> of </w:t>
      </w:r>
      <w:proofErr w:type="spellStart"/>
      <w:r>
        <w:t>cyclodextrin</w:t>
      </w:r>
      <w:proofErr w:type="spellEnd"/>
      <w:r>
        <w:t xml:space="preserve">-containing materials with versatile </w:t>
      </w:r>
      <w:proofErr w:type="spellStart"/>
      <w:r>
        <w:t>supramolecular</w:t>
      </w:r>
      <w:proofErr w:type="spellEnd"/>
      <w:r>
        <w:t xml:space="preserve"> </w:t>
      </w:r>
      <w:r w:rsidR="00C6652D">
        <w:t>topologie</w:t>
      </w:r>
      <w:r>
        <w:t>s</w:t>
      </w:r>
      <w:r w:rsidR="00DB75C5">
        <w:t xml:space="preserve"> </w:t>
      </w:r>
      <w:r w:rsidR="00B94FDB">
        <w:t>[1</w:t>
      </w:r>
      <w:proofErr w:type="gramStart"/>
      <w:r w:rsidR="00B94FDB">
        <w:t>,3</w:t>
      </w:r>
      <w:proofErr w:type="gramEnd"/>
      <w:r w:rsidR="00B94FDB">
        <w:t>]</w:t>
      </w:r>
      <w:r>
        <w:t>. For pharmaceutical and me</w:t>
      </w:r>
      <w:r w:rsidR="00C6652D">
        <w:t xml:space="preserve">dical applications, </w:t>
      </w:r>
      <w:proofErr w:type="spellStart"/>
      <w:r w:rsidR="00C6652D">
        <w:t>nanosubstance</w:t>
      </w:r>
      <w:r>
        <w:t>s</w:t>
      </w:r>
      <w:proofErr w:type="spellEnd"/>
      <w:r>
        <w:t xml:space="preserve"> </w:t>
      </w:r>
      <w:r w:rsidR="00C6652D">
        <w:t>may be</w:t>
      </w:r>
      <w:r>
        <w:t xml:space="preserve"> formulated as oral, parenteral, topical or inhalation dosage forms. </w:t>
      </w:r>
      <w:proofErr w:type="spellStart"/>
      <w:r>
        <w:t>Cyclodextrins</w:t>
      </w:r>
      <w:proofErr w:type="spellEnd"/>
      <w:r>
        <w:t xml:space="preserve"> and </w:t>
      </w:r>
      <w:r w:rsidR="00C6652D">
        <w:t xml:space="preserve">as well as </w:t>
      </w:r>
      <w:r>
        <w:t xml:space="preserve">their derivatives have also important </w:t>
      </w:r>
      <w:r w:rsidR="00C6652D">
        <w:t>rea</w:t>
      </w:r>
      <w:r>
        <w:t>l</w:t>
      </w:r>
      <w:r w:rsidR="00C6652D">
        <w:t xml:space="preserve"> life</w:t>
      </w:r>
      <w:r>
        <w:t xml:space="preserve"> applications in microencapsulation including aroma and fragrances, oils, analytical chemistry, organic chemistry, macromolecular chemistry, click chemistry, environmental chemistry, food chemistry and nanotechnology</w:t>
      </w:r>
      <w:r w:rsidR="00051DF9">
        <w:t xml:space="preserve"> </w:t>
      </w:r>
      <w:r w:rsidR="00B94FDB">
        <w:t>[</w:t>
      </w:r>
      <w:r w:rsidR="00640762">
        <w:t>4]</w:t>
      </w:r>
      <w:r>
        <w:t>.</w:t>
      </w:r>
    </w:p>
    <w:p w14:paraId="2336418F" w14:textId="5D1F0276" w:rsidR="00F30236" w:rsidRDefault="00A24D6D" w:rsidP="00C932C8">
      <w:pPr>
        <w:pStyle w:val="bulletlist"/>
        <w:numPr>
          <w:ilvl w:val="0"/>
          <w:numId w:val="0"/>
        </w:numPr>
        <w:spacing w:after="0" w:line="240" w:lineRule="auto"/>
      </w:pPr>
      <w:r>
        <w:tab/>
      </w:r>
      <w:proofErr w:type="spellStart"/>
      <w:r w:rsidR="00F30236" w:rsidRPr="00F30236">
        <w:t>Cyclodextrin</w:t>
      </w:r>
      <w:r w:rsidR="00F019A4">
        <w:t>s</w:t>
      </w:r>
      <w:proofErr w:type="spellEnd"/>
      <w:r w:rsidR="00035822">
        <w:t xml:space="preserve"> are potential candidate for</w:t>
      </w:r>
      <w:r w:rsidR="00F30236" w:rsidRPr="00F30236">
        <w:t xml:space="preserve"> various modern day purposes</w:t>
      </w:r>
      <w:r w:rsidR="00035822">
        <w:t xml:space="preserve"> in daily life</w:t>
      </w:r>
      <w:r w:rsidR="00F30236" w:rsidRPr="00F30236">
        <w:t>. Nowadays, it is har</w:t>
      </w:r>
      <w:r w:rsidR="00035822">
        <w:t>d to think of a</w:t>
      </w:r>
      <w:r w:rsidR="00F30236" w:rsidRPr="00F30236">
        <w:t xml:space="preserve"> </w:t>
      </w:r>
      <w:r w:rsidR="00035822">
        <w:t xml:space="preserve">world that </w:t>
      </w:r>
      <w:r w:rsidR="00F30236" w:rsidRPr="00F30236">
        <w:t xml:space="preserve">does not have </w:t>
      </w:r>
      <w:proofErr w:type="spellStart"/>
      <w:r w:rsidR="00F30236" w:rsidRPr="00F30236">
        <w:t>cyclodextrins</w:t>
      </w:r>
      <w:proofErr w:type="spellEnd"/>
      <w:r w:rsidR="00F30236" w:rsidRPr="00F30236">
        <w:t xml:space="preserve">. </w:t>
      </w:r>
      <w:r w:rsidR="00035822" w:rsidRPr="00F30236">
        <w:t>Unintentionally</w:t>
      </w:r>
      <w:r w:rsidR="00F30236" w:rsidRPr="00F30236">
        <w:t xml:space="preserve">, today everyone routinely uses CDs in their daily lives food products as well as a significant amount of cosmetics, textiles and toiletries as invisible ingredients and </w:t>
      </w:r>
      <w:r w:rsidR="00035822" w:rsidRPr="00F30236">
        <w:t>numerous</w:t>
      </w:r>
      <w:r w:rsidR="00F30236" w:rsidRPr="00F30236">
        <w:t xml:space="preserve"> kinds of medical products. So the application of </w:t>
      </w:r>
      <w:proofErr w:type="spellStart"/>
      <w:r w:rsidR="00F30236" w:rsidRPr="00F30236">
        <w:t>cyclodextrins</w:t>
      </w:r>
      <w:proofErr w:type="spellEnd"/>
      <w:r w:rsidR="00F30236" w:rsidRPr="00F30236">
        <w:t xml:space="preserve"> </w:t>
      </w:r>
      <w:r w:rsidR="00035822" w:rsidRPr="00F30236">
        <w:t>contains</w:t>
      </w:r>
      <w:r w:rsidR="00F30236" w:rsidRPr="00F30236">
        <w:t xml:space="preserve"> area such as pharmaceuticals, food and flavors industry, agriculture industry, chemical industry, cosmetics and toiletries, textile and apparel industry. The </w:t>
      </w:r>
      <w:r w:rsidR="00035822" w:rsidRPr="00F30236">
        <w:t>extensive</w:t>
      </w:r>
      <w:r w:rsidR="00F30236" w:rsidRPr="00F30236">
        <w:t xml:space="preserve"> utilities of the </w:t>
      </w:r>
      <w:proofErr w:type="spellStart"/>
      <w:r w:rsidR="00F30236" w:rsidRPr="00F30236">
        <w:t>cyclodextrins</w:t>
      </w:r>
      <w:proofErr w:type="spellEnd"/>
      <w:r w:rsidR="00F30236" w:rsidRPr="00F30236">
        <w:t xml:space="preserve"> are due to the fascinating properties of them due to the presence of a cavity filled of methylene hydrogen </w:t>
      </w:r>
      <w:r w:rsidR="00035822">
        <w:t xml:space="preserve">and </w:t>
      </w:r>
      <w:proofErr w:type="spellStart"/>
      <w:r w:rsidR="00035822">
        <w:t>glucoside</w:t>
      </w:r>
      <w:proofErr w:type="spellEnd"/>
      <w:r w:rsidR="00035822">
        <w:t xml:space="preserve"> oxygen</w:t>
      </w:r>
      <w:r w:rsidR="009A74AE">
        <w:t xml:space="preserve"> </w:t>
      </w:r>
      <w:r w:rsidR="00640762">
        <w:t>[6</w:t>
      </w:r>
      <w:r w:rsidR="00AA0475">
        <w:t>-7]</w:t>
      </w:r>
      <w:r w:rsidR="00C332CB">
        <w:t>.</w:t>
      </w:r>
    </w:p>
    <w:p w14:paraId="637A99BF" w14:textId="77777777" w:rsidR="0012776A" w:rsidRPr="00466548" w:rsidRDefault="0012776A" w:rsidP="00C932C8">
      <w:pPr>
        <w:pStyle w:val="bulletlist"/>
        <w:numPr>
          <w:ilvl w:val="0"/>
          <w:numId w:val="0"/>
        </w:numPr>
        <w:spacing w:after="0" w:line="240" w:lineRule="auto"/>
      </w:pPr>
    </w:p>
    <w:p w14:paraId="1C6031A6" w14:textId="60A307F5" w:rsidR="00767BF4" w:rsidRDefault="00C332CB" w:rsidP="00767BF4">
      <w:pPr>
        <w:pStyle w:val="Heading2"/>
        <w:spacing w:before="0" w:after="0"/>
        <w:rPr>
          <w:b/>
          <w:i w:val="0"/>
        </w:rPr>
      </w:pPr>
      <w:r>
        <w:rPr>
          <w:b/>
          <w:i w:val="0"/>
        </w:rPr>
        <w:t>Application in Pharmaceutical</w:t>
      </w:r>
    </w:p>
    <w:p w14:paraId="554FD9EA" w14:textId="77777777" w:rsidR="0024768E" w:rsidRPr="0024768E" w:rsidRDefault="0024768E" w:rsidP="0024768E">
      <w:pPr>
        <w:jc w:val="both"/>
      </w:pPr>
    </w:p>
    <w:p w14:paraId="139BFD25" w14:textId="29B50F18" w:rsidR="00C54E24" w:rsidRDefault="00D01167" w:rsidP="0012776A">
      <w:pPr>
        <w:pStyle w:val="BodyText"/>
        <w:spacing w:after="0"/>
        <w:ind w:firstLine="0"/>
      </w:pPr>
      <w:r>
        <w:tab/>
      </w:r>
      <w:r>
        <w:tab/>
      </w:r>
      <w:r w:rsidR="0011414D">
        <w:t>Comparatively</w:t>
      </w:r>
      <w:r w:rsidR="00A53F02" w:rsidRPr="00A53F02">
        <w:t xml:space="preserve"> low solubility of native </w:t>
      </w:r>
      <w:proofErr w:type="spellStart"/>
      <w:r w:rsidR="00A53F02" w:rsidRPr="00A53F02">
        <w:t>cyclodextrins</w:t>
      </w:r>
      <w:proofErr w:type="spellEnd"/>
      <w:r w:rsidR="00A53F02" w:rsidRPr="00A53F02">
        <w:t xml:space="preserve"> in </w:t>
      </w:r>
      <w:r w:rsidR="0011414D">
        <w:t xml:space="preserve">common </w:t>
      </w:r>
      <w:r w:rsidR="00A53F02" w:rsidRPr="00A53F02">
        <w:t xml:space="preserve">organic solvent as well as water makes them less </w:t>
      </w:r>
      <w:r w:rsidR="0011414D" w:rsidRPr="00A53F02">
        <w:t>beneficial</w:t>
      </w:r>
      <w:r w:rsidR="00A53F02" w:rsidRPr="00A53F02">
        <w:t xml:space="preserve"> in the pharmaceutical product. However there are some </w:t>
      </w:r>
      <w:r w:rsidR="0011414D" w:rsidRPr="00A53F02">
        <w:t>added</w:t>
      </w:r>
      <w:r w:rsidR="00A53F02" w:rsidRPr="00A53F02">
        <w:t xml:space="preserve"> advantage which make the </w:t>
      </w:r>
      <w:proofErr w:type="spellStart"/>
      <w:r w:rsidR="00A53F02" w:rsidRPr="00A53F02">
        <w:t>cyclodextrin</w:t>
      </w:r>
      <w:proofErr w:type="spellEnd"/>
      <w:r w:rsidR="00A53F02" w:rsidRPr="00A53F02">
        <w:t xml:space="preserve"> as active ingredient in pharmaceutical products. They are </w:t>
      </w:r>
      <w:r w:rsidR="0011414D" w:rsidRPr="00A53F02">
        <w:t>manufactured</w:t>
      </w:r>
      <w:r w:rsidR="00A53F02" w:rsidRPr="00A53F02">
        <w:t xml:space="preserve"> from the natural starch through a simple enzymatic </w:t>
      </w:r>
      <w:r w:rsidR="0011414D" w:rsidRPr="00A53F02">
        <w:t>transformation</w:t>
      </w:r>
      <w:r w:rsidR="00A53F02" w:rsidRPr="00A53F02">
        <w:t xml:space="preserve">. Moreover any cytotoxic effect of </w:t>
      </w:r>
      <w:proofErr w:type="spellStart"/>
      <w:r w:rsidR="00A53F02" w:rsidRPr="00A53F02">
        <w:t>cyclodextrin</w:t>
      </w:r>
      <w:proofErr w:type="spellEnd"/>
      <w:r w:rsidR="00A53F02" w:rsidRPr="00A53F02">
        <w:t xml:space="preserve"> can be </w:t>
      </w:r>
      <w:r w:rsidR="00286D6B">
        <w:t>avoided</w:t>
      </w:r>
      <w:r w:rsidR="00A53F02" w:rsidRPr="00A53F02">
        <w:t xml:space="preserve"> by making </w:t>
      </w:r>
      <w:r w:rsidR="0011414D" w:rsidRPr="00A53F02">
        <w:t>proper</w:t>
      </w:r>
      <w:r w:rsidR="00A53F02" w:rsidRPr="00A53F02">
        <w:t xml:space="preserve"> derivatives. </w:t>
      </w:r>
      <w:r w:rsidR="00286D6B">
        <w:t>This motivates the scientist to synthesized</w:t>
      </w:r>
      <w:r w:rsidR="00A53F02" w:rsidRPr="00A53F02">
        <w:t xml:space="preserve"> different varieties of </w:t>
      </w:r>
      <w:proofErr w:type="spellStart"/>
      <w:r w:rsidR="00A53F02" w:rsidRPr="00A53F02">
        <w:t>cyclodextrin</w:t>
      </w:r>
      <w:proofErr w:type="spellEnd"/>
      <w:r w:rsidR="00920688">
        <w:t xml:space="preserve"> which </w:t>
      </w:r>
      <w:r w:rsidR="00A53F02" w:rsidRPr="00A53F02">
        <w:t xml:space="preserve">can be used to increase the bioavailability, solubility and stability of different drugs </w:t>
      </w:r>
      <w:r w:rsidR="00920688">
        <w:t xml:space="preserve">molecule </w:t>
      </w:r>
      <w:r w:rsidR="00A53F02" w:rsidRPr="00A53F02">
        <w:t xml:space="preserve">by </w:t>
      </w:r>
      <w:r w:rsidR="0011414D">
        <w:t xml:space="preserve">triggering </w:t>
      </w:r>
      <w:r w:rsidR="00A53F02" w:rsidRPr="00A53F02">
        <w:t>formati</w:t>
      </w:r>
      <w:r w:rsidR="00D6555F">
        <w:t>on of the ‟Inclusion complex” [8</w:t>
      </w:r>
      <w:r w:rsidR="00A53F02" w:rsidRPr="00A53F02">
        <w:t>]</w:t>
      </w:r>
      <w:r w:rsidR="001010D7">
        <w:t xml:space="preserve"> (figure 5)</w:t>
      </w:r>
      <w:r w:rsidR="00A53F02" w:rsidRPr="00A53F02">
        <w:t xml:space="preserve">. </w:t>
      </w:r>
      <w:proofErr w:type="spellStart"/>
      <w:r w:rsidR="00EF0965">
        <w:t>Hydroxyalkylated</w:t>
      </w:r>
      <w:proofErr w:type="spellEnd"/>
      <w:r w:rsidR="00EF0965">
        <w:t>-</w:t>
      </w:r>
      <w:r w:rsidR="00EF0965" w:rsidRPr="00514664">
        <w:rPr>
          <w:i/>
        </w:rPr>
        <w:t>β</w:t>
      </w:r>
      <w:r w:rsidR="00EF0965">
        <w:t>-</w:t>
      </w:r>
      <w:proofErr w:type="spellStart"/>
      <w:r w:rsidR="00EF0965">
        <w:t>cyclodextrins</w:t>
      </w:r>
      <w:proofErr w:type="spellEnd"/>
      <w:r w:rsidR="00EF0965">
        <w:t xml:space="preserve"> derivatives are </w:t>
      </w:r>
      <w:r w:rsidR="0011414D">
        <w:t xml:space="preserve">mostly used </w:t>
      </w:r>
      <w:r w:rsidR="00EF0965">
        <w:t xml:space="preserve">for improving the crystallization rates of inadequate water-soluble </w:t>
      </w:r>
      <w:r w:rsidR="0011414D">
        <w:t>medicines</w:t>
      </w:r>
      <w:r w:rsidR="00EF0965">
        <w:t xml:space="preserve"> and inhibiting polymorphic tran</w:t>
      </w:r>
      <w:r w:rsidR="00D9347F">
        <w:t>sitions during storage [9,</w:t>
      </w:r>
      <w:r w:rsidR="00C14EC5">
        <w:t xml:space="preserve"> </w:t>
      </w:r>
      <w:r w:rsidR="00D9347F">
        <w:t>10</w:t>
      </w:r>
      <w:r w:rsidR="00EF0965">
        <w:t>].</w:t>
      </w:r>
    </w:p>
    <w:p w14:paraId="0D7B90BE" w14:textId="0927651E" w:rsidR="00A53F02" w:rsidRDefault="00A53F02" w:rsidP="00A53F02">
      <w:pPr>
        <w:pStyle w:val="BodyText"/>
        <w:spacing w:after="0" w:line="240" w:lineRule="auto"/>
        <w:ind w:firstLine="0"/>
      </w:pPr>
      <w:proofErr w:type="spellStart"/>
      <w:r w:rsidRPr="00A53F02">
        <w:t>Thiolated</w:t>
      </w:r>
      <w:proofErr w:type="spellEnd"/>
      <w:r w:rsidRPr="00A53F02">
        <w:t xml:space="preserve"> α-</w:t>
      </w:r>
      <w:proofErr w:type="spellStart"/>
      <w:r w:rsidRPr="00A53F02">
        <w:t>cyclodextrin</w:t>
      </w:r>
      <w:proofErr w:type="spellEnd"/>
      <w:r w:rsidRPr="00A53F02">
        <w:t xml:space="preserve"> are known to be </w:t>
      </w:r>
      <w:r w:rsidR="00083463">
        <w:t xml:space="preserve">the </w:t>
      </w:r>
      <w:r w:rsidR="0011414D">
        <w:t>tiniest</w:t>
      </w:r>
      <w:r w:rsidR="00083463">
        <w:t xml:space="preserve"> drug carrier</w:t>
      </w:r>
      <w:r w:rsidR="00EC69E9">
        <w:t xml:space="preserve"> </w:t>
      </w:r>
      <w:r w:rsidR="00083463">
        <w:t>[11</w:t>
      </w:r>
      <w:r w:rsidRPr="00A53F02">
        <w:t>]</w:t>
      </w:r>
      <w:r w:rsidR="00083463">
        <w:t>.</w:t>
      </w:r>
      <w:r w:rsidR="00EC69E9">
        <w:t xml:space="preserve"> </w:t>
      </w:r>
      <w:proofErr w:type="spellStart"/>
      <w:r w:rsidR="00EC69E9">
        <w:t>Thiolation</w:t>
      </w:r>
      <w:proofErr w:type="spellEnd"/>
      <w:r w:rsidR="00EC69E9">
        <w:t xml:space="preserve"> process of </w:t>
      </w:r>
      <w:r w:rsidR="00EC69E9" w:rsidRPr="00EC69E9">
        <w:t>α-CD</w:t>
      </w:r>
      <w:r w:rsidR="00EC69E9">
        <w:t xml:space="preserve"> is showed in the figure 4.</w:t>
      </w:r>
      <w:r w:rsidRPr="00A53F02">
        <w:t xml:space="preserve"> Cellular uptake experiment </w:t>
      </w:r>
      <w:r w:rsidR="0011414D" w:rsidRPr="00A53F02">
        <w:t>demonstrated</w:t>
      </w:r>
      <w:r w:rsidRPr="00A53F02">
        <w:t xml:space="preserve"> that the </w:t>
      </w:r>
      <w:proofErr w:type="spellStart"/>
      <w:r w:rsidRPr="00A53F02">
        <w:t>thiolated</w:t>
      </w:r>
      <w:proofErr w:type="spellEnd"/>
      <w:r w:rsidRPr="00A53F02">
        <w:t xml:space="preserve"> α-CD can enter </w:t>
      </w:r>
      <w:r w:rsidR="005F2286">
        <w:t xml:space="preserve">the </w:t>
      </w:r>
      <w:r w:rsidRPr="00A53F02">
        <w:t xml:space="preserve">HEK-293, Caco-2, and MC3T3 cells more </w:t>
      </w:r>
      <w:r w:rsidR="0011414D" w:rsidRPr="00A53F02">
        <w:t>simply</w:t>
      </w:r>
      <w:r w:rsidRPr="00A53F02">
        <w:t xml:space="preserve"> compared to the native-CD. These </w:t>
      </w:r>
      <w:proofErr w:type="spellStart"/>
      <w:r w:rsidRPr="00A53F02">
        <w:t>thiolated</w:t>
      </w:r>
      <w:proofErr w:type="spellEnd"/>
      <w:r w:rsidRPr="00A53F02">
        <w:t xml:space="preserve"> α-CD carry the hydrophobic drug in its cavity and deliver to the target cells. The </w:t>
      </w:r>
      <w:r w:rsidR="0011414D" w:rsidRPr="00A53F02">
        <w:t>dr</w:t>
      </w:r>
      <w:r w:rsidR="0011414D">
        <w:t>ug</w:t>
      </w:r>
      <w:r w:rsidR="0011414D" w:rsidRPr="00A53F02">
        <w:t xml:space="preserve"> </w:t>
      </w:r>
      <w:r w:rsidRPr="00A53F02">
        <w:t xml:space="preserve">delivery of </w:t>
      </w:r>
      <w:r w:rsidR="0012776A">
        <w:t>molecule can be explained in Figure 5.</w:t>
      </w:r>
    </w:p>
    <w:p w14:paraId="61CBB4B7" w14:textId="5EE0B389" w:rsidR="000B0FC9" w:rsidRPr="008732C1" w:rsidRDefault="000B0FC9" w:rsidP="000B0FC9">
      <w:pPr>
        <w:pStyle w:val="BodyText"/>
        <w:spacing w:after="0" w:line="240" w:lineRule="auto"/>
        <w:ind w:firstLine="0"/>
        <w:jc w:val="center"/>
        <w:rPr>
          <w:lang w:val="en-IN"/>
        </w:rPr>
      </w:pPr>
      <w:r w:rsidRPr="00BF756F">
        <w:rPr>
          <w:noProof/>
          <w:sz w:val="24"/>
          <w:lang w:val="en-IN" w:eastAsia="en-IN"/>
        </w:rPr>
        <w:drawing>
          <wp:inline distT="0" distB="0" distL="0" distR="0" wp14:anchorId="6D546D8D" wp14:editId="64968206">
            <wp:extent cx="4386496" cy="1467983"/>
            <wp:effectExtent l="0" t="0" r="0" b="0"/>
            <wp:docPr id="5" name="Picture 5" descr="C:\Users\deasish\OneDrive\Pictures\Screenshots\Screenshot (24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asish\OneDrive\Pictures\Screenshots\Screenshot (248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117"/>
                    <a:stretch/>
                  </pic:blipFill>
                  <pic:spPr bwMode="auto">
                    <a:xfrm>
                      <a:off x="0" y="0"/>
                      <a:ext cx="4404899" cy="147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E2F43D" w14:textId="546FD44A" w:rsidR="009972F3" w:rsidRPr="003E19A4" w:rsidRDefault="005F0737" w:rsidP="003E19A4">
      <w:pPr>
        <w:pStyle w:val="BodyText"/>
        <w:spacing w:after="0" w:line="240" w:lineRule="auto"/>
        <w:ind w:firstLine="0"/>
        <w:jc w:val="center"/>
        <w:rPr>
          <w:b/>
        </w:rPr>
      </w:pPr>
      <w:r w:rsidRPr="00BD43F6">
        <w:rPr>
          <w:b/>
        </w:rPr>
        <w:t>Figure</w:t>
      </w:r>
      <w:r w:rsidR="00430CAD">
        <w:rPr>
          <w:b/>
        </w:rPr>
        <w:t xml:space="preserve"> 4</w:t>
      </w:r>
      <w:r w:rsidRPr="00BD43F6">
        <w:rPr>
          <w:b/>
        </w:rPr>
        <w:t xml:space="preserve">: Schematic reaction </w:t>
      </w:r>
      <w:r w:rsidR="00514664">
        <w:rPr>
          <w:b/>
        </w:rPr>
        <w:t xml:space="preserve">for the synthesis </w:t>
      </w:r>
      <w:proofErr w:type="spellStart"/>
      <w:r w:rsidR="00514664">
        <w:rPr>
          <w:b/>
        </w:rPr>
        <w:t>thiolated</w:t>
      </w:r>
      <w:proofErr w:type="spellEnd"/>
      <w:r w:rsidR="00514664">
        <w:rPr>
          <w:b/>
        </w:rPr>
        <w:t xml:space="preserve"> α-</w:t>
      </w:r>
      <w:proofErr w:type="spellStart"/>
      <w:r w:rsidR="00514664">
        <w:rPr>
          <w:b/>
        </w:rPr>
        <w:t>cyclodextrines</w:t>
      </w:r>
      <w:proofErr w:type="spellEnd"/>
    </w:p>
    <w:p w14:paraId="4CA205BA" w14:textId="67B96568" w:rsidR="000B0FC9" w:rsidRDefault="000B0FC9" w:rsidP="000B0FC9">
      <w:pPr>
        <w:pStyle w:val="BodyText"/>
        <w:jc w:val="center"/>
      </w:pPr>
      <w:r>
        <w:object w:dxaOrig="8069" w:dyaOrig="2796" w14:anchorId="66B1837D">
          <v:shape id="_x0000_i1027" type="#_x0000_t75" style="width:334.2pt;height:115pt" o:ole="">
            <v:imagedata r:id="rId15" o:title=""/>
          </v:shape>
          <o:OLEObject Type="Embed" ProgID="ChemDraw.Document.6.0" ShapeID="_x0000_i1027" DrawAspect="Content" ObjectID="_1752518221" r:id="rId16"/>
        </w:object>
      </w:r>
    </w:p>
    <w:p w14:paraId="5DBB191A" w14:textId="77777777" w:rsidR="0071554A" w:rsidRDefault="0071554A" w:rsidP="0071554A">
      <w:pPr>
        <w:pStyle w:val="BodyText"/>
        <w:jc w:val="left"/>
      </w:pPr>
      <w:r w:rsidRPr="000B0FC9">
        <w:rPr>
          <w:b/>
        </w:rPr>
        <w:t>Figure</w:t>
      </w:r>
      <w:r>
        <w:rPr>
          <w:b/>
        </w:rPr>
        <w:t xml:space="preserve"> 5</w:t>
      </w:r>
      <w:r w:rsidRPr="000B0FC9">
        <w:rPr>
          <w:b/>
        </w:rPr>
        <w:t>: The mechanism of formation of Inclusion compound with the drug molecule</w:t>
      </w:r>
      <w:r>
        <w:t>.</w:t>
      </w:r>
    </w:p>
    <w:p w14:paraId="4580153A" w14:textId="628DE614" w:rsidR="0071554A" w:rsidRDefault="00CD5EAC" w:rsidP="00B90F71">
      <w:pPr>
        <w:pStyle w:val="BodyText"/>
        <w:ind w:firstLine="0"/>
      </w:pPr>
      <w:r>
        <w:t xml:space="preserve">The drug delivery mechanism for the </w:t>
      </w:r>
      <w:proofErr w:type="spellStart"/>
      <w:r>
        <w:t>cyclodextrin</w:t>
      </w:r>
      <w:proofErr w:type="spellEnd"/>
      <w:r>
        <w:t xml:space="preserve"> is shown in the figure 6.</w:t>
      </w:r>
      <w:r w:rsidR="00030419">
        <w:t xml:space="preserve"> CDs have no </w:t>
      </w:r>
      <w:r w:rsidR="0011414D">
        <w:t>title role</w:t>
      </w:r>
      <w:r w:rsidR="00030419">
        <w:t xml:space="preserve"> in the increasing permeability of drug across bi</w:t>
      </w:r>
      <w:r w:rsidR="008E166A">
        <w:t>ological membrane.</w:t>
      </w:r>
      <w:r w:rsidR="0011414D">
        <w:t xml:space="preserve"> </w:t>
      </w:r>
      <w:r w:rsidR="008E166A">
        <w:t>I</w:t>
      </w:r>
      <w:r w:rsidR="00030419">
        <w:t xml:space="preserve">t </w:t>
      </w:r>
      <w:r w:rsidR="008E166A">
        <w:t xml:space="preserve">only </w:t>
      </w:r>
      <w:r w:rsidR="00030419">
        <w:t xml:space="preserve">helps in the modification of the </w:t>
      </w:r>
      <w:r w:rsidR="0011414D">
        <w:t>aqueous solubility of the drugs.</w:t>
      </w:r>
      <w:r w:rsidR="00030419">
        <w:t xml:space="preserve"> </w:t>
      </w:r>
      <w:r w:rsidR="0011414D">
        <w:t>The composition of the drug</w:t>
      </w:r>
      <w:r w:rsidR="008E166A">
        <w:t xml:space="preserve"> determine the rate of movement </w:t>
      </w:r>
      <w:r w:rsidR="006012FB">
        <w:t xml:space="preserve">of the drugs across the membrane. </w:t>
      </w:r>
      <w:r w:rsidR="003654FB">
        <w:t>[12].</w:t>
      </w:r>
      <w:r>
        <w:t xml:space="preserve">The main driving force for irreversible binding is simple dilution. Moreover, other </w:t>
      </w:r>
      <w:r w:rsidR="001F6AAE">
        <w:t xml:space="preserve">well studied </w:t>
      </w:r>
      <w:r>
        <w:t xml:space="preserve">mechanism such as drug–protein binding, direct drug partition from the complex to </w:t>
      </w:r>
      <w:r w:rsidR="001F6AAE">
        <w:t>competitive binding which also</w:t>
      </w:r>
      <w:r>
        <w:t xml:space="preserve"> contribute to rapid drug release from the complexes </w:t>
      </w:r>
      <w:r w:rsidR="00C94F73">
        <w:t>[13</w:t>
      </w:r>
      <w:proofErr w:type="gramStart"/>
      <w:r w:rsidR="00C94F73">
        <w:t>,14</w:t>
      </w:r>
      <w:proofErr w:type="gramEnd"/>
      <w:r w:rsidR="006012FB">
        <w:t>]</w:t>
      </w:r>
    </w:p>
    <w:p w14:paraId="40487F06" w14:textId="15F6BCE0" w:rsidR="0071554A" w:rsidRDefault="0071554A" w:rsidP="000B0FC9">
      <w:pPr>
        <w:pStyle w:val="BodyText"/>
        <w:jc w:val="center"/>
      </w:pPr>
      <w:r w:rsidRPr="0071554A">
        <w:rPr>
          <w:noProof/>
          <w:lang w:val="en-IN" w:eastAsia="en-IN"/>
        </w:rPr>
        <w:drawing>
          <wp:inline distT="0" distB="0" distL="0" distR="0" wp14:anchorId="2C7027D2" wp14:editId="2C7C8916">
            <wp:extent cx="4588933" cy="3442853"/>
            <wp:effectExtent l="0" t="0" r="2540" b="5715"/>
            <wp:docPr id="7" name="Picture 7" descr="F:\Book Ch\Chem draw\Screenshot (1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Book Ch\Chem draw\Screenshot (111.t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017" cy="345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5F79" w14:textId="2120A1E0" w:rsidR="00B90F71" w:rsidRPr="00B90F71" w:rsidRDefault="00B90F71" w:rsidP="000B0FC9">
      <w:pPr>
        <w:pStyle w:val="BodyText"/>
        <w:jc w:val="center"/>
        <w:rPr>
          <w:b/>
        </w:rPr>
      </w:pPr>
      <w:r w:rsidRPr="00B90F71">
        <w:rPr>
          <w:b/>
        </w:rPr>
        <w:t xml:space="preserve">Figure 6: The </w:t>
      </w:r>
      <w:r w:rsidR="00FF1C99">
        <w:rPr>
          <w:b/>
        </w:rPr>
        <w:t xml:space="preserve">mechanism and </w:t>
      </w:r>
      <w:r w:rsidRPr="00B90F71">
        <w:rPr>
          <w:b/>
        </w:rPr>
        <w:t xml:space="preserve">drug binding and releasing mode of </w:t>
      </w:r>
      <w:proofErr w:type="spellStart"/>
      <w:r w:rsidRPr="00B90F71">
        <w:rPr>
          <w:b/>
        </w:rPr>
        <w:t>cyclodextrin</w:t>
      </w:r>
      <w:proofErr w:type="spellEnd"/>
      <w:r w:rsidRPr="00B90F71">
        <w:rPr>
          <w:b/>
        </w:rPr>
        <w:t xml:space="preserve"> molecule</w:t>
      </w:r>
    </w:p>
    <w:p w14:paraId="523A79D3" w14:textId="581B12B4" w:rsidR="0024768E" w:rsidRDefault="00FE292B" w:rsidP="000B0FC9">
      <w:pPr>
        <w:pStyle w:val="BodyText"/>
        <w:ind w:firstLine="0"/>
      </w:pPr>
      <w:r>
        <w:t>In recent times</w:t>
      </w:r>
      <w:r w:rsidR="000B0FC9">
        <w:t xml:space="preserve">, the use of CD-containing polymers for drug release </w:t>
      </w:r>
      <w:r>
        <w:t>seems</w:t>
      </w:r>
      <w:r w:rsidR="000B0FC9">
        <w:t xml:space="preserve"> to have been seriously investigated. Some of them have reached </w:t>
      </w:r>
      <w:r>
        <w:t xml:space="preserve">upto </w:t>
      </w:r>
      <w:r w:rsidR="000B0FC9">
        <w:t>clinical</w:t>
      </w:r>
      <w:r w:rsidR="006E3A41">
        <w:t xml:space="preserve"> trial also. For example a</w:t>
      </w:r>
      <w:r w:rsidR="0024768E">
        <w:t xml:space="preserve">pplication of </w:t>
      </w:r>
      <w:proofErr w:type="spellStart"/>
      <w:r w:rsidR="0024768E">
        <w:t>clycodextrin</w:t>
      </w:r>
      <w:proofErr w:type="spellEnd"/>
      <w:r w:rsidR="0024768E">
        <w:t xml:space="preserve"> use in </w:t>
      </w:r>
      <w:r w:rsidR="00791216">
        <w:t>drug enablement</w:t>
      </w:r>
      <w:r w:rsidR="00742759">
        <w:t xml:space="preserve"> are </w:t>
      </w:r>
      <w:r w:rsidR="006E3A41">
        <w:t>explained in short in the following-</w:t>
      </w:r>
    </w:p>
    <w:p w14:paraId="545C13F8" w14:textId="77777777" w:rsidR="00240238" w:rsidRDefault="00BD54F8" w:rsidP="000B0FC9">
      <w:pPr>
        <w:pStyle w:val="BodyText"/>
        <w:ind w:firstLine="0"/>
        <w:rPr>
          <w:b/>
        </w:rPr>
      </w:pPr>
      <w:r>
        <w:rPr>
          <w:b/>
        </w:rPr>
        <w:t>(a)</w:t>
      </w:r>
      <w:proofErr w:type="spellStart"/>
      <w:r w:rsidR="00791216" w:rsidRPr="00791216">
        <w:rPr>
          <w:b/>
        </w:rPr>
        <w:t>Piroxicam</w:t>
      </w:r>
      <w:proofErr w:type="spellEnd"/>
      <w:r w:rsidR="00824340">
        <w:rPr>
          <w:b/>
        </w:rPr>
        <w:t xml:space="preserve">: </w:t>
      </w:r>
    </w:p>
    <w:p w14:paraId="7E8C572A" w14:textId="397A4D10" w:rsidR="00791216" w:rsidRDefault="00FE292B" w:rsidP="000B0FC9">
      <w:pPr>
        <w:pStyle w:val="BodyText"/>
        <w:ind w:firstLine="0"/>
        <w:rPr>
          <w:b/>
        </w:rPr>
      </w:pPr>
      <w:proofErr w:type="spellStart"/>
      <w:r w:rsidRPr="00FE292B">
        <w:t>Piroxicam</w:t>
      </w:r>
      <w:proofErr w:type="spellEnd"/>
      <w:r w:rsidRPr="00FE292B">
        <w:t xml:space="preserve"> </w:t>
      </w:r>
      <w:r w:rsidR="00824340" w:rsidRPr="00824340">
        <w:t>is a</w:t>
      </w:r>
      <w:r w:rsidR="00824340">
        <w:t xml:space="preserve"> water insoluble non-steroidal anti-inflammatory drug</w:t>
      </w:r>
      <w:r w:rsidR="004C71E8">
        <w:t xml:space="preserve"> (figure 7)</w:t>
      </w:r>
      <w:r w:rsidR="00824340">
        <w:t>.</w:t>
      </w:r>
      <w:r>
        <w:t>For the purpose of increment in  the solubility,</w:t>
      </w:r>
      <w:r w:rsidR="00106EA7">
        <w:t xml:space="preserve"> </w:t>
      </w:r>
      <w:proofErr w:type="spellStart"/>
      <w:r w:rsidR="00106EA7">
        <w:t>piroxicam</w:t>
      </w:r>
      <w:proofErr w:type="spellEnd"/>
      <w:r w:rsidR="00106EA7">
        <w:t xml:space="preserve"> is treated with </w:t>
      </w:r>
      <w:r w:rsidR="00106EA7" w:rsidRPr="00BC0FFF">
        <w:rPr>
          <w:rFonts w:ascii="Symbol" w:hAnsi="Symbol"/>
          <w:i/>
        </w:rPr>
        <w:t></w:t>
      </w:r>
      <w:r w:rsidR="00106EA7">
        <w:rPr>
          <w:rFonts w:ascii="Symbol" w:hAnsi="Symbol"/>
        </w:rPr>
        <w:t></w:t>
      </w:r>
      <w:r w:rsidR="00106EA7">
        <w:t>CD with molar ratio 1: 2.5 in aqueous ammonium hydroxide solution</w:t>
      </w:r>
      <w:r w:rsidR="00B01002">
        <w:t xml:space="preserve"> followed by</w:t>
      </w:r>
      <w:r w:rsidR="00106EA7">
        <w:t xml:space="preserve"> </w:t>
      </w:r>
      <w:r w:rsidR="00106EA7" w:rsidRPr="00106EA7">
        <w:t>spray drying to form white</w:t>
      </w:r>
      <w:r w:rsidR="00106EA7">
        <w:t xml:space="preserve"> complex </w:t>
      </w:r>
      <w:r>
        <w:t>precipitate</w:t>
      </w:r>
      <w:r w:rsidR="00106EA7">
        <w:t>.</w:t>
      </w:r>
      <w:r w:rsidR="004E7ECE" w:rsidRPr="004E7ECE">
        <w:t xml:space="preserve"> </w:t>
      </w:r>
      <w:r w:rsidR="00C94F73">
        <w:t>[15</w:t>
      </w:r>
      <w:r w:rsidR="004E7ECE">
        <w:t>]</w:t>
      </w:r>
      <w:r w:rsidR="00F214AC">
        <w:t>.</w:t>
      </w:r>
      <w:r>
        <w:t xml:space="preserve"> C</w:t>
      </w:r>
      <w:r w:rsidR="009C7E3F">
        <w:t>omplex formation</w:t>
      </w:r>
      <w:r w:rsidR="00F214AC">
        <w:t xml:space="preserve"> increases the aqueous solubility of the drug from about 0.02 mg/ml to a</w:t>
      </w:r>
      <w:r>
        <w:t>bout 0.15 mg/ml at pH 5 and 37°C temperature</w:t>
      </w:r>
      <w:r w:rsidR="009C7E3F">
        <w:t>.</w:t>
      </w:r>
      <w:r w:rsidR="00A016A8">
        <w:t xml:space="preserve"> Moreover</w:t>
      </w:r>
      <w:r w:rsidR="00756726">
        <w:t>,</w:t>
      </w:r>
      <w:r w:rsidR="00F214AC">
        <w:t xml:space="preserve"> its </w:t>
      </w:r>
      <w:r w:rsidR="00586A0D">
        <w:t xml:space="preserve">increase the </w:t>
      </w:r>
      <w:r w:rsidR="00756726">
        <w:t xml:space="preserve">wettability, hence, </w:t>
      </w:r>
      <w:r w:rsidR="00F214AC">
        <w:t xml:space="preserve">the drug dissolution rate is </w:t>
      </w:r>
      <w:r w:rsidR="00586A0D">
        <w:t xml:space="preserve">also </w:t>
      </w:r>
      <w:r w:rsidR="00756726">
        <w:t>boosted</w:t>
      </w:r>
      <w:r w:rsidR="00647988">
        <w:t xml:space="preserve"> </w:t>
      </w:r>
      <w:r w:rsidR="00C94F73">
        <w:t>[16</w:t>
      </w:r>
      <w:r w:rsidR="00F214AC">
        <w:t>]</w:t>
      </w:r>
      <w:r w:rsidR="0034448B">
        <w:t>.</w:t>
      </w:r>
    </w:p>
    <w:p w14:paraId="21C5DFB0" w14:textId="1383DBDC" w:rsidR="00E07333" w:rsidRDefault="003F26D1" w:rsidP="003F26D1">
      <w:pPr>
        <w:pStyle w:val="BodyText"/>
        <w:ind w:firstLine="0"/>
        <w:jc w:val="center"/>
      </w:pPr>
      <w:r>
        <w:object w:dxaOrig="4296" w:dyaOrig="2503" w14:anchorId="5E6D5411">
          <v:shape id="_x0000_i1028" type="#_x0000_t75" style="width:172.5pt;height:100.5pt" o:ole="">
            <v:imagedata r:id="rId18" o:title=""/>
          </v:shape>
          <o:OLEObject Type="Embed" ProgID="ChemDraw.Document.6.0" ShapeID="_x0000_i1028" DrawAspect="Content" ObjectID="_1752518222" r:id="rId19"/>
        </w:object>
      </w:r>
    </w:p>
    <w:p w14:paraId="557029ED" w14:textId="79781FFB" w:rsidR="00791216" w:rsidRPr="00E07333" w:rsidRDefault="00E07333" w:rsidP="00BB4498">
      <w:pPr>
        <w:pStyle w:val="BodyText"/>
        <w:ind w:firstLine="0"/>
        <w:jc w:val="center"/>
        <w:rPr>
          <w:b/>
        </w:rPr>
      </w:pPr>
      <w:r w:rsidRPr="00E07333">
        <w:rPr>
          <w:b/>
        </w:rPr>
        <w:t>Figure</w:t>
      </w:r>
      <w:r w:rsidR="004C71E8">
        <w:rPr>
          <w:b/>
        </w:rPr>
        <w:t xml:space="preserve"> 7</w:t>
      </w:r>
      <w:r w:rsidR="003F26D1">
        <w:rPr>
          <w:b/>
        </w:rPr>
        <w:t xml:space="preserve">: Chemical structure of drug </w:t>
      </w:r>
      <w:proofErr w:type="spellStart"/>
      <w:r w:rsidR="00085B89">
        <w:rPr>
          <w:b/>
        </w:rPr>
        <w:t>p</w:t>
      </w:r>
      <w:r w:rsidRPr="00E07333">
        <w:rPr>
          <w:b/>
        </w:rPr>
        <w:t>iroxicam</w:t>
      </w:r>
      <w:proofErr w:type="spellEnd"/>
      <w:r w:rsidRPr="00E07333">
        <w:rPr>
          <w:b/>
        </w:rPr>
        <w:t>.</w:t>
      </w:r>
    </w:p>
    <w:p w14:paraId="7837B53C" w14:textId="19855F1E" w:rsidR="00BD54F8" w:rsidRDefault="00BD54F8" w:rsidP="000B0FC9">
      <w:pPr>
        <w:pStyle w:val="BodyText"/>
        <w:ind w:firstLine="0"/>
      </w:pPr>
      <w:r>
        <w:rPr>
          <w:b/>
        </w:rPr>
        <w:t>(b)</w:t>
      </w:r>
      <w:proofErr w:type="spellStart"/>
      <w:r w:rsidR="00791216" w:rsidRPr="00791216">
        <w:rPr>
          <w:b/>
        </w:rPr>
        <w:t>Ziprasidone</w:t>
      </w:r>
      <w:proofErr w:type="spellEnd"/>
      <w:r w:rsidR="00763BBB">
        <w:rPr>
          <w:b/>
        </w:rPr>
        <w:t>:</w:t>
      </w:r>
      <w:r w:rsidR="00F214AC" w:rsidRPr="00F214AC">
        <w:t xml:space="preserve"> </w:t>
      </w:r>
    </w:p>
    <w:p w14:paraId="355800D7" w14:textId="53E9BAC9" w:rsidR="00763BBB" w:rsidRDefault="001151C7" w:rsidP="000B0FC9">
      <w:pPr>
        <w:pStyle w:val="BodyText"/>
        <w:ind w:firstLine="0"/>
      </w:pPr>
      <w:r>
        <w:t xml:space="preserve">Another low water soluble </w:t>
      </w:r>
      <w:r w:rsidR="00763BBB">
        <w:t xml:space="preserve">drug is </w:t>
      </w:r>
      <w:proofErr w:type="spellStart"/>
      <w:r w:rsidR="00763BBB">
        <w:t>Ziprasidone</w:t>
      </w:r>
      <w:proofErr w:type="spellEnd"/>
      <w:r w:rsidR="00763BBB">
        <w:t xml:space="preserve"> which</w:t>
      </w:r>
      <w:r w:rsidR="00F6739F">
        <w:t xml:space="preserve"> used as an antipsychotic agent </w:t>
      </w:r>
      <w:r w:rsidR="004C71E8">
        <w:t>(figure 8</w:t>
      </w:r>
      <w:r w:rsidR="00F22828">
        <w:t xml:space="preserve">) </w:t>
      </w:r>
      <w:r w:rsidR="00F6739F">
        <w:t>[1</w:t>
      </w:r>
      <w:r w:rsidR="00C94F73">
        <w:t>7</w:t>
      </w:r>
      <w:r w:rsidR="00F6739F">
        <w:t>].</w:t>
      </w:r>
      <w:r>
        <w:t xml:space="preserve"> It has a solubility of 0.003 milligram per milliliter of solution.</w:t>
      </w:r>
      <w:r w:rsidR="00F6739F">
        <w:t xml:space="preserve"> </w:t>
      </w:r>
      <w:r>
        <w:t>On the other hand t</w:t>
      </w:r>
      <w:r w:rsidR="00F22828">
        <w:t xml:space="preserve">he solubility of hydrochloride salt of </w:t>
      </w:r>
      <w:proofErr w:type="spellStart"/>
      <w:r w:rsidR="00F22828">
        <w:t>ziprasidone</w:t>
      </w:r>
      <w:proofErr w:type="spellEnd"/>
      <w:r w:rsidR="00F22828">
        <w:t xml:space="preserve"> is 0.08 mg/ml.</w:t>
      </w:r>
      <w:r w:rsidR="002A4501">
        <w:t xml:space="preserve"> Further</w:t>
      </w:r>
      <w:r w:rsidR="001A0143">
        <w:t>,</w:t>
      </w:r>
      <w:r w:rsidR="002A4501">
        <w:t xml:space="preserve"> formation of </w:t>
      </w:r>
      <w:proofErr w:type="spellStart"/>
      <w:r w:rsidR="002A4501">
        <w:t>mesylate</w:t>
      </w:r>
      <w:proofErr w:type="spellEnd"/>
      <w:r w:rsidR="002A4501">
        <w:t xml:space="preserve"> salt increase the intrinsic</w:t>
      </w:r>
      <w:r w:rsidR="00EF3950">
        <w:t xml:space="preserve"> solubility of the drug (Table 2).</w:t>
      </w:r>
      <w:r w:rsidR="002A4501">
        <w:t xml:space="preserve"> </w:t>
      </w:r>
      <w:r w:rsidR="00BD54F8">
        <w:t>However, i</w:t>
      </w:r>
      <w:r w:rsidR="001A7E80">
        <w:t xml:space="preserve">n case of this drug, it is </w:t>
      </w:r>
      <w:r w:rsidR="001A0143">
        <w:t>impossible</w:t>
      </w:r>
      <w:r w:rsidR="001A7E80">
        <w:t xml:space="preserve"> to increase the solubility through simple CD</w:t>
      </w:r>
      <w:r w:rsidR="001A7E80" w:rsidRPr="001A7E80">
        <w:t xml:space="preserve"> </w:t>
      </w:r>
      <w:proofErr w:type="spellStart"/>
      <w:r w:rsidR="001A7E80">
        <w:t>complexation</w:t>
      </w:r>
      <w:proofErr w:type="spellEnd"/>
      <w:r w:rsidR="001A7E80">
        <w:t xml:space="preserve">. </w:t>
      </w:r>
      <w:r w:rsidR="00BD54F8">
        <w:t xml:space="preserve">The </w:t>
      </w:r>
      <w:proofErr w:type="spellStart"/>
      <w:r w:rsidR="00BD54F8">
        <w:t>complexation</w:t>
      </w:r>
      <w:proofErr w:type="spellEnd"/>
      <w:r w:rsidR="00BD54F8">
        <w:t xml:space="preserve"> with negatively charged HP</w:t>
      </w:r>
      <w:r w:rsidR="00BD54F8" w:rsidRPr="00BD54F8">
        <w:rPr>
          <w:rFonts w:ascii="Symbol" w:hAnsi="Symbol"/>
          <w:i/>
        </w:rPr>
        <w:t></w:t>
      </w:r>
      <w:r w:rsidR="00AE5EC3">
        <w:rPr>
          <w:rFonts w:ascii="Symbol" w:hAnsi="Symbol"/>
          <w:i/>
        </w:rPr>
        <w:t></w:t>
      </w:r>
      <w:r w:rsidR="00BD54F8">
        <w:t>CD and SBE</w:t>
      </w:r>
      <w:r w:rsidR="00BD54F8" w:rsidRPr="00BD54F8">
        <w:rPr>
          <w:rFonts w:ascii="Symbol" w:hAnsi="Symbol"/>
          <w:i/>
        </w:rPr>
        <w:t></w:t>
      </w:r>
      <w:r w:rsidR="00AE5EC3">
        <w:rPr>
          <w:rFonts w:ascii="Symbol" w:hAnsi="Symbol"/>
          <w:i/>
        </w:rPr>
        <w:t></w:t>
      </w:r>
      <w:r w:rsidR="00BD54F8">
        <w:t xml:space="preserve">CD can provide </w:t>
      </w:r>
      <w:r w:rsidR="001A0143">
        <w:t>alternate</w:t>
      </w:r>
      <w:r w:rsidR="00BD54F8">
        <w:t xml:space="preserve"> </w:t>
      </w:r>
      <w:r w:rsidR="001A0143">
        <w:t xml:space="preserve">pathway </w:t>
      </w:r>
      <w:r w:rsidR="00BD54F8">
        <w:t xml:space="preserve">to increase the solubility by formation of </w:t>
      </w:r>
      <w:r w:rsidR="001A0143">
        <w:t>ion-pair. So,</w:t>
      </w:r>
      <w:r w:rsidR="00BD54F8">
        <w:t xml:space="preserve"> </w:t>
      </w:r>
      <w:proofErr w:type="spellStart"/>
      <w:r w:rsidR="00BD54F8">
        <w:t>ziprasidone</w:t>
      </w:r>
      <w:proofErr w:type="spellEnd"/>
      <w:r w:rsidR="00BD54F8">
        <w:t xml:space="preserve"> </w:t>
      </w:r>
      <w:proofErr w:type="spellStart"/>
      <w:r w:rsidR="00BD54F8">
        <w:t>mesylate</w:t>
      </w:r>
      <w:proofErr w:type="spellEnd"/>
      <w:r w:rsidR="00BD54F8">
        <w:t xml:space="preserve"> and </w:t>
      </w:r>
      <w:r w:rsidR="00AE5EC3">
        <w:t>SBE</w:t>
      </w:r>
      <w:r w:rsidR="00AE5EC3" w:rsidRPr="00BD54F8">
        <w:rPr>
          <w:rFonts w:ascii="Symbol" w:hAnsi="Symbol"/>
          <w:i/>
        </w:rPr>
        <w:t></w:t>
      </w:r>
      <w:r w:rsidR="00AE5EC3">
        <w:rPr>
          <w:rFonts w:ascii="Symbol" w:hAnsi="Symbol"/>
          <w:i/>
        </w:rPr>
        <w:t></w:t>
      </w:r>
      <w:r w:rsidR="00AE5EC3">
        <w:t>CD</w:t>
      </w:r>
      <w:r w:rsidR="001A0143">
        <w:t xml:space="preserve"> are also</w:t>
      </w:r>
      <w:r w:rsidR="00BD54F8">
        <w:t xml:space="preserve"> used to formulate the drug as an aqueous solution for injection</w:t>
      </w:r>
      <w:r w:rsidR="00B36F27">
        <w:t xml:space="preserve"> </w:t>
      </w:r>
      <w:r w:rsidR="00C94F73">
        <w:t>[18</w:t>
      </w:r>
      <w:r w:rsidR="00164675">
        <w:t>,</w:t>
      </w:r>
      <w:r>
        <w:t xml:space="preserve"> </w:t>
      </w:r>
      <w:r w:rsidR="00C94F73">
        <w:t>19</w:t>
      </w:r>
      <w:r w:rsidR="003F0E75">
        <w:t>]</w:t>
      </w:r>
      <w:r w:rsidR="00164675">
        <w:t>.</w:t>
      </w:r>
    </w:p>
    <w:p w14:paraId="3970C3FD" w14:textId="4F2BF274" w:rsidR="001002A9" w:rsidRPr="002F717B" w:rsidRDefault="00807414" w:rsidP="00BB4498">
      <w:pPr>
        <w:pStyle w:val="BodyText"/>
        <w:ind w:firstLine="0"/>
        <w:jc w:val="center"/>
        <w:rPr>
          <w:b/>
        </w:rPr>
      </w:pPr>
      <w:r w:rsidRPr="00552733">
        <w:rPr>
          <w:b/>
        </w:rPr>
        <w:t xml:space="preserve">Table 2: The </w:t>
      </w:r>
      <w:r w:rsidR="00E45989">
        <w:rPr>
          <w:b/>
        </w:rPr>
        <w:t xml:space="preserve">solubility of </w:t>
      </w:r>
      <w:proofErr w:type="spellStart"/>
      <w:r w:rsidR="00E45989">
        <w:rPr>
          <w:b/>
        </w:rPr>
        <w:t>z</w:t>
      </w:r>
      <w:r w:rsidRPr="00552733">
        <w:rPr>
          <w:b/>
        </w:rPr>
        <w:t>iprasidone</w:t>
      </w:r>
      <w:proofErr w:type="spellEnd"/>
      <w:r w:rsidRPr="00552733">
        <w:rPr>
          <w:b/>
        </w:rPr>
        <w:t xml:space="preserve"> solubility in pure water and aqueous solution containing 40% (w/v) HP</w:t>
      </w:r>
      <w:r w:rsidRPr="00552733">
        <w:rPr>
          <w:rFonts w:ascii="Symbol" w:hAnsi="Symbol"/>
          <w:b/>
          <w:i/>
        </w:rPr>
        <w:t></w:t>
      </w:r>
      <w:r w:rsidR="00F363DD">
        <w:rPr>
          <w:rFonts w:ascii="Symbol" w:hAnsi="Symbol"/>
          <w:b/>
          <w:i/>
        </w:rPr>
        <w:t></w:t>
      </w:r>
      <w:r w:rsidRPr="00552733">
        <w:rPr>
          <w:b/>
        </w:rPr>
        <w:t>CD and 40% (w/v) SBE</w:t>
      </w:r>
      <w:r w:rsidRPr="00552733">
        <w:rPr>
          <w:rFonts w:ascii="Symbol" w:hAnsi="Symbol"/>
          <w:b/>
          <w:i/>
        </w:rPr>
        <w:t></w:t>
      </w:r>
      <w:r w:rsidR="00F363DD">
        <w:rPr>
          <w:rFonts w:ascii="Symbol" w:hAnsi="Symbol"/>
          <w:b/>
          <w:i/>
        </w:rPr>
        <w:t></w:t>
      </w:r>
      <w:r w:rsidRPr="00552733">
        <w:rPr>
          <w:b/>
        </w:rPr>
        <w:t>CD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3"/>
      </w:tblGrid>
      <w:tr w:rsidR="0090234B" w14:paraId="56103A83" w14:textId="77777777" w:rsidTr="00D75A4A">
        <w:trPr>
          <w:jc w:val="center"/>
        </w:trPr>
        <w:tc>
          <w:tcPr>
            <w:tcW w:w="1503" w:type="dxa"/>
            <w:vMerge w:val="restart"/>
            <w:tcBorders>
              <w:top w:val="single" w:sz="12" w:space="0" w:color="auto"/>
              <w:left w:val="nil"/>
              <w:right w:val="nil"/>
            </w:tcBorders>
          </w:tcPr>
          <w:p w14:paraId="26D4D6A1" w14:textId="361B8AB7" w:rsidR="0090234B" w:rsidRPr="00C05D27" w:rsidRDefault="0090234B" w:rsidP="000B0FC9">
            <w:pPr>
              <w:pStyle w:val="BodyText"/>
              <w:ind w:firstLine="0"/>
              <w:rPr>
                <w:b/>
              </w:rPr>
            </w:pPr>
            <w:r w:rsidRPr="00C05D27">
              <w:rPr>
                <w:b/>
              </w:rPr>
              <w:t>Salt</w:t>
            </w:r>
          </w:p>
        </w:tc>
        <w:tc>
          <w:tcPr>
            <w:tcW w:w="450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6DF69FCF" w14:textId="13AF8E58" w:rsidR="0090234B" w:rsidRPr="00C05D27" w:rsidRDefault="0090234B" w:rsidP="00C05D27">
            <w:pPr>
              <w:pStyle w:val="BodyText"/>
              <w:ind w:firstLine="0"/>
              <w:jc w:val="center"/>
              <w:rPr>
                <w:b/>
              </w:rPr>
            </w:pPr>
            <w:r w:rsidRPr="00C05D27">
              <w:rPr>
                <w:b/>
              </w:rPr>
              <w:t xml:space="preserve">Solubility corresponding to weight of </w:t>
            </w:r>
            <w:proofErr w:type="spellStart"/>
            <w:r w:rsidRPr="00C05D27">
              <w:rPr>
                <w:b/>
              </w:rPr>
              <w:t>ziprasidone</w:t>
            </w:r>
            <w:proofErr w:type="spellEnd"/>
            <w:r w:rsidRPr="00C05D27">
              <w:rPr>
                <w:b/>
              </w:rPr>
              <w:t xml:space="preserve"> free base(mg/ml)</w:t>
            </w:r>
          </w:p>
        </w:tc>
      </w:tr>
      <w:tr w:rsidR="0090234B" w14:paraId="071CE87E" w14:textId="77777777" w:rsidTr="00D75A4A">
        <w:trPr>
          <w:jc w:val="center"/>
        </w:trPr>
        <w:tc>
          <w:tcPr>
            <w:tcW w:w="1503" w:type="dxa"/>
            <w:vMerge/>
            <w:tcBorders>
              <w:left w:val="nil"/>
              <w:right w:val="nil"/>
            </w:tcBorders>
          </w:tcPr>
          <w:p w14:paraId="47A1A4F5" w14:textId="77777777" w:rsidR="0090234B" w:rsidRDefault="0090234B" w:rsidP="000B0FC9">
            <w:pPr>
              <w:pStyle w:val="BodyText"/>
              <w:ind w:firstLine="0"/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14:paraId="1F421E07" w14:textId="14D1424E" w:rsidR="0090234B" w:rsidRDefault="0090234B" w:rsidP="000B0FC9">
            <w:pPr>
              <w:pStyle w:val="BodyText"/>
              <w:ind w:firstLine="0"/>
            </w:pPr>
            <w:r>
              <w:t xml:space="preserve">Pure Water 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14:paraId="4686AFE9" w14:textId="3AE954C0" w:rsidR="0090234B" w:rsidRDefault="0090234B" w:rsidP="000B0FC9">
            <w:pPr>
              <w:pStyle w:val="BodyText"/>
              <w:ind w:firstLine="0"/>
            </w:pPr>
            <w:r>
              <w:t>40% (w/v)</w:t>
            </w: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14:paraId="38174E6B" w14:textId="53AC30B6" w:rsidR="0090234B" w:rsidRDefault="0090234B" w:rsidP="000B0FC9">
            <w:pPr>
              <w:pStyle w:val="BodyText"/>
              <w:ind w:firstLine="0"/>
            </w:pPr>
            <w:r>
              <w:t>40% (w/v)</w:t>
            </w:r>
          </w:p>
        </w:tc>
      </w:tr>
      <w:tr w:rsidR="0090234B" w14:paraId="1B3CA653" w14:textId="77777777" w:rsidTr="00D75A4A">
        <w:trPr>
          <w:jc w:val="center"/>
        </w:trPr>
        <w:tc>
          <w:tcPr>
            <w:tcW w:w="150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7B0FD348" w14:textId="77777777" w:rsidR="0090234B" w:rsidRDefault="0090234B" w:rsidP="000B0FC9">
            <w:pPr>
              <w:pStyle w:val="BodyText"/>
              <w:ind w:firstLine="0"/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96320" w14:textId="77777777" w:rsidR="0090234B" w:rsidRDefault="0090234B" w:rsidP="000B0FC9">
            <w:pPr>
              <w:pStyle w:val="BodyText"/>
              <w:ind w:firstLine="0"/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C80BE" w14:textId="05DAD676" w:rsidR="0090234B" w:rsidRDefault="0090234B" w:rsidP="00B17ED2">
            <w:pPr>
              <w:pStyle w:val="BodyText"/>
              <w:ind w:firstLine="0"/>
            </w:pPr>
            <w:r>
              <w:t>HP</w:t>
            </w:r>
            <w:r w:rsidRPr="00B17ED2">
              <w:rPr>
                <w:rFonts w:ascii="Symbol" w:hAnsi="Symbol"/>
                <w:i/>
              </w:rPr>
              <w:t></w:t>
            </w:r>
            <w:r w:rsidR="00AE5EC3">
              <w:rPr>
                <w:rFonts w:ascii="Symbol" w:hAnsi="Symbol"/>
                <w:i/>
              </w:rPr>
              <w:t></w:t>
            </w:r>
            <w:r>
              <w:t>CD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3C2C1" w14:textId="37620E23" w:rsidR="0090234B" w:rsidRDefault="0090234B" w:rsidP="000B0FC9">
            <w:pPr>
              <w:pStyle w:val="BodyText"/>
              <w:ind w:firstLine="0"/>
            </w:pPr>
            <w:r>
              <w:t>SBE</w:t>
            </w:r>
            <w:r w:rsidRPr="00B17ED2">
              <w:rPr>
                <w:rFonts w:ascii="Symbol" w:hAnsi="Symbol"/>
                <w:i/>
              </w:rPr>
              <w:t></w:t>
            </w:r>
            <w:r w:rsidR="00AE5EC3">
              <w:rPr>
                <w:rFonts w:ascii="Symbol" w:hAnsi="Symbol"/>
                <w:i/>
              </w:rPr>
              <w:t></w:t>
            </w:r>
            <w:r>
              <w:t>CD</w:t>
            </w:r>
          </w:p>
        </w:tc>
      </w:tr>
      <w:tr w:rsidR="00A0741E" w14:paraId="4ADEDA62" w14:textId="77777777" w:rsidTr="00D75A4A">
        <w:trPr>
          <w:jc w:val="center"/>
        </w:trPr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C57FDE" w14:textId="6D4D89D8" w:rsidR="00A0741E" w:rsidRDefault="00A0741E" w:rsidP="00AD6C44">
            <w:pPr>
              <w:pStyle w:val="BodyText"/>
              <w:spacing w:after="0" w:line="240" w:lineRule="auto"/>
              <w:ind w:firstLine="0"/>
            </w:pPr>
            <w:r>
              <w:t>Free base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C72697" w14:textId="64AD0213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0.0003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203882" w14:textId="43709885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0.26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4CDC6" w14:textId="26059AB7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0.35</w:t>
            </w:r>
          </w:p>
        </w:tc>
      </w:tr>
      <w:tr w:rsidR="00A0741E" w14:paraId="7708933A" w14:textId="77777777" w:rsidTr="00D75A4A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26CD13E" w14:textId="52AE11FD" w:rsidR="00A0741E" w:rsidRDefault="00A0741E" w:rsidP="00AD6C44">
            <w:pPr>
              <w:pStyle w:val="BodyText"/>
              <w:spacing w:after="0" w:line="240" w:lineRule="auto"/>
              <w:ind w:firstLine="0"/>
            </w:pPr>
            <w:r>
              <w:t>Hydrochloride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3A42A18" w14:textId="5C357F2C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0.08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BEF83C7" w14:textId="7AE63262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2.4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E9F57D0" w14:textId="400D3459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4.0</w:t>
            </w:r>
          </w:p>
        </w:tc>
      </w:tr>
      <w:tr w:rsidR="00A0741E" w14:paraId="50EA04B5" w14:textId="77777777" w:rsidTr="00D75A4A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F05144E" w14:textId="5A22C825" w:rsidR="00A0741E" w:rsidRDefault="00A0741E" w:rsidP="00AD6C44">
            <w:pPr>
              <w:pStyle w:val="BodyText"/>
              <w:spacing w:after="0" w:line="240" w:lineRule="auto"/>
              <w:ind w:firstLine="0"/>
            </w:pPr>
            <w:r>
              <w:t>Aspartate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0E8AE1C" w14:textId="0B5CA6E2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0.17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96C1D60" w14:textId="6C27E02C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1.3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63AF9E00" w14:textId="559E1A50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9.3</w:t>
            </w:r>
          </w:p>
        </w:tc>
      </w:tr>
      <w:tr w:rsidR="00A0741E" w14:paraId="024EA66D" w14:textId="77777777" w:rsidTr="00D75A4A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CC37888" w14:textId="0E570CD0" w:rsidR="00A0741E" w:rsidRDefault="00A0741E" w:rsidP="00AD6C44">
            <w:pPr>
              <w:pStyle w:val="BodyText"/>
              <w:spacing w:after="0" w:line="240" w:lineRule="auto"/>
              <w:ind w:firstLine="0"/>
            </w:pPr>
            <w:r>
              <w:t>Tartrate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31F3DF03" w14:textId="141BDD32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0.18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3BF3540" w14:textId="50CFDA84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12.4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96ADD2D" w14:textId="2D64630E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26</w:t>
            </w:r>
          </w:p>
        </w:tc>
      </w:tr>
      <w:tr w:rsidR="00A0741E" w14:paraId="7350AEAB" w14:textId="77777777" w:rsidTr="00D75A4A">
        <w:trPr>
          <w:jc w:val="center"/>
        </w:trPr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1E53520F" w14:textId="3C932D41" w:rsidR="00A0741E" w:rsidRDefault="00A0741E" w:rsidP="00AD6C44">
            <w:pPr>
              <w:pStyle w:val="BodyText"/>
              <w:spacing w:after="0" w:line="240" w:lineRule="auto"/>
              <w:ind w:firstLine="0"/>
            </w:pPr>
            <w:proofErr w:type="spellStart"/>
            <w:r>
              <w:t>Esylate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7D7FC53C" w14:textId="0C017CBE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0.36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29BE8569" w14:textId="5A40EDBA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13.7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0D10D54E" w14:textId="7F38CA74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15</w:t>
            </w:r>
          </w:p>
        </w:tc>
      </w:tr>
      <w:tr w:rsidR="00A0741E" w14:paraId="4EB352B6" w14:textId="77777777" w:rsidTr="00D75A4A">
        <w:trPr>
          <w:jc w:val="center"/>
        </w:trPr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98A8BE" w14:textId="5078FF4F" w:rsidR="00A0741E" w:rsidRDefault="00A0741E" w:rsidP="00AD6C44">
            <w:pPr>
              <w:pStyle w:val="BodyText"/>
              <w:spacing w:after="0" w:line="240" w:lineRule="auto"/>
              <w:ind w:firstLine="0"/>
            </w:pPr>
            <w:proofErr w:type="spellStart"/>
            <w:r>
              <w:t>Mesylate</w:t>
            </w:r>
            <w:proofErr w:type="spellEnd"/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8E6DD2" w14:textId="301B33A1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1.0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7E13C" w14:textId="07ECEE23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17.3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28B3BB" w14:textId="40BBB116" w:rsidR="00A0741E" w:rsidRDefault="00A0741E" w:rsidP="00AD6C44">
            <w:pPr>
              <w:pStyle w:val="BodyText"/>
              <w:spacing w:after="0" w:line="240" w:lineRule="auto"/>
              <w:ind w:firstLine="0"/>
              <w:jc w:val="center"/>
            </w:pPr>
            <w:r>
              <w:t>44</w:t>
            </w:r>
          </w:p>
        </w:tc>
      </w:tr>
    </w:tbl>
    <w:p w14:paraId="33B15689" w14:textId="77777777" w:rsidR="00170DA2" w:rsidRPr="00BD54F8" w:rsidRDefault="00170DA2" w:rsidP="00AD6C44">
      <w:pPr>
        <w:pStyle w:val="BodyText"/>
        <w:spacing w:after="0" w:line="240" w:lineRule="auto"/>
        <w:ind w:firstLine="0"/>
      </w:pPr>
    </w:p>
    <w:p w14:paraId="6520DBC4" w14:textId="1B045A6E" w:rsidR="000C5CF1" w:rsidRDefault="000C5CF1" w:rsidP="000C5CF1">
      <w:pPr>
        <w:pStyle w:val="BodyText"/>
        <w:ind w:firstLine="0"/>
        <w:jc w:val="center"/>
      </w:pPr>
    </w:p>
    <w:p w14:paraId="4B8377DA" w14:textId="110DEC87" w:rsidR="00791216" w:rsidRDefault="00F214AC" w:rsidP="000B0FC9">
      <w:pPr>
        <w:pStyle w:val="BodyText"/>
        <w:ind w:firstLine="0"/>
        <w:rPr>
          <w:b/>
        </w:rPr>
      </w:pPr>
      <w:r>
        <w:t xml:space="preserve"> </w:t>
      </w:r>
    </w:p>
    <w:p w14:paraId="4DA493F8" w14:textId="6264944B" w:rsidR="00791216" w:rsidRDefault="00E85020" w:rsidP="00E85020">
      <w:pPr>
        <w:pStyle w:val="BodyText"/>
        <w:ind w:firstLine="0"/>
        <w:jc w:val="center"/>
        <w:rPr>
          <w:b/>
        </w:rPr>
      </w:pPr>
      <w:r>
        <w:object w:dxaOrig="4932" w:dyaOrig="2205" w14:anchorId="0C41CFFC">
          <v:shape id="_x0000_i1029" type="#_x0000_t75" style="width:229.95pt;height:102.1pt" o:ole="">
            <v:imagedata r:id="rId20" o:title=""/>
          </v:shape>
          <o:OLEObject Type="Embed" ProgID="ChemDraw.Document.6.0" ShapeID="_x0000_i1029" DrawAspect="Content" ObjectID="_1752518223" r:id="rId21"/>
        </w:object>
      </w:r>
    </w:p>
    <w:p w14:paraId="43614CAD" w14:textId="7D1365E9" w:rsidR="00E07333" w:rsidRPr="00E07333" w:rsidRDefault="004C71E8" w:rsidP="00BB4498">
      <w:pPr>
        <w:pStyle w:val="BodyText"/>
        <w:ind w:firstLine="0"/>
        <w:jc w:val="center"/>
        <w:rPr>
          <w:b/>
        </w:rPr>
      </w:pPr>
      <w:r>
        <w:rPr>
          <w:b/>
        </w:rPr>
        <w:t>Figure 8</w:t>
      </w:r>
      <w:r w:rsidR="00430CAD">
        <w:rPr>
          <w:b/>
        </w:rPr>
        <w:t>:</w:t>
      </w:r>
      <w:r w:rsidR="00E07333" w:rsidRPr="00E07333">
        <w:rPr>
          <w:b/>
        </w:rPr>
        <w:t xml:space="preserve"> </w:t>
      </w:r>
      <w:r w:rsidR="005F101E">
        <w:rPr>
          <w:b/>
        </w:rPr>
        <w:t xml:space="preserve">Chemical structure of free drug </w:t>
      </w:r>
      <w:proofErr w:type="spellStart"/>
      <w:r w:rsidR="005F101E">
        <w:rPr>
          <w:b/>
        </w:rPr>
        <w:t>Ziprasidone</w:t>
      </w:r>
      <w:proofErr w:type="spellEnd"/>
      <w:r w:rsidR="005F101E">
        <w:rPr>
          <w:b/>
        </w:rPr>
        <w:t>.</w:t>
      </w:r>
    </w:p>
    <w:p w14:paraId="4CB254E7" w14:textId="77777777" w:rsidR="00240238" w:rsidRDefault="00525AE0" w:rsidP="00A53F02">
      <w:pPr>
        <w:pStyle w:val="BodyText"/>
        <w:spacing w:after="0" w:line="240" w:lineRule="auto"/>
        <w:ind w:firstLine="0"/>
      </w:pPr>
      <w:r>
        <w:rPr>
          <w:b/>
        </w:rPr>
        <w:t xml:space="preserve">(c) </w:t>
      </w:r>
      <w:proofErr w:type="spellStart"/>
      <w:r w:rsidR="00791216" w:rsidRPr="00791216">
        <w:rPr>
          <w:b/>
        </w:rPr>
        <w:t>Itraconazole</w:t>
      </w:r>
      <w:proofErr w:type="spellEnd"/>
      <w:r w:rsidR="00F214AC">
        <w:rPr>
          <w:b/>
        </w:rPr>
        <w:t>:</w:t>
      </w:r>
      <w:r w:rsidR="00F214AC" w:rsidRPr="00F214AC">
        <w:t xml:space="preserve"> </w:t>
      </w:r>
    </w:p>
    <w:p w14:paraId="1C8E6579" w14:textId="5623B459" w:rsidR="0070482C" w:rsidRDefault="0070482C" w:rsidP="00A53F02">
      <w:pPr>
        <w:pStyle w:val="BodyText"/>
        <w:spacing w:after="0" w:line="240" w:lineRule="auto"/>
        <w:ind w:firstLine="0"/>
      </w:pPr>
      <w:proofErr w:type="spellStart"/>
      <w:r>
        <w:t>Itraconazole</w:t>
      </w:r>
      <w:proofErr w:type="spellEnd"/>
      <w:r w:rsidR="00F214AC">
        <w:t xml:space="preserve"> is </w:t>
      </w:r>
      <w:proofErr w:type="gramStart"/>
      <w:r w:rsidR="00F214AC">
        <w:t>an</w:t>
      </w:r>
      <w:proofErr w:type="gramEnd"/>
      <w:r w:rsidR="00F214AC">
        <w:t xml:space="preserve"> </w:t>
      </w:r>
      <w:r w:rsidR="00FF1C99">
        <w:t xml:space="preserve">widely used </w:t>
      </w:r>
      <w:r w:rsidR="00F214AC">
        <w:t xml:space="preserve">antifungal </w:t>
      </w:r>
      <w:r w:rsidR="001A0143">
        <w:t>medication</w:t>
      </w:r>
      <w:r w:rsidR="00F214AC">
        <w:t xml:space="preserve"> </w:t>
      </w:r>
      <w:r w:rsidR="00FF1C99">
        <w:t>which</w:t>
      </w:r>
      <w:r>
        <w:t xml:space="preserve"> </w:t>
      </w:r>
      <w:r w:rsidR="001A0143">
        <w:t>offered</w:t>
      </w:r>
      <w:r>
        <w:t xml:space="preserve"> as oral and solution for injection</w:t>
      </w:r>
      <w:r w:rsidR="004C71E8">
        <w:t xml:space="preserve"> (figure 9)</w:t>
      </w:r>
      <w:r>
        <w:t>.</w:t>
      </w:r>
      <w:r w:rsidR="00C70547">
        <w:t xml:space="preserve"> The solubility of the drug in water at room temperature is very </w:t>
      </w:r>
      <w:r w:rsidR="001A0143">
        <w:t>less</w:t>
      </w:r>
      <w:r w:rsidR="002C2DA2">
        <w:t>. It has a solubility of a</w:t>
      </w:r>
      <w:r w:rsidR="00196831">
        <w:t>bout 1 m</w:t>
      </w:r>
      <w:r w:rsidR="00C70547">
        <w:t>g/ml at pH 7 an</w:t>
      </w:r>
      <w:r w:rsidR="001A0FD1">
        <w:t>d about 4 mg/ml in aqueous 0.1 N</w:t>
      </w:r>
      <w:r w:rsidR="002C2DA2">
        <w:t xml:space="preserve"> hydrochloric acid solution</w:t>
      </w:r>
      <w:r w:rsidR="00C70547">
        <w:t xml:space="preserve">. </w:t>
      </w:r>
      <w:r w:rsidR="001A0143">
        <w:t>Likewise</w:t>
      </w:r>
      <w:r w:rsidR="00016984">
        <w:t xml:space="preserve"> the crystalline </w:t>
      </w:r>
      <w:proofErr w:type="spellStart"/>
      <w:r w:rsidR="00016984">
        <w:t>itraconazole</w:t>
      </w:r>
      <w:proofErr w:type="spellEnd"/>
      <w:r w:rsidR="001E5681">
        <w:t xml:space="preserve"> </w:t>
      </w:r>
      <w:r w:rsidR="00426C87">
        <w:t>has solubility of 3 mg/ml in aqueous 40% (w/v) solution.</w:t>
      </w:r>
      <w:r w:rsidR="00AE5EC3">
        <w:t xml:space="preserve"> </w:t>
      </w:r>
      <w:r w:rsidR="008E5A3B">
        <w:t>The interaction of the drug with t</w:t>
      </w:r>
      <w:r w:rsidR="00AE5EC3">
        <w:t>he HP</w:t>
      </w:r>
      <w:r w:rsidR="00AE5EC3" w:rsidRPr="00B17ED2">
        <w:rPr>
          <w:rFonts w:ascii="Symbol" w:hAnsi="Symbol"/>
          <w:i/>
        </w:rPr>
        <w:t></w:t>
      </w:r>
      <w:r w:rsidR="00AE5EC3">
        <w:rPr>
          <w:rFonts w:ascii="Symbol" w:hAnsi="Symbol"/>
          <w:i/>
        </w:rPr>
        <w:t></w:t>
      </w:r>
      <w:r w:rsidR="00AE5EC3">
        <w:t xml:space="preserve">CD enhance the solubility of the drug by </w:t>
      </w:r>
      <w:r w:rsidR="001A0143">
        <w:t>transforming</w:t>
      </w:r>
      <w:r w:rsidR="00AE5EC3">
        <w:t xml:space="preserve"> crystalline form into amorphous for</w:t>
      </w:r>
      <w:r w:rsidR="00C94F73">
        <w:t>m [20</w:t>
      </w:r>
      <w:proofErr w:type="gramStart"/>
      <w:r w:rsidR="00C94F73">
        <w:t>,21</w:t>
      </w:r>
      <w:proofErr w:type="gramEnd"/>
      <w:r w:rsidR="00C808D1">
        <w:t>]</w:t>
      </w:r>
    </w:p>
    <w:p w14:paraId="44934A13" w14:textId="77777777" w:rsidR="00F214AC" w:rsidRPr="00791216" w:rsidRDefault="00F214AC" w:rsidP="00A53F02">
      <w:pPr>
        <w:pStyle w:val="BodyText"/>
        <w:spacing w:after="0" w:line="240" w:lineRule="auto"/>
        <w:ind w:firstLine="0"/>
        <w:rPr>
          <w:b/>
        </w:rPr>
      </w:pPr>
    </w:p>
    <w:p w14:paraId="06CDA211" w14:textId="0619991D" w:rsidR="008A55B5" w:rsidRDefault="001A05A3" w:rsidP="001A05A3">
      <w:pPr>
        <w:pStyle w:val="BodyText"/>
        <w:spacing w:after="0" w:line="240" w:lineRule="auto"/>
        <w:ind w:firstLine="0"/>
        <w:jc w:val="center"/>
      </w:pPr>
      <w:r>
        <w:object w:dxaOrig="8578" w:dyaOrig="2087" w14:anchorId="4F4A35E1">
          <v:shape id="_x0000_i1030" type="#_x0000_t75" style="width:383.65pt;height:94.55pt" o:ole="">
            <v:imagedata r:id="rId22" o:title=""/>
          </v:shape>
          <o:OLEObject Type="Embed" ProgID="ChemDraw.Document.6.0" ShapeID="_x0000_i1030" DrawAspect="Content" ObjectID="_1752518224" r:id="rId23"/>
        </w:object>
      </w:r>
    </w:p>
    <w:p w14:paraId="569AD84D" w14:textId="3DC6F399" w:rsidR="00E07333" w:rsidRDefault="001A05A3" w:rsidP="0012776A">
      <w:pPr>
        <w:pStyle w:val="BodyText"/>
        <w:spacing w:after="0" w:line="240" w:lineRule="auto"/>
        <w:ind w:firstLine="0"/>
        <w:jc w:val="center"/>
        <w:rPr>
          <w:b/>
        </w:rPr>
      </w:pPr>
      <w:r>
        <w:rPr>
          <w:b/>
        </w:rPr>
        <w:t xml:space="preserve">Figure </w:t>
      </w:r>
      <w:r w:rsidR="004C71E8">
        <w:rPr>
          <w:b/>
        </w:rPr>
        <w:t>9</w:t>
      </w:r>
      <w:r>
        <w:rPr>
          <w:b/>
        </w:rPr>
        <w:t xml:space="preserve">: Chemical structure of </w:t>
      </w:r>
      <w:proofErr w:type="spellStart"/>
      <w:r w:rsidR="00E07333" w:rsidRPr="00E07333">
        <w:rPr>
          <w:b/>
        </w:rPr>
        <w:t>Itraconazole</w:t>
      </w:r>
      <w:proofErr w:type="spellEnd"/>
      <w:r>
        <w:rPr>
          <w:b/>
        </w:rPr>
        <w:t xml:space="preserve"> drug</w:t>
      </w:r>
      <w:r w:rsidR="00E07333" w:rsidRPr="00E07333">
        <w:rPr>
          <w:b/>
        </w:rPr>
        <w:t>.</w:t>
      </w:r>
    </w:p>
    <w:p w14:paraId="5B6C2A7D" w14:textId="77777777" w:rsidR="00D61330" w:rsidRDefault="00D61330" w:rsidP="0012776A">
      <w:pPr>
        <w:pStyle w:val="BodyText"/>
        <w:spacing w:after="0" w:line="240" w:lineRule="auto"/>
        <w:ind w:firstLine="0"/>
        <w:jc w:val="center"/>
        <w:rPr>
          <w:b/>
        </w:rPr>
      </w:pPr>
    </w:p>
    <w:p w14:paraId="3A40390F" w14:textId="7AF1FEF8" w:rsidR="00D61330" w:rsidRDefault="00346CCE" w:rsidP="0012776A">
      <w:pPr>
        <w:pStyle w:val="BodyText"/>
        <w:spacing w:after="0" w:line="240" w:lineRule="auto"/>
        <w:ind w:firstLine="0"/>
        <w:jc w:val="center"/>
        <w:rPr>
          <w:b/>
        </w:rPr>
      </w:pPr>
      <w:r>
        <w:rPr>
          <w:b/>
        </w:rPr>
        <w:t>VI: CONCLUSION</w:t>
      </w:r>
    </w:p>
    <w:p w14:paraId="763801A2" w14:textId="21DD9E33" w:rsidR="00D6555F" w:rsidRPr="002015A8" w:rsidRDefault="00D15A54" w:rsidP="002015A8">
      <w:pPr>
        <w:pStyle w:val="BodyText"/>
        <w:spacing w:after="0" w:line="240" w:lineRule="auto"/>
        <w:ind w:firstLine="0"/>
      </w:pPr>
      <w:r>
        <w:t xml:space="preserve">Normal </w:t>
      </w:r>
      <w:proofErr w:type="spellStart"/>
      <w:r>
        <w:t>cyclodextrin</w:t>
      </w:r>
      <w:proofErr w:type="spellEnd"/>
      <w:r>
        <w:t xml:space="preserve"> and its d</w:t>
      </w:r>
      <w:r w:rsidR="00113B83">
        <w:t>erivatives</w:t>
      </w:r>
      <w:r>
        <w:t xml:space="preserve"> </w:t>
      </w:r>
      <w:r w:rsidR="00113B83">
        <w:t xml:space="preserve">have emerged as very </w:t>
      </w:r>
      <w:r w:rsidR="001A0143">
        <w:t>essential</w:t>
      </w:r>
      <w:r w:rsidR="00113B83">
        <w:t xml:space="preserve"> ingredient for the formulation of drug in the pharmaceutical industry.</w:t>
      </w:r>
      <w:r w:rsidR="002C2DA2">
        <w:t xml:space="preserve"> The main attractive features of the </w:t>
      </w:r>
      <w:proofErr w:type="spellStart"/>
      <w:r w:rsidR="002C2DA2">
        <w:t>cyclodextrines</w:t>
      </w:r>
      <w:proofErr w:type="spellEnd"/>
      <w:r w:rsidR="002C2DA2">
        <w:t xml:space="preserve"> are </w:t>
      </w:r>
      <w:r w:rsidR="003A3F8F">
        <w:t>host-</w:t>
      </w:r>
      <w:r w:rsidR="0056285F">
        <w:t>guest type of interaction be</w:t>
      </w:r>
      <w:r w:rsidR="002C2DA2">
        <w:t xml:space="preserve">tween the CDs and drug molecule. This </w:t>
      </w:r>
      <w:r w:rsidR="0056285F">
        <w:t xml:space="preserve">makes the binding reversible </w:t>
      </w:r>
      <w:r w:rsidR="002C2DA2">
        <w:t xml:space="preserve">and it is one of the key reason of </w:t>
      </w:r>
      <w:proofErr w:type="spellStart"/>
      <w:r w:rsidR="002C2DA2">
        <w:t>cyclodextrines</w:t>
      </w:r>
      <w:proofErr w:type="spellEnd"/>
      <w:r w:rsidR="002C2DA2">
        <w:t xml:space="preserve"> to be used for drug delivery</w:t>
      </w:r>
      <w:r w:rsidR="0056285F">
        <w:t xml:space="preserve">. </w:t>
      </w:r>
      <w:r w:rsidR="00853F9C">
        <w:t xml:space="preserve">Apart from pharmaceutical filed, CDs are useful in other branches like food industry, textile industry </w:t>
      </w:r>
      <w:proofErr w:type="spellStart"/>
      <w:r w:rsidR="00853F9C" w:rsidRPr="00853F9C">
        <w:rPr>
          <w:i/>
        </w:rPr>
        <w:t>etc</w:t>
      </w:r>
      <w:proofErr w:type="spellEnd"/>
      <w:r w:rsidR="002015A8">
        <w:rPr>
          <w:i/>
        </w:rPr>
        <w:t xml:space="preserve"> </w:t>
      </w:r>
      <w:r w:rsidR="002015A8" w:rsidRPr="002015A8">
        <w:t>[22]</w:t>
      </w:r>
      <w:r w:rsidR="00853F9C">
        <w:rPr>
          <w:i/>
        </w:rPr>
        <w:t>.</w:t>
      </w:r>
      <w:r w:rsidR="004F336C">
        <w:rPr>
          <w:i/>
        </w:rPr>
        <w:t xml:space="preserve"> </w:t>
      </w:r>
      <w:r w:rsidR="004F336C">
        <w:t xml:space="preserve">This </w:t>
      </w:r>
      <w:r w:rsidR="001A0143">
        <w:t>brands</w:t>
      </w:r>
      <w:r w:rsidR="004F336C">
        <w:t xml:space="preserve"> the CDs one of the most </w:t>
      </w:r>
      <w:r w:rsidR="003E19A4">
        <w:t>demandable and important requirement for mankind</w:t>
      </w:r>
      <w:r w:rsidR="004F336C">
        <w:t>.</w:t>
      </w:r>
    </w:p>
    <w:p w14:paraId="19CF0E57" w14:textId="77777777" w:rsidR="00EE4362" w:rsidRPr="00402841" w:rsidRDefault="00EE4362" w:rsidP="00BB4498">
      <w:pPr>
        <w:rPr>
          <w:rFonts w:eastAsia="MS Mincho"/>
          <w:b/>
        </w:rPr>
      </w:pPr>
    </w:p>
    <w:p w14:paraId="3765E0DE" w14:textId="77777777" w:rsidR="008A55B5" w:rsidRPr="00402841" w:rsidRDefault="000026B6" w:rsidP="00466548">
      <w:pPr>
        <w:pStyle w:val="Heading5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14:paraId="5A708681" w14:textId="77777777" w:rsidR="00466548" w:rsidRPr="00466548" w:rsidRDefault="00466548" w:rsidP="00466548">
      <w:pPr>
        <w:rPr>
          <w:rFonts w:eastAsia="MS Mincho"/>
          <w:sz w:val="16"/>
          <w:szCs w:val="16"/>
        </w:rPr>
      </w:pPr>
    </w:p>
    <w:p w14:paraId="711E6FF0" w14:textId="3926CAEE" w:rsidR="00180EB5" w:rsidRPr="00894514" w:rsidRDefault="00180EB5" w:rsidP="00800B7B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0EB5">
        <w:rPr>
          <w:rFonts w:ascii="Times New Roman" w:hAnsi="Times New Roman" w:cs="Times New Roman"/>
          <w:sz w:val="16"/>
          <w:szCs w:val="24"/>
          <w:shd w:val="clear" w:color="auto" w:fill="FFFFFF"/>
        </w:rPr>
        <w:t>S</w:t>
      </w:r>
      <w:r w:rsidR="00C91343">
        <w:rPr>
          <w:rFonts w:ascii="Times New Roman" w:hAnsi="Times New Roman" w:cs="Times New Roman"/>
          <w:sz w:val="16"/>
          <w:szCs w:val="24"/>
          <w:shd w:val="clear" w:color="auto" w:fill="FFFFFF"/>
        </w:rPr>
        <w:t>zejtli</w:t>
      </w:r>
      <w:proofErr w:type="spellEnd"/>
      <w:r w:rsidR="00C91343">
        <w:rPr>
          <w:rFonts w:ascii="Times New Roman" w:hAnsi="Times New Roman" w:cs="Times New Roman"/>
          <w:sz w:val="16"/>
          <w:szCs w:val="24"/>
          <w:shd w:val="clear" w:color="auto" w:fill="FFFFFF"/>
        </w:rPr>
        <w:t>, J.,</w:t>
      </w:r>
      <w:r w:rsidRPr="00180EB5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Introduction and general ove</w:t>
      </w:r>
      <w:r w:rsidR="00F6499B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rview of </w:t>
      </w:r>
      <w:proofErr w:type="spellStart"/>
      <w:r w:rsidR="00F6499B">
        <w:rPr>
          <w:rFonts w:ascii="Times New Roman" w:hAnsi="Times New Roman" w:cs="Times New Roman"/>
          <w:sz w:val="16"/>
          <w:szCs w:val="24"/>
          <w:shd w:val="clear" w:color="auto" w:fill="FFFFFF"/>
        </w:rPr>
        <w:t>cyclodextrin</w:t>
      </w:r>
      <w:proofErr w:type="spellEnd"/>
      <w:r w:rsidR="00F6499B">
        <w:rPr>
          <w:rFonts w:ascii="Times New Roman" w:hAnsi="Times New Roman" w:cs="Times New Roman"/>
          <w:sz w:val="16"/>
          <w:szCs w:val="24"/>
          <w:shd w:val="clear" w:color="auto" w:fill="FFFFFF"/>
        </w:rPr>
        <w:t xml:space="preserve"> chemistry,</w:t>
      </w:r>
      <w:r w:rsidRPr="00180EB5">
        <w:rPr>
          <w:rFonts w:ascii="Times New Roman" w:hAnsi="Times New Roman" w:cs="Times New Roman"/>
          <w:sz w:val="16"/>
          <w:szCs w:val="24"/>
          <w:shd w:val="clear" w:color="auto" w:fill="FFFFFF"/>
        </w:rPr>
        <w:t> </w:t>
      </w:r>
      <w:r w:rsidRPr="00180EB5">
        <w:rPr>
          <w:rFonts w:ascii="Times New Roman" w:hAnsi="Times New Roman" w:cs="Times New Roman"/>
          <w:i/>
          <w:iCs/>
          <w:sz w:val="16"/>
          <w:szCs w:val="24"/>
          <w:shd w:val="clear" w:color="auto" w:fill="FFFFFF"/>
        </w:rPr>
        <w:t>Chemical reviews</w:t>
      </w:r>
      <w:r w:rsidRPr="00180EB5">
        <w:rPr>
          <w:rFonts w:ascii="Times New Roman" w:hAnsi="Times New Roman" w:cs="Times New Roman"/>
          <w:sz w:val="16"/>
          <w:szCs w:val="24"/>
          <w:shd w:val="clear" w:color="auto" w:fill="FFFFFF"/>
        </w:rPr>
        <w:t>, </w:t>
      </w:r>
      <w:r w:rsidRPr="00180EB5">
        <w:rPr>
          <w:rFonts w:ascii="Times New Roman" w:hAnsi="Times New Roman" w:cs="Times New Roman"/>
          <w:i/>
          <w:iCs/>
          <w:sz w:val="16"/>
          <w:szCs w:val="24"/>
          <w:shd w:val="clear" w:color="auto" w:fill="FFFFFF"/>
        </w:rPr>
        <w:t>98</w:t>
      </w:r>
      <w:r w:rsidRPr="00180EB5">
        <w:rPr>
          <w:rFonts w:ascii="Times New Roman" w:hAnsi="Times New Roman" w:cs="Times New Roman"/>
          <w:sz w:val="16"/>
          <w:szCs w:val="24"/>
          <w:shd w:val="clear" w:color="auto" w:fill="FFFFFF"/>
        </w:rPr>
        <w:t>(5), 1743-1754</w:t>
      </w:r>
      <w:r w:rsidR="00C91343">
        <w:rPr>
          <w:rFonts w:ascii="Times New Roman" w:hAnsi="Times New Roman" w:cs="Times New Roman"/>
          <w:sz w:val="16"/>
          <w:szCs w:val="24"/>
          <w:shd w:val="clear" w:color="auto" w:fill="FFFFFF"/>
        </w:rPr>
        <w:t>, 1998</w:t>
      </w:r>
      <w:r w:rsidRPr="00674306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F78E5DF" w14:textId="5EF02CA9" w:rsidR="00894514" w:rsidRPr="00894514" w:rsidRDefault="00894514" w:rsidP="00800B7B">
      <w:pPr>
        <w:pStyle w:val="ListParagraph"/>
        <w:numPr>
          <w:ilvl w:val="0"/>
          <w:numId w:val="15"/>
        </w:numPr>
        <w:ind w:left="284" w:hanging="284"/>
        <w:rPr>
          <w:rFonts w:ascii="Times New Roman" w:hAnsi="Times New Roman" w:cs="Times New Roman"/>
          <w:sz w:val="16"/>
          <w:szCs w:val="24"/>
        </w:rPr>
      </w:pPr>
      <w:proofErr w:type="spellStart"/>
      <w:r w:rsidRPr="00894514">
        <w:rPr>
          <w:rFonts w:ascii="Times New Roman" w:hAnsi="Times New Roman" w:cs="Times New Roman"/>
          <w:sz w:val="16"/>
          <w:szCs w:val="24"/>
        </w:rPr>
        <w:t>Przybyla</w:t>
      </w:r>
      <w:proofErr w:type="spellEnd"/>
      <w:r w:rsidRPr="00894514">
        <w:rPr>
          <w:rFonts w:ascii="Times New Roman" w:hAnsi="Times New Roman" w:cs="Times New Roman"/>
          <w:sz w:val="16"/>
          <w:szCs w:val="24"/>
        </w:rPr>
        <w:t xml:space="preserve">, M. </w:t>
      </w:r>
      <w:r w:rsidR="00D67507">
        <w:rPr>
          <w:rFonts w:ascii="Times New Roman" w:hAnsi="Times New Roman" w:cs="Times New Roman"/>
          <w:sz w:val="16"/>
          <w:szCs w:val="24"/>
        </w:rPr>
        <w:t xml:space="preserve">A., </w:t>
      </w:r>
      <w:proofErr w:type="spellStart"/>
      <w:r w:rsidR="00D67507">
        <w:rPr>
          <w:rFonts w:ascii="Times New Roman" w:hAnsi="Times New Roman" w:cs="Times New Roman"/>
          <w:sz w:val="16"/>
          <w:szCs w:val="24"/>
        </w:rPr>
        <w:t>Yilmaz</w:t>
      </w:r>
      <w:proofErr w:type="spellEnd"/>
      <w:r w:rsidR="00D67507">
        <w:rPr>
          <w:rFonts w:ascii="Times New Roman" w:hAnsi="Times New Roman" w:cs="Times New Roman"/>
          <w:sz w:val="16"/>
          <w:szCs w:val="24"/>
        </w:rPr>
        <w:t xml:space="preserve">, G., &amp; </w:t>
      </w:r>
      <w:proofErr w:type="spellStart"/>
      <w:r w:rsidR="00D67507">
        <w:rPr>
          <w:rFonts w:ascii="Times New Roman" w:hAnsi="Times New Roman" w:cs="Times New Roman"/>
          <w:sz w:val="16"/>
          <w:szCs w:val="24"/>
        </w:rPr>
        <w:t>Becer</w:t>
      </w:r>
      <w:proofErr w:type="spellEnd"/>
      <w:r w:rsidR="00D67507">
        <w:rPr>
          <w:rFonts w:ascii="Times New Roman" w:hAnsi="Times New Roman" w:cs="Times New Roman"/>
          <w:sz w:val="16"/>
          <w:szCs w:val="24"/>
        </w:rPr>
        <w:t>, C. R.,</w:t>
      </w:r>
      <w:r w:rsidRPr="00894514">
        <w:rPr>
          <w:rFonts w:ascii="Times New Roman" w:hAnsi="Times New Roman" w:cs="Times New Roman"/>
          <w:sz w:val="16"/>
          <w:szCs w:val="24"/>
        </w:rPr>
        <w:t xml:space="preserve"> Natural </w:t>
      </w:r>
      <w:proofErr w:type="spellStart"/>
      <w:r w:rsidRPr="00894514">
        <w:rPr>
          <w:rFonts w:ascii="Times New Roman" w:hAnsi="Times New Roman" w:cs="Times New Roman"/>
          <w:sz w:val="16"/>
          <w:szCs w:val="24"/>
        </w:rPr>
        <w:t>cyclodextrins</w:t>
      </w:r>
      <w:proofErr w:type="spellEnd"/>
      <w:r w:rsidRPr="00894514">
        <w:rPr>
          <w:rFonts w:ascii="Times New Roman" w:hAnsi="Times New Roman" w:cs="Times New Roman"/>
          <w:sz w:val="16"/>
          <w:szCs w:val="24"/>
        </w:rPr>
        <w:t xml:space="preserve"> and their derivatives for polymer synthesis. Polym</w:t>
      </w:r>
      <w:r w:rsidR="00D67507">
        <w:rPr>
          <w:rFonts w:ascii="Times New Roman" w:hAnsi="Times New Roman" w:cs="Times New Roman"/>
          <w:sz w:val="16"/>
          <w:szCs w:val="24"/>
        </w:rPr>
        <w:t>er Chemistry, 11(48), 7582-7602,</w:t>
      </w:r>
      <w:r w:rsidR="00D67507" w:rsidRPr="00D67507">
        <w:rPr>
          <w:rFonts w:ascii="Times New Roman" w:hAnsi="Times New Roman" w:cs="Times New Roman"/>
          <w:sz w:val="16"/>
          <w:szCs w:val="24"/>
        </w:rPr>
        <w:t xml:space="preserve"> </w:t>
      </w:r>
      <w:r w:rsidR="00D67507">
        <w:rPr>
          <w:rFonts w:ascii="Times New Roman" w:hAnsi="Times New Roman" w:cs="Times New Roman"/>
          <w:sz w:val="16"/>
          <w:szCs w:val="24"/>
        </w:rPr>
        <w:t>2020.</w:t>
      </w:r>
    </w:p>
    <w:p w14:paraId="712E5F38" w14:textId="297C2256" w:rsidR="00D95F99" w:rsidRDefault="00D95F99" w:rsidP="00D95F99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proofErr w:type="spellStart"/>
      <w:r w:rsidRPr="00D95F99">
        <w:rPr>
          <w:rFonts w:ascii="Times New Roman" w:hAnsi="Times New Roman" w:cs="Times New Roman"/>
          <w:sz w:val="16"/>
          <w:szCs w:val="24"/>
        </w:rPr>
        <w:t>Gregório</w:t>
      </w:r>
      <w:proofErr w:type="spellEnd"/>
      <w:r w:rsidRPr="00D95F99">
        <w:rPr>
          <w:rFonts w:ascii="Times New Roman" w:hAnsi="Times New Roman" w:cs="Times New Roman"/>
          <w:sz w:val="16"/>
          <w:szCs w:val="24"/>
        </w:rPr>
        <w:t>, C.</w:t>
      </w:r>
      <w:r w:rsidR="00AC722E">
        <w:rPr>
          <w:rFonts w:ascii="Times New Roman" w:hAnsi="Times New Roman" w:cs="Times New Roman"/>
          <w:sz w:val="16"/>
          <w:szCs w:val="24"/>
        </w:rPr>
        <w:t>,</w:t>
      </w:r>
      <w:r w:rsidRPr="00D95F99">
        <w:rPr>
          <w:rFonts w:ascii="Times New Roman" w:hAnsi="Times New Roman" w:cs="Times New Roman"/>
          <w:sz w:val="16"/>
          <w:szCs w:val="24"/>
        </w:rPr>
        <w:t xml:space="preserve"> Review: a history of </w:t>
      </w:r>
      <w:proofErr w:type="spellStart"/>
      <w:r w:rsidRPr="00D95F99">
        <w:rPr>
          <w:rFonts w:ascii="Times New Roman" w:hAnsi="Times New Roman" w:cs="Times New Roman"/>
          <w:sz w:val="16"/>
          <w:szCs w:val="24"/>
        </w:rPr>
        <w:t>cyclodextrins</w:t>
      </w:r>
      <w:proofErr w:type="spellEnd"/>
      <w:r w:rsidRPr="00D95F99">
        <w:rPr>
          <w:rFonts w:ascii="Times New Roman" w:hAnsi="Times New Roman" w:cs="Times New Roman"/>
          <w:sz w:val="16"/>
          <w:szCs w:val="24"/>
        </w:rPr>
        <w:t xml:space="preserve">. </w:t>
      </w:r>
      <w:r w:rsidR="00AC722E">
        <w:rPr>
          <w:rFonts w:ascii="Times New Roman" w:hAnsi="Times New Roman" w:cs="Times New Roman"/>
          <w:sz w:val="16"/>
          <w:szCs w:val="24"/>
        </w:rPr>
        <w:t>Chem. Rev, 114(21), 10940-10975, 2014.</w:t>
      </w:r>
    </w:p>
    <w:p w14:paraId="631A3D6E" w14:textId="4923BF68" w:rsidR="00AA0475" w:rsidRPr="00AA0475" w:rsidRDefault="00AA0475" w:rsidP="00AA0475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 w:rsidRPr="00D95F99">
        <w:rPr>
          <w:rFonts w:ascii="Times New Roman" w:hAnsi="Times New Roman" w:cs="Times New Roman"/>
          <w:sz w:val="16"/>
          <w:szCs w:val="24"/>
        </w:rPr>
        <w:t>Cid-</w:t>
      </w:r>
      <w:proofErr w:type="spellStart"/>
      <w:r w:rsidRPr="00D95F99">
        <w:rPr>
          <w:rFonts w:ascii="Times New Roman" w:hAnsi="Times New Roman" w:cs="Times New Roman"/>
          <w:sz w:val="16"/>
          <w:szCs w:val="24"/>
        </w:rPr>
        <w:t>Samamed</w:t>
      </w:r>
      <w:proofErr w:type="spellEnd"/>
      <w:r w:rsidRPr="00D95F99">
        <w:rPr>
          <w:rFonts w:ascii="Times New Roman" w:hAnsi="Times New Roman" w:cs="Times New Roman"/>
          <w:sz w:val="16"/>
          <w:szCs w:val="24"/>
        </w:rPr>
        <w:t xml:space="preserve">, A., </w:t>
      </w:r>
      <w:proofErr w:type="spellStart"/>
      <w:r w:rsidRPr="00D95F99">
        <w:rPr>
          <w:rFonts w:ascii="Times New Roman" w:hAnsi="Times New Roman" w:cs="Times New Roman"/>
          <w:sz w:val="16"/>
          <w:szCs w:val="24"/>
        </w:rPr>
        <w:t>Rakmai</w:t>
      </w:r>
      <w:proofErr w:type="spellEnd"/>
      <w:r w:rsidRPr="00D95F99">
        <w:rPr>
          <w:rFonts w:ascii="Times New Roman" w:hAnsi="Times New Roman" w:cs="Times New Roman"/>
          <w:sz w:val="16"/>
          <w:szCs w:val="24"/>
        </w:rPr>
        <w:t xml:space="preserve">, J., </w:t>
      </w:r>
      <w:proofErr w:type="spellStart"/>
      <w:r w:rsidRPr="00D95F99">
        <w:rPr>
          <w:rFonts w:ascii="Times New Roman" w:hAnsi="Times New Roman" w:cs="Times New Roman"/>
          <w:sz w:val="16"/>
          <w:szCs w:val="24"/>
        </w:rPr>
        <w:t>Mejuto</w:t>
      </w:r>
      <w:proofErr w:type="spellEnd"/>
      <w:r w:rsidRPr="00D95F99">
        <w:rPr>
          <w:rFonts w:ascii="Times New Roman" w:hAnsi="Times New Roman" w:cs="Times New Roman"/>
          <w:sz w:val="16"/>
          <w:szCs w:val="24"/>
        </w:rPr>
        <w:t xml:space="preserve">, J. C., </w:t>
      </w:r>
      <w:proofErr w:type="spellStart"/>
      <w:r w:rsidRPr="00D95F99">
        <w:rPr>
          <w:rFonts w:ascii="Times New Roman" w:hAnsi="Times New Roman" w:cs="Times New Roman"/>
          <w:sz w:val="16"/>
          <w:szCs w:val="24"/>
        </w:rPr>
        <w:t>Simal-</w:t>
      </w:r>
      <w:r>
        <w:rPr>
          <w:rFonts w:ascii="Times New Roman" w:hAnsi="Times New Roman" w:cs="Times New Roman"/>
          <w:sz w:val="16"/>
          <w:szCs w:val="24"/>
        </w:rPr>
        <w:t>Gandara</w:t>
      </w:r>
      <w:proofErr w:type="spellEnd"/>
      <w:r>
        <w:rPr>
          <w:rFonts w:ascii="Times New Roman" w:hAnsi="Times New Roman" w:cs="Times New Roman"/>
          <w:sz w:val="16"/>
          <w:szCs w:val="24"/>
        </w:rPr>
        <w:t>, J., &amp; Astray, G.,</w:t>
      </w:r>
      <w:r w:rsidRPr="00D95F99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D95F99">
        <w:rPr>
          <w:rFonts w:ascii="Times New Roman" w:hAnsi="Times New Roman" w:cs="Times New Roman"/>
          <w:sz w:val="16"/>
          <w:szCs w:val="24"/>
        </w:rPr>
        <w:t>Cyclodextrins</w:t>
      </w:r>
      <w:proofErr w:type="spellEnd"/>
      <w:r w:rsidRPr="00D95F99">
        <w:rPr>
          <w:rFonts w:ascii="Times New Roman" w:hAnsi="Times New Roman" w:cs="Times New Roman"/>
          <w:sz w:val="16"/>
          <w:szCs w:val="24"/>
        </w:rPr>
        <w:t xml:space="preserve"> inclusion complex: Preparation methods, analytical techniques and food industry appli</w:t>
      </w:r>
      <w:r>
        <w:rPr>
          <w:rFonts w:ascii="Times New Roman" w:hAnsi="Times New Roman" w:cs="Times New Roman"/>
          <w:sz w:val="16"/>
          <w:szCs w:val="24"/>
        </w:rPr>
        <w:t>cations. Food Chemistry, 132467,</w:t>
      </w:r>
      <w:r w:rsidRPr="00222F1F">
        <w:rPr>
          <w:rFonts w:ascii="Times New Roman" w:hAnsi="Times New Roman" w:cs="Times New Roman"/>
          <w:sz w:val="16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24"/>
        </w:rPr>
        <w:t>2022</w:t>
      </w:r>
      <w:r w:rsidRPr="00D95F99">
        <w:rPr>
          <w:rFonts w:ascii="Times New Roman" w:hAnsi="Times New Roman" w:cs="Times New Roman"/>
          <w:sz w:val="16"/>
          <w:szCs w:val="24"/>
        </w:rPr>
        <w:t>.</w:t>
      </w:r>
    </w:p>
    <w:p w14:paraId="2F7F58B7" w14:textId="15E7883C" w:rsidR="00454259" w:rsidRPr="00454259" w:rsidRDefault="00454259" w:rsidP="00454259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 w:rsidRPr="00454259">
        <w:rPr>
          <w:rFonts w:ascii="Times New Roman" w:hAnsi="Times New Roman" w:cs="Times New Roman"/>
          <w:sz w:val="16"/>
          <w:szCs w:val="24"/>
        </w:rPr>
        <w:t>Hu, Q. D., Tang, G. P., &amp; Chu, P. K.</w:t>
      </w:r>
      <w:r w:rsidR="000663C9">
        <w:rPr>
          <w:rFonts w:ascii="Times New Roman" w:hAnsi="Times New Roman" w:cs="Times New Roman"/>
          <w:sz w:val="16"/>
          <w:szCs w:val="24"/>
        </w:rPr>
        <w:t>,</w:t>
      </w:r>
      <w:r w:rsidR="00214CFB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454259">
        <w:rPr>
          <w:rFonts w:ascii="Times New Roman" w:hAnsi="Times New Roman" w:cs="Times New Roman"/>
          <w:sz w:val="16"/>
          <w:szCs w:val="24"/>
        </w:rPr>
        <w:t>Cyclodextrin</w:t>
      </w:r>
      <w:proofErr w:type="spellEnd"/>
      <w:r w:rsidRPr="00454259">
        <w:rPr>
          <w:rFonts w:ascii="Times New Roman" w:hAnsi="Times New Roman" w:cs="Times New Roman"/>
          <w:sz w:val="16"/>
          <w:szCs w:val="24"/>
        </w:rPr>
        <w:t xml:space="preserve">-based host–guest </w:t>
      </w:r>
      <w:proofErr w:type="spellStart"/>
      <w:r w:rsidRPr="00454259">
        <w:rPr>
          <w:rFonts w:ascii="Times New Roman" w:hAnsi="Times New Roman" w:cs="Times New Roman"/>
          <w:sz w:val="16"/>
          <w:szCs w:val="24"/>
        </w:rPr>
        <w:t>supramolecular</w:t>
      </w:r>
      <w:proofErr w:type="spellEnd"/>
      <w:r w:rsidRPr="00454259">
        <w:rPr>
          <w:rFonts w:ascii="Times New Roman" w:hAnsi="Times New Roman" w:cs="Times New Roman"/>
          <w:sz w:val="16"/>
          <w:szCs w:val="24"/>
        </w:rPr>
        <w:t xml:space="preserve"> nanoparticles for delivery: from design to applications. Accounts of chem</w:t>
      </w:r>
      <w:r w:rsidR="000663C9">
        <w:rPr>
          <w:rFonts w:ascii="Times New Roman" w:hAnsi="Times New Roman" w:cs="Times New Roman"/>
          <w:sz w:val="16"/>
          <w:szCs w:val="24"/>
        </w:rPr>
        <w:t>ical research, 47(7), 2017-2025,</w:t>
      </w:r>
      <w:r w:rsidR="000663C9" w:rsidRPr="000663C9">
        <w:rPr>
          <w:rFonts w:ascii="Times New Roman" w:hAnsi="Times New Roman" w:cs="Times New Roman"/>
          <w:sz w:val="16"/>
          <w:szCs w:val="24"/>
        </w:rPr>
        <w:t xml:space="preserve"> </w:t>
      </w:r>
      <w:r w:rsidR="000663C9">
        <w:rPr>
          <w:rFonts w:ascii="Times New Roman" w:hAnsi="Times New Roman" w:cs="Times New Roman"/>
          <w:sz w:val="16"/>
          <w:szCs w:val="24"/>
        </w:rPr>
        <w:t>2014.</w:t>
      </w:r>
    </w:p>
    <w:p w14:paraId="437B2FDC" w14:textId="09B020E3" w:rsidR="00454259" w:rsidRPr="00454259" w:rsidRDefault="00454259" w:rsidP="00454259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proofErr w:type="spellStart"/>
      <w:r w:rsidRPr="00454259">
        <w:rPr>
          <w:rFonts w:ascii="Times New Roman" w:hAnsi="Times New Roman" w:cs="Times New Roman"/>
          <w:sz w:val="16"/>
          <w:szCs w:val="24"/>
        </w:rPr>
        <w:t>Magnúsdóttir</w:t>
      </w:r>
      <w:proofErr w:type="spellEnd"/>
      <w:r w:rsidRPr="00454259">
        <w:rPr>
          <w:rFonts w:ascii="Times New Roman" w:hAnsi="Times New Roman" w:cs="Times New Roman"/>
          <w:sz w:val="16"/>
          <w:szCs w:val="24"/>
        </w:rPr>
        <w:t>,</w:t>
      </w:r>
      <w:r w:rsidR="00004D0C">
        <w:rPr>
          <w:rFonts w:ascii="Times New Roman" w:hAnsi="Times New Roman" w:cs="Times New Roman"/>
          <w:sz w:val="16"/>
          <w:szCs w:val="24"/>
        </w:rPr>
        <w:t xml:space="preserve"> A., </w:t>
      </w:r>
      <w:proofErr w:type="spellStart"/>
      <w:r w:rsidR="00004D0C">
        <w:rPr>
          <w:rFonts w:ascii="Times New Roman" w:hAnsi="Times New Roman" w:cs="Times New Roman"/>
          <w:sz w:val="16"/>
          <w:szCs w:val="24"/>
        </w:rPr>
        <w:t>Másson</w:t>
      </w:r>
      <w:proofErr w:type="spellEnd"/>
      <w:r w:rsidR="00004D0C">
        <w:rPr>
          <w:rFonts w:ascii="Times New Roman" w:hAnsi="Times New Roman" w:cs="Times New Roman"/>
          <w:sz w:val="16"/>
          <w:szCs w:val="24"/>
        </w:rPr>
        <w:t xml:space="preserve">, M., &amp; </w:t>
      </w:r>
      <w:proofErr w:type="spellStart"/>
      <w:r w:rsidR="00004D0C">
        <w:rPr>
          <w:rFonts w:ascii="Times New Roman" w:hAnsi="Times New Roman" w:cs="Times New Roman"/>
          <w:sz w:val="16"/>
          <w:szCs w:val="24"/>
        </w:rPr>
        <w:t>Loftsson</w:t>
      </w:r>
      <w:proofErr w:type="spellEnd"/>
      <w:r w:rsidR="00004D0C">
        <w:rPr>
          <w:rFonts w:ascii="Times New Roman" w:hAnsi="Times New Roman" w:cs="Times New Roman"/>
          <w:sz w:val="16"/>
          <w:szCs w:val="24"/>
        </w:rPr>
        <w:t xml:space="preserve">, T., </w:t>
      </w:r>
      <w:r w:rsidRPr="00454259">
        <w:rPr>
          <w:rFonts w:ascii="Times New Roman" w:hAnsi="Times New Roman" w:cs="Times New Roman"/>
          <w:sz w:val="16"/>
          <w:szCs w:val="24"/>
        </w:rPr>
        <w:t>The conventional model of drug/</w:t>
      </w:r>
      <w:proofErr w:type="spellStart"/>
      <w:r w:rsidRPr="00454259">
        <w:rPr>
          <w:rFonts w:ascii="Times New Roman" w:hAnsi="Times New Roman" w:cs="Times New Roman"/>
          <w:sz w:val="16"/>
          <w:szCs w:val="24"/>
        </w:rPr>
        <w:t>cyclodextrin</w:t>
      </w:r>
      <w:proofErr w:type="spellEnd"/>
      <w:r w:rsidRPr="00454259">
        <w:rPr>
          <w:rFonts w:ascii="Times New Roman" w:hAnsi="Times New Roman" w:cs="Times New Roman"/>
          <w:sz w:val="16"/>
          <w:szCs w:val="24"/>
        </w:rPr>
        <w:t xml:space="preserve"> complex formation (salicylic acid/β-</w:t>
      </w:r>
      <w:proofErr w:type="spellStart"/>
      <w:r w:rsidR="002B2AEE">
        <w:rPr>
          <w:rFonts w:ascii="Times New Roman" w:hAnsi="Times New Roman" w:cs="Times New Roman"/>
          <w:sz w:val="16"/>
          <w:szCs w:val="24"/>
        </w:rPr>
        <w:t>cyclodextrin</w:t>
      </w:r>
      <w:proofErr w:type="spellEnd"/>
      <w:r w:rsidR="002B2AEE">
        <w:rPr>
          <w:rFonts w:ascii="Times New Roman" w:hAnsi="Times New Roman" w:cs="Times New Roman"/>
          <w:sz w:val="16"/>
          <w:szCs w:val="24"/>
        </w:rPr>
        <w:t xml:space="preserve"> inclusion complex),</w:t>
      </w:r>
      <w:r w:rsidRPr="00454259">
        <w:rPr>
          <w:rFonts w:ascii="Times New Roman" w:hAnsi="Times New Roman" w:cs="Times New Roman"/>
          <w:sz w:val="16"/>
          <w:szCs w:val="24"/>
        </w:rPr>
        <w:t xml:space="preserve"> Journal of Inclusion Phenomena and </w:t>
      </w:r>
      <w:proofErr w:type="spellStart"/>
      <w:r w:rsidRPr="00454259">
        <w:rPr>
          <w:rFonts w:ascii="Times New Roman" w:hAnsi="Times New Roman" w:cs="Times New Roman"/>
          <w:sz w:val="16"/>
          <w:szCs w:val="24"/>
        </w:rPr>
        <w:t>Mac</w:t>
      </w:r>
      <w:r w:rsidR="00004D0C">
        <w:rPr>
          <w:rFonts w:ascii="Times New Roman" w:hAnsi="Times New Roman" w:cs="Times New Roman"/>
          <w:sz w:val="16"/>
          <w:szCs w:val="24"/>
        </w:rPr>
        <w:t>rocyclic</w:t>
      </w:r>
      <w:proofErr w:type="spellEnd"/>
      <w:r w:rsidR="00004D0C">
        <w:rPr>
          <w:rFonts w:ascii="Times New Roman" w:hAnsi="Times New Roman" w:cs="Times New Roman"/>
          <w:sz w:val="16"/>
          <w:szCs w:val="24"/>
        </w:rPr>
        <w:t xml:space="preserve"> Chemistry, 44, 213-218,</w:t>
      </w:r>
      <w:r w:rsidR="00004D0C" w:rsidRPr="00004D0C">
        <w:rPr>
          <w:rFonts w:ascii="Times New Roman" w:hAnsi="Times New Roman" w:cs="Times New Roman"/>
          <w:sz w:val="16"/>
          <w:szCs w:val="24"/>
        </w:rPr>
        <w:t xml:space="preserve"> </w:t>
      </w:r>
      <w:r w:rsidR="00004D0C">
        <w:rPr>
          <w:rFonts w:ascii="Times New Roman" w:hAnsi="Times New Roman" w:cs="Times New Roman"/>
          <w:sz w:val="16"/>
          <w:szCs w:val="24"/>
        </w:rPr>
        <w:t>2002</w:t>
      </w:r>
      <w:r w:rsidR="00004D0C" w:rsidRPr="00454259">
        <w:rPr>
          <w:rFonts w:ascii="Times New Roman" w:hAnsi="Times New Roman" w:cs="Times New Roman"/>
          <w:sz w:val="16"/>
          <w:szCs w:val="24"/>
        </w:rPr>
        <w:t>.</w:t>
      </w:r>
    </w:p>
    <w:p w14:paraId="67E7F16C" w14:textId="2F6F8FCC" w:rsidR="00454259" w:rsidRDefault="00454259" w:rsidP="00454259">
      <w:pPr>
        <w:pStyle w:val="ListParagraph"/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 w:rsidRPr="00454259">
        <w:rPr>
          <w:rFonts w:ascii="Times New Roman" w:hAnsi="Times New Roman" w:cs="Times New Roman"/>
          <w:sz w:val="16"/>
          <w:szCs w:val="24"/>
        </w:rPr>
        <w:t>Higuchi, T., &amp; Connors, K. A.</w:t>
      </w:r>
      <w:r w:rsidR="002B2AEE">
        <w:rPr>
          <w:rFonts w:ascii="Times New Roman" w:hAnsi="Times New Roman" w:cs="Times New Roman"/>
          <w:sz w:val="16"/>
          <w:szCs w:val="24"/>
        </w:rPr>
        <w:t>,</w:t>
      </w:r>
      <w:r w:rsidRPr="00454259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454259">
        <w:rPr>
          <w:rFonts w:ascii="Times New Roman" w:hAnsi="Times New Roman" w:cs="Times New Roman"/>
          <w:sz w:val="16"/>
          <w:szCs w:val="24"/>
        </w:rPr>
        <w:t>Adv</w:t>
      </w:r>
      <w:proofErr w:type="spellEnd"/>
      <w:r w:rsidRPr="00454259">
        <w:rPr>
          <w:rFonts w:ascii="Times New Roman" w:hAnsi="Times New Roman" w:cs="Times New Roman"/>
          <w:sz w:val="16"/>
          <w:szCs w:val="24"/>
        </w:rPr>
        <w:t xml:space="preserve"> anal </w:t>
      </w:r>
      <w:proofErr w:type="spellStart"/>
      <w:r w:rsidRPr="00454259">
        <w:rPr>
          <w:rFonts w:ascii="Times New Roman" w:hAnsi="Times New Roman" w:cs="Times New Roman"/>
          <w:sz w:val="16"/>
          <w:szCs w:val="24"/>
        </w:rPr>
        <w:t>chem</w:t>
      </w:r>
      <w:proofErr w:type="spellEnd"/>
      <w:r w:rsidRPr="00454259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Pr="00454259">
        <w:rPr>
          <w:rFonts w:ascii="Times New Roman" w:hAnsi="Times New Roman" w:cs="Times New Roman"/>
          <w:sz w:val="16"/>
          <w:szCs w:val="24"/>
        </w:rPr>
        <w:t>instrum</w:t>
      </w:r>
      <w:proofErr w:type="spellEnd"/>
      <w:r w:rsidRPr="00454259">
        <w:rPr>
          <w:rFonts w:ascii="Times New Roman" w:hAnsi="Times New Roman" w:cs="Times New Roman"/>
          <w:sz w:val="16"/>
          <w:szCs w:val="24"/>
        </w:rPr>
        <w:t>. Phase-so</w:t>
      </w:r>
      <w:r w:rsidR="002B2AEE">
        <w:rPr>
          <w:rFonts w:ascii="Times New Roman" w:hAnsi="Times New Roman" w:cs="Times New Roman"/>
          <w:sz w:val="16"/>
          <w:szCs w:val="24"/>
        </w:rPr>
        <w:t>lubility techniques, 4, 117-212,</w:t>
      </w:r>
      <w:r w:rsidR="002B2AEE" w:rsidRPr="002B2AEE">
        <w:rPr>
          <w:rFonts w:ascii="Times New Roman" w:hAnsi="Times New Roman" w:cs="Times New Roman"/>
          <w:sz w:val="16"/>
          <w:szCs w:val="24"/>
        </w:rPr>
        <w:t xml:space="preserve"> </w:t>
      </w:r>
      <w:r w:rsidR="002B2AEE">
        <w:rPr>
          <w:rFonts w:ascii="Times New Roman" w:hAnsi="Times New Roman" w:cs="Times New Roman"/>
          <w:sz w:val="16"/>
          <w:szCs w:val="24"/>
        </w:rPr>
        <w:t>1965.</w:t>
      </w:r>
    </w:p>
    <w:p w14:paraId="24A81C67" w14:textId="2F1598F8" w:rsidR="00055F95" w:rsidRDefault="00D5350C" w:rsidP="00055F95">
      <w:pPr>
        <w:pStyle w:val="ListParagraph"/>
        <w:ind w:left="0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[9]</w:t>
      </w:r>
      <w:r w:rsidR="00055F95" w:rsidRPr="00055F95">
        <w:rPr>
          <w:rFonts w:ascii="Times New Roman" w:hAnsi="Times New Roman" w:cs="Times New Roman"/>
          <w:sz w:val="16"/>
        </w:rPr>
        <w:t>.</w:t>
      </w:r>
      <w:r w:rsidR="00055F95">
        <w:rPr>
          <w:rFonts w:ascii="Times New Roman" w:hAnsi="Times New Roman" w:cs="Times New Roman"/>
          <w:sz w:val="16"/>
        </w:rPr>
        <w:t xml:space="preserve"> </w:t>
      </w:r>
      <w:proofErr w:type="spellStart"/>
      <w:r w:rsidR="00055F95" w:rsidRPr="00055F95">
        <w:rPr>
          <w:rFonts w:ascii="Times New Roman" w:hAnsi="Times New Roman" w:cs="Times New Roman"/>
          <w:sz w:val="16"/>
        </w:rPr>
        <w:t>Uekama</w:t>
      </w:r>
      <w:proofErr w:type="spellEnd"/>
      <w:r w:rsidR="00055F95" w:rsidRPr="00055F95">
        <w:rPr>
          <w:rFonts w:ascii="Times New Roman" w:hAnsi="Times New Roman" w:cs="Times New Roman"/>
          <w:sz w:val="16"/>
        </w:rPr>
        <w:t xml:space="preserve"> K. Design and evaluation of </w:t>
      </w:r>
      <w:proofErr w:type="spellStart"/>
      <w:r w:rsidR="00055F95" w:rsidRPr="00055F95">
        <w:rPr>
          <w:rFonts w:ascii="Times New Roman" w:hAnsi="Times New Roman" w:cs="Times New Roman"/>
          <w:sz w:val="16"/>
        </w:rPr>
        <w:t>cyclodextrin</w:t>
      </w:r>
      <w:proofErr w:type="spellEnd"/>
      <w:r w:rsidR="00055F95" w:rsidRPr="00055F95">
        <w:rPr>
          <w:rFonts w:ascii="Times New Roman" w:hAnsi="Times New Roman" w:cs="Times New Roman"/>
          <w:sz w:val="16"/>
        </w:rPr>
        <w:t>-based drug fo</w:t>
      </w:r>
      <w:r w:rsidR="00027337">
        <w:rPr>
          <w:rFonts w:ascii="Times New Roman" w:hAnsi="Times New Roman" w:cs="Times New Roman"/>
          <w:sz w:val="16"/>
        </w:rPr>
        <w:t xml:space="preserve">rmulation. </w:t>
      </w:r>
      <w:proofErr w:type="spellStart"/>
      <w:r w:rsidR="00027337">
        <w:rPr>
          <w:rFonts w:ascii="Times New Roman" w:hAnsi="Times New Roman" w:cs="Times New Roman"/>
          <w:sz w:val="16"/>
        </w:rPr>
        <w:t>Chem</w:t>
      </w:r>
      <w:proofErr w:type="spellEnd"/>
      <w:r w:rsidR="00027337">
        <w:rPr>
          <w:rFonts w:ascii="Times New Roman" w:hAnsi="Times New Roman" w:cs="Times New Roman"/>
          <w:sz w:val="16"/>
        </w:rPr>
        <w:t xml:space="preserve"> Pharm Bull, 52,</w:t>
      </w:r>
      <w:r w:rsidR="00055F95" w:rsidRPr="00055F95">
        <w:rPr>
          <w:rFonts w:ascii="Times New Roman" w:hAnsi="Times New Roman" w:cs="Times New Roman"/>
          <w:sz w:val="16"/>
        </w:rPr>
        <w:t xml:space="preserve"> 900–915</w:t>
      </w:r>
      <w:r w:rsidR="00027337">
        <w:rPr>
          <w:rFonts w:ascii="Times New Roman" w:hAnsi="Times New Roman" w:cs="Times New Roman"/>
          <w:sz w:val="16"/>
        </w:rPr>
        <w:t>,</w:t>
      </w:r>
      <w:r w:rsidR="00027337" w:rsidRPr="00027337">
        <w:rPr>
          <w:rFonts w:ascii="Times New Roman" w:hAnsi="Times New Roman" w:cs="Times New Roman"/>
          <w:sz w:val="16"/>
        </w:rPr>
        <w:t xml:space="preserve"> </w:t>
      </w:r>
      <w:r w:rsidR="00027337">
        <w:rPr>
          <w:rFonts w:ascii="Times New Roman" w:hAnsi="Times New Roman" w:cs="Times New Roman"/>
          <w:sz w:val="16"/>
        </w:rPr>
        <w:t>2004.</w:t>
      </w:r>
    </w:p>
    <w:p w14:paraId="4C31D96D" w14:textId="3B713ACF" w:rsidR="005F1098" w:rsidRDefault="00D5350C" w:rsidP="00055F95">
      <w:pPr>
        <w:pStyle w:val="ListParagraph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</w:rPr>
        <w:t xml:space="preserve">[10] </w:t>
      </w:r>
      <w:r w:rsidR="00513C0B" w:rsidRPr="00513C0B">
        <w:rPr>
          <w:rFonts w:ascii="Times New Roman" w:hAnsi="Times New Roman" w:cs="Times New Roman"/>
          <w:sz w:val="16"/>
          <w:szCs w:val="16"/>
        </w:rPr>
        <w:t xml:space="preserve">Brewster ME, </w:t>
      </w:r>
      <w:proofErr w:type="spellStart"/>
      <w:r w:rsidR="00513C0B" w:rsidRPr="00513C0B">
        <w:rPr>
          <w:rFonts w:ascii="Times New Roman" w:hAnsi="Times New Roman" w:cs="Times New Roman"/>
          <w:sz w:val="16"/>
          <w:szCs w:val="16"/>
        </w:rPr>
        <w:t>Loftsson</w:t>
      </w:r>
      <w:proofErr w:type="spellEnd"/>
      <w:r w:rsidR="00513C0B" w:rsidRPr="00513C0B">
        <w:rPr>
          <w:rFonts w:ascii="Times New Roman" w:hAnsi="Times New Roman" w:cs="Times New Roman"/>
          <w:sz w:val="16"/>
          <w:szCs w:val="16"/>
        </w:rPr>
        <w:t xml:space="preserve"> T. </w:t>
      </w:r>
      <w:proofErr w:type="spellStart"/>
      <w:r w:rsidR="00513C0B" w:rsidRPr="00513C0B">
        <w:rPr>
          <w:rFonts w:ascii="Times New Roman" w:hAnsi="Times New Roman" w:cs="Times New Roman"/>
          <w:sz w:val="16"/>
          <w:szCs w:val="16"/>
        </w:rPr>
        <w:t>Cyclodextrins</w:t>
      </w:r>
      <w:proofErr w:type="spellEnd"/>
      <w:r w:rsidR="00513C0B" w:rsidRPr="00513C0B">
        <w:rPr>
          <w:rFonts w:ascii="Times New Roman" w:hAnsi="Times New Roman" w:cs="Times New Roman"/>
          <w:sz w:val="16"/>
          <w:szCs w:val="16"/>
        </w:rPr>
        <w:t xml:space="preserve"> as pharmaceutical </w:t>
      </w:r>
      <w:proofErr w:type="spellStart"/>
      <w:r w:rsidR="00513C0B" w:rsidRPr="00513C0B">
        <w:rPr>
          <w:rFonts w:ascii="Times New Roman" w:hAnsi="Times New Roman" w:cs="Times New Roman"/>
          <w:sz w:val="16"/>
          <w:szCs w:val="16"/>
        </w:rPr>
        <w:t>solubilizers</w:t>
      </w:r>
      <w:proofErr w:type="spellEnd"/>
      <w:r w:rsidR="00513C0B" w:rsidRPr="00513C0B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513C0B" w:rsidRPr="00513C0B">
        <w:rPr>
          <w:rFonts w:ascii="Times New Roman" w:hAnsi="Times New Roman" w:cs="Times New Roman"/>
          <w:sz w:val="16"/>
          <w:szCs w:val="16"/>
        </w:rPr>
        <w:t>Adv</w:t>
      </w:r>
      <w:proofErr w:type="spellEnd"/>
      <w:r w:rsidR="00513C0B" w:rsidRPr="00513C0B">
        <w:rPr>
          <w:rFonts w:ascii="Times New Roman" w:hAnsi="Times New Roman" w:cs="Times New Roman"/>
          <w:sz w:val="16"/>
          <w:szCs w:val="16"/>
        </w:rPr>
        <w:t xml:space="preserve"> Drug </w:t>
      </w:r>
      <w:proofErr w:type="spellStart"/>
      <w:r w:rsidR="00513C0B" w:rsidRPr="00513C0B">
        <w:rPr>
          <w:rFonts w:ascii="Times New Roman" w:hAnsi="Times New Roman" w:cs="Times New Roman"/>
          <w:sz w:val="16"/>
          <w:szCs w:val="16"/>
        </w:rPr>
        <w:t>Deliv</w:t>
      </w:r>
      <w:proofErr w:type="spellEnd"/>
      <w:r w:rsidR="00513C0B" w:rsidRPr="00513C0B">
        <w:rPr>
          <w:rFonts w:ascii="Times New Roman" w:hAnsi="Times New Roman" w:cs="Times New Roman"/>
          <w:sz w:val="16"/>
          <w:szCs w:val="16"/>
        </w:rPr>
        <w:t xml:space="preserve"> Rev</w:t>
      </w:r>
      <w:r w:rsidR="008C3613">
        <w:rPr>
          <w:rFonts w:ascii="Times New Roman" w:hAnsi="Times New Roman" w:cs="Times New Roman"/>
          <w:sz w:val="16"/>
          <w:szCs w:val="16"/>
        </w:rPr>
        <w:t>, 59,</w:t>
      </w:r>
      <w:r w:rsidR="00513C0B" w:rsidRPr="00513C0B">
        <w:rPr>
          <w:rFonts w:ascii="Times New Roman" w:hAnsi="Times New Roman" w:cs="Times New Roman"/>
          <w:sz w:val="16"/>
          <w:szCs w:val="16"/>
        </w:rPr>
        <w:t xml:space="preserve"> 645–666</w:t>
      </w:r>
      <w:r w:rsidR="008C3613">
        <w:rPr>
          <w:rFonts w:ascii="Times New Roman" w:hAnsi="Times New Roman" w:cs="Times New Roman"/>
          <w:sz w:val="16"/>
          <w:szCs w:val="16"/>
        </w:rPr>
        <w:t>,</w:t>
      </w:r>
      <w:r w:rsidR="008C3613" w:rsidRPr="008C3613">
        <w:rPr>
          <w:rFonts w:ascii="Times New Roman" w:hAnsi="Times New Roman" w:cs="Times New Roman"/>
          <w:sz w:val="16"/>
          <w:szCs w:val="16"/>
        </w:rPr>
        <w:t xml:space="preserve"> </w:t>
      </w:r>
      <w:r w:rsidR="008C3613" w:rsidRPr="00513C0B">
        <w:rPr>
          <w:rFonts w:ascii="Times New Roman" w:hAnsi="Times New Roman" w:cs="Times New Roman"/>
          <w:sz w:val="16"/>
          <w:szCs w:val="16"/>
        </w:rPr>
        <w:t>2007</w:t>
      </w:r>
      <w:r w:rsidR="008C3613">
        <w:rPr>
          <w:rFonts w:ascii="Times New Roman" w:hAnsi="Times New Roman" w:cs="Times New Roman"/>
          <w:sz w:val="16"/>
          <w:szCs w:val="16"/>
        </w:rPr>
        <w:t>.</w:t>
      </w:r>
    </w:p>
    <w:p w14:paraId="42CE0614" w14:textId="347402E1" w:rsidR="00910525" w:rsidRDefault="00910525" w:rsidP="004470A4">
      <w:pPr>
        <w:pStyle w:val="ListParagraph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[11]</w:t>
      </w:r>
      <w:r w:rsidRPr="00910525">
        <w:t xml:space="preserve"> </w:t>
      </w:r>
      <w:r w:rsidRPr="00910525">
        <w:rPr>
          <w:rFonts w:ascii="Times New Roman" w:hAnsi="Times New Roman" w:cs="Times New Roman"/>
          <w:sz w:val="16"/>
          <w:szCs w:val="16"/>
        </w:rPr>
        <w:t xml:space="preserve">Kaplan, </w:t>
      </w:r>
      <w:proofErr w:type="gramStart"/>
      <w:r w:rsidRPr="00910525">
        <w:rPr>
          <w:rFonts w:ascii="Times New Roman" w:hAnsi="Times New Roman" w:cs="Times New Roman"/>
          <w:sz w:val="16"/>
          <w:szCs w:val="16"/>
        </w:rPr>
        <w:t>Ö.,</w:t>
      </w:r>
      <w:proofErr w:type="gramEnd"/>
      <w:r w:rsidRPr="0091052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910525">
        <w:rPr>
          <w:rFonts w:ascii="Times New Roman" w:hAnsi="Times New Roman" w:cs="Times New Roman"/>
          <w:sz w:val="16"/>
          <w:szCs w:val="16"/>
        </w:rPr>
        <w:t>Truszkowska</w:t>
      </w:r>
      <w:proofErr w:type="spellEnd"/>
      <w:r w:rsidRPr="00910525">
        <w:rPr>
          <w:rFonts w:ascii="Times New Roman" w:hAnsi="Times New Roman" w:cs="Times New Roman"/>
          <w:sz w:val="16"/>
          <w:szCs w:val="16"/>
        </w:rPr>
        <w:t xml:space="preserve">, M., Kali, G., Knoll, P., </w:t>
      </w:r>
      <w:proofErr w:type="spellStart"/>
      <w:r w:rsidRPr="00910525">
        <w:rPr>
          <w:rFonts w:ascii="Times New Roman" w:hAnsi="Times New Roman" w:cs="Times New Roman"/>
          <w:sz w:val="16"/>
          <w:szCs w:val="16"/>
        </w:rPr>
        <w:t>Massani</w:t>
      </w:r>
      <w:proofErr w:type="spellEnd"/>
      <w:r w:rsidRPr="00910525">
        <w:rPr>
          <w:rFonts w:ascii="Times New Roman" w:hAnsi="Times New Roman" w:cs="Times New Roman"/>
          <w:sz w:val="16"/>
          <w:szCs w:val="16"/>
        </w:rPr>
        <w:t xml:space="preserve">, M.B., Braun, D.E. and </w:t>
      </w:r>
      <w:proofErr w:type="spellStart"/>
      <w:r w:rsidRPr="00910525">
        <w:rPr>
          <w:rFonts w:ascii="Times New Roman" w:hAnsi="Times New Roman" w:cs="Times New Roman"/>
          <w:sz w:val="16"/>
          <w:szCs w:val="16"/>
        </w:rPr>
        <w:t>Bernkop-Schnürch</w:t>
      </w:r>
      <w:proofErr w:type="spellEnd"/>
      <w:r w:rsidRPr="00910525">
        <w:rPr>
          <w:rFonts w:ascii="Times New Roman" w:hAnsi="Times New Roman" w:cs="Times New Roman"/>
          <w:sz w:val="16"/>
          <w:szCs w:val="16"/>
        </w:rPr>
        <w:t xml:space="preserve">, A., </w:t>
      </w:r>
      <w:proofErr w:type="spellStart"/>
      <w:r w:rsidRPr="00910525">
        <w:rPr>
          <w:rFonts w:ascii="Times New Roman" w:hAnsi="Times New Roman" w:cs="Times New Roman"/>
          <w:sz w:val="16"/>
          <w:szCs w:val="16"/>
        </w:rPr>
        <w:t>Thiolated</w:t>
      </w:r>
      <w:proofErr w:type="spellEnd"/>
      <w:r w:rsidRPr="00910525">
        <w:rPr>
          <w:rFonts w:ascii="Times New Roman" w:hAnsi="Times New Roman" w:cs="Times New Roman"/>
          <w:sz w:val="16"/>
          <w:szCs w:val="16"/>
        </w:rPr>
        <w:t xml:space="preserve"> α-</w:t>
      </w:r>
      <w:proofErr w:type="spellStart"/>
      <w:r w:rsidRPr="00910525">
        <w:rPr>
          <w:rFonts w:ascii="Times New Roman" w:hAnsi="Times New Roman" w:cs="Times New Roman"/>
          <w:sz w:val="16"/>
          <w:szCs w:val="16"/>
        </w:rPr>
        <w:t>cyclodextrin</w:t>
      </w:r>
      <w:proofErr w:type="spellEnd"/>
      <w:r w:rsidRPr="00910525">
        <w:rPr>
          <w:rFonts w:ascii="Times New Roman" w:hAnsi="Times New Roman" w:cs="Times New Roman"/>
          <w:sz w:val="16"/>
          <w:szCs w:val="16"/>
        </w:rPr>
        <w:t xml:space="preserve">: The likely smallest drug carrier providing enhanced cellular uptake and </w:t>
      </w:r>
      <w:proofErr w:type="spellStart"/>
      <w:r w:rsidRPr="00910525">
        <w:rPr>
          <w:rFonts w:ascii="Times New Roman" w:hAnsi="Times New Roman" w:cs="Times New Roman"/>
          <w:sz w:val="16"/>
          <w:szCs w:val="16"/>
        </w:rPr>
        <w:t>endosomal</w:t>
      </w:r>
      <w:proofErr w:type="spellEnd"/>
      <w:r w:rsidRPr="00910525">
        <w:rPr>
          <w:rFonts w:ascii="Times New Roman" w:hAnsi="Times New Roman" w:cs="Times New Roman"/>
          <w:sz w:val="16"/>
          <w:szCs w:val="16"/>
        </w:rPr>
        <w:t xml:space="preserve"> escape. Carbohydrate Polymers, p.121070, 2023</w:t>
      </w:r>
      <w:r w:rsidR="003654FB">
        <w:rPr>
          <w:rFonts w:ascii="Times New Roman" w:hAnsi="Times New Roman" w:cs="Times New Roman"/>
          <w:sz w:val="16"/>
          <w:szCs w:val="16"/>
        </w:rPr>
        <w:t>.</w:t>
      </w:r>
    </w:p>
    <w:p w14:paraId="38F89B8B" w14:textId="5F1C661B" w:rsidR="003654FB" w:rsidRDefault="003654FB" w:rsidP="003654FB">
      <w:pPr>
        <w:pStyle w:val="ListParagraph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[12]</w:t>
      </w:r>
      <w:r w:rsidRPr="003654FB">
        <w:t xml:space="preserve"> </w:t>
      </w:r>
      <w:r w:rsidRPr="003654FB">
        <w:rPr>
          <w:rFonts w:ascii="Times New Roman" w:hAnsi="Times New Roman" w:cs="Times New Roman"/>
          <w:sz w:val="16"/>
          <w:szCs w:val="16"/>
        </w:rPr>
        <w:t>Rasheed A, Kum</w:t>
      </w:r>
      <w:r>
        <w:rPr>
          <w:rFonts w:ascii="Times New Roman" w:hAnsi="Times New Roman" w:cs="Times New Roman"/>
          <w:sz w:val="16"/>
          <w:szCs w:val="16"/>
        </w:rPr>
        <w:t xml:space="preserve">ar A, </w:t>
      </w:r>
      <w:proofErr w:type="spellStart"/>
      <w:r>
        <w:rPr>
          <w:rFonts w:ascii="Times New Roman" w:hAnsi="Times New Roman" w:cs="Times New Roman"/>
          <w:sz w:val="16"/>
          <w:szCs w:val="16"/>
        </w:rPr>
        <w:t>Sravanthi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V., </w:t>
      </w:r>
      <w:proofErr w:type="spellStart"/>
      <w:r w:rsidRPr="003654FB">
        <w:rPr>
          <w:rFonts w:ascii="Times New Roman" w:hAnsi="Times New Roman" w:cs="Times New Roman"/>
          <w:sz w:val="16"/>
          <w:szCs w:val="16"/>
        </w:rPr>
        <w:t>Cyclodextrins</w:t>
      </w:r>
      <w:proofErr w:type="spellEnd"/>
      <w:r w:rsidRPr="003654FB">
        <w:rPr>
          <w:rFonts w:ascii="Times New Roman" w:hAnsi="Times New Roman" w:cs="Times New Roman"/>
          <w:sz w:val="16"/>
          <w:szCs w:val="16"/>
        </w:rPr>
        <w:t xml:space="preserve"> as drug carrier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3654FB">
        <w:rPr>
          <w:rFonts w:ascii="Times New Roman" w:hAnsi="Times New Roman" w:cs="Times New Roman"/>
          <w:sz w:val="16"/>
          <w:szCs w:val="16"/>
        </w:rPr>
        <w:t xml:space="preserve">molecule: a review. </w:t>
      </w:r>
      <w:proofErr w:type="spellStart"/>
      <w:r w:rsidRPr="003654FB">
        <w:rPr>
          <w:rFonts w:ascii="Times New Roman" w:hAnsi="Times New Roman" w:cs="Times New Roman"/>
          <w:sz w:val="16"/>
          <w:szCs w:val="16"/>
        </w:rPr>
        <w:t>Sci</w:t>
      </w:r>
      <w:proofErr w:type="spellEnd"/>
      <w:r w:rsidRPr="003654FB">
        <w:rPr>
          <w:rFonts w:ascii="Times New Roman" w:hAnsi="Times New Roman" w:cs="Times New Roman"/>
          <w:sz w:val="16"/>
          <w:szCs w:val="16"/>
        </w:rPr>
        <w:t xml:space="preserve"> Pharm 76:567–98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3654F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2008.</w:t>
      </w:r>
    </w:p>
    <w:p w14:paraId="72010585" w14:textId="53922445" w:rsidR="00910525" w:rsidRDefault="00C94F73" w:rsidP="00055F95">
      <w:pPr>
        <w:pStyle w:val="ListParagraph"/>
        <w:ind w:left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[13</w:t>
      </w:r>
      <w:r w:rsidR="00F042D8">
        <w:rPr>
          <w:rFonts w:ascii="Times New Roman" w:hAnsi="Times New Roman" w:cs="Times New Roman"/>
          <w:sz w:val="16"/>
          <w:szCs w:val="16"/>
        </w:rPr>
        <w:t>]</w:t>
      </w:r>
      <w:r w:rsidR="00176CDB" w:rsidRPr="00176CDB">
        <w:rPr>
          <w:rFonts w:ascii="Times New Roman" w:hAnsi="Times New Roman" w:cs="Times New Roman"/>
          <w:sz w:val="16"/>
          <w:szCs w:val="16"/>
        </w:rPr>
        <w:t xml:space="preserve"> </w:t>
      </w:r>
      <w:r w:rsidR="00176CDB" w:rsidRPr="0023006F">
        <w:rPr>
          <w:rFonts w:ascii="Times New Roman" w:hAnsi="Times New Roman" w:cs="Times New Roman"/>
          <w:sz w:val="16"/>
          <w:szCs w:val="16"/>
        </w:rPr>
        <w:t>Stella VJ, He Q.</w:t>
      </w:r>
      <w:r w:rsidR="00176CD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6CDB">
        <w:rPr>
          <w:rFonts w:ascii="Times New Roman" w:hAnsi="Times New Roman" w:cs="Times New Roman"/>
          <w:sz w:val="16"/>
          <w:szCs w:val="16"/>
        </w:rPr>
        <w:t>Cyclodextrins</w:t>
      </w:r>
      <w:proofErr w:type="spellEnd"/>
      <w:r w:rsidR="00176CDB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="00176CDB">
        <w:rPr>
          <w:rFonts w:ascii="Times New Roman" w:hAnsi="Times New Roman" w:cs="Times New Roman"/>
          <w:sz w:val="16"/>
          <w:szCs w:val="16"/>
        </w:rPr>
        <w:t>Tox</w:t>
      </w:r>
      <w:proofErr w:type="spellEnd"/>
      <w:r w:rsidR="00176CD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176CDB">
        <w:rPr>
          <w:rFonts w:ascii="Times New Roman" w:hAnsi="Times New Roman" w:cs="Times New Roman"/>
          <w:sz w:val="16"/>
          <w:szCs w:val="16"/>
        </w:rPr>
        <w:t>Pathol</w:t>
      </w:r>
      <w:proofErr w:type="spellEnd"/>
      <w:r w:rsidR="00176CDB">
        <w:rPr>
          <w:rFonts w:ascii="Times New Roman" w:hAnsi="Times New Roman" w:cs="Times New Roman"/>
          <w:sz w:val="16"/>
          <w:szCs w:val="16"/>
        </w:rPr>
        <w:t>, 36,</w:t>
      </w:r>
      <w:r w:rsidR="00176CDB" w:rsidRPr="0023006F">
        <w:rPr>
          <w:rFonts w:ascii="Times New Roman" w:hAnsi="Times New Roman" w:cs="Times New Roman"/>
          <w:sz w:val="16"/>
          <w:szCs w:val="16"/>
        </w:rPr>
        <w:t xml:space="preserve"> 30–42</w:t>
      </w:r>
      <w:r w:rsidR="00176CDB">
        <w:rPr>
          <w:rFonts w:ascii="Times New Roman" w:hAnsi="Times New Roman" w:cs="Times New Roman"/>
          <w:sz w:val="16"/>
          <w:szCs w:val="16"/>
        </w:rPr>
        <w:t>,</w:t>
      </w:r>
      <w:r w:rsidR="00176CDB" w:rsidRPr="002A7235">
        <w:rPr>
          <w:rFonts w:ascii="Times New Roman" w:hAnsi="Times New Roman" w:cs="Times New Roman"/>
          <w:sz w:val="16"/>
          <w:szCs w:val="16"/>
        </w:rPr>
        <w:t xml:space="preserve"> </w:t>
      </w:r>
      <w:r w:rsidR="00176CDB">
        <w:rPr>
          <w:rFonts w:ascii="Times New Roman" w:hAnsi="Times New Roman" w:cs="Times New Roman"/>
          <w:sz w:val="16"/>
          <w:szCs w:val="16"/>
        </w:rPr>
        <w:t>2008</w:t>
      </w:r>
      <w:r w:rsidR="00A86101">
        <w:rPr>
          <w:rFonts w:ascii="Times New Roman" w:hAnsi="Times New Roman" w:cs="Times New Roman"/>
          <w:sz w:val="16"/>
          <w:szCs w:val="16"/>
        </w:rPr>
        <w:t>.</w:t>
      </w:r>
    </w:p>
    <w:p w14:paraId="3D04EDBA" w14:textId="42368825" w:rsidR="00A86101" w:rsidRDefault="00A86101" w:rsidP="004470A4">
      <w:pPr>
        <w:pStyle w:val="ListParagraph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[1</w:t>
      </w:r>
      <w:r w:rsidR="00C94F73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] </w:t>
      </w:r>
      <w:proofErr w:type="spellStart"/>
      <w:r w:rsidRPr="0023006F">
        <w:rPr>
          <w:rFonts w:ascii="Times New Roman" w:hAnsi="Times New Roman" w:cs="Times New Roman"/>
          <w:sz w:val="16"/>
          <w:szCs w:val="16"/>
        </w:rPr>
        <w:t>Amidon</w:t>
      </w:r>
      <w:proofErr w:type="spellEnd"/>
      <w:r w:rsidRPr="0023006F">
        <w:rPr>
          <w:rFonts w:ascii="Times New Roman" w:hAnsi="Times New Roman" w:cs="Times New Roman"/>
          <w:sz w:val="16"/>
          <w:szCs w:val="16"/>
        </w:rPr>
        <w:t xml:space="preserve"> GL et al. A theoretical basis for a </w:t>
      </w:r>
      <w:proofErr w:type="spellStart"/>
      <w:r w:rsidRPr="0023006F">
        <w:rPr>
          <w:rFonts w:ascii="Times New Roman" w:hAnsi="Times New Roman" w:cs="Times New Roman"/>
          <w:sz w:val="16"/>
          <w:szCs w:val="16"/>
        </w:rPr>
        <w:t>biopharmaceutic</w:t>
      </w:r>
      <w:proofErr w:type="spellEnd"/>
      <w:r w:rsidRPr="0023006F">
        <w:rPr>
          <w:rFonts w:ascii="Times New Roman" w:hAnsi="Times New Roman" w:cs="Times New Roman"/>
          <w:sz w:val="16"/>
          <w:szCs w:val="16"/>
        </w:rPr>
        <w:t xml:space="preserve"> drug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006F">
        <w:rPr>
          <w:rFonts w:ascii="Times New Roman" w:hAnsi="Times New Roman" w:cs="Times New Roman"/>
          <w:sz w:val="16"/>
          <w:szCs w:val="16"/>
        </w:rPr>
        <w:t>classification: the correlation of in vitro drug product dissolution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23006F">
        <w:rPr>
          <w:rFonts w:ascii="Times New Roman" w:hAnsi="Times New Roman" w:cs="Times New Roman"/>
          <w:sz w:val="16"/>
          <w:szCs w:val="16"/>
        </w:rPr>
        <w:t xml:space="preserve">and in </w:t>
      </w:r>
      <w:r>
        <w:rPr>
          <w:rFonts w:ascii="Times New Roman" w:hAnsi="Times New Roman" w:cs="Times New Roman"/>
          <w:sz w:val="16"/>
          <w:szCs w:val="16"/>
        </w:rPr>
        <w:t>vivo bioavailability. Pharm Res, 12,</w:t>
      </w:r>
      <w:r w:rsidRPr="0023006F">
        <w:rPr>
          <w:rFonts w:ascii="Times New Roman" w:hAnsi="Times New Roman" w:cs="Times New Roman"/>
          <w:sz w:val="16"/>
          <w:szCs w:val="16"/>
        </w:rPr>
        <w:t xml:space="preserve"> 413–420</w:t>
      </w:r>
      <w:r>
        <w:rPr>
          <w:rFonts w:ascii="Times New Roman" w:hAnsi="Times New Roman" w:cs="Times New Roman"/>
          <w:sz w:val="16"/>
          <w:szCs w:val="16"/>
        </w:rPr>
        <w:t>, 1995.</w:t>
      </w:r>
    </w:p>
    <w:p w14:paraId="23A3BF98" w14:textId="600636F8" w:rsidR="00A86101" w:rsidRDefault="00C94F73" w:rsidP="004470A4">
      <w:pPr>
        <w:pStyle w:val="ListParagraph"/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[15</w:t>
      </w:r>
      <w:r w:rsidR="004470A4">
        <w:rPr>
          <w:rFonts w:ascii="Times New Roman" w:hAnsi="Times New Roman" w:cs="Times New Roman"/>
          <w:sz w:val="16"/>
          <w:szCs w:val="16"/>
        </w:rPr>
        <w:t>]</w:t>
      </w:r>
      <w:r w:rsidR="004470A4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4470A4" w:rsidRPr="007B2214">
        <w:rPr>
          <w:rFonts w:ascii="Times New Roman" w:hAnsi="Times New Roman" w:cs="Times New Roman"/>
          <w:sz w:val="16"/>
          <w:szCs w:val="24"/>
        </w:rPr>
        <w:t>Wenz</w:t>
      </w:r>
      <w:proofErr w:type="spellEnd"/>
      <w:r w:rsidR="004470A4" w:rsidRPr="007B2214">
        <w:rPr>
          <w:rFonts w:ascii="Times New Roman" w:hAnsi="Times New Roman" w:cs="Times New Roman"/>
          <w:sz w:val="16"/>
          <w:szCs w:val="24"/>
        </w:rPr>
        <w:t xml:space="preserve"> G. An overview of host-guest chemistry and its application to </w:t>
      </w:r>
      <w:proofErr w:type="spellStart"/>
      <w:r w:rsidR="004470A4" w:rsidRPr="007B2214">
        <w:rPr>
          <w:rFonts w:ascii="Times New Roman" w:hAnsi="Times New Roman" w:cs="Times New Roman"/>
          <w:sz w:val="16"/>
          <w:szCs w:val="24"/>
        </w:rPr>
        <w:t>nonsteroidal</w:t>
      </w:r>
      <w:proofErr w:type="spellEnd"/>
      <w:r w:rsidR="004470A4" w:rsidRPr="007B2214">
        <w:rPr>
          <w:rFonts w:ascii="Times New Roman" w:hAnsi="Times New Roman" w:cs="Times New Roman"/>
          <w:sz w:val="16"/>
          <w:szCs w:val="24"/>
        </w:rPr>
        <w:t xml:space="preserve"> anti-inflammatory drugs. </w:t>
      </w:r>
      <w:proofErr w:type="spellStart"/>
      <w:r w:rsidR="004470A4" w:rsidRPr="007B2214">
        <w:rPr>
          <w:rFonts w:ascii="Times New Roman" w:hAnsi="Times New Roman" w:cs="Times New Roman"/>
          <w:sz w:val="16"/>
          <w:szCs w:val="24"/>
        </w:rPr>
        <w:t>Clin</w:t>
      </w:r>
      <w:proofErr w:type="spellEnd"/>
      <w:r w:rsidR="004470A4" w:rsidRPr="007B2214">
        <w:rPr>
          <w:rFonts w:ascii="Times New Roman" w:hAnsi="Times New Roman" w:cs="Times New Roman"/>
          <w:sz w:val="16"/>
          <w:szCs w:val="24"/>
        </w:rPr>
        <w:t xml:space="preserve"> Drug Invest</w:t>
      </w:r>
      <w:proofErr w:type="gramStart"/>
      <w:r w:rsidR="004470A4">
        <w:rPr>
          <w:rFonts w:ascii="Times New Roman" w:hAnsi="Times New Roman" w:cs="Times New Roman"/>
          <w:sz w:val="16"/>
          <w:szCs w:val="24"/>
        </w:rPr>
        <w:t>,19</w:t>
      </w:r>
      <w:proofErr w:type="gramEnd"/>
      <w:r w:rsidR="004470A4">
        <w:rPr>
          <w:rFonts w:ascii="Times New Roman" w:hAnsi="Times New Roman" w:cs="Times New Roman"/>
          <w:sz w:val="16"/>
          <w:szCs w:val="24"/>
        </w:rPr>
        <w:t xml:space="preserve"> (Suppl.2),</w:t>
      </w:r>
      <w:r w:rsidR="004470A4" w:rsidRPr="007B2214">
        <w:rPr>
          <w:rFonts w:ascii="Times New Roman" w:hAnsi="Times New Roman" w:cs="Times New Roman"/>
          <w:sz w:val="16"/>
          <w:szCs w:val="24"/>
        </w:rPr>
        <w:t xml:space="preserve"> 21–25</w:t>
      </w:r>
      <w:r w:rsidR="004470A4">
        <w:rPr>
          <w:rFonts w:ascii="Times New Roman" w:hAnsi="Times New Roman" w:cs="Times New Roman"/>
          <w:sz w:val="16"/>
          <w:szCs w:val="24"/>
        </w:rPr>
        <w:t>,</w:t>
      </w:r>
      <w:r w:rsidR="004470A4" w:rsidRPr="007B2214">
        <w:rPr>
          <w:rFonts w:ascii="Times New Roman" w:hAnsi="Times New Roman" w:cs="Times New Roman"/>
          <w:sz w:val="16"/>
          <w:szCs w:val="24"/>
        </w:rPr>
        <w:t xml:space="preserve"> </w:t>
      </w:r>
      <w:r w:rsidR="004470A4">
        <w:rPr>
          <w:rFonts w:ascii="Times New Roman" w:hAnsi="Times New Roman" w:cs="Times New Roman"/>
          <w:sz w:val="16"/>
          <w:szCs w:val="24"/>
        </w:rPr>
        <w:t>2000.</w:t>
      </w:r>
    </w:p>
    <w:p w14:paraId="5E0C5F11" w14:textId="2F8BC87A" w:rsidR="005E356C" w:rsidRDefault="00C94F73" w:rsidP="004470A4">
      <w:pPr>
        <w:pStyle w:val="ListParagraph"/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[16</w:t>
      </w:r>
      <w:r w:rsidR="005E356C">
        <w:rPr>
          <w:rFonts w:ascii="Times New Roman" w:hAnsi="Times New Roman" w:cs="Times New Roman"/>
          <w:sz w:val="16"/>
          <w:szCs w:val="24"/>
        </w:rPr>
        <w:t>]</w:t>
      </w:r>
      <w:r w:rsidR="005E356C" w:rsidRPr="005E356C">
        <w:t xml:space="preserve"> </w:t>
      </w:r>
      <w:r w:rsidR="005E356C" w:rsidRPr="005E356C">
        <w:rPr>
          <w:rFonts w:ascii="Times New Roman" w:hAnsi="Times New Roman" w:cs="Times New Roman"/>
          <w:sz w:val="16"/>
          <w:szCs w:val="24"/>
        </w:rPr>
        <w:t xml:space="preserve">Woodcock BG et al. </w:t>
      </w:r>
      <w:proofErr w:type="spellStart"/>
      <w:r w:rsidR="005E356C" w:rsidRPr="005E356C">
        <w:rPr>
          <w:rFonts w:ascii="Times New Roman" w:hAnsi="Times New Roman" w:cs="Times New Roman"/>
          <w:sz w:val="16"/>
          <w:szCs w:val="24"/>
        </w:rPr>
        <w:t>Supermolecular</w:t>
      </w:r>
      <w:proofErr w:type="spellEnd"/>
      <w:r w:rsidR="005E356C" w:rsidRPr="005E356C">
        <w:rPr>
          <w:rFonts w:ascii="Times New Roman" w:hAnsi="Times New Roman" w:cs="Times New Roman"/>
          <w:sz w:val="16"/>
          <w:szCs w:val="24"/>
        </w:rPr>
        <w:t xml:space="preserve"> inclusion of </w:t>
      </w:r>
      <w:proofErr w:type="spellStart"/>
      <w:r w:rsidR="005E356C" w:rsidRPr="005E356C">
        <w:rPr>
          <w:rFonts w:ascii="Times New Roman" w:hAnsi="Times New Roman" w:cs="Times New Roman"/>
          <w:sz w:val="16"/>
          <w:szCs w:val="24"/>
        </w:rPr>
        <w:t>piroxicam</w:t>
      </w:r>
      <w:proofErr w:type="spellEnd"/>
      <w:r w:rsidR="005E356C" w:rsidRPr="005E356C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5E356C" w:rsidRPr="005E356C">
        <w:rPr>
          <w:rFonts w:ascii="Times New Roman" w:hAnsi="Times New Roman" w:cs="Times New Roman"/>
          <w:sz w:val="16"/>
          <w:szCs w:val="24"/>
        </w:rPr>
        <w:t>xith</w:t>
      </w:r>
      <w:proofErr w:type="spellEnd"/>
      <w:r w:rsidR="005E356C" w:rsidRPr="005E356C">
        <w:rPr>
          <w:rFonts w:ascii="Times New Roman" w:hAnsi="Times New Roman" w:cs="Times New Roman"/>
          <w:sz w:val="16"/>
          <w:szCs w:val="24"/>
        </w:rPr>
        <w:t xml:space="preserve"> </w:t>
      </w:r>
      <w:r w:rsidR="005E356C" w:rsidRPr="005E356C">
        <w:rPr>
          <w:rFonts w:ascii="Times New Roman" w:hAnsi="Times New Roman" w:cs="Times New Roman"/>
          <w:sz w:val="16"/>
          <w:szCs w:val="24"/>
        </w:rPr>
        <w:t>-</w:t>
      </w:r>
      <w:proofErr w:type="spellStart"/>
      <w:r w:rsidR="005E356C" w:rsidRPr="005E356C">
        <w:rPr>
          <w:rFonts w:ascii="Times New Roman" w:hAnsi="Times New Roman" w:cs="Times New Roman"/>
          <w:sz w:val="16"/>
          <w:szCs w:val="24"/>
        </w:rPr>
        <w:t>cyclodextrin</w:t>
      </w:r>
      <w:proofErr w:type="spellEnd"/>
      <w:r w:rsidR="005E356C" w:rsidRPr="005E356C">
        <w:rPr>
          <w:rFonts w:ascii="Times New Roman" w:hAnsi="Times New Roman" w:cs="Times New Roman"/>
          <w:sz w:val="16"/>
          <w:szCs w:val="24"/>
        </w:rPr>
        <w:t xml:space="preserve">: pharmacokinetic properties in man. </w:t>
      </w:r>
      <w:proofErr w:type="spellStart"/>
      <w:r w:rsidR="005E356C" w:rsidRPr="005E356C">
        <w:rPr>
          <w:rFonts w:ascii="Times New Roman" w:hAnsi="Times New Roman" w:cs="Times New Roman"/>
          <w:sz w:val="16"/>
          <w:szCs w:val="24"/>
        </w:rPr>
        <w:t>Eur</w:t>
      </w:r>
      <w:proofErr w:type="spellEnd"/>
      <w:r w:rsidR="005E356C" w:rsidRPr="005E356C">
        <w:rPr>
          <w:rFonts w:ascii="Times New Roman" w:hAnsi="Times New Roman" w:cs="Times New Roman"/>
          <w:sz w:val="16"/>
          <w:szCs w:val="24"/>
        </w:rPr>
        <w:t xml:space="preserve"> J </w:t>
      </w:r>
      <w:proofErr w:type="spellStart"/>
      <w:r w:rsidR="005E356C" w:rsidRPr="005E356C">
        <w:rPr>
          <w:rFonts w:ascii="Times New Roman" w:hAnsi="Times New Roman" w:cs="Times New Roman"/>
          <w:sz w:val="16"/>
          <w:szCs w:val="24"/>
        </w:rPr>
        <w:t>R</w:t>
      </w:r>
      <w:r w:rsidR="00496E5B">
        <w:rPr>
          <w:rFonts w:ascii="Times New Roman" w:hAnsi="Times New Roman" w:cs="Times New Roman"/>
          <w:sz w:val="16"/>
          <w:szCs w:val="24"/>
        </w:rPr>
        <w:t>heumatol</w:t>
      </w:r>
      <w:proofErr w:type="spellEnd"/>
      <w:r w:rsidR="00496E5B">
        <w:rPr>
          <w:rFonts w:ascii="Times New Roman" w:hAnsi="Times New Roman" w:cs="Times New Roman"/>
          <w:sz w:val="16"/>
          <w:szCs w:val="24"/>
        </w:rPr>
        <w:t xml:space="preserve"> </w:t>
      </w:r>
      <w:proofErr w:type="spellStart"/>
      <w:r w:rsidR="00496E5B">
        <w:rPr>
          <w:rFonts w:ascii="Times New Roman" w:hAnsi="Times New Roman" w:cs="Times New Roman"/>
          <w:sz w:val="16"/>
          <w:szCs w:val="24"/>
        </w:rPr>
        <w:t>Inflamm</w:t>
      </w:r>
      <w:proofErr w:type="spellEnd"/>
      <w:r w:rsidR="00496E5B">
        <w:rPr>
          <w:rFonts w:ascii="Times New Roman" w:hAnsi="Times New Roman" w:cs="Times New Roman"/>
          <w:sz w:val="16"/>
          <w:szCs w:val="24"/>
        </w:rPr>
        <w:t xml:space="preserve">, </w:t>
      </w:r>
      <w:r w:rsidR="005E356C">
        <w:rPr>
          <w:rFonts w:ascii="Times New Roman" w:hAnsi="Times New Roman" w:cs="Times New Roman"/>
          <w:sz w:val="16"/>
          <w:szCs w:val="24"/>
        </w:rPr>
        <w:t>12, 12–28, 1</w:t>
      </w:r>
      <w:r w:rsidR="005E356C" w:rsidRPr="005E356C">
        <w:rPr>
          <w:rFonts w:ascii="Times New Roman" w:hAnsi="Times New Roman" w:cs="Times New Roman"/>
          <w:sz w:val="16"/>
          <w:szCs w:val="24"/>
        </w:rPr>
        <w:t>93l</w:t>
      </w:r>
      <w:r w:rsidR="00496E5B">
        <w:rPr>
          <w:rFonts w:ascii="Times New Roman" w:hAnsi="Times New Roman" w:cs="Times New Roman"/>
          <w:sz w:val="16"/>
          <w:szCs w:val="24"/>
        </w:rPr>
        <w:t>.</w:t>
      </w:r>
    </w:p>
    <w:p w14:paraId="2DA5AB38" w14:textId="5312E15C" w:rsidR="00164675" w:rsidRDefault="00C94F73" w:rsidP="00164675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[17</w:t>
      </w:r>
      <w:r w:rsidR="00496E5B">
        <w:rPr>
          <w:rFonts w:ascii="Times New Roman" w:hAnsi="Times New Roman" w:cs="Times New Roman"/>
          <w:sz w:val="16"/>
          <w:szCs w:val="24"/>
        </w:rPr>
        <w:t>]</w:t>
      </w:r>
      <w:r w:rsidR="00496E5B" w:rsidRPr="00496E5B">
        <w:rPr>
          <w:rFonts w:ascii="Times New Roman" w:hAnsi="Times New Roman" w:cs="Times New Roman"/>
          <w:sz w:val="16"/>
          <w:szCs w:val="24"/>
        </w:rPr>
        <w:t xml:space="preserve"> McEwen J. Clinical pharmacology of </w:t>
      </w:r>
      <w:proofErr w:type="spellStart"/>
      <w:r w:rsidR="00496E5B" w:rsidRPr="00496E5B">
        <w:rPr>
          <w:rFonts w:ascii="Times New Roman" w:hAnsi="Times New Roman" w:cs="Times New Roman"/>
          <w:sz w:val="16"/>
          <w:szCs w:val="24"/>
        </w:rPr>
        <w:t>piroxicam</w:t>
      </w:r>
      <w:proofErr w:type="spellEnd"/>
      <w:r w:rsidR="00496E5B" w:rsidRPr="00496E5B">
        <w:rPr>
          <w:rFonts w:ascii="Times New Roman" w:hAnsi="Times New Roman" w:cs="Times New Roman"/>
          <w:sz w:val="16"/>
          <w:szCs w:val="24"/>
        </w:rPr>
        <w:t>-</w:t>
      </w:r>
      <w:r w:rsidR="00496E5B" w:rsidRPr="00496E5B">
        <w:rPr>
          <w:rFonts w:ascii="Times New Roman" w:hAnsi="Times New Roman" w:cs="Times New Roman"/>
          <w:sz w:val="16"/>
          <w:szCs w:val="24"/>
        </w:rPr>
        <w:t>-</w:t>
      </w:r>
      <w:proofErr w:type="spellStart"/>
      <w:r w:rsidR="00496E5B" w:rsidRPr="00496E5B">
        <w:rPr>
          <w:rFonts w:ascii="Times New Roman" w:hAnsi="Times New Roman" w:cs="Times New Roman"/>
          <w:sz w:val="16"/>
          <w:szCs w:val="24"/>
        </w:rPr>
        <w:t>cyclodextrin</w:t>
      </w:r>
      <w:proofErr w:type="spellEnd"/>
      <w:r w:rsidR="00496E5B" w:rsidRPr="00496E5B">
        <w:rPr>
          <w:rFonts w:ascii="Times New Roman" w:hAnsi="Times New Roman" w:cs="Times New Roman"/>
          <w:sz w:val="16"/>
          <w:szCs w:val="24"/>
        </w:rPr>
        <w:t xml:space="preserve">. Implications for innovative patient care. </w:t>
      </w:r>
      <w:proofErr w:type="spellStart"/>
      <w:r w:rsidR="00496E5B" w:rsidRPr="00496E5B">
        <w:rPr>
          <w:rFonts w:ascii="Times New Roman" w:hAnsi="Times New Roman" w:cs="Times New Roman"/>
          <w:sz w:val="16"/>
          <w:szCs w:val="24"/>
        </w:rPr>
        <w:t>Clin</w:t>
      </w:r>
      <w:proofErr w:type="spellEnd"/>
      <w:r w:rsidR="00496E5B" w:rsidRPr="00496E5B">
        <w:rPr>
          <w:rFonts w:ascii="Times New Roman" w:hAnsi="Times New Roman" w:cs="Times New Roman"/>
          <w:sz w:val="16"/>
          <w:szCs w:val="24"/>
        </w:rPr>
        <w:t xml:space="preserve"> Drug Invest, 19(Suppl. 2), 27–31, 2000</w:t>
      </w:r>
      <w:r w:rsidR="00496E5B">
        <w:rPr>
          <w:rFonts w:ascii="Times New Roman" w:hAnsi="Times New Roman" w:cs="Times New Roman"/>
          <w:sz w:val="16"/>
          <w:szCs w:val="24"/>
        </w:rPr>
        <w:t>.</w:t>
      </w:r>
    </w:p>
    <w:p w14:paraId="0069AC82" w14:textId="7294E89C" w:rsidR="00164675" w:rsidRPr="00164675" w:rsidRDefault="00C94F73" w:rsidP="00164675">
      <w:pPr>
        <w:pStyle w:val="ListParagraph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24"/>
        </w:rPr>
        <w:t>[18</w:t>
      </w:r>
      <w:r w:rsidR="00164675" w:rsidRPr="00164675">
        <w:rPr>
          <w:rFonts w:ascii="Times New Roman" w:hAnsi="Times New Roman" w:cs="Times New Roman"/>
          <w:sz w:val="16"/>
          <w:szCs w:val="24"/>
        </w:rPr>
        <w:t>]</w:t>
      </w:r>
      <w:r w:rsidR="00164675" w:rsidRPr="00164675">
        <w:rPr>
          <w:rFonts w:ascii="Times New Roman" w:hAnsi="Times New Roman" w:cs="Times New Roman"/>
          <w:sz w:val="16"/>
        </w:rPr>
        <w:t xml:space="preserve"> Kim Y et al. Inclusion complexes of </w:t>
      </w:r>
      <w:proofErr w:type="spellStart"/>
      <w:r w:rsidR="00164675" w:rsidRPr="00164675">
        <w:rPr>
          <w:rFonts w:ascii="Times New Roman" w:hAnsi="Times New Roman" w:cs="Times New Roman"/>
          <w:sz w:val="16"/>
        </w:rPr>
        <w:t>arylheterocyclic</w:t>
      </w:r>
      <w:proofErr w:type="spellEnd"/>
      <w:r w:rsidR="00164675" w:rsidRPr="00164675">
        <w:rPr>
          <w:rFonts w:ascii="Times New Roman" w:hAnsi="Times New Roman" w:cs="Times New Roman"/>
          <w:sz w:val="16"/>
        </w:rPr>
        <w:t xml:space="preserve"> </w:t>
      </w:r>
      <w:proofErr w:type="spellStart"/>
      <w:r w:rsidR="00164675" w:rsidRPr="00164675">
        <w:rPr>
          <w:rFonts w:ascii="Times New Roman" w:hAnsi="Times New Roman" w:cs="Times New Roman"/>
          <w:sz w:val="16"/>
        </w:rPr>
        <w:t>salts.United</w:t>
      </w:r>
      <w:proofErr w:type="spellEnd"/>
      <w:r w:rsidR="00164675" w:rsidRPr="00164675">
        <w:rPr>
          <w:rFonts w:ascii="Times New Roman" w:hAnsi="Times New Roman" w:cs="Times New Roman"/>
          <w:sz w:val="16"/>
        </w:rPr>
        <w:t xml:space="preserve"> States Patent No. 6,232,304 B1, May 15, 2001</w:t>
      </w:r>
      <w:r w:rsidR="00164675" w:rsidRPr="00164675">
        <w:rPr>
          <w:rFonts w:ascii="Times New Roman" w:hAnsi="Times New Roman" w:cs="Times New Roman"/>
        </w:rPr>
        <w:t>.</w:t>
      </w:r>
    </w:p>
    <w:p w14:paraId="710BB6EA" w14:textId="5B1F7366" w:rsidR="00164675" w:rsidRDefault="00C94F73" w:rsidP="00164675">
      <w:pPr>
        <w:jc w:val="both"/>
        <w:rPr>
          <w:sz w:val="16"/>
        </w:rPr>
      </w:pPr>
      <w:r>
        <w:rPr>
          <w:sz w:val="16"/>
        </w:rPr>
        <w:t>[19</w:t>
      </w:r>
      <w:r w:rsidR="00164675" w:rsidRPr="00164675">
        <w:rPr>
          <w:sz w:val="16"/>
        </w:rPr>
        <w:t xml:space="preserve">] Kim Y et al. Inclusion of </w:t>
      </w:r>
      <w:proofErr w:type="spellStart"/>
      <w:r w:rsidR="00164675" w:rsidRPr="00164675">
        <w:rPr>
          <w:sz w:val="16"/>
        </w:rPr>
        <w:t>ziprasidone</w:t>
      </w:r>
      <w:proofErr w:type="spellEnd"/>
      <w:r w:rsidR="00164675" w:rsidRPr="00164675">
        <w:rPr>
          <w:sz w:val="16"/>
        </w:rPr>
        <w:t xml:space="preserve"> </w:t>
      </w:r>
      <w:proofErr w:type="spellStart"/>
      <w:r w:rsidR="00164675" w:rsidRPr="00164675">
        <w:rPr>
          <w:sz w:val="16"/>
        </w:rPr>
        <w:t>mesylate</w:t>
      </w:r>
      <w:proofErr w:type="spellEnd"/>
      <w:r w:rsidR="00164675" w:rsidRPr="00164675">
        <w:rPr>
          <w:sz w:val="16"/>
        </w:rPr>
        <w:t xml:space="preserve"> with b-</w:t>
      </w:r>
      <w:proofErr w:type="spellStart"/>
      <w:r w:rsidR="00164675" w:rsidRPr="00164675">
        <w:rPr>
          <w:sz w:val="16"/>
        </w:rPr>
        <w:t>cyclodextrin</w:t>
      </w:r>
      <w:proofErr w:type="spellEnd"/>
      <w:r w:rsidR="00164675" w:rsidRPr="00164675">
        <w:rPr>
          <w:sz w:val="16"/>
        </w:rPr>
        <w:t xml:space="preserve"> </w:t>
      </w:r>
      <w:proofErr w:type="spellStart"/>
      <w:r w:rsidR="00164675" w:rsidRPr="00164675">
        <w:rPr>
          <w:sz w:val="16"/>
        </w:rPr>
        <w:t>sulfobutyl</w:t>
      </w:r>
      <w:proofErr w:type="spellEnd"/>
      <w:r w:rsidR="00164675" w:rsidRPr="00164675">
        <w:rPr>
          <w:sz w:val="16"/>
        </w:rPr>
        <w:t xml:space="preserve"> ether. J Pharm </w:t>
      </w:r>
      <w:proofErr w:type="spellStart"/>
      <w:r w:rsidR="00164675" w:rsidRPr="00164675">
        <w:rPr>
          <w:sz w:val="16"/>
        </w:rPr>
        <w:t>Sci</w:t>
      </w:r>
      <w:proofErr w:type="spellEnd"/>
      <w:r w:rsidR="00164675" w:rsidRPr="00164675">
        <w:rPr>
          <w:sz w:val="16"/>
        </w:rPr>
        <w:t>, 87, 1560–1567, 1998.</w:t>
      </w:r>
    </w:p>
    <w:p w14:paraId="518E0883" w14:textId="324DE4E4" w:rsidR="00C808D1" w:rsidRDefault="00C94F73" w:rsidP="00164675">
      <w:pPr>
        <w:jc w:val="both"/>
        <w:rPr>
          <w:sz w:val="16"/>
          <w:szCs w:val="24"/>
        </w:rPr>
      </w:pPr>
      <w:r>
        <w:rPr>
          <w:sz w:val="16"/>
        </w:rPr>
        <w:t>[20</w:t>
      </w:r>
      <w:r w:rsidR="00C808D1">
        <w:rPr>
          <w:sz w:val="16"/>
        </w:rPr>
        <w:t>]</w:t>
      </w:r>
      <w:r w:rsidR="00C808D1" w:rsidRPr="00C808D1">
        <w:rPr>
          <w:sz w:val="16"/>
          <w:szCs w:val="24"/>
        </w:rPr>
        <w:t xml:space="preserve"> </w:t>
      </w:r>
      <w:r w:rsidR="00C808D1" w:rsidRPr="00187008">
        <w:rPr>
          <w:sz w:val="16"/>
          <w:szCs w:val="24"/>
        </w:rPr>
        <w:t>Moffat AC et al. Clarke’s Analysis of Drugs and Poisons. 3</w:t>
      </w:r>
      <w:r w:rsidR="00C808D1" w:rsidRPr="00187008">
        <w:rPr>
          <w:sz w:val="16"/>
          <w:szCs w:val="24"/>
          <w:vertAlign w:val="superscript"/>
        </w:rPr>
        <w:t>rd</w:t>
      </w:r>
      <w:r w:rsidR="00C808D1">
        <w:rPr>
          <w:sz w:val="16"/>
          <w:szCs w:val="24"/>
        </w:rPr>
        <w:t xml:space="preserve"> </w:t>
      </w:r>
      <w:proofErr w:type="spellStart"/>
      <w:r w:rsidR="00C808D1" w:rsidRPr="00187008">
        <w:rPr>
          <w:sz w:val="16"/>
          <w:szCs w:val="24"/>
        </w:rPr>
        <w:t>edn</w:t>
      </w:r>
      <w:proofErr w:type="spellEnd"/>
      <w:r w:rsidR="00C808D1" w:rsidRPr="00187008">
        <w:rPr>
          <w:sz w:val="16"/>
          <w:szCs w:val="24"/>
        </w:rPr>
        <w:t>. London: Pharmaceutical Press, 2004.</w:t>
      </w:r>
    </w:p>
    <w:p w14:paraId="7129D03B" w14:textId="0F88E9BD" w:rsidR="00B021AF" w:rsidRDefault="00C94F73" w:rsidP="00B021AF">
      <w:pPr>
        <w:jc w:val="both"/>
        <w:rPr>
          <w:sz w:val="16"/>
        </w:rPr>
      </w:pPr>
      <w:r>
        <w:rPr>
          <w:sz w:val="16"/>
          <w:szCs w:val="24"/>
        </w:rPr>
        <w:t>[21</w:t>
      </w:r>
      <w:r w:rsidR="00B021AF">
        <w:rPr>
          <w:sz w:val="16"/>
          <w:szCs w:val="24"/>
        </w:rPr>
        <w:t xml:space="preserve">] </w:t>
      </w:r>
      <w:proofErr w:type="spellStart"/>
      <w:r w:rsidR="00B021AF" w:rsidRPr="008D3891">
        <w:rPr>
          <w:sz w:val="16"/>
        </w:rPr>
        <w:t>Uekama</w:t>
      </w:r>
      <w:proofErr w:type="spellEnd"/>
      <w:r w:rsidR="00B021AF" w:rsidRPr="008D3891">
        <w:rPr>
          <w:sz w:val="16"/>
        </w:rPr>
        <w:t xml:space="preserve">, K., </w:t>
      </w:r>
      <w:proofErr w:type="spellStart"/>
      <w:r w:rsidR="00B021AF" w:rsidRPr="008D3891">
        <w:rPr>
          <w:sz w:val="16"/>
        </w:rPr>
        <w:t>Otagiri</w:t>
      </w:r>
      <w:proofErr w:type="spellEnd"/>
      <w:r w:rsidR="00B021AF" w:rsidRPr="008D3891">
        <w:rPr>
          <w:sz w:val="16"/>
        </w:rPr>
        <w:t xml:space="preserve">, M., </w:t>
      </w:r>
      <w:proofErr w:type="spellStart"/>
      <w:r w:rsidR="00B021AF" w:rsidRPr="008D3891">
        <w:rPr>
          <w:sz w:val="16"/>
        </w:rPr>
        <w:t>Cyclodextrins</w:t>
      </w:r>
      <w:proofErr w:type="spellEnd"/>
      <w:r w:rsidR="00B021AF" w:rsidRPr="008D3891">
        <w:rPr>
          <w:sz w:val="16"/>
        </w:rPr>
        <w:t xml:space="preserve"> in drug carrier systems. Crit. Rev. </w:t>
      </w:r>
      <w:proofErr w:type="spellStart"/>
      <w:r w:rsidR="00B021AF" w:rsidRPr="008D3891">
        <w:rPr>
          <w:sz w:val="16"/>
        </w:rPr>
        <w:t>Ther</w:t>
      </w:r>
      <w:proofErr w:type="spellEnd"/>
      <w:r w:rsidR="00B021AF" w:rsidRPr="008D3891">
        <w:rPr>
          <w:sz w:val="16"/>
        </w:rPr>
        <w:t xml:space="preserve">. Drug </w:t>
      </w:r>
      <w:r w:rsidR="00B021AF">
        <w:rPr>
          <w:sz w:val="16"/>
        </w:rPr>
        <w:t>Carrier Syst. 3 (1), 1–40,</w:t>
      </w:r>
      <w:r w:rsidR="00B021AF" w:rsidRPr="008D3891">
        <w:rPr>
          <w:sz w:val="16"/>
        </w:rPr>
        <w:t xml:space="preserve"> 1987.</w:t>
      </w:r>
    </w:p>
    <w:p w14:paraId="6403DA07" w14:textId="02D028CC" w:rsidR="002015A8" w:rsidRPr="00180EB5" w:rsidRDefault="002015A8" w:rsidP="002015A8">
      <w:pPr>
        <w:pStyle w:val="BodyText"/>
        <w:spacing w:after="0" w:line="240" w:lineRule="auto"/>
        <w:ind w:firstLine="0"/>
        <w:rPr>
          <w:sz w:val="16"/>
          <w:szCs w:val="24"/>
        </w:rPr>
      </w:pPr>
      <w:r>
        <w:rPr>
          <w:sz w:val="16"/>
        </w:rPr>
        <w:t>[22]</w:t>
      </w:r>
      <w:r w:rsidRPr="002015A8">
        <w:rPr>
          <w:sz w:val="16"/>
          <w:szCs w:val="24"/>
          <w:shd w:val="clear" w:color="auto" w:fill="FFFFFF"/>
        </w:rPr>
        <w:t xml:space="preserve"> </w:t>
      </w:r>
      <w:proofErr w:type="spellStart"/>
      <w:r w:rsidRPr="00B5193A">
        <w:rPr>
          <w:sz w:val="16"/>
          <w:szCs w:val="24"/>
          <w:shd w:val="clear" w:color="auto" w:fill="FFFFFF"/>
        </w:rPr>
        <w:t>Crini</w:t>
      </w:r>
      <w:proofErr w:type="spellEnd"/>
      <w:r w:rsidRPr="00B5193A">
        <w:rPr>
          <w:sz w:val="16"/>
          <w:szCs w:val="24"/>
          <w:shd w:val="clear" w:color="auto" w:fill="FFFFFF"/>
        </w:rPr>
        <w:t xml:space="preserve">, G., </w:t>
      </w:r>
      <w:proofErr w:type="spellStart"/>
      <w:r w:rsidRPr="00B5193A">
        <w:rPr>
          <w:sz w:val="16"/>
          <w:szCs w:val="24"/>
          <w:shd w:val="clear" w:color="auto" w:fill="FFFFFF"/>
        </w:rPr>
        <w:t>Fourmentin</w:t>
      </w:r>
      <w:proofErr w:type="spellEnd"/>
      <w:r w:rsidRPr="00B5193A">
        <w:rPr>
          <w:sz w:val="16"/>
          <w:szCs w:val="24"/>
          <w:shd w:val="clear" w:color="auto" w:fill="FFFFFF"/>
        </w:rPr>
        <w:t xml:space="preserve">, S., </w:t>
      </w:r>
      <w:proofErr w:type="spellStart"/>
      <w:r w:rsidRPr="00B5193A">
        <w:rPr>
          <w:sz w:val="16"/>
          <w:szCs w:val="24"/>
          <w:shd w:val="clear" w:color="auto" w:fill="FFFFFF"/>
        </w:rPr>
        <w:t>Fenyvesi</w:t>
      </w:r>
      <w:proofErr w:type="spellEnd"/>
      <w:r w:rsidRPr="00B5193A">
        <w:rPr>
          <w:sz w:val="16"/>
          <w:szCs w:val="24"/>
          <w:shd w:val="clear" w:color="auto" w:fill="FFFFFF"/>
        </w:rPr>
        <w:t xml:space="preserve">, É, </w:t>
      </w:r>
      <w:proofErr w:type="spellStart"/>
      <w:r w:rsidRPr="00B5193A">
        <w:rPr>
          <w:sz w:val="16"/>
          <w:szCs w:val="24"/>
          <w:shd w:val="clear" w:color="auto" w:fill="FFFFFF"/>
        </w:rPr>
        <w:t>Torri</w:t>
      </w:r>
      <w:proofErr w:type="spellEnd"/>
      <w:r w:rsidRPr="00B5193A">
        <w:rPr>
          <w:sz w:val="16"/>
          <w:szCs w:val="24"/>
          <w:shd w:val="clear" w:color="auto" w:fill="FFFFFF"/>
        </w:rPr>
        <w:t xml:space="preserve">, G., </w:t>
      </w:r>
      <w:proofErr w:type="spellStart"/>
      <w:r w:rsidRPr="00B5193A">
        <w:rPr>
          <w:sz w:val="16"/>
          <w:szCs w:val="24"/>
          <w:shd w:val="clear" w:color="auto" w:fill="FFFFFF"/>
        </w:rPr>
        <w:t>F</w:t>
      </w:r>
      <w:r>
        <w:rPr>
          <w:sz w:val="16"/>
          <w:szCs w:val="24"/>
          <w:shd w:val="clear" w:color="auto" w:fill="FFFFFF"/>
        </w:rPr>
        <w:t>ourmentin</w:t>
      </w:r>
      <w:proofErr w:type="spellEnd"/>
      <w:r>
        <w:rPr>
          <w:sz w:val="16"/>
          <w:szCs w:val="24"/>
          <w:shd w:val="clear" w:color="auto" w:fill="FFFFFF"/>
        </w:rPr>
        <w:t>, M., &amp; Morin-</w:t>
      </w:r>
      <w:proofErr w:type="spellStart"/>
      <w:r>
        <w:rPr>
          <w:sz w:val="16"/>
          <w:szCs w:val="24"/>
          <w:shd w:val="clear" w:color="auto" w:fill="FFFFFF"/>
        </w:rPr>
        <w:t>Crini</w:t>
      </w:r>
      <w:proofErr w:type="spellEnd"/>
      <w:r>
        <w:rPr>
          <w:sz w:val="16"/>
          <w:szCs w:val="24"/>
          <w:shd w:val="clear" w:color="auto" w:fill="FFFFFF"/>
        </w:rPr>
        <w:t>, N,</w:t>
      </w:r>
      <w:r w:rsidRPr="00B5193A">
        <w:rPr>
          <w:sz w:val="16"/>
          <w:szCs w:val="24"/>
          <w:shd w:val="clear" w:color="auto" w:fill="FFFFFF"/>
        </w:rPr>
        <w:t xml:space="preserve"> Fundamentals and applications of </w:t>
      </w:r>
      <w:proofErr w:type="spellStart"/>
      <w:r w:rsidRPr="00B5193A">
        <w:rPr>
          <w:sz w:val="16"/>
          <w:szCs w:val="24"/>
          <w:shd w:val="clear" w:color="auto" w:fill="FFFFFF"/>
        </w:rPr>
        <w:t>cyclodextrins</w:t>
      </w:r>
      <w:proofErr w:type="spellEnd"/>
      <w:r w:rsidRPr="00B5193A">
        <w:rPr>
          <w:sz w:val="16"/>
          <w:szCs w:val="24"/>
          <w:shd w:val="clear" w:color="auto" w:fill="FFFFFF"/>
        </w:rPr>
        <w:t>. In </w:t>
      </w:r>
      <w:proofErr w:type="spellStart"/>
      <w:r w:rsidRPr="0099706A">
        <w:rPr>
          <w:iCs/>
          <w:sz w:val="16"/>
          <w:szCs w:val="24"/>
          <w:shd w:val="clear" w:color="auto" w:fill="FFFFFF"/>
        </w:rPr>
        <w:t>Cyclodextrin</w:t>
      </w:r>
      <w:proofErr w:type="spellEnd"/>
      <w:r w:rsidRPr="0099706A">
        <w:rPr>
          <w:iCs/>
          <w:sz w:val="16"/>
          <w:szCs w:val="24"/>
          <w:shd w:val="clear" w:color="auto" w:fill="FFFFFF"/>
        </w:rPr>
        <w:t xml:space="preserve"> fundamentals, reactivity and analysis</w:t>
      </w:r>
      <w:r>
        <w:rPr>
          <w:i/>
          <w:iCs/>
          <w:sz w:val="16"/>
          <w:szCs w:val="24"/>
          <w:shd w:val="clear" w:color="auto" w:fill="FFFFFF"/>
        </w:rPr>
        <w:t>,</w:t>
      </w:r>
      <w:r>
        <w:rPr>
          <w:sz w:val="16"/>
          <w:szCs w:val="24"/>
          <w:shd w:val="clear" w:color="auto" w:fill="FFFFFF"/>
        </w:rPr>
        <w:t> </w:t>
      </w:r>
      <w:r w:rsidRPr="00B5193A">
        <w:rPr>
          <w:sz w:val="16"/>
          <w:szCs w:val="24"/>
          <w:shd w:val="clear" w:color="auto" w:fill="FFFFFF"/>
        </w:rPr>
        <w:t>Springer, Cham</w:t>
      </w:r>
      <w:r>
        <w:rPr>
          <w:sz w:val="16"/>
          <w:szCs w:val="24"/>
          <w:shd w:val="clear" w:color="auto" w:fill="FFFFFF"/>
        </w:rPr>
        <w:t>, pp. 1-55, 2018</w:t>
      </w:r>
      <w:r w:rsidRPr="00B5193A">
        <w:rPr>
          <w:sz w:val="16"/>
          <w:szCs w:val="24"/>
          <w:shd w:val="clear" w:color="auto" w:fill="FFFFFF"/>
        </w:rPr>
        <w:t>.</w:t>
      </w:r>
    </w:p>
    <w:p w14:paraId="74B8253B" w14:textId="57795021" w:rsidR="002015A8" w:rsidRDefault="002015A8" w:rsidP="00B021AF">
      <w:pPr>
        <w:jc w:val="both"/>
        <w:rPr>
          <w:sz w:val="16"/>
        </w:rPr>
      </w:pPr>
    </w:p>
    <w:p w14:paraId="57462DD0" w14:textId="77777777" w:rsidR="008D3891" w:rsidRDefault="008D3891" w:rsidP="003F0E75">
      <w:pPr>
        <w:jc w:val="both"/>
        <w:rPr>
          <w:sz w:val="16"/>
        </w:rPr>
      </w:pPr>
    </w:p>
    <w:sectPr w:rsidR="008D3891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0362DE" w14:textId="77777777" w:rsidR="00B94E7F" w:rsidRDefault="00B94E7F" w:rsidP="001E64C4">
      <w:r>
        <w:separator/>
      </w:r>
    </w:p>
  </w:endnote>
  <w:endnote w:type="continuationSeparator" w:id="0">
    <w:p w14:paraId="097B6C89" w14:textId="77777777" w:rsidR="00B94E7F" w:rsidRDefault="00B94E7F" w:rsidP="001E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6EAB79" w14:textId="77777777" w:rsidR="001E64C4" w:rsidRPr="00012DED" w:rsidRDefault="005974A7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3E6DB" w14:textId="77777777" w:rsidR="00B94E7F" w:rsidRDefault="00B94E7F" w:rsidP="001E64C4">
      <w:r>
        <w:separator/>
      </w:r>
    </w:p>
  </w:footnote>
  <w:footnote w:type="continuationSeparator" w:id="0">
    <w:p w14:paraId="15C27EDC" w14:textId="77777777" w:rsidR="00B94E7F" w:rsidRDefault="00B94E7F" w:rsidP="001E64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DEB1C5" w14:textId="77777777" w:rsidR="00430355" w:rsidRPr="00012DED" w:rsidRDefault="00430355" w:rsidP="00012DED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6E4E"/>
    <w:multiLevelType w:val="hybridMultilevel"/>
    <w:tmpl w:val="AF92F18C"/>
    <w:lvl w:ilvl="0" w:tplc="16DA1078">
      <w:start w:val="1"/>
      <w:numFmt w:val="decimal"/>
      <w:lvlText w:val="[%1]"/>
      <w:lvlJc w:val="left"/>
      <w:pPr>
        <w:ind w:left="720" w:hanging="360"/>
      </w:pPr>
      <w:rPr>
        <w:rFonts w:hint="default"/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abstractNum w:abstractNumId="11">
    <w:nsid w:val="7DE93802"/>
    <w:multiLevelType w:val="hybridMultilevel"/>
    <w:tmpl w:val="D96CBF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2"/>
  </w:num>
  <w:num w:numId="12">
    <w:abstractNumId w:val="10"/>
  </w:num>
  <w:num w:numId="13">
    <w:abstractNumId w:val="0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S0tLQwMDQ3szQ2NbVQ0lEKTi0uzszPAykwrAUAQ8y7gSwAAAA="/>
  </w:docVars>
  <w:rsids>
    <w:rsidRoot w:val="003A59A6"/>
    <w:rsid w:val="000026B6"/>
    <w:rsid w:val="00004D0C"/>
    <w:rsid w:val="00012DED"/>
    <w:rsid w:val="00016984"/>
    <w:rsid w:val="00017B77"/>
    <w:rsid w:val="00027337"/>
    <w:rsid w:val="00030419"/>
    <w:rsid w:val="00032681"/>
    <w:rsid w:val="00035822"/>
    <w:rsid w:val="00036715"/>
    <w:rsid w:val="0004390D"/>
    <w:rsid w:val="00051DF9"/>
    <w:rsid w:val="00055F95"/>
    <w:rsid w:val="00060815"/>
    <w:rsid w:val="000663C9"/>
    <w:rsid w:val="00070FAB"/>
    <w:rsid w:val="00083463"/>
    <w:rsid w:val="00085B89"/>
    <w:rsid w:val="0009571C"/>
    <w:rsid w:val="000B0FC9"/>
    <w:rsid w:val="000B230B"/>
    <w:rsid w:val="000B4641"/>
    <w:rsid w:val="000B4A6B"/>
    <w:rsid w:val="000B5B2F"/>
    <w:rsid w:val="000C5CF1"/>
    <w:rsid w:val="000D5355"/>
    <w:rsid w:val="000D6836"/>
    <w:rsid w:val="000F456A"/>
    <w:rsid w:val="001002A9"/>
    <w:rsid w:val="00100710"/>
    <w:rsid w:val="001010D7"/>
    <w:rsid w:val="001043AD"/>
    <w:rsid w:val="00106EA7"/>
    <w:rsid w:val="0010711E"/>
    <w:rsid w:val="00113B83"/>
    <w:rsid w:val="0011414D"/>
    <w:rsid w:val="001151C7"/>
    <w:rsid w:val="00125E34"/>
    <w:rsid w:val="0012776A"/>
    <w:rsid w:val="00127EDD"/>
    <w:rsid w:val="00141825"/>
    <w:rsid w:val="0014304B"/>
    <w:rsid w:val="00155C55"/>
    <w:rsid w:val="00160C5D"/>
    <w:rsid w:val="00164675"/>
    <w:rsid w:val="00170DA2"/>
    <w:rsid w:val="00171351"/>
    <w:rsid w:val="00176CDB"/>
    <w:rsid w:val="00180EB5"/>
    <w:rsid w:val="0018330F"/>
    <w:rsid w:val="0018521A"/>
    <w:rsid w:val="0018692F"/>
    <w:rsid w:val="00187008"/>
    <w:rsid w:val="00194DAE"/>
    <w:rsid w:val="00196831"/>
    <w:rsid w:val="001A0143"/>
    <w:rsid w:val="001A05A3"/>
    <w:rsid w:val="001A0641"/>
    <w:rsid w:val="001A0FD1"/>
    <w:rsid w:val="001A5B72"/>
    <w:rsid w:val="001A7E80"/>
    <w:rsid w:val="001B1E2E"/>
    <w:rsid w:val="001D2353"/>
    <w:rsid w:val="001D4508"/>
    <w:rsid w:val="001E48C1"/>
    <w:rsid w:val="001E5681"/>
    <w:rsid w:val="001E64C4"/>
    <w:rsid w:val="001F6AAE"/>
    <w:rsid w:val="002005C9"/>
    <w:rsid w:val="00200EED"/>
    <w:rsid w:val="002015A8"/>
    <w:rsid w:val="00214CFB"/>
    <w:rsid w:val="002165A6"/>
    <w:rsid w:val="002202B4"/>
    <w:rsid w:val="00222F1F"/>
    <w:rsid w:val="002269E0"/>
    <w:rsid w:val="0023006F"/>
    <w:rsid w:val="002364B2"/>
    <w:rsid w:val="00237505"/>
    <w:rsid w:val="00240238"/>
    <w:rsid w:val="00240391"/>
    <w:rsid w:val="0024768E"/>
    <w:rsid w:val="0025188D"/>
    <w:rsid w:val="00260F60"/>
    <w:rsid w:val="00275BA1"/>
    <w:rsid w:val="00276735"/>
    <w:rsid w:val="00280068"/>
    <w:rsid w:val="002802FC"/>
    <w:rsid w:val="00281375"/>
    <w:rsid w:val="00284C20"/>
    <w:rsid w:val="002864A3"/>
    <w:rsid w:val="00286D6B"/>
    <w:rsid w:val="00292EF9"/>
    <w:rsid w:val="002937B8"/>
    <w:rsid w:val="002941FE"/>
    <w:rsid w:val="00296792"/>
    <w:rsid w:val="002973D8"/>
    <w:rsid w:val="002A4501"/>
    <w:rsid w:val="002A7235"/>
    <w:rsid w:val="002A76CC"/>
    <w:rsid w:val="002B2AEE"/>
    <w:rsid w:val="002B3B81"/>
    <w:rsid w:val="002B778A"/>
    <w:rsid w:val="002C1EB7"/>
    <w:rsid w:val="002C2DA2"/>
    <w:rsid w:val="002D0503"/>
    <w:rsid w:val="002D49CD"/>
    <w:rsid w:val="002E1666"/>
    <w:rsid w:val="002E17E9"/>
    <w:rsid w:val="002F2505"/>
    <w:rsid w:val="002F717B"/>
    <w:rsid w:val="00316838"/>
    <w:rsid w:val="003177DC"/>
    <w:rsid w:val="00326BEB"/>
    <w:rsid w:val="00332482"/>
    <w:rsid w:val="0034448B"/>
    <w:rsid w:val="00346CCE"/>
    <w:rsid w:val="003654FB"/>
    <w:rsid w:val="00390F41"/>
    <w:rsid w:val="003A3F8F"/>
    <w:rsid w:val="003A47B5"/>
    <w:rsid w:val="003A59A6"/>
    <w:rsid w:val="003B136E"/>
    <w:rsid w:val="003C6F24"/>
    <w:rsid w:val="003E19A4"/>
    <w:rsid w:val="003F0E75"/>
    <w:rsid w:val="003F26D1"/>
    <w:rsid w:val="00402841"/>
    <w:rsid w:val="00402C25"/>
    <w:rsid w:val="004059FE"/>
    <w:rsid w:val="004171C7"/>
    <w:rsid w:val="00426C87"/>
    <w:rsid w:val="00430355"/>
    <w:rsid w:val="00430CAD"/>
    <w:rsid w:val="00437EF9"/>
    <w:rsid w:val="004445B3"/>
    <w:rsid w:val="004470A4"/>
    <w:rsid w:val="00454259"/>
    <w:rsid w:val="004562BA"/>
    <w:rsid w:val="0046220E"/>
    <w:rsid w:val="00466548"/>
    <w:rsid w:val="00473AB6"/>
    <w:rsid w:val="004947B1"/>
    <w:rsid w:val="00496E5B"/>
    <w:rsid w:val="004A2969"/>
    <w:rsid w:val="004B22AA"/>
    <w:rsid w:val="004C04C8"/>
    <w:rsid w:val="004C3DF5"/>
    <w:rsid w:val="004C71E8"/>
    <w:rsid w:val="004C738C"/>
    <w:rsid w:val="004D1F15"/>
    <w:rsid w:val="004D73ED"/>
    <w:rsid w:val="004E0B04"/>
    <w:rsid w:val="004E3EBA"/>
    <w:rsid w:val="004E7372"/>
    <w:rsid w:val="004E7ECE"/>
    <w:rsid w:val="004F336C"/>
    <w:rsid w:val="00513C0B"/>
    <w:rsid w:val="00514664"/>
    <w:rsid w:val="00520055"/>
    <w:rsid w:val="00525AE0"/>
    <w:rsid w:val="00525FAE"/>
    <w:rsid w:val="00530820"/>
    <w:rsid w:val="00542010"/>
    <w:rsid w:val="00552733"/>
    <w:rsid w:val="00552F05"/>
    <w:rsid w:val="0056285F"/>
    <w:rsid w:val="00564B19"/>
    <w:rsid w:val="005818F8"/>
    <w:rsid w:val="00586A0D"/>
    <w:rsid w:val="00591051"/>
    <w:rsid w:val="005957E3"/>
    <w:rsid w:val="005974A7"/>
    <w:rsid w:val="005A2897"/>
    <w:rsid w:val="005A4930"/>
    <w:rsid w:val="005B520E"/>
    <w:rsid w:val="005B535B"/>
    <w:rsid w:val="005B5ADD"/>
    <w:rsid w:val="005C1954"/>
    <w:rsid w:val="005D195A"/>
    <w:rsid w:val="005E356C"/>
    <w:rsid w:val="005F0737"/>
    <w:rsid w:val="005F101E"/>
    <w:rsid w:val="005F1098"/>
    <w:rsid w:val="005F10BD"/>
    <w:rsid w:val="005F121D"/>
    <w:rsid w:val="005F2286"/>
    <w:rsid w:val="005F3022"/>
    <w:rsid w:val="005F303E"/>
    <w:rsid w:val="006012FB"/>
    <w:rsid w:val="0060149E"/>
    <w:rsid w:val="006108A4"/>
    <w:rsid w:val="006122E9"/>
    <w:rsid w:val="00640762"/>
    <w:rsid w:val="00641C70"/>
    <w:rsid w:val="00647394"/>
    <w:rsid w:val="00647988"/>
    <w:rsid w:val="00655A28"/>
    <w:rsid w:val="00660CD8"/>
    <w:rsid w:val="00664712"/>
    <w:rsid w:val="0069740E"/>
    <w:rsid w:val="006B577B"/>
    <w:rsid w:val="006C4648"/>
    <w:rsid w:val="006D0739"/>
    <w:rsid w:val="006E3A41"/>
    <w:rsid w:val="006F250D"/>
    <w:rsid w:val="006F4E12"/>
    <w:rsid w:val="0070334B"/>
    <w:rsid w:val="0070482C"/>
    <w:rsid w:val="00705409"/>
    <w:rsid w:val="007110C2"/>
    <w:rsid w:val="0071554A"/>
    <w:rsid w:val="0072064C"/>
    <w:rsid w:val="00740E19"/>
    <w:rsid w:val="00742759"/>
    <w:rsid w:val="007442B3"/>
    <w:rsid w:val="007467D9"/>
    <w:rsid w:val="00753F7B"/>
    <w:rsid w:val="00754EB3"/>
    <w:rsid w:val="00756726"/>
    <w:rsid w:val="007633D0"/>
    <w:rsid w:val="00763BBB"/>
    <w:rsid w:val="00767BF4"/>
    <w:rsid w:val="00787C5A"/>
    <w:rsid w:val="00790C81"/>
    <w:rsid w:val="00791216"/>
    <w:rsid w:val="007919DE"/>
    <w:rsid w:val="007A1F35"/>
    <w:rsid w:val="007B0593"/>
    <w:rsid w:val="007B2214"/>
    <w:rsid w:val="007C0308"/>
    <w:rsid w:val="007E7F8E"/>
    <w:rsid w:val="007F00F0"/>
    <w:rsid w:val="007F3833"/>
    <w:rsid w:val="00800B7B"/>
    <w:rsid w:val="008014D2"/>
    <w:rsid w:val="0080169F"/>
    <w:rsid w:val="008054BC"/>
    <w:rsid w:val="00807414"/>
    <w:rsid w:val="008139FC"/>
    <w:rsid w:val="00823839"/>
    <w:rsid w:val="00824340"/>
    <w:rsid w:val="00853F9C"/>
    <w:rsid w:val="008609CA"/>
    <w:rsid w:val="008732C1"/>
    <w:rsid w:val="00877393"/>
    <w:rsid w:val="008805C5"/>
    <w:rsid w:val="008936C7"/>
    <w:rsid w:val="00894514"/>
    <w:rsid w:val="008A55B5"/>
    <w:rsid w:val="008A75C8"/>
    <w:rsid w:val="008B5270"/>
    <w:rsid w:val="008B715A"/>
    <w:rsid w:val="008C3613"/>
    <w:rsid w:val="008C7670"/>
    <w:rsid w:val="008D3891"/>
    <w:rsid w:val="008D3C1E"/>
    <w:rsid w:val="008E166A"/>
    <w:rsid w:val="008E3946"/>
    <w:rsid w:val="008E5A3B"/>
    <w:rsid w:val="0090234B"/>
    <w:rsid w:val="00910525"/>
    <w:rsid w:val="00910884"/>
    <w:rsid w:val="00920688"/>
    <w:rsid w:val="00924FB9"/>
    <w:rsid w:val="0092568F"/>
    <w:rsid w:val="00955A98"/>
    <w:rsid w:val="0097508D"/>
    <w:rsid w:val="009762DB"/>
    <w:rsid w:val="0097726E"/>
    <w:rsid w:val="00983DAC"/>
    <w:rsid w:val="0099706A"/>
    <w:rsid w:val="009972F3"/>
    <w:rsid w:val="009A74AE"/>
    <w:rsid w:val="009B37EB"/>
    <w:rsid w:val="009B4B94"/>
    <w:rsid w:val="009C5CE0"/>
    <w:rsid w:val="009C7E3F"/>
    <w:rsid w:val="009D170D"/>
    <w:rsid w:val="009E40DC"/>
    <w:rsid w:val="00A00CD4"/>
    <w:rsid w:val="00A016A8"/>
    <w:rsid w:val="00A0196B"/>
    <w:rsid w:val="00A0741E"/>
    <w:rsid w:val="00A131C3"/>
    <w:rsid w:val="00A236A0"/>
    <w:rsid w:val="00A24D6D"/>
    <w:rsid w:val="00A510F7"/>
    <w:rsid w:val="00A53F02"/>
    <w:rsid w:val="00A80387"/>
    <w:rsid w:val="00A8577A"/>
    <w:rsid w:val="00A86101"/>
    <w:rsid w:val="00A9579A"/>
    <w:rsid w:val="00AA0475"/>
    <w:rsid w:val="00AA0700"/>
    <w:rsid w:val="00AA5ABA"/>
    <w:rsid w:val="00AB6E4B"/>
    <w:rsid w:val="00AC39E2"/>
    <w:rsid w:val="00AC6519"/>
    <w:rsid w:val="00AC722E"/>
    <w:rsid w:val="00AD1108"/>
    <w:rsid w:val="00AD1A61"/>
    <w:rsid w:val="00AD601F"/>
    <w:rsid w:val="00AD6C44"/>
    <w:rsid w:val="00AE1E17"/>
    <w:rsid w:val="00AE5EC3"/>
    <w:rsid w:val="00AF414F"/>
    <w:rsid w:val="00AF4E9D"/>
    <w:rsid w:val="00B01002"/>
    <w:rsid w:val="00B0160B"/>
    <w:rsid w:val="00B021AF"/>
    <w:rsid w:val="00B10E83"/>
    <w:rsid w:val="00B1325B"/>
    <w:rsid w:val="00B17ED2"/>
    <w:rsid w:val="00B20C8E"/>
    <w:rsid w:val="00B213F2"/>
    <w:rsid w:val="00B36F27"/>
    <w:rsid w:val="00B5193A"/>
    <w:rsid w:val="00B526A6"/>
    <w:rsid w:val="00B54167"/>
    <w:rsid w:val="00B62E35"/>
    <w:rsid w:val="00B6464A"/>
    <w:rsid w:val="00B90F71"/>
    <w:rsid w:val="00B94E7F"/>
    <w:rsid w:val="00B94FDB"/>
    <w:rsid w:val="00BB0595"/>
    <w:rsid w:val="00BB4498"/>
    <w:rsid w:val="00BC0FFF"/>
    <w:rsid w:val="00BD43F6"/>
    <w:rsid w:val="00BD54F8"/>
    <w:rsid w:val="00BE2785"/>
    <w:rsid w:val="00C0280F"/>
    <w:rsid w:val="00C05D27"/>
    <w:rsid w:val="00C05F7C"/>
    <w:rsid w:val="00C14EC5"/>
    <w:rsid w:val="00C332CB"/>
    <w:rsid w:val="00C348C1"/>
    <w:rsid w:val="00C54E24"/>
    <w:rsid w:val="00C56BA1"/>
    <w:rsid w:val="00C6652D"/>
    <w:rsid w:val="00C703F9"/>
    <w:rsid w:val="00C70547"/>
    <w:rsid w:val="00C7677D"/>
    <w:rsid w:val="00C808D1"/>
    <w:rsid w:val="00C91343"/>
    <w:rsid w:val="00C932C8"/>
    <w:rsid w:val="00C94F73"/>
    <w:rsid w:val="00CA7040"/>
    <w:rsid w:val="00CB0271"/>
    <w:rsid w:val="00CB6219"/>
    <w:rsid w:val="00CB66E6"/>
    <w:rsid w:val="00CD5EAC"/>
    <w:rsid w:val="00CF25D6"/>
    <w:rsid w:val="00CF799F"/>
    <w:rsid w:val="00D01167"/>
    <w:rsid w:val="00D15A54"/>
    <w:rsid w:val="00D5350C"/>
    <w:rsid w:val="00D60EDA"/>
    <w:rsid w:val="00D61330"/>
    <w:rsid w:val="00D6227A"/>
    <w:rsid w:val="00D6555F"/>
    <w:rsid w:val="00D65F68"/>
    <w:rsid w:val="00D67507"/>
    <w:rsid w:val="00D759A9"/>
    <w:rsid w:val="00D75A4A"/>
    <w:rsid w:val="00D75E37"/>
    <w:rsid w:val="00D871A5"/>
    <w:rsid w:val="00D9156D"/>
    <w:rsid w:val="00D92179"/>
    <w:rsid w:val="00D9347F"/>
    <w:rsid w:val="00D945D8"/>
    <w:rsid w:val="00D95F99"/>
    <w:rsid w:val="00DB42A0"/>
    <w:rsid w:val="00DB5D91"/>
    <w:rsid w:val="00DB75C5"/>
    <w:rsid w:val="00DC299F"/>
    <w:rsid w:val="00DC5E10"/>
    <w:rsid w:val="00DD2515"/>
    <w:rsid w:val="00E07333"/>
    <w:rsid w:val="00E11872"/>
    <w:rsid w:val="00E11F6F"/>
    <w:rsid w:val="00E14449"/>
    <w:rsid w:val="00E20EBA"/>
    <w:rsid w:val="00E3552D"/>
    <w:rsid w:val="00E45989"/>
    <w:rsid w:val="00E477E6"/>
    <w:rsid w:val="00E60554"/>
    <w:rsid w:val="00E85020"/>
    <w:rsid w:val="00E91219"/>
    <w:rsid w:val="00E97E42"/>
    <w:rsid w:val="00EA3883"/>
    <w:rsid w:val="00EA506F"/>
    <w:rsid w:val="00EA53DF"/>
    <w:rsid w:val="00EB652D"/>
    <w:rsid w:val="00EC285A"/>
    <w:rsid w:val="00EC6857"/>
    <w:rsid w:val="00EC69E9"/>
    <w:rsid w:val="00EE4362"/>
    <w:rsid w:val="00EF0965"/>
    <w:rsid w:val="00EF0AC3"/>
    <w:rsid w:val="00EF18D7"/>
    <w:rsid w:val="00EF1E8A"/>
    <w:rsid w:val="00EF3950"/>
    <w:rsid w:val="00EF3A1A"/>
    <w:rsid w:val="00EF3E01"/>
    <w:rsid w:val="00F019A4"/>
    <w:rsid w:val="00F042D8"/>
    <w:rsid w:val="00F12A8D"/>
    <w:rsid w:val="00F214AC"/>
    <w:rsid w:val="00F22828"/>
    <w:rsid w:val="00F23229"/>
    <w:rsid w:val="00F30236"/>
    <w:rsid w:val="00F3026E"/>
    <w:rsid w:val="00F363DD"/>
    <w:rsid w:val="00F36C7C"/>
    <w:rsid w:val="00F531E1"/>
    <w:rsid w:val="00F6499B"/>
    <w:rsid w:val="00F6739F"/>
    <w:rsid w:val="00FA3271"/>
    <w:rsid w:val="00FA5537"/>
    <w:rsid w:val="00FA7465"/>
    <w:rsid w:val="00FB0705"/>
    <w:rsid w:val="00FB6EAD"/>
    <w:rsid w:val="00FD5DF1"/>
    <w:rsid w:val="00FE292B"/>
    <w:rsid w:val="00FE2DDA"/>
    <w:rsid w:val="00FE4C70"/>
    <w:rsid w:val="00FE6003"/>
    <w:rsid w:val="00FF1C99"/>
    <w:rsid w:val="00FF4B7B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21BD16"/>
  <w15:docId w15:val="{D80A4329-6E75-4DDF-B33E-49580AE5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  <w:style w:type="table" w:styleId="PlainTable5">
    <w:name w:val="Plain Table 5"/>
    <w:basedOn w:val="TableNormal"/>
    <w:uiPriority w:val="45"/>
    <w:rsid w:val="009C5CE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B5193A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1002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d">
    <w:name w:val="gd"/>
    <w:basedOn w:val="DefaultParagraphFont"/>
    <w:rsid w:val="00EF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4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oleObject" Target="embeddings/oleObject5.bin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image" Target="media/image8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4.png"/><Relationship Id="rId22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6</Pages>
  <Words>2476</Words>
  <Characters>14118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16561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Microsoft account</cp:lastModifiedBy>
  <cp:revision>51</cp:revision>
  <cp:lastPrinted>2014-07-26T15:11:00Z</cp:lastPrinted>
  <dcterms:created xsi:type="dcterms:W3CDTF">2023-07-25T05:50:00Z</dcterms:created>
  <dcterms:modified xsi:type="dcterms:W3CDTF">2023-08-02T16:18:00Z</dcterms:modified>
</cp:coreProperties>
</file>