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9BB72" w14:textId="2A9266FB" w:rsidR="00603ABB" w:rsidRPr="008758E5" w:rsidRDefault="00A721FC" w:rsidP="004750C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THE </w:t>
      </w:r>
      <w:r w:rsidR="00695109">
        <w:rPr>
          <w:rFonts w:ascii="Times New Roman" w:hAnsi="Times New Roman" w:cs="Times New Roman"/>
          <w:b/>
          <w:bCs/>
          <w:sz w:val="24"/>
          <w:szCs w:val="24"/>
        </w:rPr>
        <w:t xml:space="preserve">SIGNIFICANCE OF INDIAN </w:t>
      </w:r>
      <w:r w:rsidR="00265160" w:rsidRPr="008758E5">
        <w:rPr>
          <w:rFonts w:ascii="Times New Roman" w:hAnsi="Times New Roman" w:cs="Times New Roman"/>
          <w:b/>
          <w:bCs/>
          <w:sz w:val="24"/>
          <w:szCs w:val="24"/>
        </w:rPr>
        <w:t>FISCAL FEDERALISM</w:t>
      </w:r>
    </w:p>
    <w:p w14:paraId="19D5BBCF" w14:textId="1692336B" w:rsidR="00265160" w:rsidRPr="008758E5" w:rsidRDefault="00265160" w:rsidP="004750C7">
      <w:pPr>
        <w:spacing w:line="360" w:lineRule="auto"/>
        <w:rPr>
          <w:rFonts w:ascii="Times New Roman" w:hAnsi="Times New Roman" w:cs="Times New Roman"/>
          <w:sz w:val="24"/>
          <w:szCs w:val="24"/>
        </w:rPr>
      </w:pPr>
      <w:r w:rsidRPr="008758E5">
        <w:rPr>
          <w:rFonts w:ascii="Times New Roman" w:hAnsi="Times New Roman" w:cs="Times New Roman"/>
          <w:sz w:val="24"/>
          <w:szCs w:val="24"/>
        </w:rPr>
        <w:t>Author</w:t>
      </w:r>
      <w:r w:rsidR="008758E5" w:rsidRPr="008758E5">
        <w:rPr>
          <w:rFonts w:ascii="Times New Roman" w:hAnsi="Times New Roman" w:cs="Times New Roman"/>
          <w:sz w:val="24"/>
          <w:szCs w:val="24"/>
        </w:rPr>
        <w:t>s</w:t>
      </w:r>
    </w:p>
    <w:p w14:paraId="4EE2DDEA" w14:textId="61F8319C" w:rsidR="00265160" w:rsidRPr="008758E5" w:rsidRDefault="00265160" w:rsidP="004750C7">
      <w:pPr>
        <w:pStyle w:val="ListParagraph"/>
        <w:numPr>
          <w:ilvl w:val="0"/>
          <w:numId w:val="1"/>
        </w:numPr>
        <w:spacing w:line="360" w:lineRule="auto"/>
        <w:rPr>
          <w:rFonts w:ascii="Times New Roman" w:hAnsi="Times New Roman" w:cs="Times New Roman"/>
          <w:sz w:val="24"/>
          <w:szCs w:val="24"/>
        </w:rPr>
      </w:pPr>
      <w:proofErr w:type="spellStart"/>
      <w:r w:rsidRPr="008758E5">
        <w:rPr>
          <w:rFonts w:ascii="Times New Roman" w:hAnsi="Times New Roman" w:cs="Times New Roman"/>
          <w:sz w:val="24"/>
          <w:szCs w:val="24"/>
        </w:rPr>
        <w:t>Kaveya</w:t>
      </w:r>
      <w:proofErr w:type="spellEnd"/>
      <w:r w:rsidRPr="008758E5">
        <w:rPr>
          <w:rFonts w:ascii="Times New Roman" w:hAnsi="Times New Roman" w:cs="Times New Roman"/>
          <w:sz w:val="24"/>
          <w:szCs w:val="24"/>
        </w:rPr>
        <w:t xml:space="preserve"> P </w:t>
      </w:r>
    </w:p>
    <w:p w14:paraId="75D7AA2A" w14:textId="0DBFD262" w:rsidR="00265160" w:rsidRPr="008758E5" w:rsidRDefault="00265160" w:rsidP="004750C7">
      <w:pPr>
        <w:spacing w:line="360" w:lineRule="auto"/>
        <w:ind w:firstLine="720"/>
        <w:rPr>
          <w:rFonts w:ascii="Times New Roman" w:hAnsi="Times New Roman" w:cs="Times New Roman"/>
          <w:sz w:val="24"/>
          <w:szCs w:val="24"/>
        </w:rPr>
      </w:pPr>
      <w:proofErr w:type="spellStart"/>
      <w:r w:rsidRPr="008758E5">
        <w:rPr>
          <w:rFonts w:ascii="Times New Roman" w:hAnsi="Times New Roman" w:cs="Times New Roman"/>
          <w:sz w:val="24"/>
          <w:szCs w:val="24"/>
        </w:rPr>
        <w:t>Phd</w:t>
      </w:r>
      <w:proofErr w:type="spellEnd"/>
      <w:r w:rsidRPr="008758E5">
        <w:rPr>
          <w:rFonts w:ascii="Times New Roman" w:hAnsi="Times New Roman" w:cs="Times New Roman"/>
          <w:sz w:val="24"/>
          <w:szCs w:val="24"/>
        </w:rPr>
        <w:t>, MA, Bed</w:t>
      </w:r>
    </w:p>
    <w:p w14:paraId="1F74063F" w14:textId="3FA17DC1" w:rsidR="00265160" w:rsidRPr="008758E5" w:rsidRDefault="00265160" w:rsidP="004750C7">
      <w:pPr>
        <w:spacing w:line="360" w:lineRule="auto"/>
        <w:ind w:firstLine="720"/>
        <w:rPr>
          <w:rFonts w:ascii="Times New Roman" w:hAnsi="Times New Roman" w:cs="Times New Roman"/>
          <w:sz w:val="24"/>
          <w:szCs w:val="24"/>
        </w:rPr>
      </w:pPr>
      <w:r w:rsidRPr="008758E5">
        <w:rPr>
          <w:rFonts w:ascii="Times New Roman" w:hAnsi="Times New Roman" w:cs="Times New Roman"/>
          <w:sz w:val="24"/>
          <w:szCs w:val="24"/>
        </w:rPr>
        <w:t xml:space="preserve">Academic </w:t>
      </w:r>
      <w:proofErr w:type="spellStart"/>
      <w:r w:rsidRPr="008758E5">
        <w:rPr>
          <w:rFonts w:ascii="Times New Roman" w:hAnsi="Times New Roman" w:cs="Times New Roman"/>
          <w:sz w:val="24"/>
          <w:szCs w:val="24"/>
        </w:rPr>
        <w:t>Councellor</w:t>
      </w:r>
      <w:proofErr w:type="spellEnd"/>
      <w:r w:rsidRPr="008758E5">
        <w:rPr>
          <w:rFonts w:ascii="Times New Roman" w:hAnsi="Times New Roman" w:cs="Times New Roman"/>
          <w:sz w:val="24"/>
          <w:szCs w:val="24"/>
        </w:rPr>
        <w:t xml:space="preserve">, IGNOU </w:t>
      </w:r>
    </w:p>
    <w:p w14:paraId="204B25D2" w14:textId="2BF6FBB4" w:rsidR="00265160" w:rsidRPr="008758E5" w:rsidRDefault="00265160" w:rsidP="004750C7">
      <w:pPr>
        <w:spacing w:line="360" w:lineRule="auto"/>
        <w:ind w:firstLine="720"/>
        <w:rPr>
          <w:rFonts w:ascii="Times New Roman" w:hAnsi="Times New Roman" w:cs="Times New Roman"/>
          <w:sz w:val="24"/>
          <w:szCs w:val="24"/>
        </w:rPr>
      </w:pPr>
      <w:r w:rsidRPr="008758E5">
        <w:rPr>
          <w:rFonts w:ascii="Times New Roman" w:hAnsi="Times New Roman" w:cs="Times New Roman"/>
          <w:sz w:val="24"/>
          <w:szCs w:val="24"/>
        </w:rPr>
        <w:t xml:space="preserve">Department of Economics </w:t>
      </w:r>
    </w:p>
    <w:p w14:paraId="00FA1B8D" w14:textId="334C1D5B" w:rsidR="00265160" w:rsidRPr="008758E5" w:rsidRDefault="00265160" w:rsidP="004750C7">
      <w:pPr>
        <w:spacing w:line="360" w:lineRule="auto"/>
        <w:ind w:firstLine="720"/>
        <w:rPr>
          <w:rFonts w:ascii="Times New Roman" w:hAnsi="Times New Roman" w:cs="Times New Roman"/>
          <w:sz w:val="24"/>
          <w:szCs w:val="24"/>
        </w:rPr>
      </w:pPr>
      <w:r w:rsidRPr="008758E5">
        <w:rPr>
          <w:rFonts w:ascii="Times New Roman" w:hAnsi="Times New Roman" w:cs="Times New Roman"/>
          <w:sz w:val="24"/>
          <w:szCs w:val="24"/>
        </w:rPr>
        <w:t xml:space="preserve">Trivandrum, Kerala, India </w:t>
      </w:r>
    </w:p>
    <w:p w14:paraId="1303DCE0" w14:textId="375D61DC" w:rsidR="008D4F03" w:rsidRPr="008758E5" w:rsidRDefault="008D4F03" w:rsidP="004750C7">
      <w:pPr>
        <w:spacing w:line="360" w:lineRule="auto"/>
        <w:ind w:firstLine="720"/>
        <w:rPr>
          <w:rFonts w:ascii="Times New Roman" w:hAnsi="Times New Roman" w:cs="Times New Roman"/>
          <w:sz w:val="24"/>
          <w:szCs w:val="24"/>
        </w:rPr>
      </w:pPr>
      <w:r w:rsidRPr="008758E5">
        <w:rPr>
          <w:rFonts w:ascii="Times New Roman" w:hAnsi="Times New Roman" w:cs="Times New Roman"/>
          <w:sz w:val="24"/>
          <w:szCs w:val="24"/>
        </w:rPr>
        <w:t>Email: kaveyap@gmail.com</w:t>
      </w:r>
    </w:p>
    <w:p w14:paraId="47D4F30D" w14:textId="215AAE03" w:rsidR="00265160" w:rsidRPr="008758E5" w:rsidRDefault="00265160" w:rsidP="004750C7">
      <w:pPr>
        <w:pStyle w:val="ListParagraph"/>
        <w:numPr>
          <w:ilvl w:val="0"/>
          <w:numId w:val="1"/>
        </w:numPr>
        <w:spacing w:line="360" w:lineRule="auto"/>
        <w:rPr>
          <w:rFonts w:ascii="Times New Roman" w:hAnsi="Times New Roman" w:cs="Times New Roman"/>
          <w:sz w:val="24"/>
          <w:szCs w:val="24"/>
        </w:rPr>
      </w:pPr>
      <w:r w:rsidRPr="008758E5">
        <w:rPr>
          <w:rFonts w:ascii="Times New Roman" w:hAnsi="Times New Roman" w:cs="Times New Roman"/>
          <w:sz w:val="24"/>
          <w:szCs w:val="24"/>
        </w:rPr>
        <w:t xml:space="preserve">Rhwithwik M S </w:t>
      </w:r>
    </w:p>
    <w:p w14:paraId="7C38BCA2" w14:textId="77777777" w:rsidR="008D4F03" w:rsidRPr="008758E5" w:rsidRDefault="008D4F03" w:rsidP="004750C7">
      <w:pPr>
        <w:pStyle w:val="ListParagraph"/>
        <w:spacing w:line="360" w:lineRule="auto"/>
        <w:rPr>
          <w:rFonts w:ascii="Times New Roman" w:hAnsi="Times New Roman" w:cs="Times New Roman"/>
          <w:sz w:val="24"/>
          <w:szCs w:val="24"/>
        </w:rPr>
      </w:pPr>
      <w:r w:rsidRPr="008758E5">
        <w:rPr>
          <w:rFonts w:ascii="Times New Roman" w:hAnsi="Times New Roman" w:cs="Times New Roman"/>
          <w:sz w:val="24"/>
          <w:szCs w:val="24"/>
        </w:rPr>
        <w:t xml:space="preserve">M </w:t>
      </w:r>
      <w:proofErr w:type="gramStart"/>
      <w:r w:rsidRPr="008758E5">
        <w:rPr>
          <w:rFonts w:ascii="Times New Roman" w:hAnsi="Times New Roman" w:cs="Times New Roman"/>
          <w:sz w:val="24"/>
          <w:szCs w:val="24"/>
        </w:rPr>
        <w:t>A</w:t>
      </w:r>
      <w:proofErr w:type="gramEnd"/>
      <w:r w:rsidRPr="008758E5">
        <w:rPr>
          <w:rFonts w:ascii="Times New Roman" w:hAnsi="Times New Roman" w:cs="Times New Roman"/>
          <w:sz w:val="24"/>
          <w:szCs w:val="24"/>
        </w:rPr>
        <w:t xml:space="preserve"> Economics Student,</w:t>
      </w:r>
    </w:p>
    <w:p w14:paraId="512D46B3" w14:textId="27A99BBF" w:rsidR="008D4F03" w:rsidRPr="008758E5" w:rsidRDefault="008D4F03" w:rsidP="004750C7">
      <w:pPr>
        <w:pStyle w:val="ListParagraph"/>
        <w:spacing w:line="360" w:lineRule="auto"/>
        <w:rPr>
          <w:rFonts w:ascii="Times New Roman" w:hAnsi="Times New Roman" w:cs="Times New Roman"/>
          <w:sz w:val="24"/>
          <w:szCs w:val="24"/>
        </w:rPr>
      </w:pPr>
      <w:r w:rsidRPr="008758E5">
        <w:rPr>
          <w:rFonts w:ascii="Times New Roman" w:hAnsi="Times New Roman" w:cs="Times New Roman"/>
          <w:sz w:val="24"/>
          <w:szCs w:val="24"/>
        </w:rPr>
        <w:t xml:space="preserve">IGNOU </w:t>
      </w:r>
    </w:p>
    <w:p w14:paraId="477EF851" w14:textId="400CD89C" w:rsidR="008D4F03" w:rsidRPr="008758E5" w:rsidRDefault="008D4F03" w:rsidP="004750C7">
      <w:pPr>
        <w:pStyle w:val="ListParagraph"/>
        <w:spacing w:line="360" w:lineRule="auto"/>
        <w:rPr>
          <w:rFonts w:ascii="Times New Roman" w:hAnsi="Times New Roman" w:cs="Times New Roman"/>
          <w:sz w:val="24"/>
          <w:szCs w:val="24"/>
        </w:rPr>
      </w:pPr>
      <w:r w:rsidRPr="008758E5">
        <w:rPr>
          <w:rFonts w:ascii="Times New Roman" w:hAnsi="Times New Roman" w:cs="Times New Roman"/>
          <w:sz w:val="24"/>
          <w:szCs w:val="24"/>
        </w:rPr>
        <w:t xml:space="preserve">Trivandrum Regional Centre </w:t>
      </w:r>
    </w:p>
    <w:p w14:paraId="44CF44A2" w14:textId="7C217EF1" w:rsidR="008D4F03" w:rsidRPr="008758E5" w:rsidRDefault="008D4F03" w:rsidP="004750C7">
      <w:pPr>
        <w:pStyle w:val="ListParagraph"/>
        <w:spacing w:line="360" w:lineRule="auto"/>
        <w:rPr>
          <w:rFonts w:ascii="Times New Roman" w:hAnsi="Times New Roman" w:cs="Times New Roman"/>
          <w:sz w:val="24"/>
          <w:szCs w:val="24"/>
        </w:rPr>
      </w:pPr>
      <w:r w:rsidRPr="008758E5">
        <w:rPr>
          <w:rFonts w:ascii="Times New Roman" w:hAnsi="Times New Roman" w:cs="Times New Roman"/>
          <w:sz w:val="24"/>
          <w:szCs w:val="24"/>
        </w:rPr>
        <w:t>Trivandrum, Kerala, India</w:t>
      </w:r>
    </w:p>
    <w:p w14:paraId="0E4A9175" w14:textId="5826D7A2" w:rsidR="008D4F03" w:rsidRPr="008758E5" w:rsidRDefault="008D4F03" w:rsidP="004750C7">
      <w:pPr>
        <w:pStyle w:val="ListParagraph"/>
        <w:spacing w:line="360" w:lineRule="auto"/>
        <w:rPr>
          <w:rFonts w:ascii="Times New Roman" w:hAnsi="Times New Roman" w:cs="Times New Roman"/>
          <w:sz w:val="24"/>
          <w:szCs w:val="24"/>
        </w:rPr>
      </w:pPr>
      <w:proofErr w:type="gramStart"/>
      <w:r w:rsidRPr="008758E5">
        <w:rPr>
          <w:rFonts w:ascii="Times New Roman" w:hAnsi="Times New Roman" w:cs="Times New Roman"/>
          <w:sz w:val="24"/>
          <w:szCs w:val="24"/>
        </w:rPr>
        <w:t>Email :</w:t>
      </w:r>
      <w:proofErr w:type="gramEnd"/>
      <w:r w:rsidRPr="008758E5">
        <w:rPr>
          <w:rFonts w:ascii="Times New Roman" w:hAnsi="Times New Roman" w:cs="Times New Roman"/>
          <w:sz w:val="24"/>
          <w:szCs w:val="24"/>
        </w:rPr>
        <w:t xml:space="preserve"> rhwithwik.ms@gmail.com</w:t>
      </w:r>
    </w:p>
    <w:p w14:paraId="1E73029B" w14:textId="13AFD716" w:rsidR="008D4F03" w:rsidRPr="008758E5" w:rsidRDefault="008D4F03" w:rsidP="004750C7">
      <w:pPr>
        <w:spacing w:line="360" w:lineRule="auto"/>
        <w:jc w:val="center"/>
        <w:rPr>
          <w:rFonts w:ascii="Times New Roman" w:hAnsi="Times New Roman" w:cs="Times New Roman"/>
          <w:b/>
          <w:bCs/>
          <w:sz w:val="24"/>
          <w:szCs w:val="24"/>
        </w:rPr>
      </w:pPr>
      <w:r w:rsidRPr="008758E5">
        <w:rPr>
          <w:rFonts w:ascii="Times New Roman" w:hAnsi="Times New Roman" w:cs="Times New Roman"/>
          <w:b/>
          <w:bCs/>
          <w:sz w:val="24"/>
          <w:szCs w:val="24"/>
        </w:rPr>
        <w:t>Abstract</w:t>
      </w:r>
    </w:p>
    <w:p w14:paraId="006AD592" w14:textId="60D1BF20" w:rsidR="008D4F03" w:rsidRPr="008758E5" w:rsidRDefault="008D4F03" w:rsidP="004750C7">
      <w:pPr>
        <w:spacing w:line="360" w:lineRule="auto"/>
        <w:rPr>
          <w:rFonts w:ascii="Times New Roman" w:hAnsi="Times New Roman" w:cs="Times New Roman"/>
          <w:color w:val="000000"/>
          <w:sz w:val="24"/>
          <w:szCs w:val="24"/>
        </w:rPr>
      </w:pPr>
      <w:r w:rsidRPr="008758E5">
        <w:rPr>
          <w:rFonts w:ascii="Times New Roman" w:hAnsi="Times New Roman" w:cs="Times New Roman"/>
          <w:sz w:val="24"/>
          <w:szCs w:val="24"/>
        </w:rPr>
        <w:t>Federalism is a fundamental feature of our constitution</w:t>
      </w:r>
      <w:r w:rsidRPr="008758E5">
        <w:rPr>
          <w:rFonts w:ascii="Times New Roman" w:hAnsi="Times New Roman" w:cs="Times New Roman"/>
          <w:sz w:val="24"/>
          <w:szCs w:val="24"/>
        </w:rPr>
        <w:t xml:space="preserve">. </w:t>
      </w:r>
      <w:r w:rsidRPr="008758E5">
        <w:rPr>
          <w:rFonts w:ascii="Times New Roman" w:hAnsi="Times New Roman" w:cs="Times New Roman"/>
          <w:sz w:val="24"/>
          <w:szCs w:val="24"/>
        </w:rPr>
        <w:t>The federal fiscal system consists of two components: revenue sharing, which is overseen by the Finance Commission, and expenditure financing through other measures.  Despite the fact that state governments' tax-to-GDP ratios are currently lower than those of the federal government, the ratio has consistently increased over time. As exemplified by a revenue expenditure-to-GDP ratio that has consistently exceeded the tax-to-GDP ratio, all states have relied on intergovernmental transfers, borrowing, or other income sources to support their expenditures.</w:t>
      </w:r>
      <w:r w:rsidRPr="008758E5">
        <w:rPr>
          <w:rFonts w:ascii="Times New Roman" w:hAnsi="Times New Roman" w:cs="Times New Roman"/>
          <w:sz w:val="24"/>
          <w:szCs w:val="24"/>
        </w:rPr>
        <w:t xml:space="preserve"> </w:t>
      </w:r>
      <w:r w:rsidR="00695109" w:rsidRPr="008C06EA">
        <w:rPr>
          <w:rFonts w:ascii="Times New Roman" w:hAnsi="Times New Roman" w:cs="Times New Roman"/>
          <w:sz w:val="24"/>
          <w:szCs w:val="24"/>
        </w:rPr>
        <w:t xml:space="preserve">The division of responsibilities and powers between the centre and states </w:t>
      </w:r>
      <w:r w:rsidR="00695109">
        <w:rPr>
          <w:rFonts w:ascii="Times New Roman" w:hAnsi="Times New Roman" w:cs="Times New Roman"/>
          <w:sz w:val="24"/>
          <w:szCs w:val="24"/>
        </w:rPr>
        <w:t xml:space="preserve">is intended to </w:t>
      </w:r>
      <w:r w:rsidR="00695109" w:rsidRPr="008C06EA">
        <w:rPr>
          <w:rFonts w:ascii="Times New Roman" w:hAnsi="Times New Roman" w:cs="Times New Roman"/>
          <w:sz w:val="24"/>
          <w:szCs w:val="24"/>
        </w:rPr>
        <w:t>ensure th</w:t>
      </w:r>
      <w:r w:rsidR="00695109">
        <w:rPr>
          <w:rFonts w:ascii="Times New Roman" w:hAnsi="Times New Roman" w:cs="Times New Roman"/>
          <w:sz w:val="24"/>
          <w:szCs w:val="24"/>
        </w:rPr>
        <w:t>e</w:t>
      </w:r>
      <w:r w:rsidR="00695109" w:rsidRPr="008C06EA">
        <w:rPr>
          <w:rFonts w:ascii="Times New Roman" w:hAnsi="Times New Roman" w:cs="Times New Roman"/>
          <w:sz w:val="24"/>
          <w:szCs w:val="24"/>
        </w:rPr>
        <w:t xml:space="preserve"> resources are allocated efficiently, and development is not concentrated in one region. This helps to promote balanced economic growth across the country.</w:t>
      </w:r>
    </w:p>
    <w:p w14:paraId="3B26F106" w14:textId="28BC9C7C" w:rsidR="00D71967" w:rsidRDefault="008758E5" w:rsidP="00A721FC">
      <w:pPr>
        <w:spacing w:line="360" w:lineRule="auto"/>
        <w:rPr>
          <w:rFonts w:ascii="Times New Roman" w:hAnsi="Times New Roman" w:cs="Times New Roman"/>
          <w:color w:val="000000"/>
          <w:sz w:val="24"/>
          <w:szCs w:val="24"/>
        </w:rPr>
      </w:pPr>
      <w:r w:rsidRPr="008758E5">
        <w:rPr>
          <w:rFonts w:ascii="Times New Roman" w:hAnsi="Times New Roman" w:cs="Times New Roman"/>
          <w:b/>
          <w:bCs/>
          <w:color w:val="000000"/>
          <w:sz w:val="24"/>
          <w:szCs w:val="24"/>
        </w:rPr>
        <w:t>Key words</w:t>
      </w:r>
      <w:r w:rsidRPr="008758E5">
        <w:rPr>
          <w:rFonts w:ascii="Times New Roman" w:hAnsi="Times New Roman" w:cs="Times New Roman"/>
          <w:color w:val="000000"/>
          <w:sz w:val="24"/>
          <w:szCs w:val="24"/>
        </w:rPr>
        <w:t>: Fiscal Federalism, Fiscal Imbalance</w:t>
      </w:r>
      <w:r w:rsidR="00695109">
        <w:rPr>
          <w:rFonts w:ascii="Times New Roman" w:hAnsi="Times New Roman" w:cs="Times New Roman"/>
          <w:color w:val="000000"/>
          <w:sz w:val="24"/>
          <w:szCs w:val="24"/>
        </w:rPr>
        <w:t>s</w:t>
      </w:r>
      <w:r w:rsidRPr="008758E5">
        <w:rPr>
          <w:rFonts w:ascii="Times New Roman" w:hAnsi="Times New Roman" w:cs="Times New Roman"/>
          <w:color w:val="000000"/>
          <w:sz w:val="24"/>
          <w:szCs w:val="24"/>
        </w:rPr>
        <w:t xml:space="preserve">, </w:t>
      </w:r>
      <w:r w:rsidR="00695109">
        <w:rPr>
          <w:rFonts w:ascii="Times New Roman" w:hAnsi="Times New Roman" w:cs="Times New Roman"/>
          <w:color w:val="000000"/>
          <w:sz w:val="24"/>
          <w:szCs w:val="24"/>
        </w:rPr>
        <w:t>Division of powers, Government</w:t>
      </w:r>
      <w:r w:rsidRPr="008758E5">
        <w:rPr>
          <w:rFonts w:ascii="Times New Roman" w:hAnsi="Times New Roman" w:cs="Times New Roman"/>
          <w:color w:val="000000"/>
          <w:sz w:val="24"/>
          <w:szCs w:val="24"/>
        </w:rPr>
        <w:t xml:space="preserve"> expenditure</w:t>
      </w:r>
      <w:r w:rsidR="00695109">
        <w:rPr>
          <w:rFonts w:ascii="Times New Roman" w:hAnsi="Times New Roman" w:cs="Times New Roman"/>
          <w:color w:val="000000"/>
          <w:sz w:val="24"/>
          <w:szCs w:val="24"/>
        </w:rPr>
        <w:t xml:space="preserve">, Resource Mobilisation. </w:t>
      </w:r>
    </w:p>
    <w:p w14:paraId="78DF6C7D" w14:textId="77777777" w:rsidR="00A721FC" w:rsidRDefault="00A721FC" w:rsidP="00A721FC">
      <w:pPr>
        <w:spacing w:line="360" w:lineRule="auto"/>
        <w:rPr>
          <w:rFonts w:ascii="Times New Roman" w:hAnsi="Times New Roman" w:cs="Times New Roman"/>
          <w:color w:val="000000"/>
          <w:sz w:val="24"/>
          <w:szCs w:val="24"/>
        </w:rPr>
      </w:pPr>
    </w:p>
    <w:p w14:paraId="77046D67" w14:textId="77777777" w:rsidR="00D71967" w:rsidRDefault="00D71967" w:rsidP="004750C7">
      <w:pPr>
        <w:spacing w:line="360" w:lineRule="auto"/>
        <w:jc w:val="center"/>
        <w:rPr>
          <w:rFonts w:ascii="Times New Roman" w:hAnsi="Times New Roman" w:cs="Times New Roman"/>
          <w:b/>
          <w:bCs/>
          <w:color w:val="000000"/>
          <w:sz w:val="24"/>
          <w:szCs w:val="24"/>
        </w:rPr>
      </w:pPr>
    </w:p>
    <w:p w14:paraId="214363BF" w14:textId="5FF938C9" w:rsidR="008758E5" w:rsidRPr="008758E5" w:rsidRDefault="008758E5" w:rsidP="004750C7">
      <w:pPr>
        <w:spacing w:line="360" w:lineRule="auto"/>
        <w:jc w:val="center"/>
        <w:rPr>
          <w:rFonts w:ascii="Times New Roman" w:hAnsi="Times New Roman" w:cs="Times New Roman"/>
          <w:b/>
          <w:bCs/>
          <w:color w:val="000000"/>
          <w:sz w:val="24"/>
          <w:szCs w:val="24"/>
        </w:rPr>
      </w:pPr>
      <w:r w:rsidRPr="008758E5">
        <w:rPr>
          <w:rFonts w:ascii="Times New Roman" w:hAnsi="Times New Roman" w:cs="Times New Roman"/>
          <w:b/>
          <w:bCs/>
          <w:color w:val="000000"/>
          <w:sz w:val="24"/>
          <w:szCs w:val="24"/>
        </w:rPr>
        <w:lastRenderedPageBreak/>
        <w:t>INTRODUCTION</w:t>
      </w:r>
    </w:p>
    <w:p w14:paraId="2D6E4693" w14:textId="77777777" w:rsidR="00D71967" w:rsidRDefault="00D71967" w:rsidP="004750C7">
      <w:pPr>
        <w:pStyle w:val="NormalWeb"/>
        <w:shd w:val="clear" w:color="auto" w:fill="FFFFFF"/>
        <w:spacing w:before="0" w:beforeAutospacing="0" w:after="0" w:afterAutospacing="0" w:line="360" w:lineRule="auto"/>
        <w:jc w:val="both"/>
      </w:pPr>
      <w:r>
        <w:rPr>
          <w:color w:val="000000"/>
        </w:rPr>
        <w:t>India gained independence from British rule in 1947 and became a democratic republic in 1950 with a federal structure that assigns political and fiscal powers to the states. The princely states were quickly absorbed into the new political structure and their special status was greatly reduced, eventually being fully removed by 1970. The boundaries of the states can also be redrawn by the central government. The constitution was designed to give the central government significant authority over the states, resulting in a centralised federation and a quasi-federal structure, with a strong national government and decentralisation and devolution. The country's colonial past and economic policies resulted in economic stagnation and poverty. The national movement criticised colonial rule for its unfettered imports that hurt domestic industries and laissez-faire attitude that hindered economic development. As a result, the adoption of import substitution and public sector-led five-year development plans were central to independent India's economic policy leading to the adoption of Soviet-style 5-year plans and import substitution-based development strategies. The federal system in India is influenced by historical factors, such as partition, and tends to have a strong central government. There is a constitutional division of revenue and expenditure powers among different levels of government. </w:t>
      </w:r>
    </w:p>
    <w:p w14:paraId="7A962F8B" w14:textId="77777777" w:rsidR="00D71967" w:rsidRDefault="00D71967" w:rsidP="004750C7">
      <w:pPr>
        <w:pStyle w:val="NormalWeb"/>
        <w:shd w:val="clear" w:color="auto" w:fill="FFFFFF"/>
        <w:spacing w:before="0" w:beforeAutospacing="0" w:after="0" w:afterAutospacing="0" w:line="360" w:lineRule="auto"/>
        <w:jc w:val="both"/>
        <w:rPr>
          <w:color w:val="000000"/>
        </w:rPr>
      </w:pPr>
      <w:r>
        <w:rPr>
          <w:color w:val="000000"/>
        </w:rPr>
        <w:t>The Constitution of India outlines a three-fold distribution of legislative powers, as described in the Seventh Schedule of the Constitution. In this schedule, 97 items are designated as Centre Subjects, 66 items as State Subjects, and 47 items under the Concurrent List, on which both the Centre and States have the power to legislate, with the Centre being accorded a dominant position. Although the Constitution does not explicitly mention expenditure assignment, it gives executive authority to the Government of India and State Governments on subjects under the Union List and State List, respectively. This distribution of legislative power forms the basis for expenditure assignment between the Union and State Governments. Generally, the States are responsible for providing basic public services, such as maintaining public order, health, sanitation, water supply, primary education, and roads, while the Union Government is assigned exclusive power over subjects of national importance. The assignment of legislative power between the Union and States largely follows the provisions of the Government of India Act 1935, with the exception of certain centralising features incorporated in the Constitution, such as the increase in items under the Concurrent List and the allocation of the residuary power to the Centre.</w:t>
      </w:r>
    </w:p>
    <w:p w14:paraId="7A201B92" w14:textId="77777777" w:rsidR="00D71967" w:rsidRDefault="00D71967" w:rsidP="004750C7">
      <w:pPr>
        <w:pStyle w:val="NormalWeb"/>
        <w:shd w:val="clear" w:color="auto" w:fill="FFFFFF"/>
        <w:spacing w:before="0" w:beforeAutospacing="0" w:after="0" w:afterAutospacing="0" w:line="360" w:lineRule="auto"/>
        <w:jc w:val="both"/>
        <w:rPr>
          <w:color w:val="000000"/>
        </w:rPr>
      </w:pPr>
    </w:p>
    <w:p w14:paraId="071BA461" w14:textId="3C9B51C8" w:rsidR="00D71967" w:rsidRPr="004750C7" w:rsidRDefault="00D71967" w:rsidP="004750C7">
      <w:pPr>
        <w:pStyle w:val="NormalWeb"/>
        <w:spacing w:before="240" w:beforeAutospacing="0" w:after="240" w:afterAutospacing="0" w:line="360" w:lineRule="auto"/>
        <w:jc w:val="both"/>
        <w:rPr>
          <w:color w:val="000000"/>
        </w:rPr>
      </w:pPr>
      <w:r w:rsidRPr="009C4E5B">
        <w:rPr>
          <w:color w:val="000000"/>
        </w:rPr>
        <w:lastRenderedPageBreak/>
        <w:t>According to the 2017 report by the Comptroller and Auditor General (CAG), the vertical distribution</w:t>
      </w:r>
      <w:r>
        <w:rPr>
          <w:color w:val="000000"/>
        </w:rPr>
        <w:t>,</w:t>
      </w:r>
      <w:r w:rsidRPr="009C4E5B">
        <w:rPr>
          <w:color w:val="000000"/>
        </w:rPr>
        <w:t xml:space="preserve"> centre accounts for 69.3 </w:t>
      </w:r>
      <w:r>
        <w:rPr>
          <w:color w:val="000000"/>
        </w:rPr>
        <w:t>per cent</w:t>
      </w:r>
      <w:r w:rsidRPr="009C4E5B">
        <w:rPr>
          <w:color w:val="000000"/>
        </w:rPr>
        <w:t xml:space="preserve"> of resources, while the states only have 30.7</w:t>
      </w:r>
      <w:r>
        <w:rPr>
          <w:color w:val="000000"/>
        </w:rPr>
        <w:t xml:space="preserve"> per cent</w:t>
      </w:r>
      <w:r w:rsidRPr="009C4E5B">
        <w:rPr>
          <w:color w:val="000000"/>
        </w:rPr>
        <w:t>, resulting in a vertical fiscal imbalance due to the larger expenditure responsibilities assigned to the states. While the resource disparity persists at both the federal and state levels, it is significantly larger and more severe at the state level. Uninterrupted public service delivery is necessary for a responsible government, and the government is required to reconcile these resource deficits through deficit financing in accordance with statutory constraints. Inadequate resource generation results in external or internal borrowing, which has become an increasingly important source of financing in many countries with a federal structure, resulting in a massive accumulation of debt in subnational budgets (</w:t>
      </w:r>
      <w:proofErr w:type="spellStart"/>
      <w:r w:rsidRPr="009C4E5B">
        <w:rPr>
          <w:color w:val="000000"/>
        </w:rPr>
        <w:t>Renjith</w:t>
      </w:r>
      <w:proofErr w:type="spellEnd"/>
      <w:r w:rsidRPr="009C4E5B">
        <w:rPr>
          <w:color w:val="000000"/>
        </w:rPr>
        <w:t xml:space="preserve"> </w:t>
      </w:r>
      <w:r>
        <w:rPr>
          <w:color w:val="000000"/>
        </w:rPr>
        <w:t>&amp;</w:t>
      </w:r>
      <w:r w:rsidRPr="009C4E5B">
        <w:rPr>
          <w:color w:val="000000"/>
        </w:rPr>
        <w:t xml:space="preserve"> Shanmugam, 2019). There are numerous ongoing debates about the sustainability of public debt.</w:t>
      </w:r>
      <w:r>
        <w:rPr>
          <w:color w:val="000000"/>
        </w:rPr>
        <w:t>  </w:t>
      </w:r>
    </w:p>
    <w:p w14:paraId="0ED60B85" w14:textId="5F751D64" w:rsidR="00D71967" w:rsidRDefault="004750C7" w:rsidP="004750C7">
      <w:pPr>
        <w:pStyle w:val="NormalWeb"/>
        <w:shd w:val="clear" w:color="auto" w:fill="FFFFFF"/>
        <w:spacing w:before="0" w:beforeAutospacing="0" w:after="0" w:afterAutospacing="0" w:line="360" w:lineRule="auto"/>
        <w:jc w:val="center"/>
        <w:rPr>
          <w:color w:val="000000"/>
        </w:rPr>
      </w:pPr>
      <w:r>
        <w:rPr>
          <w:b/>
          <w:bCs/>
          <w:color w:val="000000"/>
        </w:rPr>
        <w:t>TRENDS IN EXPENDITURE, REVENUE AND INTERGOVERMENTAL TRANSFERS</w:t>
      </w:r>
    </w:p>
    <w:p w14:paraId="448496C0" w14:textId="77777777" w:rsidR="00D71967" w:rsidRDefault="00D71967" w:rsidP="004750C7">
      <w:pPr>
        <w:pStyle w:val="NormalWeb"/>
        <w:shd w:val="clear" w:color="auto" w:fill="FFFFFF"/>
        <w:spacing w:before="0" w:beforeAutospacing="0" w:after="0" w:afterAutospacing="0" w:line="360" w:lineRule="auto"/>
        <w:jc w:val="both"/>
        <w:rPr>
          <w:color w:val="000000"/>
          <w:shd w:val="clear" w:color="auto" w:fill="FFFFFF"/>
        </w:rPr>
      </w:pPr>
      <w:r>
        <w:rPr>
          <w:color w:val="000000"/>
          <w:shd w:val="clear" w:color="auto" w:fill="FFFFFF"/>
        </w:rPr>
        <w:t>Indian public finance has seen a significant increase in government expenditure both at the central and state levels compared to the colonial period, which is the most important feature. During the colonial era, the government followed a laissez-faire policy, and all government expenditure was kept at less than 10 percent. However, independent India chose a path of planned development of a market economy with a substantial public sector presence, which was only possible with a substantial increase in government spending. As a result, the ratio of government expenditure to Gross Domestic Product (GDP) surpassed 25 percent in the mid-1980s and has since fluctuated within a 3-4 percentage point band around this figure. The Indian government's increased expenditure creates a resource gap that is typically filled by deficit financing, leading to inflationary consequences due to supply constraints. However, the main issue is the government's failure to mobilise revenue resources that keep pace with expenditure. The revenue-GDP ratio of 18 percent is significantly lower than that of developed and middle-income countries, which average above 25 percent and sometimes exceed 40 percent. This lack of revenue mobilisation is due to class limitations in the development regime, which have hindered the mobilisation of sufficient resources from the classes that have benefited the most from the development process.</w:t>
      </w:r>
    </w:p>
    <w:p w14:paraId="381DDD0C" w14:textId="77777777" w:rsidR="008F4EEC" w:rsidRDefault="008F4EEC" w:rsidP="008F4EEC">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422"/>
        <w:tblW w:w="9351" w:type="dxa"/>
        <w:tblLayout w:type="fixed"/>
        <w:tblLook w:val="04A0" w:firstRow="1" w:lastRow="0" w:firstColumn="1" w:lastColumn="0" w:noHBand="0" w:noVBand="1"/>
      </w:tblPr>
      <w:tblGrid>
        <w:gridCol w:w="1323"/>
        <w:gridCol w:w="1366"/>
        <w:gridCol w:w="1417"/>
        <w:gridCol w:w="1418"/>
        <w:gridCol w:w="1417"/>
        <w:gridCol w:w="1418"/>
        <w:gridCol w:w="992"/>
      </w:tblGrid>
      <w:tr w:rsidR="008F4EEC" w:rsidRPr="00CC15F8" w14:paraId="1BEA9F5E" w14:textId="77777777" w:rsidTr="008F3665">
        <w:trPr>
          <w:trHeight w:val="1301"/>
        </w:trPr>
        <w:tc>
          <w:tcPr>
            <w:tcW w:w="1323" w:type="dxa"/>
            <w:hideMark/>
          </w:tcPr>
          <w:p w14:paraId="6CB5D831" w14:textId="77777777" w:rsidR="008F4EEC" w:rsidRPr="00451CAD" w:rsidRDefault="008F4EEC" w:rsidP="008F3665">
            <w:pPr>
              <w:spacing w:line="276" w:lineRule="auto"/>
              <w:jc w:val="both"/>
              <w:rPr>
                <w:rFonts w:ascii="Times New Roman" w:eastAsia="Times New Roman" w:hAnsi="Times New Roman" w:cs="Times New Roman"/>
                <w:i/>
                <w:iCs/>
                <w:color w:val="000000"/>
                <w:sz w:val="24"/>
                <w:szCs w:val="24"/>
                <w:shd w:val="clear" w:color="auto" w:fill="FFFFFF"/>
                <w:lang w:eastAsia="en-IN" w:bidi="ml-IN"/>
              </w:rPr>
            </w:pPr>
          </w:p>
          <w:p w14:paraId="1733D0E8" w14:textId="77777777" w:rsidR="008F4EEC" w:rsidRPr="00451CAD" w:rsidRDefault="008F4EEC" w:rsidP="008F3665">
            <w:pPr>
              <w:spacing w:line="276" w:lineRule="auto"/>
              <w:jc w:val="both"/>
              <w:rPr>
                <w:rFonts w:ascii="Times New Roman" w:eastAsia="Times New Roman" w:hAnsi="Times New Roman" w:cs="Times New Roman"/>
                <w:sz w:val="24"/>
                <w:szCs w:val="24"/>
                <w:lang w:eastAsia="en-IN" w:bidi="ml-IN"/>
              </w:rPr>
            </w:pPr>
            <w:r w:rsidRPr="00451CAD">
              <w:rPr>
                <w:rFonts w:ascii="Times New Roman" w:eastAsia="Times New Roman" w:hAnsi="Times New Roman" w:cs="Times New Roman"/>
                <w:color w:val="000000"/>
                <w:sz w:val="24"/>
                <w:szCs w:val="24"/>
                <w:shd w:val="clear" w:color="auto" w:fill="FFFFFF"/>
                <w:lang w:eastAsia="en-IN" w:bidi="ml-IN"/>
              </w:rPr>
              <w:t>Year</w:t>
            </w:r>
          </w:p>
        </w:tc>
        <w:tc>
          <w:tcPr>
            <w:tcW w:w="1366" w:type="dxa"/>
            <w:hideMark/>
          </w:tcPr>
          <w:p w14:paraId="39E2068F" w14:textId="77777777" w:rsidR="008F4EEC" w:rsidRPr="00451CAD" w:rsidRDefault="008F4EEC" w:rsidP="008F3665">
            <w:pPr>
              <w:spacing w:line="276" w:lineRule="auto"/>
              <w:jc w:val="both"/>
              <w:rPr>
                <w:rFonts w:ascii="Times New Roman" w:eastAsia="Times New Roman" w:hAnsi="Times New Roman" w:cs="Times New Roman"/>
                <w:sz w:val="24"/>
                <w:szCs w:val="24"/>
                <w:lang w:eastAsia="en-IN" w:bidi="ml-IN"/>
              </w:rPr>
            </w:pPr>
            <w:r w:rsidRPr="00451CAD">
              <w:rPr>
                <w:rFonts w:ascii="Times New Roman" w:eastAsia="Times New Roman" w:hAnsi="Times New Roman" w:cs="Times New Roman"/>
                <w:color w:val="000000"/>
                <w:sz w:val="24"/>
                <w:szCs w:val="24"/>
                <w:shd w:val="clear" w:color="auto" w:fill="FFFFFF"/>
                <w:lang w:eastAsia="en-IN" w:bidi="ml-IN"/>
              </w:rPr>
              <w:t xml:space="preserve"> Combined - Developmental expenditure</w:t>
            </w:r>
          </w:p>
        </w:tc>
        <w:tc>
          <w:tcPr>
            <w:tcW w:w="1417" w:type="dxa"/>
            <w:hideMark/>
          </w:tcPr>
          <w:p w14:paraId="2F227138" w14:textId="77777777" w:rsidR="008F4EEC" w:rsidRPr="00451CAD" w:rsidRDefault="008F4EEC" w:rsidP="008F3665">
            <w:pPr>
              <w:spacing w:line="276" w:lineRule="auto"/>
              <w:jc w:val="both"/>
              <w:rPr>
                <w:rFonts w:ascii="Times New Roman" w:eastAsia="Times New Roman" w:hAnsi="Times New Roman" w:cs="Times New Roman"/>
                <w:sz w:val="24"/>
                <w:szCs w:val="24"/>
                <w:lang w:eastAsia="en-IN" w:bidi="ml-IN"/>
              </w:rPr>
            </w:pPr>
            <w:r w:rsidRPr="00451CAD">
              <w:rPr>
                <w:rFonts w:ascii="Times New Roman" w:eastAsia="Times New Roman" w:hAnsi="Times New Roman" w:cs="Times New Roman"/>
                <w:color w:val="000000"/>
                <w:sz w:val="24"/>
                <w:szCs w:val="24"/>
                <w:shd w:val="clear" w:color="auto" w:fill="FFFFFF"/>
                <w:lang w:eastAsia="en-IN" w:bidi="ml-IN"/>
              </w:rPr>
              <w:t xml:space="preserve"> Combined -Non-developmental expenditure</w:t>
            </w:r>
          </w:p>
        </w:tc>
        <w:tc>
          <w:tcPr>
            <w:tcW w:w="1418" w:type="dxa"/>
            <w:hideMark/>
          </w:tcPr>
          <w:p w14:paraId="575E3FF1" w14:textId="77777777" w:rsidR="008F4EEC" w:rsidRPr="00451CAD" w:rsidRDefault="008F4EEC" w:rsidP="008F3665">
            <w:pPr>
              <w:spacing w:line="276" w:lineRule="auto"/>
              <w:jc w:val="both"/>
              <w:rPr>
                <w:rFonts w:ascii="Times New Roman" w:eastAsia="Times New Roman" w:hAnsi="Times New Roman" w:cs="Times New Roman"/>
                <w:sz w:val="24"/>
                <w:szCs w:val="24"/>
                <w:lang w:eastAsia="en-IN" w:bidi="ml-IN"/>
              </w:rPr>
            </w:pPr>
            <w:r w:rsidRPr="00451CAD">
              <w:rPr>
                <w:rFonts w:ascii="Times New Roman" w:eastAsia="Times New Roman" w:hAnsi="Times New Roman" w:cs="Times New Roman"/>
                <w:color w:val="000000"/>
                <w:sz w:val="24"/>
                <w:szCs w:val="24"/>
                <w:shd w:val="clear" w:color="auto" w:fill="FFFFFF"/>
                <w:lang w:eastAsia="en-IN" w:bidi="ml-IN"/>
              </w:rPr>
              <w:t xml:space="preserve"> Combined - Other expenditure</w:t>
            </w:r>
          </w:p>
        </w:tc>
        <w:tc>
          <w:tcPr>
            <w:tcW w:w="1417" w:type="dxa"/>
            <w:hideMark/>
          </w:tcPr>
          <w:p w14:paraId="55C7EF25" w14:textId="77777777" w:rsidR="008F4EEC" w:rsidRPr="00451CAD" w:rsidRDefault="008F4EEC" w:rsidP="008F3665">
            <w:pPr>
              <w:spacing w:line="276" w:lineRule="auto"/>
              <w:jc w:val="both"/>
              <w:rPr>
                <w:rFonts w:ascii="Times New Roman" w:eastAsia="Times New Roman" w:hAnsi="Times New Roman" w:cs="Times New Roman"/>
                <w:sz w:val="24"/>
                <w:szCs w:val="24"/>
                <w:lang w:eastAsia="en-IN" w:bidi="ml-IN"/>
              </w:rPr>
            </w:pPr>
            <w:r w:rsidRPr="00451CAD">
              <w:rPr>
                <w:rFonts w:ascii="Times New Roman" w:eastAsia="Times New Roman" w:hAnsi="Times New Roman" w:cs="Times New Roman"/>
                <w:color w:val="000000"/>
                <w:sz w:val="24"/>
                <w:szCs w:val="24"/>
                <w:shd w:val="clear" w:color="auto" w:fill="FFFFFF"/>
                <w:lang w:eastAsia="en-IN" w:bidi="ml-IN"/>
              </w:rPr>
              <w:t>Combined - Total Expenditure </w:t>
            </w:r>
          </w:p>
        </w:tc>
        <w:tc>
          <w:tcPr>
            <w:tcW w:w="1418" w:type="dxa"/>
            <w:hideMark/>
          </w:tcPr>
          <w:p w14:paraId="722E3C2D" w14:textId="77777777" w:rsidR="008F4EEC" w:rsidRPr="00451CAD" w:rsidRDefault="008F4EEC" w:rsidP="008F3665">
            <w:pPr>
              <w:spacing w:line="276" w:lineRule="auto"/>
              <w:jc w:val="both"/>
              <w:rPr>
                <w:rFonts w:ascii="Times New Roman" w:eastAsia="Times New Roman" w:hAnsi="Times New Roman" w:cs="Times New Roman"/>
                <w:sz w:val="24"/>
                <w:szCs w:val="24"/>
                <w:lang w:eastAsia="en-IN" w:bidi="ml-IN"/>
              </w:rPr>
            </w:pPr>
            <w:r w:rsidRPr="00451CAD">
              <w:rPr>
                <w:rFonts w:ascii="Times New Roman" w:eastAsia="Times New Roman" w:hAnsi="Times New Roman" w:cs="Times New Roman"/>
                <w:color w:val="000000"/>
                <w:sz w:val="24"/>
                <w:szCs w:val="24"/>
                <w:shd w:val="clear" w:color="auto" w:fill="FFFFFF"/>
                <w:lang w:eastAsia="en-IN" w:bidi="ml-IN"/>
              </w:rPr>
              <w:t xml:space="preserve"> Combined - Total Expenditure (Per cent of GDP)</w:t>
            </w:r>
          </w:p>
        </w:tc>
        <w:tc>
          <w:tcPr>
            <w:tcW w:w="992" w:type="dxa"/>
            <w:hideMark/>
          </w:tcPr>
          <w:p w14:paraId="72C76D1A" w14:textId="77777777" w:rsidR="008F4EEC" w:rsidRPr="00451CAD" w:rsidRDefault="008F4EEC" w:rsidP="008F3665">
            <w:pPr>
              <w:spacing w:line="276" w:lineRule="auto"/>
              <w:jc w:val="both"/>
              <w:rPr>
                <w:rFonts w:ascii="Times New Roman" w:eastAsia="Times New Roman" w:hAnsi="Times New Roman" w:cs="Times New Roman"/>
                <w:color w:val="000000"/>
                <w:sz w:val="24"/>
                <w:szCs w:val="24"/>
                <w:shd w:val="clear" w:color="auto" w:fill="FFFFFF"/>
                <w:lang w:eastAsia="en-IN" w:bidi="ml-IN"/>
              </w:rPr>
            </w:pPr>
            <w:r w:rsidRPr="00451CAD">
              <w:rPr>
                <w:rFonts w:ascii="Times New Roman" w:eastAsia="Times New Roman" w:hAnsi="Times New Roman" w:cs="Times New Roman"/>
                <w:color w:val="000000"/>
                <w:sz w:val="24"/>
                <w:szCs w:val="24"/>
                <w:shd w:val="clear" w:color="auto" w:fill="FFFFFF"/>
                <w:lang w:eastAsia="en-IN" w:bidi="ml-IN"/>
              </w:rPr>
              <w:t>Gross Fiscal Deficit</w:t>
            </w:r>
          </w:p>
          <w:p w14:paraId="67B167DE" w14:textId="77777777" w:rsidR="008F4EEC" w:rsidRPr="00451CAD" w:rsidRDefault="008F4EEC" w:rsidP="008F3665">
            <w:pPr>
              <w:spacing w:line="276" w:lineRule="auto"/>
              <w:jc w:val="both"/>
              <w:rPr>
                <w:rFonts w:ascii="Times New Roman" w:eastAsia="Times New Roman" w:hAnsi="Times New Roman" w:cs="Times New Roman"/>
                <w:sz w:val="24"/>
                <w:szCs w:val="24"/>
                <w:lang w:eastAsia="en-IN" w:bidi="ml-IN"/>
              </w:rPr>
            </w:pPr>
            <w:r w:rsidRPr="00451CAD">
              <w:rPr>
                <w:rFonts w:ascii="Times New Roman" w:eastAsia="Times New Roman" w:hAnsi="Times New Roman" w:cs="Times New Roman"/>
                <w:color w:val="000000"/>
                <w:sz w:val="24"/>
                <w:szCs w:val="24"/>
                <w:shd w:val="clear" w:color="auto" w:fill="FFFFFF"/>
                <w:lang w:eastAsia="en-IN" w:bidi="ml-IN"/>
              </w:rPr>
              <w:t>(Per cent of GDP)</w:t>
            </w:r>
          </w:p>
        </w:tc>
      </w:tr>
      <w:tr w:rsidR="008F4EEC" w:rsidRPr="00CC15F8" w14:paraId="7684A4C8" w14:textId="77777777" w:rsidTr="008F3665">
        <w:trPr>
          <w:trHeight w:val="291"/>
        </w:trPr>
        <w:tc>
          <w:tcPr>
            <w:tcW w:w="1323" w:type="dxa"/>
            <w:hideMark/>
          </w:tcPr>
          <w:p w14:paraId="12F0AC5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2004-05   </w:t>
            </w:r>
          </w:p>
        </w:tc>
        <w:tc>
          <w:tcPr>
            <w:tcW w:w="1366" w:type="dxa"/>
            <w:hideMark/>
          </w:tcPr>
          <w:p w14:paraId="360F9118"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445354</w:t>
            </w:r>
          </w:p>
        </w:tc>
        <w:tc>
          <w:tcPr>
            <w:tcW w:w="1417" w:type="dxa"/>
            <w:hideMark/>
          </w:tcPr>
          <w:p w14:paraId="0E3E0E41"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416340</w:t>
            </w:r>
          </w:p>
        </w:tc>
        <w:tc>
          <w:tcPr>
            <w:tcW w:w="1418" w:type="dxa"/>
            <w:hideMark/>
          </w:tcPr>
          <w:p w14:paraId="7DB5807E"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8063</w:t>
            </w:r>
          </w:p>
        </w:tc>
        <w:tc>
          <w:tcPr>
            <w:tcW w:w="1417" w:type="dxa"/>
            <w:hideMark/>
          </w:tcPr>
          <w:p w14:paraId="370F5A69"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869757</w:t>
            </w:r>
          </w:p>
        </w:tc>
        <w:tc>
          <w:tcPr>
            <w:tcW w:w="1418" w:type="dxa"/>
            <w:hideMark/>
          </w:tcPr>
          <w:p w14:paraId="630C32B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27.3</w:t>
            </w:r>
          </w:p>
        </w:tc>
        <w:tc>
          <w:tcPr>
            <w:tcW w:w="992" w:type="dxa"/>
            <w:hideMark/>
          </w:tcPr>
          <w:p w14:paraId="660204F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7.2</w:t>
            </w:r>
          </w:p>
        </w:tc>
      </w:tr>
      <w:tr w:rsidR="008F4EEC" w:rsidRPr="00CC15F8" w14:paraId="09AA4775" w14:textId="77777777" w:rsidTr="008F3665">
        <w:trPr>
          <w:trHeight w:val="308"/>
        </w:trPr>
        <w:tc>
          <w:tcPr>
            <w:tcW w:w="1323" w:type="dxa"/>
            <w:hideMark/>
          </w:tcPr>
          <w:p w14:paraId="59B289E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2005-06   </w:t>
            </w:r>
          </w:p>
        </w:tc>
        <w:tc>
          <w:tcPr>
            <w:tcW w:w="1366" w:type="dxa"/>
            <w:hideMark/>
          </w:tcPr>
          <w:p w14:paraId="31628AA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509525</w:t>
            </w:r>
          </w:p>
        </w:tc>
        <w:tc>
          <w:tcPr>
            <w:tcW w:w="1417" w:type="dxa"/>
            <w:hideMark/>
          </w:tcPr>
          <w:p w14:paraId="2C6D6FE0"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440377</w:t>
            </w:r>
          </w:p>
        </w:tc>
        <w:tc>
          <w:tcPr>
            <w:tcW w:w="1418" w:type="dxa"/>
            <w:hideMark/>
          </w:tcPr>
          <w:p w14:paraId="7D69A3F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9953</w:t>
            </w:r>
          </w:p>
        </w:tc>
        <w:tc>
          <w:tcPr>
            <w:tcW w:w="1417" w:type="dxa"/>
            <w:hideMark/>
          </w:tcPr>
          <w:p w14:paraId="58C502EA"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959855</w:t>
            </w:r>
          </w:p>
        </w:tc>
        <w:tc>
          <w:tcPr>
            <w:tcW w:w="1418" w:type="dxa"/>
            <w:hideMark/>
          </w:tcPr>
          <w:p w14:paraId="190DBB5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26.43</w:t>
            </w:r>
          </w:p>
        </w:tc>
        <w:tc>
          <w:tcPr>
            <w:tcW w:w="992" w:type="dxa"/>
            <w:hideMark/>
          </w:tcPr>
          <w:p w14:paraId="3ED843B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6.5</w:t>
            </w:r>
          </w:p>
        </w:tc>
      </w:tr>
      <w:tr w:rsidR="008F4EEC" w:rsidRPr="00CC15F8" w14:paraId="0871FCE6" w14:textId="77777777" w:rsidTr="008F3665">
        <w:trPr>
          <w:trHeight w:val="249"/>
        </w:trPr>
        <w:tc>
          <w:tcPr>
            <w:tcW w:w="1323" w:type="dxa"/>
            <w:hideMark/>
          </w:tcPr>
          <w:p w14:paraId="6483F8AB"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2006-07   </w:t>
            </w:r>
          </w:p>
        </w:tc>
        <w:tc>
          <w:tcPr>
            <w:tcW w:w="1366" w:type="dxa"/>
            <w:hideMark/>
          </w:tcPr>
          <w:p w14:paraId="35E7958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588028</w:t>
            </w:r>
          </w:p>
        </w:tc>
        <w:tc>
          <w:tcPr>
            <w:tcW w:w="1417" w:type="dxa"/>
            <w:hideMark/>
          </w:tcPr>
          <w:p w14:paraId="106155D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507635</w:t>
            </w:r>
          </w:p>
        </w:tc>
        <w:tc>
          <w:tcPr>
            <w:tcW w:w="1418" w:type="dxa"/>
            <w:hideMark/>
          </w:tcPr>
          <w:p w14:paraId="01269FC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13511</w:t>
            </w:r>
          </w:p>
        </w:tc>
        <w:tc>
          <w:tcPr>
            <w:tcW w:w="1417" w:type="dxa"/>
            <w:hideMark/>
          </w:tcPr>
          <w:p w14:paraId="41CC4F2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1109174</w:t>
            </w:r>
          </w:p>
        </w:tc>
        <w:tc>
          <w:tcPr>
            <w:tcW w:w="1418" w:type="dxa"/>
            <w:hideMark/>
          </w:tcPr>
          <w:p w14:paraId="5604D43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26.07</w:t>
            </w:r>
          </w:p>
        </w:tc>
        <w:tc>
          <w:tcPr>
            <w:tcW w:w="992" w:type="dxa"/>
            <w:hideMark/>
          </w:tcPr>
          <w:p w14:paraId="124F54B9"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5.1</w:t>
            </w:r>
          </w:p>
        </w:tc>
      </w:tr>
      <w:tr w:rsidR="008F4EEC" w:rsidRPr="00CC15F8" w14:paraId="300D655E" w14:textId="77777777" w:rsidTr="008F3665">
        <w:trPr>
          <w:trHeight w:val="241"/>
        </w:trPr>
        <w:tc>
          <w:tcPr>
            <w:tcW w:w="1323" w:type="dxa"/>
            <w:hideMark/>
          </w:tcPr>
          <w:p w14:paraId="17FFC62B"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2007-08   </w:t>
            </w:r>
          </w:p>
        </w:tc>
        <w:tc>
          <w:tcPr>
            <w:tcW w:w="1366" w:type="dxa"/>
            <w:hideMark/>
          </w:tcPr>
          <w:p w14:paraId="4A62257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710271</w:t>
            </w:r>
          </w:p>
        </w:tc>
        <w:tc>
          <w:tcPr>
            <w:tcW w:w="1417" w:type="dxa"/>
            <w:hideMark/>
          </w:tcPr>
          <w:p w14:paraId="3243B81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588779</w:t>
            </w:r>
          </w:p>
        </w:tc>
        <w:tc>
          <w:tcPr>
            <w:tcW w:w="1418" w:type="dxa"/>
            <w:hideMark/>
          </w:tcPr>
          <w:p w14:paraId="6AF957B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16233</w:t>
            </w:r>
          </w:p>
        </w:tc>
        <w:tc>
          <w:tcPr>
            <w:tcW w:w="1417" w:type="dxa"/>
            <w:hideMark/>
          </w:tcPr>
          <w:p w14:paraId="7AA6E4C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1315283</w:t>
            </w:r>
          </w:p>
        </w:tc>
        <w:tc>
          <w:tcPr>
            <w:tcW w:w="1418" w:type="dxa"/>
            <w:hideMark/>
          </w:tcPr>
          <w:p w14:paraId="6FA3129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26.85</w:t>
            </w:r>
          </w:p>
        </w:tc>
        <w:tc>
          <w:tcPr>
            <w:tcW w:w="992" w:type="dxa"/>
            <w:hideMark/>
          </w:tcPr>
          <w:p w14:paraId="5E0CE72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w:t>
            </w:r>
          </w:p>
        </w:tc>
      </w:tr>
      <w:tr w:rsidR="008F4EEC" w:rsidRPr="00CC15F8" w14:paraId="187D8214" w14:textId="77777777" w:rsidTr="008F3665">
        <w:trPr>
          <w:trHeight w:val="245"/>
        </w:trPr>
        <w:tc>
          <w:tcPr>
            <w:tcW w:w="1323" w:type="dxa"/>
            <w:hideMark/>
          </w:tcPr>
          <w:p w14:paraId="0CF68D9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2008-09   </w:t>
            </w:r>
          </w:p>
        </w:tc>
        <w:tc>
          <w:tcPr>
            <w:tcW w:w="1366" w:type="dxa"/>
            <w:hideMark/>
          </w:tcPr>
          <w:p w14:paraId="69A25D1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943708</w:t>
            </w:r>
          </w:p>
        </w:tc>
        <w:tc>
          <w:tcPr>
            <w:tcW w:w="1417" w:type="dxa"/>
            <w:hideMark/>
          </w:tcPr>
          <w:p w14:paraId="14D99AD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637453</w:t>
            </w:r>
          </w:p>
        </w:tc>
        <w:tc>
          <w:tcPr>
            <w:tcW w:w="1418" w:type="dxa"/>
            <w:hideMark/>
          </w:tcPr>
          <w:p w14:paraId="7B15E40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18516</w:t>
            </w:r>
          </w:p>
        </w:tc>
        <w:tc>
          <w:tcPr>
            <w:tcW w:w="1417" w:type="dxa"/>
            <w:hideMark/>
          </w:tcPr>
          <w:p w14:paraId="11D9A3A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1599677</w:t>
            </w:r>
          </w:p>
        </w:tc>
        <w:tc>
          <w:tcPr>
            <w:tcW w:w="1418" w:type="dxa"/>
            <w:hideMark/>
          </w:tcPr>
          <w:p w14:paraId="65691A7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29.01</w:t>
            </w:r>
          </w:p>
        </w:tc>
        <w:tc>
          <w:tcPr>
            <w:tcW w:w="992" w:type="dxa"/>
            <w:hideMark/>
          </w:tcPr>
          <w:p w14:paraId="0C28E8F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8.3</w:t>
            </w:r>
          </w:p>
        </w:tc>
      </w:tr>
      <w:tr w:rsidR="008F4EEC" w:rsidRPr="00CC15F8" w14:paraId="5B06EA62" w14:textId="77777777" w:rsidTr="008F3665">
        <w:trPr>
          <w:trHeight w:val="249"/>
        </w:trPr>
        <w:tc>
          <w:tcPr>
            <w:tcW w:w="1323" w:type="dxa"/>
            <w:hideMark/>
          </w:tcPr>
          <w:p w14:paraId="21F3FDE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2009-10   </w:t>
            </w:r>
          </w:p>
        </w:tc>
        <w:tc>
          <w:tcPr>
            <w:tcW w:w="1366" w:type="dxa"/>
            <w:hideMark/>
          </w:tcPr>
          <w:p w14:paraId="2860491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1062808</w:t>
            </w:r>
          </w:p>
        </w:tc>
        <w:tc>
          <w:tcPr>
            <w:tcW w:w="1417" w:type="dxa"/>
            <w:hideMark/>
          </w:tcPr>
          <w:p w14:paraId="10E06D0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768734</w:t>
            </w:r>
          </w:p>
        </w:tc>
        <w:tc>
          <w:tcPr>
            <w:tcW w:w="1418" w:type="dxa"/>
            <w:hideMark/>
          </w:tcPr>
          <w:p w14:paraId="0CC309B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20577</w:t>
            </w:r>
          </w:p>
        </w:tc>
        <w:tc>
          <w:tcPr>
            <w:tcW w:w="1417" w:type="dxa"/>
            <w:hideMark/>
          </w:tcPr>
          <w:p w14:paraId="3159AF51"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1852119</w:t>
            </w:r>
          </w:p>
        </w:tc>
        <w:tc>
          <w:tcPr>
            <w:tcW w:w="1418" w:type="dxa"/>
            <w:hideMark/>
          </w:tcPr>
          <w:p w14:paraId="58A7827A"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29.09</w:t>
            </w:r>
          </w:p>
        </w:tc>
        <w:tc>
          <w:tcPr>
            <w:tcW w:w="992" w:type="dxa"/>
            <w:hideMark/>
          </w:tcPr>
          <w:p w14:paraId="2D456A2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9.3</w:t>
            </w:r>
          </w:p>
        </w:tc>
      </w:tr>
      <w:tr w:rsidR="008F4EEC" w:rsidRPr="00CC15F8" w14:paraId="5EC609BF" w14:textId="77777777" w:rsidTr="008F3665">
        <w:trPr>
          <w:trHeight w:val="251"/>
        </w:trPr>
        <w:tc>
          <w:tcPr>
            <w:tcW w:w="1323" w:type="dxa"/>
            <w:hideMark/>
          </w:tcPr>
          <w:p w14:paraId="335A879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2010-11   </w:t>
            </w:r>
          </w:p>
        </w:tc>
        <w:tc>
          <w:tcPr>
            <w:tcW w:w="1366" w:type="dxa"/>
            <w:hideMark/>
          </w:tcPr>
          <w:p w14:paraId="3311A65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1267697</w:t>
            </w:r>
          </w:p>
        </w:tc>
        <w:tc>
          <w:tcPr>
            <w:tcW w:w="1417" w:type="dxa"/>
            <w:hideMark/>
          </w:tcPr>
          <w:p w14:paraId="47265D2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852046</w:t>
            </w:r>
          </w:p>
        </w:tc>
        <w:tc>
          <w:tcPr>
            <w:tcW w:w="1418" w:type="dxa"/>
            <w:hideMark/>
          </w:tcPr>
          <w:p w14:paraId="25D14278"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25402</w:t>
            </w:r>
          </w:p>
        </w:tc>
        <w:tc>
          <w:tcPr>
            <w:tcW w:w="1417" w:type="dxa"/>
            <w:hideMark/>
          </w:tcPr>
          <w:p w14:paraId="67EFB521"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2145145</w:t>
            </w:r>
          </w:p>
        </w:tc>
        <w:tc>
          <w:tcPr>
            <w:tcW w:w="1418" w:type="dxa"/>
            <w:hideMark/>
          </w:tcPr>
          <w:p w14:paraId="7204B46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28.1</w:t>
            </w:r>
          </w:p>
        </w:tc>
        <w:tc>
          <w:tcPr>
            <w:tcW w:w="992" w:type="dxa"/>
            <w:hideMark/>
          </w:tcPr>
          <w:p w14:paraId="39892E6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6.9</w:t>
            </w:r>
          </w:p>
        </w:tc>
      </w:tr>
      <w:tr w:rsidR="008F4EEC" w:rsidRPr="00CC15F8" w14:paraId="79293B33" w14:textId="77777777" w:rsidTr="008F3665">
        <w:trPr>
          <w:trHeight w:val="243"/>
        </w:trPr>
        <w:tc>
          <w:tcPr>
            <w:tcW w:w="1323" w:type="dxa"/>
            <w:hideMark/>
          </w:tcPr>
          <w:p w14:paraId="6E70C68A"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2011-12   </w:t>
            </w:r>
          </w:p>
        </w:tc>
        <w:tc>
          <w:tcPr>
            <w:tcW w:w="1366" w:type="dxa"/>
            <w:hideMark/>
          </w:tcPr>
          <w:p w14:paraId="777D9A6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1420938</w:t>
            </w:r>
          </w:p>
        </w:tc>
        <w:tc>
          <w:tcPr>
            <w:tcW w:w="1417" w:type="dxa"/>
            <w:hideMark/>
          </w:tcPr>
          <w:p w14:paraId="2898A45A"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969588</w:t>
            </w:r>
          </w:p>
        </w:tc>
        <w:tc>
          <w:tcPr>
            <w:tcW w:w="1418" w:type="dxa"/>
            <w:hideMark/>
          </w:tcPr>
          <w:p w14:paraId="02E5E931"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31242</w:t>
            </w:r>
          </w:p>
        </w:tc>
        <w:tc>
          <w:tcPr>
            <w:tcW w:w="1417" w:type="dxa"/>
            <w:hideMark/>
          </w:tcPr>
          <w:p w14:paraId="492F9DC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2421768</w:t>
            </w:r>
          </w:p>
        </w:tc>
        <w:tc>
          <w:tcPr>
            <w:tcW w:w="1418" w:type="dxa"/>
            <w:hideMark/>
          </w:tcPr>
          <w:p w14:paraId="42C46569"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27.72</w:t>
            </w:r>
          </w:p>
        </w:tc>
        <w:tc>
          <w:tcPr>
            <w:tcW w:w="992" w:type="dxa"/>
            <w:hideMark/>
          </w:tcPr>
          <w:p w14:paraId="03734BA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7.8</w:t>
            </w:r>
          </w:p>
        </w:tc>
      </w:tr>
      <w:tr w:rsidR="008F4EEC" w:rsidRPr="00CC15F8" w14:paraId="62FE338E" w14:textId="77777777" w:rsidTr="008F3665">
        <w:trPr>
          <w:trHeight w:val="247"/>
        </w:trPr>
        <w:tc>
          <w:tcPr>
            <w:tcW w:w="1323" w:type="dxa"/>
            <w:hideMark/>
          </w:tcPr>
          <w:p w14:paraId="3DD0F9F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2012-13   </w:t>
            </w:r>
          </w:p>
        </w:tc>
        <w:tc>
          <w:tcPr>
            <w:tcW w:w="1366" w:type="dxa"/>
            <w:hideMark/>
          </w:tcPr>
          <w:p w14:paraId="1511EB2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1574162</w:t>
            </w:r>
          </w:p>
        </w:tc>
        <w:tc>
          <w:tcPr>
            <w:tcW w:w="1417" w:type="dxa"/>
            <w:hideMark/>
          </w:tcPr>
          <w:p w14:paraId="6B77AF2E"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1085047</w:t>
            </w:r>
          </w:p>
        </w:tc>
        <w:tc>
          <w:tcPr>
            <w:tcW w:w="1418" w:type="dxa"/>
            <w:hideMark/>
          </w:tcPr>
          <w:p w14:paraId="69885A6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35724</w:t>
            </w:r>
          </w:p>
        </w:tc>
        <w:tc>
          <w:tcPr>
            <w:tcW w:w="1417" w:type="dxa"/>
            <w:hideMark/>
          </w:tcPr>
          <w:p w14:paraId="2F0090B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2694933</w:t>
            </w:r>
          </w:p>
        </w:tc>
        <w:tc>
          <w:tcPr>
            <w:tcW w:w="1418" w:type="dxa"/>
            <w:hideMark/>
          </w:tcPr>
          <w:p w14:paraId="43BC5C8D"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27.1</w:t>
            </w:r>
          </w:p>
        </w:tc>
        <w:tc>
          <w:tcPr>
            <w:tcW w:w="992" w:type="dxa"/>
            <w:hideMark/>
          </w:tcPr>
          <w:p w14:paraId="2C375D2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6.9</w:t>
            </w:r>
          </w:p>
        </w:tc>
      </w:tr>
      <w:tr w:rsidR="008F4EEC" w:rsidRPr="00CC15F8" w14:paraId="3BC98C8A" w14:textId="77777777" w:rsidTr="008F3665">
        <w:trPr>
          <w:trHeight w:val="202"/>
        </w:trPr>
        <w:tc>
          <w:tcPr>
            <w:tcW w:w="1323" w:type="dxa"/>
            <w:hideMark/>
          </w:tcPr>
          <w:p w14:paraId="4D0CAEDE"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2013-14   </w:t>
            </w:r>
          </w:p>
        </w:tc>
        <w:tc>
          <w:tcPr>
            <w:tcW w:w="1366" w:type="dxa"/>
            <w:hideMark/>
          </w:tcPr>
          <w:p w14:paraId="7A9D642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1714221</w:t>
            </w:r>
          </w:p>
        </w:tc>
        <w:tc>
          <w:tcPr>
            <w:tcW w:w="1417" w:type="dxa"/>
            <w:hideMark/>
          </w:tcPr>
          <w:p w14:paraId="0317D60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1242783</w:t>
            </w:r>
          </w:p>
        </w:tc>
        <w:tc>
          <w:tcPr>
            <w:tcW w:w="1418" w:type="dxa"/>
            <w:hideMark/>
          </w:tcPr>
          <w:p w14:paraId="447B9F3E"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43295</w:t>
            </w:r>
          </w:p>
        </w:tc>
        <w:tc>
          <w:tcPr>
            <w:tcW w:w="1417" w:type="dxa"/>
            <w:hideMark/>
          </w:tcPr>
          <w:p w14:paraId="5598E44B"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3000299</w:t>
            </w:r>
          </w:p>
        </w:tc>
        <w:tc>
          <w:tcPr>
            <w:tcW w:w="1418" w:type="dxa"/>
            <w:hideMark/>
          </w:tcPr>
          <w:p w14:paraId="657AE8C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26.71</w:t>
            </w:r>
          </w:p>
        </w:tc>
        <w:tc>
          <w:tcPr>
            <w:tcW w:w="992" w:type="dxa"/>
            <w:hideMark/>
          </w:tcPr>
          <w:p w14:paraId="374060AD"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6.7</w:t>
            </w:r>
          </w:p>
        </w:tc>
      </w:tr>
      <w:tr w:rsidR="008F4EEC" w:rsidRPr="00CC15F8" w14:paraId="390BD1AC" w14:textId="77777777" w:rsidTr="008F3665">
        <w:trPr>
          <w:trHeight w:val="206"/>
        </w:trPr>
        <w:tc>
          <w:tcPr>
            <w:tcW w:w="1323" w:type="dxa"/>
          </w:tcPr>
          <w:p w14:paraId="3E214CB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2014-15   </w:t>
            </w:r>
          </w:p>
        </w:tc>
        <w:tc>
          <w:tcPr>
            <w:tcW w:w="1366" w:type="dxa"/>
          </w:tcPr>
          <w:p w14:paraId="1E8A0139"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1872062</w:t>
            </w:r>
          </w:p>
        </w:tc>
        <w:tc>
          <w:tcPr>
            <w:tcW w:w="1417" w:type="dxa"/>
          </w:tcPr>
          <w:p w14:paraId="2F5DA64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1366769</w:t>
            </w:r>
          </w:p>
        </w:tc>
        <w:tc>
          <w:tcPr>
            <w:tcW w:w="1418" w:type="dxa"/>
          </w:tcPr>
          <w:p w14:paraId="36C0989B"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46379</w:t>
            </w:r>
          </w:p>
        </w:tc>
        <w:tc>
          <w:tcPr>
            <w:tcW w:w="1417" w:type="dxa"/>
          </w:tcPr>
          <w:p w14:paraId="15AB4F99"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3285210</w:t>
            </w:r>
          </w:p>
        </w:tc>
        <w:tc>
          <w:tcPr>
            <w:tcW w:w="1418" w:type="dxa"/>
          </w:tcPr>
          <w:p w14:paraId="6819598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26.35</w:t>
            </w:r>
          </w:p>
        </w:tc>
        <w:tc>
          <w:tcPr>
            <w:tcW w:w="992" w:type="dxa"/>
          </w:tcPr>
          <w:p w14:paraId="2F8C6BAE"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6.7</w:t>
            </w:r>
          </w:p>
        </w:tc>
      </w:tr>
      <w:tr w:rsidR="008F4EEC" w:rsidRPr="00CC15F8" w14:paraId="6FF603D7" w14:textId="77777777" w:rsidTr="008F3665">
        <w:trPr>
          <w:trHeight w:val="209"/>
        </w:trPr>
        <w:tc>
          <w:tcPr>
            <w:tcW w:w="1323" w:type="dxa"/>
          </w:tcPr>
          <w:p w14:paraId="157776B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2015-16   </w:t>
            </w:r>
          </w:p>
        </w:tc>
        <w:tc>
          <w:tcPr>
            <w:tcW w:w="1366" w:type="dxa"/>
          </w:tcPr>
          <w:p w14:paraId="231161E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2201287</w:t>
            </w:r>
          </w:p>
        </w:tc>
        <w:tc>
          <w:tcPr>
            <w:tcW w:w="1417" w:type="dxa"/>
          </w:tcPr>
          <w:p w14:paraId="6CE4DF0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1510810</w:t>
            </w:r>
          </w:p>
        </w:tc>
        <w:tc>
          <w:tcPr>
            <w:tcW w:w="1418" w:type="dxa"/>
          </w:tcPr>
          <w:p w14:paraId="234E38FD"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48513.9</w:t>
            </w:r>
          </w:p>
        </w:tc>
        <w:tc>
          <w:tcPr>
            <w:tcW w:w="1417" w:type="dxa"/>
          </w:tcPr>
          <w:p w14:paraId="0AED032D"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3760611</w:t>
            </w:r>
          </w:p>
        </w:tc>
        <w:tc>
          <w:tcPr>
            <w:tcW w:w="1418" w:type="dxa"/>
          </w:tcPr>
          <w:p w14:paraId="419F90D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27.31</w:t>
            </w:r>
          </w:p>
        </w:tc>
        <w:tc>
          <w:tcPr>
            <w:tcW w:w="992" w:type="dxa"/>
          </w:tcPr>
          <w:p w14:paraId="21846A7D"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6.9</w:t>
            </w:r>
          </w:p>
        </w:tc>
      </w:tr>
      <w:tr w:rsidR="008F4EEC" w:rsidRPr="00CC15F8" w14:paraId="330754EE" w14:textId="77777777" w:rsidTr="008F3665">
        <w:trPr>
          <w:trHeight w:val="226"/>
        </w:trPr>
        <w:tc>
          <w:tcPr>
            <w:tcW w:w="1323" w:type="dxa"/>
          </w:tcPr>
          <w:p w14:paraId="4BFE456B"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2016-17   </w:t>
            </w:r>
          </w:p>
        </w:tc>
        <w:tc>
          <w:tcPr>
            <w:tcW w:w="1366" w:type="dxa"/>
          </w:tcPr>
          <w:p w14:paraId="74B9EC8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2537905</w:t>
            </w:r>
          </w:p>
        </w:tc>
        <w:tc>
          <w:tcPr>
            <w:tcW w:w="1417" w:type="dxa"/>
          </w:tcPr>
          <w:p w14:paraId="1BB36B3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1672646</w:t>
            </w:r>
          </w:p>
        </w:tc>
        <w:tc>
          <w:tcPr>
            <w:tcW w:w="1418" w:type="dxa"/>
          </w:tcPr>
          <w:p w14:paraId="4D248F6B"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55417</w:t>
            </w:r>
          </w:p>
        </w:tc>
        <w:tc>
          <w:tcPr>
            <w:tcW w:w="1417" w:type="dxa"/>
          </w:tcPr>
          <w:p w14:paraId="0E9EDA6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4265969</w:t>
            </w:r>
          </w:p>
        </w:tc>
        <w:tc>
          <w:tcPr>
            <w:tcW w:w="1418" w:type="dxa"/>
          </w:tcPr>
          <w:p w14:paraId="7F2E90A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27.72</w:t>
            </w:r>
          </w:p>
        </w:tc>
        <w:tc>
          <w:tcPr>
            <w:tcW w:w="992" w:type="dxa"/>
          </w:tcPr>
          <w:p w14:paraId="386FC5E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6.9</w:t>
            </w:r>
          </w:p>
        </w:tc>
      </w:tr>
      <w:tr w:rsidR="008F4EEC" w:rsidRPr="00CC15F8" w14:paraId="0F4069BF" w14:textId="77777777" w:rsidTr="008F3665">
        <w:trPr>
          <w:trHeight w:val="228"/>
        </w:trPr>
        <w:tc>
          <w:tcPr>
            <w:tcW w:w="1323" w:type="dxa"/>
          </w:tcPr>
          <w:p w14:paraId="3B520288"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2017-18   </w:t>
            </w:r>
          </w:p>
        </w:tc>
        <w:tc>
          <w:tcPr>
            <w:tcW w:w="1366" w:type="dxa"/>
          </w:tcPr>
          <w:p w14:paraId="5437ED9A"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2635110</w:t>
            </w:r>
          </w:p>
        </w:tc>
        <w:tc>
          <w:tcPr>
            <w:tcW w:w="1417" w:type="dxa"/>
          </w:tcPr>
          <w:p w14:paraId="00A310C1"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1812455</w:t>
            </w:r>
          </w:p>
        </w:tc>
        <w:tc>
          <w:tcPr>
            <w:tcW w:w="1418" w:type="dxa"/>
          </w:tcPr>
          <w:p w14:paraId="0AC66D7F"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68381</w:t>
            </w:r>
          </w:p>
        </w:tc>
        <w:tc>
          <w:tcPr>
            <w:tcW w:w="1417" w:type="dxa"/>
          </w:tcPr>
          <w:p w14:paraId="7963492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4515946</w:t>
            </w:r>
          </w:p>
        </w:tc>
        <w:tc>
          <w:tcPr>
            <w:tcW w:w="1418" w:type="dxa"/>
          </w:tcPr>
          <w:p w14:paraId="70FA1BFE"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26.42</w:t>
            </w:r>
          </w:p>
        </w:tc>
        <w:tc>
          <w:tcPr>
            <w:tcW w:w="992" w:type="dxa"/>
          </w:tcPr>
          <w:p w14:paraId="4610D822"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5.8</w:t>
            </w:r>
          </w:p>
        </w:tc>
      </w:tr>
      <w:tr w:rsidR="008F4EEC" w:rsidRPr="00CC15F8" w14:paraId="34443131" w14:textId="77777777" w:rsidTr="008F3665">
        <w:trPr>
          <w:trHeight w:val="233"/>
        </w:trPr>
        <w:tc>
          <w:tcPr>
            <w:tcW w:w="1323" w:type="dxa"/>
          </w:tcPr>
          <w:p w14:paraId="35256C40"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2018-19   </w:t>
            </w:r>
          </w:p>
        </w:tc>
        <w:tc>
          <w:tcPr>
            <w:tcW w:w="1366" w:type="dxa"/>
          </w:tcPr>
          <w:p w14:paraId="77B69F00"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2882758</w:t>
            </w:r>
          </w:p>
        </w:tc>
        <w:tc>
          <w:tcPr>
            <w:tcW w:w="1417" w:type="dxa"/>
          </w:tcPr>
          <w:p w14:paraId="33FEB55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2078276</w:t>
            </w:r>
          </w:p>
        </w:tc>
        <w:tc>
          <w:tcPr>
            <w:tcW w:w="1418" w:type="dxa"/>
          </w:tcPr>
          <w:p w14:paraId="4D7FABA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79712.8</w:t>
            </w:r>
          </w:p>
        </w:tc>
        <w:tc>
          <w:tcPr>
            <w:tcW w:w="1417" w:type="dxa"/>
          </w:tcPr>
          <w:p w14:paraId="35E86EA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5040747</w:t>
            </w:r>
          </w:p>
        </w:tc>
        <w:tc>
          <w:tcPr>
            <w:tcW w:w="1418" w:type="dxa"/>
          </w:tcPr>
          <w:p w14:paraId="30EA89E3"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26.67</w:t>
            </w:r>
          </w:p>
        </w:tc>
        <w:tc>
          <w:tcPr>
            <w:tcW w:w="992" w:type="dxa"/>
          </w:tcPr>
          <w:p w14:paraId="30B8954B"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5.8</w:t>
            </w:r>
          </w:p>
        </w:tc>
      </w:tr>
      <w:tr w:rsidR="008F4EEC" w:rsidRPr="00CC15F8" w14:paraId="2114D8A5" w14:textId="77777777" w:rsidTr="008F3665">
        <w:trPr>
          <w:trHeight w:val="236"/>
        </w:trPr>
        <w:tc>
          <w:tcPr>
            <w:tcW w:w="1323" w:type="dxa"/>
          </w:tcPr>
          <w:p w14:paraId="37200190"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2019-20   </w:t>
            </w:r>
          </w:p>
        </w:tc>
        <w:tc>
          <w:tcPr>
            <w:tcW w:w="1366" w:type="dxa"/>
          </w:tcPr>
          <w:p w14:paraId="61E8C634"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3074492</w:t>
            </w:r>
          </w:p>
        </w:tc>
        <w:tc>
          <w:tcPr>
            <w:tcW w:w="1417" w:type="dxa"/>
          </w:tcPr>
          <w:p w14:paraId="3A08B160"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2253027</w:t>
            </w:r>
          </w:p>
        </w:tc>
        <w:tc>
          <w:tcPr>
            <w:tcW w:w="1418" w:type="dxa"/>
          </w:tcPr>
          <w:p w14:paraId="7A898CB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83368.4</w:t>
            </w:r>
          </w:p>
        </w:tc>
        <w:tc>
          <w:tcPr>
            <w:tcW w:w="1417" w:type="dxa"/>
          </w:tcPr>
          <w:p w14:paraId="09E7FDF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5410887</w:t>
            </w:r>
          </w:p>
        </w:tc>
        <w:tc>
          <w:tcPr>
            <w:tcW w:w="1418" w:type="dxa"/>
          </w:tcPr>
          <w:p w14:paraId="2407545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26.95</w:t>
            </w:r>
          </w:p>
        </w:tc>
        <w:tc>
          <w:tcPr>
            <w:tcW w:w="992" w:type="dxa"/>
          </w:tcPr>
          <w:p w14:paraId="483B2C0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7.2</w:t>
            </w:r>
          </w:p>
        </w:tc>
      </w:tr>
      <w:tr w:rsidR="008F4EEC" w:rsidRPr="00CC15F8" w14:paraId="0E152258" w14:textId="77777777" w:rsidTr="008F3665">
        <w:trPr>
          <w:trHeight w:val="251"/>
        </w:trPr>
        <w:tc>
          <w:tcPr>
            <w:tcW w:w="1323" w:type="dxa"/>
          </w:tcPr>
          <w:p w14:paraId="37C7EC1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2020-21   </w:t>
            </w:r>
          </w:p>
        </w:tc>
        <w:tc>
          <w:tcPr>
            <w:tcW w:w="1366" w:type="dxa"/>
          </w:tcPr>
          <w:p w14:paraId="0BB8E009"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3906147</w:t>
            </w:r>
          </w:p>
        </w:tc>
        <w:tc>
          <w:tcPr>
            <w:tcW w:w="1417" w:type="dxa"/>
          </w:tcPr>
          <w:p w14:paraId="4E777D27"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2526514</w:t>
            </w:r>
          </w:p>
        </w:tc>
        <w:tc>
          <w:tcPr>
            <w:tcW w:w="1418" w:type="dxa"/>
          </w:tcPr>
          <w:p w14:paraId="590930B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91255.2</w:t>
            </w:r>
          </w:p>
        </w:tc>
        <w:tc>
          <w:tcPr>
            <w:tcW w:w="1417" w:type="dxa"/>
          </w:tcPr>
          <w:p w14:paraId="509F87E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6523916</w:t>
            </w:r>
          </w:p>
        </w:tc>
        <w:tc>
          <w:tcPr>
            <w:tcW w:w="1418" w:type="dxa"/>
          </w:tcPr>
          <w:p w14:paraId="132D2FBD"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32.95</w:t>
            </w:r>
          </w:p>
        </w:tc>
        <w:tc>
          <w:tcPr>
            <w:tcW w:w="992" w:type="dxa"/>
          </w:tcPr>
          <w:p w14:paraId="478D2D71"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13.3</w:t>
            </w:r>
          </w:p>
        </w:tc>
      </w:tr>
      <w:tr w:rsidR="008F4EEC" w:rsidRPr="00CC15F8" w14:paraId="145ED79B" w14:textId="77777777" w:rsidTr="008F3665">
        <w:trPr>
          <w:trHeight w:val="243"/>
        </w:trPr>
        <w:tc>
          <w:tcPr>
            <w:tcW w:w="1323" w:type="dxa"/>
          </w:tcPr>
          <w:p w14:paraId="5BD338B9"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color w:val="000000"/>
                <w:sz w:val="24"/>
                <w:szCs w:val="24"/>
              </w:rPr>
              <w:t>2021-22   </w:t>
            </w:r>
          </w:p>
        </w:tc>
        <w:tc>
          <w:tcPr>
            <w:tcW w:w="1366" w:type="dxa"/>
          </w:tcPr>
          <w:p w14:paraId="5133F83C"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i/>
                <w:iCs/>
                <w:color w:val="000000"/>
                <w:sz w:val="24"/>
                <w:szCs w:val="24"/>
              </w:rPr>
              <w:t>4254004</w:t>
            </w:r>
          </w:p>
        </w:tc>
        <w:tc>
          <w:tcPr>
            <w:tcW w:w="1417" w:type="dxa"/>
          </w:tcPr>
          <w:p w14:paraId="51C6E645"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i/>
                <w:iCs/>
                <w:color w:val="000000"/>
                <w:sz w:val="24"/>
                <w:szCs w:val="24"/>
              </w:rPr>
              <w:t>2810847</w:t>
            </w:r>
          </w:p>
        </w:tc>
        <w:tc>
          <w:tcPr>
            <w:tcW w:w="1418" w:type="dxa"/>
          </w:tcPr>
          <w:p w14:paraId="567CC20D"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i/>
                <w:iCs/>
                <w:color w:val="000000"/>
                <w:sz w:val="24"/>
                <w:szCs w:val="24"/>
              </w:rPr>
              <w:t>95843.3</w:t>
            </w:r>
          </w:p>
        </w:tc>
        <w:tc>
          <w:tcPr>
            <w:tcW w:w="1417" w:type="dxa"/>
          </w:tcPr>
          <w:p w14:paraId="0B2D568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i/>
                <w:iCs/>
                <w:color w:val="000000"/>
                <w:sz w:val="24"/>
                <w:szCs w:val="24"/>
              </w:rPr>
              <w:t>7160694</w:t>
            </w:r>
          </w:p>
        </w:tc>
        <w:tc>
          <w:tcPr>
            <w:tcW w:w="1418" w:type="dxa"/>
          </w:tcPr>
          <w:p w14:paraId="655D1870"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i/>
                <w:iCs/>
                <w:color w:val="000000"/>
                <w:sz w:val="24"/>
                <w:szCs w:val="24"/>
              </w:rPr>
              <w:t>30.26</w:t>
            </w:r>
          </w:p>
        </w:tc>
        <w:tc>
          <w:tcPr>
            <w:tcW w:w="992" w:type="dxa"/>
          </w:tcPr>
          <w:p w14:paraId="3F7F5EA6" w14:textId="77777777" w:rsidR="008F4EEC" w:rsidRPr="00CC15F8" w:rsidRDefault="008F4EEC" w:rsidP="008F3665">
            <w:pPr>
              <w:spacing w:line="276" w:lineRule="auto"/>
              <w:jc w:val="both"/>
              <w:rPr>
                <w:rFonts w:ascii="Times New Roman" w:eastAsia="Times New Roman" w:hAnsi="Times New Roman" w:cs="Times New Roman"/>
                <w:sz w:val="24"/>
                <w:szCs w:val="24"/>
                <w:lang w:eastAsia="en-IN" w:bidi="ml-IN"/>
              </w:rPr>
            </w:pPr>
            <w:r w:rsidRPr="00CC15F8">
              <w:rPr>
                <w:rFonts w:ascii="Times New Roman" w:hAnsi="Times New Roman" w:cs="Times New Roman"/>
                <w:i/>
                <w:iCs/>
                <w:color w:val="000000"/>
                <w:sz w:val="24"/>
                <w:szCs w:val="24"/>
              </w:rPr>
              <w:t>10.2</w:t>
            </w:r>
          </w:p>
        </w:tc>
      </w:tr>
    </w:tbl>
    <w:p w14:paraId="15820BDC" w14:textId="305B1326" w:rsidR="008F4EEC" w:rsidRPr="004A5718" w:rsidRDefault="008F4EEC" w:rsidP="008F4EEC">
      <w:pPr>
        <w:spacing w:line="360" w:lineRule="auto"/>
        <w:jc w:val="center"/>
        <w:rPr>
          <w:rFonts w:ascii="Times New Roman" w:hAnsi="Times New Roman" w:cs="Times New Roman"/>
          <w:b/>
          <w:bCs/>
          <w:sz w:val="24"/>
          <w:szCs w:val="24"/>
        </w:rPr>
      </w:pPr>
      <w:r w:rsidRPr="004A5718">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4A5718">
        <w:rPr>
          <w:rFonts w:ascii="Times New Roman" w:hAnsi="Times New Roman" w:cs="Times New Roman"/>
          <w:b/>
          <w:bCs/>
          <w:sz w:val="24"/>
          <w:szCs w:val="24"/>
        </w:rPr>
        <w:t>.1 Expenditure Trend (Rs Crore)</w:t>
      </w:r>
    </w:p>
    <w:p w14:paraId="390DB364" w14:textId="77777777" w:rsidR="008F4EEC" w:rsidRPr="00451CAD" w:rsidRDefault="008F4EEC" w:rsidP="008F4EEC">
      <w:pPr>
        <w:spacing w:line="360" w:lineRule="auto"/>
        <w:jc w:val="both"/>
        <w:rPr>
          <w:rFonts w:ascii="Times New Roman" w:hAnsi="Times New Roman" w:cs="Times New Roman"/>
          <w:i/>
          <w:iCs/>
          <w:color w:val="222222"/>
          <w:sz w:val="24"/>
          <w:szCs w:val="24"/>
        </w:rPr>
      </w:pPr>
      <w:r w:rsidRPr="00451CAD">
        <w:rPr>
          <w:rFonts w:ascii="Times New Roman" w:hAnsi="Times New Roman" w:cs="Times New Roman"/>
          <w:i/>
          <w:iCs/>
          <w:sz w:val="24"/>
          <w:szCs w:val="24"/>
        </w:rPr>
        <w:t xml:space="preserve">Source: RBI </w:t>
      </w:r>
      <w:r w:rsidRPr="00451CAD">
        <w:rPr>
          <w:rFonts w:ascii="Times New Roman" w:hAnsi="Times New Roman" w:cs="Times New Roman"/>
          <w:i/>
          <w:iCs/>
          <w:color w:val="222222"/>
          <w:sz w:val="24"/>
          <w:szCs w:val="24"/>
        </w:rPr>
        <w:t>Handbook of Statistics on the Indian Economy, 2021-22</w:t>
      </w:r>
    </w:p>
    <w:p w14:paraId="57BB9376" w14:textId="15B9ECCD" w:rsidR="00D71967" w:rsidRDefault="00D71967" w:rsidP="004750C7">
      <w:pPr>
        <w:pStyle w:val="NormalWeb"/>
        <w:shd w:val="clear" w:color="auto" w:fill="FFFFFF"/>
        <w:spacing w:before="0" w:beforeAutospacing="0" w:after="240" w:afterAutospacing="0" w:line="360" w:lineRule="auto"/>
        <w:jc w:val="both"/>
      </w:pPr>
      <w:r>
        <w:rPr>
          <w:color w:val="000000"/>
          <w:shd w:val="clear" w:color="auto" w:fill="FFFFFF"/>
        </w:rPr>
        <w:t xml:space="preserve">During the 1990s, the fiscal and current account deficits resulting from this crisis pushed the Indian economy towards neoliberal reforms. The trend in the government expenditure to GDP ratio ended, and it fluctuated around 25-26 percent of GDP until the global financial crisis of 2008. India, like most countries worldwide, adopted an expansionary stimulus policy in response to the crisis, leading to an increase in the expenditure to GDP ratio to 28-29 percent in subsequent years. Consequently, the resource gap, which had declined to below 5 percent primarily due to a significant increase in the revenue to GDP ratio and a slight downward trend in expenditure, increased again to 9.80 percent in 2009-10 and has been around 7 percent since. The compression of expenditure during the 1990s resulted mainly from the implementation of the Fiscal Responsibility and Budget Management (FRBM) Acts. However, the spike in deficits in the post-global financial crisis period reflects the de facto pause in the pursuit of its FRBM targets by the central government. As a result of the gap between revenues and </w:t>
      </w:r>
      <w:r>
        <w:rPr>
          <w:color w:val="000000"/>
          <w:shd w:val="clear" w:color="auto" w:fill="FFFFFF"/>
        </w:rPr>
        <w:lastRenderedPageBreak/>
        <w:t xml:space="preserve">expenditure, the government must borrow, which runs counter to the constraints set by the FRBM targets. This places an asymmetric burden on the states, which must function within this framework through conditionalities imposed by the Finance Commissions. </w:t>
      </w:r>
    </w:p>
    <w:p w14:paraId="1F6E7D29" w14:textId="55AC92DC" w:rsidR="008F4EEC" w:rsidRPr="004A5718" w:rsidRDefault="008F4EEC" w:rsidP="008F4EEC">
      <w:pPr>
        <w:spacing w:line="360" w:lineRule="auto"/>
        <w:jc w:val="center"/>
        <w:rPr>
          <w:rFonts w:ascii="Times New Roman" w:hAnsi="Times New Roman" w:cs="Times New Roman"/>
          <w:b/>
          <w:bCs/>
          <w:sz w:val="24"/>
          <w:szCs w:val="24"/>
        </w:rPr>
      </w:pPr>
      <w:r w:rsidRPr="004A5718">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4A5718">
        <w:rPr>
          <w:rFonts w:ascii="Times New Roman" w:hAnsi="Times New Roman" w:cs="Times New Roman"/>
          <w:b/>
          <w:bCs/>
          <w:sz w:val="24"/>
          <w:szCs w:val="24"/>
        </w:rPr>
        <w:t>.2 Tax- GDP ratio as well as Revenue Expenditure</w:t>
      </w:r>
    </w:p>
    <w:tbl>
      <w:tblPr>
        <w:tblStyle w:val="TableGrid"/>
        <w:tblW w:w="9112" w:type="dxa"/>
        <w:tblLook w:val="04A0" w:firstRow="1" w:lastRow="0" w:firstColumn="1" w:lastColumn="0" w:noHBand="0" w:noVBand="1"/>
      </w:tblPr>
      <w:tblGrid>
        <w:gridCol w:w="1361"/>
        <w:gridCol w:w="1616"/>
        <w:gridCol w:w="1843"/>
        <w:gridCol w:w="2126"/>
        <w:gridCol w:w="2166"/>
      </w:tblGrid>
      <w:tr w:rsidR="008F4EEC" w:rsidRPr="009F42E2" w14:paraId="1F0B5B23" w14:textId="77777777" w:rsidTr="008F3665">
        <w:trPr>
          <w:trHeight w:val="296"/>
        </w:trPr>
        <w:tc>
          <w:tcPr>
            <w:tcW w:w="1361" w:type="dxa"/>
          </w:tcPr>
          <w:p w14:paraId="6CC43ED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Year</w:t>
            </w:r>
          </w:p>
        </w:tc>
        <w:tc>
          <w:tcPr>
            <w:tcW w:w="1616" w:type="dxa"/>
            <w:noWrap/>
          </w:tcPr>
          <w:p w14:paraId="3FAAEF95"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Tax-GDP ratio of all States</w:t>
            </w:r>
          </w:p>
        </w:tc>
        <w:tc>
          <w:tcPr>
            <w:tcW w:w="1843" w:type="dxa"/>
            <w:noWrap/>
          </w:tcPr>
          <w:p w14:paraId="1BB5F32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Tax-GDP ratio of centre</w:t>
            </w:r>
          </w:p>
        </w:tc>
        <w:tc>
          <w:tcPr>
            <w:tcW w:w="2126" w:type="dxa"/>
            <w:noWrap/>
          </w:tcPr>
          <w:p w14:paraId="2E3F139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Revenue Expenditure- GDP ratio of all States</w:t>
            </w:r>
          </w:p>
        </w:tc>
        <w:tc>
          <w:tcPr>
            <w:tcW w:w="2166" w:type="dxa"/>
            <w:noWrap/>
          </w:tcPr>
          <w:p w14:paraId="44DE4BB6"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Revenue Expenditure- GDP ratio of centre</w:t>
            </w:r>
          </w:p>
        </w:tc>
      </w:tr>
      <w:tr w:rsidR="008F4EEC" w:rsidRPr="009F42E2" w14:paraId="7D3D164A" w14:textId="77777777" w:rsidTr="008F3665">
        <w:trPr>
          <w:trHeight w:val="296"/>
        </w:trPr>
        <w:tc>
          <w:tcPr>
            <w:tcW w:w="1361" w:type="dxa"/>
            <w:hideMark/>
          </w:tcPr>
          <w:p w14:paraId="11B41546"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2004-05</w:t>
            </w:r>
          </w:p>
        </w:tc>
        <w:tc>
          <w:tcPr>
            <w:tcW w:w="1616" w:type="dxa"/>
            <w:noWrap/>
            <w:hideMark/>
          </w:tcPr>
          <w:p w14:paraId="44A0E3D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5.71</w:t>
            </w:r>
          </w:p>
        </w:tc>
        <w:tc>
          <w:tcPr>
            <w:tcW w:w="1843" w:type="dxa"/>
            <w:noWrap/>
            <w:hideMark/>
          </w:tcPr>
          <w:p w14:paraId="6B50840B"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9.52</w:t>
            </w:r>
          </w:p>
        </w:tc>
        <w:tc>
          <w:tcPr>
            <w:tcW w:w="2126" w:type="dxa"/>
            <w:noWrap/>
            <w:hideMark/>
          </w:tcPr>
          <w:p w14:paraId="0AE67FE7"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12.64</w:t>
            </w:r>
          </w:p>
        </w:tc>
        <w:tc>
          <w:tcPr>
            <w:tcW w:w="2166" w:type="dxa"/>
            <w:noWrap/>
            <w:hideMark/>
          </w:tcPr>
          <w:p w14:paraId="47C57598"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12.06</w:t>
            </w:r>
          </w:p>
        </w:tc>
      </w:tr>
      <w:tr w:rsidR="008F4EEC" w:rsidRPr="009F42E2" w14:paraId="43298AD4" w14:textId="77777777" w:rsidTr="008F3665">
        <w:trPr>
          <w:trHeight w:val="296"/>
        </w:trPr>
        <w:tc>
          <w:tcPr>
            <w:tcW w:w="1361" w:type="dxa"/>
            <w:hideMark/>
          </w:tcPr>
          <w:p w14:paraId="2B8D1F6D"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2005-06</w:t>
            </w:r>
          </w:p>
        </w:tc>
        <w:tc>
          <w:tcPr>
            <w:tcW w:w="1616" w:type="dxa"/>
            <w:noWrap/>
            <w:hideMark/>
          </w:tcPr>
          <w:p w14:paraId="5FFB6CE4"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5.85</w:t>
            </w:r>
          </w:p>
        </w:tc>
        <w:tc>
          <w:tcPr>
            <w:tcW w:w="1843" w:type="dxa"/>
            <w:noWrap/>
            <w:hideMark/>
          </w:tcPr>
          <w:p w14:paraId="4B8D4DEE"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10.03</w:t>
            </w:r>
          </w:p>
        </w:tc>
        <w:tc>
          <w:tcPr>
            <w:tcW w:w="2126" w:type="dxa"/>
            <w:noWrap/>
            <w:hideMark/>
          </w:tcPr>
          <w:p w14:paraId="06F37AE8"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12.06</w:t>
            </w:r>
          </w:p>
        </w:tc>
        <w:tc>
          <w:tcPr>
            <w:tcW w:w="2166" w:type="dxa"/>
            <w:noWrap/>
            <w:hideMark/>
          </w:tcPr>
          <w:p w14:paraId="45BEC8C8"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12.10</w:t>
            </w:r>
          </w:p>
        </w:tc>
      </w:tr>
      <w:tr w:rsidR="008F4EEC" w:rsidRPr="009F42E2" w14:paraId="729AA419" w14:textId="77777777" w:rsidTr="008F3665">
        <w:trPr>
          <w:trHeight w:val="296"/>
        </w:trPr>
        <w:tc>
          <w:tcPr>
            <w:tcW w:w="1361" w:type="dxa"/>
            <w:hideMark/>
          </w:tcPr>
          <w:p w14:paraId="2BBFCF9E"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2006-07</w:t>
            </w:r>
          </w:p>
        </w:tc>
        <w:tc>
          <w:tcPr>
            <w:tcW w:w="1616" w:type="dxa"/>
            <w:noWrap/>
            <w:hideMark/>
          </w:tcPr>
          <w:p w14:paraId="788CA9C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5.94</w:t>
            </w:r>
          </w:p>
        </w:tc>
        <w:tc>
          <w:tcPr>
            <w:tcW w:w="1843" w:type="dxa"/>
            <w:noWrap/>
            <w:hideMark/>
          </w:tcPr>
          <w:p w14:paraId="47592449"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11.08</w:t>
            </w:r>
          </w:p>
        </w:tc>
        <w:tc>
          <w:tcPr>
            <w:tcW w:w="2126" w:type="dxa"/>
            <w:noWrap/>
            <w:hideMark/>
          </w:tcPr>
          <w:p w14:paraId="41D1CFF9"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11.89</w:t>
            </w:r>
          </w:p>
        </w:tc>
        <w:tc>
          <w:tcPr>
            <w:tcW w:w="2166" w:type="dxa"/>
            <w:noWrap/>
            <w:hideMark/>
          </w:tcPr>
          <w:p w14:paraId="292459ED"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12.10</w:t>
            </w:r>
          </w:p>
        </w:tc>
      </w:tr>
      <w:tr w:rsidR="008F4EEC" w:rsidRPr="009F42E2" w14:paraId="6F81B6E1" w14:textId="77777777" w:rsidTr="008F3665">
        <w:trPr>
          <w:trHeight w:val="296"/>
        </w:trPr>
        <w:tc>
          <w:tcPr>
            <w:tcW w:w="1361" w:type="dxa"/>
            <w:hideMark/>
          </w:tcPr>
          <w:p w14:paraId="31964C78"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2007-08</w:t>
            </w:r>
          </w:p>
        </w:tc>
        <w:tc>
          <w:tcPr>
            <w:tcW w:w="1616" w:type="dxa"/>
            <w:noWrap/>
            <w:hideMark/>
          </w:tcPr>
          <w:p w14:paraId="6E0054F5"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5.85</w:t>
            </w:r>
          </w:p>
        </w:tc>
        <w:tc>
          <w:tcPr>
            <w:tcW w:w="1843" w:type="dxa"/>
            <w:noWrap/>
            <w:hideMark/>
          </w:tcPr>
          <w:p w14:paraId="1DC83224"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12.06</w:t>
            </w:r>
          </w:p>
        </w:tc>
        <w:tc>
          <w:tcPr>
            <w:tcW w:w="2126" w:type="dxa"/>
            <w:noWrap/>
            <w:hideMark/>
          </w:tcPr>
          <w:p w14:paraId="243861BA"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11.86</w:t>
            </w:r>
          </w:p>
        </w:tc>
        <w:tc>
          <w:tcPr>
            <w:tcW w:w="2166" w:type="dxa"/>
            <w:noWrap/>
            <w:hideMark/>
          </w:tcPr>
          <w:p w14:paraId="2209DD76"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12.13</w:t>
            </w:r>
          </w:p>
        </w:tc>
      </w:tr>
      <w:tr w:rsidR="008F4EEC" w:rsidRPr="009F42E2" w14:paraId="1D5A53ED" w14:textId="77777777" w:rsidTr="008F3665">
        <w:trPr>
          <w:trHeight w:val="296"/>
        </w:trPr>
        <w:tc>
          <w:tcPr>
            <w:tcW w:w="1361" w:type="dxa"/>
            <w:hideMark/>
          </w:tcPr>
          <w:p w14:paraId="5E51CCB9"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2008-09</w:t>
            </w:r>
          </w:p>
        </w:tc>
        <w:tc>
          <w:tcPr>
            <w:tcW w:w="1616" w:type="dxa"/>
            <w:noWrap/>
            <w:hideMark/>
          </w:tcPr>
          <w:p w14:paraId="0327C02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5.84</w:t>
            </w:r>
          </w:p>
        </w:tc>
        <w:tc>
          <w:tcPr>
            <w:tcW w:w="1843" w:type="dxa"/>
            <w:noWrap/>
            <w:hideMark/>
          </w:tcPr>
          <w:p w14:paraId="2702938C"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10.96</w:t>
            </w:r>
          </w:p>
        </w:tc>
        <w:tc>
          <w:tcPr>
            <w:tcW w:w="2126" w:type="dxa"/>
            <w:noWrap/>
            <w:hideMark/>
          </w:tcPr>
          <w:p w14:paraId="28E3285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12.37</w:t>
            </w:r>
          </w:p>
        </w:tc>
        <w:tc>
          <w:tcPr>
            <w:tcW w:w="2166" w:type="dxa"/>
            <w:noWrap/>
            <w:hideMark/>
          </w:tcPr>
          <w:p w14:paraId="2D908C1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14.40</w:t>
            </w:r>
          </w:p>
        </w:tc>
      </w:tr>
      <w:tr w:rsidR="008F4EEC" w:rsidRPr="009F42E2" w14:paraId="43BA1F8D" w14:textId="77777777" w:rsidTr="008F3665">
        <w:trPr>
          <w:trHeight w:val="296"/>
        </w:trPr>
        <w:tc>
          <w:tcPr>
            <w:tcW w:w="1361" w:type="dxa"/>
            <w:hideMark/>
          </w:tcPr>
          <w:p w14:paraId="2D526638"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2009-10</w:t>
            </w:r>
          </w:p>
        </w:tc>
        <w:tc>
          <w:tcPr>
            <w:tcW w:w="1616" w:type="dxa"/>
            <w:noWrap/>
            <w:hideMark/>
          </w:tcPr>
          <w:p w14:paraId="4D2831E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5.70</w:t>
            </w:r>
          </w:p>
        </w:tc>
        <w:tc>
          <w:tcPr>
            <w:tcW w:w="1843" w:type="dxa"/>
            <w:noWrap/>
            <w:hideMark/>
          </w:tcPr>
          <w:p w14:paraId="1A0E8624"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9.76</w:t>
            </w:r>
          </w:p>
        </w:tc>
        <w:tc>
          <w:tcPr>
            <w:tcW w:w="2126" w:type="dxa"/>
            <w:noWrap/>
            <w:hideMark/>
          </w:tcPr>
          <w:p w14:paraId="3A3CE127"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12.55</w:t>
            </w:r>
          </w:p>
        </w:tc>
        <w:tc>
          <w:tcPr>
            <w:tcW w:w="2166" w:type="dxa"/>
            <w:noWrap/>
            <w:hideMark/>
          </w:tcPr>
          <w:p w14:paraId="4C967959"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14.32</w:t>
            </w:r>
          </w:p>
        </w:tc>
      </w:tr>
      <w:tr w:rsidR="008F4EEC" w:rsidRPr="009F42E2" w14:paraId="57FC1DF5" w14:textId="77777777" w:rsidTr="008F3665">
        <w:trPr>
          <w:trHeight w:val="296"/>
        </w:trPr>
        <w:tc>
          <w:tcPr>
            <w:tcW w:w="1361" w:type="dxa"/>
            <w:hideMark/>
          </w:tcPr>
          <w:p w14:paraId="5659445B"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2010-11</w:t>
            </w:r>
          </w:p>
        </w:tc>
        <w:tc>
          <w:tcPr>
            <w:tcW w:w="1616" w:type="dxa"/>
            <w:noWrap/>
            <w:hideMark/>
          </w:tcPr>
          <w:p w14:paraId="39A0329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6.03</w:t>
            </w:r>
          </w:p>
        </w:tc>
        <w:tc>
          <w:tcPr>
            <w:tcW w:w="1843" w:type="dxa"/>
            <w:noWrap/>
            <w:hideMark/>
          </w:tcPr>
          <w:p w14:paraId="51C2D64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10.34</w:t>
            </w:r>
          </w:p>
        </w:tc>
        <w:tc>
          <w:tcPr>
            <w:tcW w:w="2126" w:type="dxa"/>
            <w:noWrap/>
            <w:hideMark/>
          </w:tcPr>
          <w:p w14:paraId="3AA242F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12.21</w:t>
            </w:r>
          </w:p>
        </w:tc>
        <w:tc>
          <w:tcPr>
            <w:tcW w:w="2166" w:type="dxa"/>
            <w:noWrap/>
            <w:hideMark/>
          </w:tcPr>
          <w:p w14:paraId="7DEF14C1"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13.63</w:t>
            </w:r>
          </w:p>
        </w:tc>
      </w:tr>
      <w:tr w:rsidR="008F4EEC" w:rsidRPr="009F42E2" w14:paraId="1D53D089" w14:textId="77777777" w:rsidTr="008F3665">
        <w:trPr>
          <w:trHeight w:val="296"/>
        </w:trPr>
        <w:tc>
          <w:tcPr>
            <w:tcW w:w="1361" w:type="dxa"/>
            <w:hideMark/>
          </w:tcPr>
          <w:p w14:paraId="7E1624EE"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2011-12</w:t>
            </w:r>
          </w:p>
        </w:tc>
        <w:tc>
          <w:tcPr>
            <w:tcW w:w="1616" w:type="dxa"/>
            <w:noWrap/>
            <w:hideMark/>
          </w:tcPr>
          <w:p w14:paraId="3293B20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6.38</w:t>
            </w:r>
          </w:p>
        </w:tc>
        <w:tc>
          <w:tcPr>
            <w:tcW w:w="1843" w:type="dxa"/>
            <w:noWrap/>
            <w:hideMark/>
          </w:tcPr>
          <w:p w14:paraId="6720876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10.13</w:t>
            </w:r>
          </w:p>
        </w:tc>
        <w:tc>
          <w:tcPr>
            <w:tcW w:w="2126" w:type="dxa"/>
            <w:noWrap/>
            <w:hideMark/>
          </w:tcPr>
          <w:p w14:paraId="65F89A91"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12.30</w:t>
            </w:r>
          </w:p>
        </w:tc>
        <w:tc>
          <w:tcPr>
            <w:tcW w:w="2166" w:type="dxa"/>
            <w:noWrap/>
            <w:hideMark/>
          </w:tcPr>
          <w:p w14:paraId="0D4EA67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13.12</w:t>
            </w:r>
          </w:p>
        </w:tc>
      </w:tr>
      <w:tr w:rsidR="008F4EEC" w:rsidRPr="009F42E2" w14:paraId="69401D5D" w14:textId="77777777" w:rsidTr="008F3665">
        <w:trPr>
          <w:trHeight w:val="296"/>
        </w:trPr>
        <w:tc>
          <w:tcPr>
            <w:tcW w:w="1361" w:type="dxa"/>
            <w:hideMark/>
          </w:tcPr>
          <w:p w14:paraId="3373D3F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2012-13</w:t>
            </w:r>
          </w:p>
        </w:tc>
        <w:tc>
          <w:tcPr>
            <w:tcW w:w="1616" w:type="dxa"/>
            <w:noWrap/>
            <w:hideMark/>
          </w:tcPr>
          <w:p w14:paraId="7D96728E"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6.58</w:t>
            </w:r>
          </w:p>
        </w:tc>
        <w:tc>
          <w:tcPr>
            <w:tcW w:w="1843" w:type="dxa"/>
            <w:noWrap/>
            <w:hideMark/>
          </w:tcPr>
          <w:p w14:paraId="0FB59FA9"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10.39</w:t>
            </w:r>
          </w:p>
        </w:tc>
        <w:tc>
          <w:tcPr>
            <w:tcW w:w="2126" w:type="dxa"/>
            <w:noWrap/>
            <w:hideMark/>
          </w:tcPr>
          <w:p w14:paraId="45BAC36D"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12.39</w:t>
            </w:r>
          </w:p>
        </w:tc>
        <w:tc>
          <w:tcPr>
            <w:tcW w:w="2166" w:type="dxa"/>
            <w:noWrap/>
            <w:hideMark/>
          </w:tcPr>
          <w:p w14:paraId="28E80CC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12.51</w:t>
            </w:r>
          </w:p>
        </w:tc>
      </w:tr>
      <w:tr w:rsidR="008F4EEC" w:rsidRPr="009F42E2" w14:paraId="6329AF35" w14:textId="77777777" w:rsidTr="008F3665">
        <w:trPr>
          <w:trHeight w:val="296"/>
        </w:trPr>
        <w:tc>
          <w:tcPr>
            <w:tcW w:w="1361" w:type="dxa"/>
            <w:hideMark/>
          </w:tcPr>
          <w:p w14:paraId="5BB37384"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2013-14</w:t>
            </w:r>
          </w:p>
        </w:tc>
        <w:tc>
          <w:tcPr>
            <w:tcW w:w="1616" w:type="dxa"/>
            <w:noWrap/>
            <w:hideMark/>
          </w:tcPr>
          <w:p w14:paraId="0E637D07"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6.34</w:t>
            </w:r>
          </w:p>
        </w:tc>
        <w:tc>
          <w:tcPr>
            <w:tcW w:w="1843" w:type="dxa"/>
            <w:noWrap/>
            <w:hideMark/>
          </w:tcPr>
          <w:p w14:paraId="19C02281"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10.10</w:t>
            </w:r>
          </w:p>
        </w:tc>
        <w:tc>
          <w:tcPr>
            <w:tcW w:w="2126" w:type="dxa"/>
            <w:noWrap/>
            <w:hideMark/>
          </w:tcPr>
          <w:p w14:paraId="7AF861BC"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12.28</w:t>
            </w:r>
          </w:p>
        </w:tc>
        <w:tc>
          <w:tcPr>
            <w:tcW w:w="2166" w:type="dxa"/>
            <w:noWrap/>
            <w:hideMark/>
          </w:tcPr>
          <w:p w14:paraId="25CA7650"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12.21</w:t>
            </w:r>
          </w:p>
        </w:tc>
      </w:tr>
      <w:tr w:rsidR="008F4EEC" w:rsidRPr="009F42E2" w14:paraId="43BB5711" w14:textId="77777777" w:rsidTr="008F3665">
        <w:trPr>
          <w:trHeight w:val="296"/>
        </w:trPr>
        <w:tc>
          <w:tcPr>
            <w:tcW w:w="1361" w:type="dxa"/>
            <w:hideMark/>
          </w:tcPr>
          <w:p w14:paraId="51335D6B"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2014-15</w:t>
            </w:r>
          </w:p>
        </w:tc>
        <w:tc>
          <w:tcPr>
            <w:tcW w:w="1616" w:type="dxa"/>
            <w:noWrap/>
            <w:hideMark/>
          </w:tcPr>
          <w:p w14:paraId="3A93B18E"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6.25</w:t>
            </w:r>
          </w:p>
        </w:tc>
        <w:tc>
          <w:tcPr>
            <w:tcW w:w="1843" w:type="dxa"/>
            <w:noWrap/>
            <w:hideMark/>
          </w:tcPr>
          <w:p w14:paraId="4F0F6CB3"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9.96</w:t>
            </w:r>
          </w:p>
        </w:tc>
        <w:tc>
          <w:tcPr>
            <w:tcW w:w="2126" w:type="dxa"/>
            <w:noWrap/>
            <w:hideMark/>
          </w:tcPr>
          <w:p w14:paraId="1DCA003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13.13</w:t>
            </w:r>
          </w:p>
        </w:tc>
        <w:tc>
          <w:tcPr>
            <w:tcW w:w="2166" w:type="dxa"/>
            <w:noWrap/>
            <w:hideMark/>
          </w:tcPr>
          <w:p w14:paraId="697835F8"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11.77</w:t>
            </w:r>
          </w:p>
        </w:tc>
      </w:tr>
      <w:tr w:rsidR="008F4EEC" w:rsidRPr="009F42E2" w14:paraId="0EE798F8" w14:textId="77777777" w:rsidTr="008F3665">
        <w:trPr>
          <w:trHeight w:val="296"/>
        </w:trPr>
        <w:tc>
          <w:tcPr>
            <w:tcW w:w="1361" w:type="dxa"/>
            <w:hideMark/>
          </w:tcPr>
          <w:p w14:paraId="0507F734"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2015-16</w:t>
            </w:r>
          </w:p>
        </w:tc>
        <w:tc>
          <w:tcPr>
            <w:tcW w:w="1616" w:type="dxa"/>
            <w:noWrap/>
            <w:hideMark/>
          </w:tcPr>
          <w:p w14:paraId="1DA3391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6.15</w:t>
            </w:r>
          </w:p>
        </w:tc>
        <w:tc>
          <w:tcPr>
            <w:tcW w:w="1843" w:type="dxa"/>
            <w:noWrap/>
            <w:hideMark/>
          </w:tcPr>
          <w:p w14:paraId="19D11D57"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10.53</w:t>
            </w:r>
          </w:p>
        </w:tc>
        <w:tc>
          <w:tcPr>
            <w:tcW w:w="2126" w:type="dxa"/>
            <w:noWrap/>
            <w:hideMark/>
          </w:tcPr>
          <w:p w14:paraId="065F561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13.35</w:t>
            </w:r>
          </w:p>
        </w:tc>
        <w:tc>
          <w:tcPr>
            <w:tcW w:w="2166" w:type="dxa"/>
            <w:noWrap/>
            <w:hideMark/>
          </w:tcPr>
          <w:p w14:paraId="127789A1"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11.17</w:t>
            </w:r>
          </w:p>
        </w:tc>
      </w:tr>
      <w:tr w:rsidR="008F4EEC" w:rsidRPr="009F42E2" w14:paraId="190CA85F" w14:textId="77777777" w:rsidTr="008F3665">
        <w:trPr>
          <w:trHeight w:val="296"/>
        </w:trPr>
        <w:tc>
          <w:tcPr>
            <w:tcW w:w="1361" w:type="dxa"/>
            <w:hideMark/>
          </w:tcPr>
          <w:p w14:paraId="65E40D66"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2016-17</w:t>
            </w:r>
          </w:p>
        </w:tc>
        <w:tc>
          <w:tcPr>
            <w:tcW w:w="1616" w:type="dxa"/>
            <w:noWrap/>
            <w:hideMark/>
          </w:tcPr>
          <w:p w14:paraId="78E301CE"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5.93</w:t>
            </w:r>
          </w:p>
        </w:tc>
        <w:tc>
          <w:tcPr>
            <w:tcW w:w="1843" w:type="dxa"/>
            <w:noWrap/>
            <w:hideMark/>
          </w:tcPr>
          <w:p w14:paraId="37C9306D"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11.10</w:t>
            </w:r>
          </w:p>
        </w:tc>
        <w:tc>
          <w:tcPr>
            <w:tcW w:w="2126" w:type="dxa"/>
            <w:noWrap/>
            <w:hideMark/>
          </w:tcPr>
          <w:p w14:paraId="3C53915A"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13.56</w:t>
            </w:r>
          </w:p>
        </w:tc>
        <w:tc>
          <w:tcPr>
            <w:tcW w:w="2166" w:type="dxa"/>
            <w:noWrap/>
            <w:hideMark/>
          </w:tcPr>
          <w:p w14:paraId="6CFBF5AC"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10.98</w:t>
            </w:r>
          </w:p>
        </w:tc>
      </w:tr>
      <w:tr w:rsidR="008F4EEC" w:rsidRPr="009F42E2" w14:paraId="4F460AC7" w14:textId="77777777" w:rsidTr="008F3665">
        <w:trPr>
          <w:trHeight w:val="296"/>
        </w:trPr>
        <w:tc>
          <w:tcPr>
            <w:tcW w:w="1361" w:type="dxa"/>
            <w:hideMark/>
          </w:tcPr>
          <w:p w14:paraId="15A3F2B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2017-18</w:t>
            </w:r>
          </w:p>
        </w:tc>
        <w:tc>
          <w:tcPr>
            <w:tcW w:w="1616" w:type="dxa"/>
            <w:noWrap/>
            <w:hideMark/>
          </w:tcPr>
          <w:p w14:paraId="4DA43FA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6.61</w:t>
            </w:r>
          </w:p>
        </w:tc>
        <w:tc>
          <w:tcPr>
            <w:tcW w:w="1843" w:type="dxa"/>
            <w:noWrap/>
            <w:hideMark/>
          </w:tcPr>
          <w:p w14:paraId="312A172C"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10.81</w:t>
            </w:r>
          </w:p>
        </w:tc>
        <w:tc>
          <w:tcPr>
            <w:tcW w:w="2126" w:type="dxa"/>
            <w:noWrap/>
            <w:hideMark/>
          </w:tcPr>
          <w:p w14:paraId="36C7CD59"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13.69</w:t>
            </w:r>
          </w:p>
        </w:tc>
        <w:tc>
          <w:tcPr>
            <w:tcW w:w="2166" w:type="dxa"/>
            <w:noWrap/>
            <w:hideMark/>
          </w:tcPr>
          <w:p w14:paraId="2A1DAB6C"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10.99</w:t>
            </w:r>
          </w:p>
        </w:tc>
      </w:tr>
      <w:tr w:rsidR="008F4EEC" w:rsidRPr="009F42E2" w14:paraId="6369E5B5" w14:textId="77777777" w:rsidTr="008F3665">
        <w:trPr>
          <w:trHeight w:val="296"/>
        </w:trPr>
        <w:tc>
          <w:tcPr>
            <w:tcW w:w="1361" w:type="dxa"/>
            <w:hideMark/>
          </w:tcPr>
          <w:p w14:paraId="4D184524"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2018-19</w:t>
            </w:r>
          </w:p>
        </w:tc>
        <w:tc>
          <w:tcPr>
            <w:tcW w:w="1616" w:type="dxa"/>
            <w:noWrap/>
            <w:hideMark/>
          </w:tcPr>
          <w:p w14:paraId="37214F8B"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6.43</w:t>
            </w:r>
          </w:p>
        </w:tc>
        <w:tc>
          <w:tcPr>
            <w:tcW w:w="1843" w:type="dxa"/>
            <w:noWrap/>
            <w:hideMark/>
          </w:tcPr>
          <w:p w14:paraId="13F55CB1"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10.92</w:t>
            </w:r>
          </w:p>
        </w:tc>
        <w:tc>
          <w:tcPr>
            <w:tcW w:w="2126" w:type="dxa"/>
            <w:noWrap/>
            <w:hideMark/>
          </w:tcPr>
          <w:p w14:paraId="46F1B9E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13.96</w:t>
            </w:r>
          </w:p>
        </w:tc>
        <w:tc>
          <w:tcPr>
            <w:tcW w:w="2166" w:type="dxa"/>
            <w:noWrap/>
            <w:hideMark/>
          </w:tcPr>
          <w:p w14:paraId="4276D22D"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10.62</w:t>
            </w:r>
          </w:p>
        </w:tc>
      </w:tr>
      <w:tr w:rsidR="008F4EEC" w:rsidRPr="009F42E2" w14:paraId="4668328E" w14:textId="77777777" w:rsidTr="008F3665">
        <w:trPr>
          <w:trHeight w:val="296"/>
        </w:trPr>
        <w:tc>
          <w:tcPr>
            <w:tcW w:w="1361" w:type="dxa"/>
            <w:hideMark/>
          </w:tcPr>
          <w:p w14:paraId="709E3707"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2019-20</w:t>
            </w:r>
          </w:p>
        </w:tc>
        <w:tc>
          <w:tcPr>
            <w:tcW w:w="1616" w:type="dxa"/>
            <w:noWrap/>
            <w:hideMark/>
          </w:tcPr>
          <w:p w14:paraId="00B2056D"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6.10</w:t>
            </w:r>
          </w:p>
        </w:tc>
        <w:tc>
          <w:tcPr>
            <w:tcW w:w="1843" w:type="dxa"/>
            <w:noWrap/>
            <w:hideMark/>
          </w:tcPr>
          <w:p w14:paraId="4886E011"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10.00</w:t>
            </w:r>
          </w:p>
        </w:tc>
        <w:tc>
          <w:tcPr>
            <w:tcW w:w="2126" w:type="dxa"/>
            <w:noWrap/>
            <w:hideMark/>
          </w:tcPr>
          <w:p w14:paraId="794ED23A"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13.91</w:t>
            </w:r>
          </w:p>
        </w:tc>
        <w:tc>
          <w:tcPr>
            <w:tcW w:w="2166" w:type="dxa"/>
            <w:noWrap/>
            <w:hideMark/>
          </w:tcPr>
          <w:p w14:paraId="5FE3EF8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11.71</w:t>
            </w:r>
          </w:p>
        </w:tc>
      </w:tr>
      <w:tr w:rsidR="008F4EEC" w:rsidRPr="009F42E2" w14:paraId="58BAD787" w14:textId="77777777" w:rsidTr="008F3665">
        <w:trPr>
          <w:trHeight w:val="296"/>
        </w:trPr>
        <w:tc>
          <w:tcPr>
            <w:tcW w:w="1361" w:type="dxa"/>
            <w:hideMark/>
          </w:tcPr>
          <w:p w14:paraId="266853BE"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2020-21</w:t>
            </w:r>
          </w:p>
        </w:tc>
        <w:tc>
          <w:tcPr>
            <w:tcW w:w="1616" w:type="dxa"/>
            <w:noWrap/>
            <w:hideMark/>
          </w:tcPr>
          <w:p w14:paraId="0B6177EB"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6.27</w:t>
            </w:r>
          </w:p>
        </w:tc>
        <w:tc>
          <w:tcPr>
            <w:tcW w:w="1843" w:type="dxa"/>
            <w:noWrap/>
            <w:hideMark/>
          </w:tcPr>
          <w:p w14:paraId="35422852"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10.18</w:t>
            </w:r>
          </w:p>
        </w:tc>
        <w:tc>
          <w:tcPr>
            <w:tcW w:w="2126" w:type="dxa"/>
            <w:noWrap/>
            <w:hideMark/>
          </w:tcPr>
          <w:p w14:paraId="4611A33C"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16.09</w:t>
            </w:r>
          </w:p>
        </w:tc>
        <w:tc>
          <w:tcPr>
            <w:tcW w:w="2166" w:type="dxa"/>
            <w:noWrap/>
            <w:hideMark/>
          </w:tcPr>
          <w:p w14:paraId="2DB01FA5"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15.57</w:t>
            </w:r>
          </w:p>
        </w:tc>
      </w:tr>
      <w:tr w:rsidR="008F4EEC" w:rsidRPr="009F42E2" w14:paraId="694C0352" w14:textId="77777777" w:rsidTr="008F3665">
        <w:trPr>
          <w:trHeight w:val="296"/>
        </w:trPr>
        <w:tc>
          <w:tcPr>
            <w:tcW w:w="1361" w:type="dxa"/>
            <w:hideMark/>
          </w:tcPr>
          <w:p w14:paraId="12EB470A"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2021-22</w:t>
            </w:r>
          </w:p>
        </w:tc>
        <w:tc>
          <w:tcPr>
            <w:tcW w:w="1616" w:type="dxa"/>
            <w:noWrap/>
            <w:hideMark/>
          </w:tcPr>
          <w:p w14:paraId="6710FACF"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6.74</w:t>
            </w:r>
          </w:p>
        </w:tc>
        <w:tc>
          <w:tcPr>
            <w:tcW w:w="1843" w:type="dxa"/>
            <w:noWrap/>
            <w:hideMark/>
          </w:tcPr>
          <w:p w14:paraId="1172CF8A"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10.37</w:t>
            </w:r>
          </w:p>
        </w:tc>
        <w:tc>
          <w:tcPr>
            <w:tcW w:w="2126" w:type="dxa"/>
            <w:noWrap/>
            <w:hideMark/>
          </w:tcPr>
          <w:p w14:paraId="7C9089AA"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15.10</w:t>
            </w:r>
          </w:p>
        </w:tc>
        <w:tc>
          <w:tcPr>
            <w:tcW w:w="2166" w:type="dxa"/>
            <w:noWrap/>
            <w:hideMark/>
          </w:tcPr>
          <w:p w14:paraId="4FFE493A" w14:textId="77777777" w:rsidR="008F4EEC" w:rsidRPr="0055215A"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55215A">
              <w:rPr>
                <w:rFonts w:ascii="Times New Roman" w:eastAsia="Times New Roman" w:hAnsi="Times New Roman" w:cs="Times New Roman"/>
                <w:color w:val="000000"/>
                <w:sz w:val="24"/>
                <w:szCs w:val="24"/>
                <w:lang w:eastAsia="en-IN" w:bidi="ml-IN"/>
              </w:rPr>
              <w:t>13.38</w:t>
            </w:r>
          </w:p>
        </w:tc>
      </w:tr>
    </w:tbl>
    <w:p w14:paraId="2428450C" w14:textId="77777777" w:rsidR="008F4EEC" w:rsidRDefault="008F4EEC" w:rsidP="008F4EEC">
      <w:pPr>
        <w:spacing w:line="360" w:lineRule="auto"/>
        <w:jc w:val="both"/>
        <w:rPr>
          <w:rFonts w:ascii="Times New Roman" w:hAnsi="Times New Roman" w:cs="Times New Roman"/>
          <w:i/>
          <w:iCs/>
          <w:color w:val="222222"/>
          <w:sz w:val="24"/>
          <w:szCs w:val="24"/>
        </w:rPr>
      </w:pPr>
      <w:r w:rsidRPr="0055215A">
        <w:rPr>
          <w:rFonts w:ascii="Times New Roman" w:hAnsi="Times New Roman" w:cs="Times New Roman"/>
          <w:i/>
          <w:iCs/>
          <w:sz w:val="24"/>
          <w:szCs w:val="24"/>
        </w:rPr>
        <w:t xml:space="preserve">Source: Author’s calculation based on the RBI </w:t>
      </w:r>
      <w:r w:rsidRPr="0055215A">
        <w:rPr>
          <w:rFonts w:ascii="Times New Roman" w:hAnsi="Times New Roman" w:cs="Times New Roman"/>
          <w:i/>
          <w:iCs/>
          <w:color w:val="222222"/>
          <w:sz w:val="24"/>
          <w:szCs w:val="24"/>
        </w:rPr>
        <w:t>Handbook of Statistics on the Indian Economy, 2021-22</w:t>
      </w:r>
      <w:r>
        <w:rPr>
          <w:rFonts w:ascii="Times New Roman" w:hAnsi="Times New Roman" w:cs="Times New Roman"/>
          <w:i/>
          <w:iCs/>
          <w:color w:val="222222"/>
          <w:sz w:val="24"/>
          <w:szCs w:val="24"/>
        </w:rPr>
        <w:t>.</w:t>
      </w:r>
    </w:p>
    <w:p w14:paraId="15E8CF89" w14:textId="37ED922F" w:rsidR="008F4EEC" w:rsidRDefault="008F4EEC" w:rsidP="008F4EEC">
      <w:pPr>
        <w:spacing w:line="360" w:lineRule="auto"/>
        <w:jc w:val="both"/>
        <w:rPr>
          <w:color w:val="000000"/>
          <w:shd w:val="clear" w:color="auto" w:fill="FFFFFF"/>
        </w:rPr>
      </w:pPr>
      <w:r>
        <w:rPr>
          <w:rFonts w:ascii="Times New Roman" w:hAnsi="Times New Roman" w:cs="Times New Roman"/>
          <w:i/>
          <w:iCs/>
          <w:color w:val="222222"/>
          <w:sz w:val="24"/>
          <w:szCs w:val="24"/>
        </w:rPr>
        <w:t>Note: GDP is at current market price from 2004-05 and 2011-12 series</w:t>
      </w:r>
    </w:p>
    <w:p w14:paraId="4006F2B7" w14:textId="7F282D55" w:rsidR="00D71967" w:rsidRDefault="008F4EEC" w:rsidP="004750C7">
      <w:pPr>
        <w:spacing w:line="360" w:lineRule="auto"/>
        <w:jc w:val="both"/>
        <w:rPr>
          <w:rFonts w:ascii="Times New Roman" w:hAnsi="Times New Roman" w:cs="Times New Roman"/>
          <w:sz w:val="24"/>
          <w:szCs w:val="24"/>
        </w:rPr>
      </w:pPr>
      <w:r w:rsidRPr="00A46D43">
        <w:rPr>
          <w:rFonts w:ascii="Times New Roman" w:hAnsi="Times New Roman" w:cs="Times New Roman"/>
          <w:sz w:val="24"/>
          <w:szCs w:val="24"/>
        </w:rPr>
        <w:t xml:space="preserve">The table indicates a gradual reduction in the resource gap since 2011-12, albeit at a modest pace. However, the COVID-19 pandemic had a severe impact on the economy, leading to a substantial increase in the fiscal deficit of the country. In 2019, the gross fiscal deficit reached </w:t>
      </w:r>
      <w:r w:rsidRPr="00A46D43">
        <w:rPr>
          <w:rFonts w:ascii="Times New Roman" w:hAnsi="Times New Roman" w:cs="Times New Roman"/>
          <w:sz w:val="24"/>
          <w:szCs w:val="24"/>
        </w:rPr>
        <w:lastRenderedPageBreak/>
        <w:t>an all-time high of 13.3 percent, prompting the relaxation of restrictions imposed by the FRBM Act to counteract the significant economic downturn through increased government expenditure at both the central and state levels.</w:t>
      </w:r>
      <w:r>
        <w:rPr>
          <w:rFonts w:ascii="Times New Roman" w:hAnsi="Times New Roman" w:cs="Times New Roman"/>
          <w:sz w:val="24"/>
          <w:szCs w:val="24"/>
        </w:rPr>
        <w:t xml:space="preserve"> </w:t>
      </w:r>
      <w:r>
        <w:rPr>
          <w:color w:val="000000"/>
          <w:shd w:val="clear" w:color="auto" w:fill="FFFFFF"/>
        </w:rPr>
        <w:t>To gain a clearer picture of the issues, it is necessary to examine trends in receipts, expenditure, and their components</w:t>
      </w:r>
      <w:r>
        <w:rPr>
          <w:color w:val="000000"/>
          <w:shd w:val="clear" w:color="auto" w:fill="FFFFFF"/>
        </w:rPr>
        <w:t>.</w:t>
      </w:r>
    </w:p>
    <w:p w14:paraId="659A2813" w14:textId="77777777" w:rsidR="00D71967" w:rsidRPr="00A46D43" w:rsidRDefault="00D71967" w:rsidP="004750C7">
      <w:pPr>
        <w:spacing w:line="360" w:lineRule="auto"/>
        <w:jc w:val="both"/>
        <w:rPr>
          <w:rFonts w:ascii="Times New Roman" w:hAnsi="Times New Roman" w:cs="Times New Roman"/>
          <w:sz w:val="24"/>
          <w:szCs w:val="24"/>
        </w:rPr>
      </w:pPr>
      <w:r w:rsidRPr="00B55FED">
        <w:rPr>
          <w:rFonts w:ascii="Times New Roman" w:hAnsi="Times New Roman" w:cs="Times New Roman"/>
          <w:sz w:val="24"/>
          <w:szCs w:val="24"/>
        </w:rPr>
        <w:t>Tax revenue accounts for a significant portion of the revenue receipts of both the Centre and the States, making it a crucial factor in their resource mobilization efforts. The central government relies heavily on personal income tax, corporation tax on profits, central excise duty on manufacturing, customs duty on imports, and service tax to generate revenue. However, the introduction of GST in July 2017 led to the subsuming of central excise (excluding petroleum products) and service tax. While the share of indirect taxes in the Centre's gross tax revenue gradually decreased from 80% in the 1980s to 49% in 2016-17, the combined tax revenues of the Centre and States still have a high proportion of indirect taxes. Despite the economy's significant growth since the 1980s, the tax-GDP ratio of the Centre has only seen a slight improvement over the past four and a half decades. This highlights the need for continued efforts to improve tax collection and mobilization, especially given the substantial role that tax revenue plays in the overall revenue receipts of the Centre and States</w:t>
      </w:r>
      <w:r>
        <w:rPr>
          <w:rFonts w:ascii="Times New Roman" w:hAnsi="Times New Roman" w:cs="Times New Roman"/>
          <w:sz w:val="24"/>
          <w:szCs w:val="24"/>
        </w:rPr>
        <w:t xml:space="preserve"> (</w:t>
      </w:r>
      <w:proofErr w:type="spellStart"/>
      <w:r>
        <w:rPr>
          <w:rFonts w:ascii="Times New Roman" w:hAnsi="Times New Roman" w:cs="Times New Roman"/>
          <w:sz w:val="24"/>
          <w:szCs w:val="24"/>
        </w:rPr>
        <w:t>Issac</w:t>
      </w:r>
      <w:proofErr w:type="spellEnd"/>
      <w:r>
        <w:rPr>
          <w:rFonts w:ascii="Times New Roman" w:hAnsi="Times New Roman" w:cs="Times New Roman"/>
          <w:sz w:val="24"/>
          <w:szCs w:val="24"/>
        </w:rPr>
        <w:t>, 2019).</w:t>
      </w:r>
    </w:p>
    <w:p w14:paraId="367D8749" w14:textId="24900129" w:rsidR="00D71967" w:rsidRDefault="00D71967" w:rsidP="004750C7">
      <w:pPr>
        <w:spacing w:line="360" w:lineRule="auto"/>
        <w:jc w:val="both"/>
        <w:rPr>
          <w:rFonts w:ascii="Times New Roman" w:hAnsi="Times New Roman" w:cs="Times New Roman"/>
          <w:sz w:val="24"/>
          <w:szCs w:val="24"/>
        </w:rPr>
      </w:pPr>
      <w:r w:rsidRPr="004802E4">
        <w:rPr>
          <w:rFonts w:ascii="Times New Roman" w:hAnsi="Times New Roman" w:cs="Times New Roman"/>
          <w:sz w:val="24"/>
          <w:szCs w:val="24"/>
        </w:rPr>
        <w:t xml:space="preserve">The table </w:t>
      </w:r>
      <w:r w:rsidR="008F4EEC">
        <w:rPr>
          <w:rFonts w:ascii="Times New Roman" w:hAnsi="Times New Roman" w:cs="Times New Roman"/>
          <w:sz w:val="24"/>
          <w:szCs w:val="24"/>
        </w:rPr>
        <w:t>1</w:t>
      </w:r>
      <w:r>
        <w:rPr>
          <w:rFonts w:ascii="Times New Roman" w:hAnsi="Times New Roman" w:cs="Times New Roman"/>
          <w:sz w:val="24"/>
          <w:szCs w:val="24"/>
        </w:rPr>
        <w:t>.2</w:t>
      </w:r>
      <w:r w:rsidRPr="004802E4">
        <w:rPr>
          <w:rFonts w:ascii="Times New Roman" w:hAnsi="Times New Roman" w:cs="Times New Roman"/>
          <w:sz w:val="24"/>
          <w:szCs w:val="24"/>
        </w:rPr>
        <w:t xml:space="preserve"> shows the tax-GDP ratios of both the state governments and the central government of India for the years 2004-05 to 2021-22. The tax-GDP ratio is a measure of the proportion of a country's Gross Domestic Product (GDP) that is collected as taxes by the government. Looking at the data, we can see that the tax-GDP ratio for state governments has generally remained between 5.7% to 6.74% over the years, with some minor fluctuations. On the other hand, the tax-GDP ratio for the central government has been more volatile, ranging from 9.52% in 2004-05 to 12.06% in 2007-08, with a slight dip in 2009-10 before recovering to around 10.5% in recent years. The trend of state governments having a lower tax-GDP ratio compared to the central government is not surprising, as the central government has greater fiscal powers and a larger tax base</w:t>
      </w:r>
      <w:r>
        <w:rPr>
          <w:rFonts w:ascii="Times New Roman" w:hAnsi="Times New Roman" w:cs="Times New Roman"/>
          <w:sz w:val="24"/>
          <w:szCs w:val="24"/>
        </w:rPr>
        <w:t xml:space="preserve">. </w:t>
      </w:r>
      <w:r w:rsidRPr="004802E4">
        <w:rPr>
          <w:rFonts w:ascii="Times New Roman" w:hAnsi="Times New Roman" w:cs="Times New Roman"/>
          <w:sz w:val="24"/>
          <w:szCs w:val="24"/>
        </w:rPr>
        <w:t>Another interesting trend is the gradual increase in the tax-GDP ratio of state governments over the years, which can be attributed to various factors such as economic growth,</w:t>
      </w:r>
      <w:r>
        <w:rPr>
          <w:rFonts w:ascii="Times New Roman" w:hAnsi="Times New Roman" w:cs="Times New Roman"/>
          <w:sz w:val="24"/>
          <w:szCs w:val="24"/>
        </w:rPr>
        <w:t xml:space="preserve"> and greater efficiency</w:t>
      </w:r>
      <w:r w:rsidRPr="004802E4">
        <w:rPr>
          <w:rFonts w:ascii="Times New Roman" w:hAnsi="Times New Roman" w:cs="Times New Roman"/>
          <w:sz w:val="24"/>
          <w:szCs w:val="24"/>
        </w:rPr>
        <w:t>.</w:t>
      </w:r>
      <w:r>
        <w:rPr>
          <w:rFonts w:ascii="Times New Roman" w:hAnsi="Times New Roman" w:cs="Times New Roman"/>
          <w:sz w:val="24"/>
          <w:szCs w:val="24"/>
        </w:rPr>
        <w:t xml:space="preserve"> Which can only be analysed by looking into the trends in tax buoyancy.</w:t>
      </w:r>
      <w:r w:rsidRPr="004802E4">
        <w:rPr>
          <w:rFonts w:ascii="Times New Roman" w:hAnsi="Times New Roman" w:cs="Times New Roman"/>
          <w:sz w:val="24"/>
          <w:szCs w:val="24"/>
        </w:rPr>
        <w:t xml:space="preserve"> However, despite this increase, the tax-GDP ratio for state governments still remains relatively low, which suggests that there is still room for further tax reforms and revenue mobilization at the state level. The fluctuations in the tax-GDP ratio of the central government can be attributed to various factors such as changes in tax policies, economic growth, and fiscal deficits. For instance, the tax-GDP ratio spiked in 2007-08, which was a year </w:t>
      </w:r>
      <w:r w:rsidRPr="004802E4">
        <w:rPr>
          <w:rFonts w:ascii="Times New Roman" w:hAnsi="Times New Roman" w:cs="Times New Roman"/>
          <w:sz w:val="24"/>
          <w:szCs w:val="24"/>
        </w:rPr>
        <w:lastRenderedPageBreak/>
        <w:t xml:space="preserve">of high economic growth, but then dipped in 2009-10, which was a year of economic slowdown due to the global financial crisis. </w:t>
      </w:r>
      <w:r w:rsidRPr="002063B0">
        <w:rPr>
          <w:rFonts w:ascii="Times New Roman" w:hAnsi="Times New Roman" w:cs="Times New Roman"/>
          <w:sz w:val="24"/>
          <w:szCs w:val="24"/>
        </w:rPr>
        <w:t xml:space="preserve">The revenue expenditure-GDP ratio of all states has generally been higher than that of the centre, indicating that the states spend a higher proportion of their income on government expenditure. However, the revenue expenditure-GDP ratio for both the centre and the states has been on an increasing trend, which indicates a rise in government expenditure.  It is also observed that the revenue expenditure-GDP ratio for all states has been consistently higher than the tax-GDP ratio, indicating that the states have been relying on </w:t>
      </w:r>
      <w:r>
        <w:rPr>
          <w:rFonts w:ascii="Times New Roman" w:hAnsi="Times New Roman" w:cs="Times New Roman"/>
          <w:sz w:val="24"/>
          <w:szCs w:val="24"/>
        </w:rPr>
        <w:t>inter-governmental transfers, borrowing</w:t>
      </w:r>
      <w:r w:rsidRPr="002063B0">
        <w:rPr>
          <w:rFonts w:ascii="Times New Roman" w:hAnsi="Times New Roman" w:cs="Times New Roman"/>
          <w:sz w:val="24"/>
          <w:szCs w:val="24"/>
        </w:rPr>
        <w:t xml:space="preserve"> or other sources of revenue to finance their expenses. On the other hand, the revenue expenditure-GDP ratio for the centre has been lower than the tax-GDP ratio, indicating that the central government has been able to finance its expenses with its tax</w:t>
      </w:r>
      <w:r>
        <w:rPr>
          <w:rFonts w:ascii="Times New Roman" w:hAnsi="Times New Roman" w:cs="Times New Roman"/>
          <w:sz w:val="24"/>
          <w:szCs w:val="24"/>
        </w:rPr>
        <w:t xml:space="preserve">ation powers. </w:t>
      </w:r>
      <w:r w:rsidRPr="00B91212">
        <w:rPr>
          <w:rFonts w:ascii="Times New Roman" w:hAnsi="Times New Roman" w:cs="Times New Roman"/>
          <w:sz w:val="24"/>
          <w:szCs w:val="24"/>
        </w:rPr>
        <w:t>The data indicates that there is a need for the central government to devolve a larger share of taxes to the states in order to address the issue of vertical fiscal imbalances.</w:t>
      </w:r>
    </w:p>
    <w:p w14:paraId="5537F79E" w14:textId="060F4FD4" w:rsidR="00D71967" w:rsidRDefault="00D71967" w:rsidP="004750C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Table 1.3 </w:t>
      </w:r>
      <w:r w:rsidRPr="002F6481">
        <w:rPr>
          <w:rFonts w:ascii="Times New Roman" w:hAnsi="Times New Roman" w:cs="Times New Roman"/>
          <w:sz w:val="24"/>
          <w:szCs w:val="24"/>
        </w:rPr>
        <w:t>Central Gran</w:t>
      </w:r>
      <w:r>
        <w:rPr>
          <w:rFonts w:ascii="Times New Roman" w:hAnsi="Times New Roman" w:cs="Times New Roman"/>
          <w:sz w:val="24"/>
          <w:szCs w:val="24"/>
        </w:rPr>
        <w:t xml:space="preserve">t </w:t>
      </w:r>
      <w:r w:rsidRPr="002F6481">
        <w:rPr>
          <w:rFonts w:ascii="Times New Roman" w:hAnsi="Times New Roman" w:cs="Times New Roman"/>
          <w:sz w:val="24"/>
          <w:szCs w:val="24"/>
        </w:rPr>
        <w:t>share -GDP ratio</w:t>
      </w:r>
      <w:r>
        <w:rPr>
          <w:rFonts w:ascii="Times New Roman" w:hAnsi="Times New Roman" w:cs="Times New Roman"/>
          <w:sz w:val="24"/>
          <w:szCs w:val="24"/>
        </w:rPr>
        <w:t xml:space="preserve"> as well as the central tax share- GDP ratio over the years has been shown. </w:t>
      </w:r>
      <w:r w:rsidRPr="002F6481">
        <w:rPr>
          <w:rFonts w:ascii="Times New Roman" w:hAnsi="Times New Roman" w:cs="Times New Roman"/>
          <w:sz w:val="24"/>
          <w:szCs w:val="24"/>
        </w:rPr>
        <w:t>Central Gran</w:t>
      </w:r>
      <w:r>
        <w:rPr>
          <w:rFonts w:ascii="Times New Roman" w:hAnsi="Times New Roman" w:cs="Times New Roman"/>
          <w:sz w:val="24"/>
          <w:szCs w:val="24"/>
        </w:rPr>
        <w:t xml:space="preserve">t </w:t>
      </w:r>
      <w:r w:rsidRPr="002F6481">
        <w:rPr>
          <w:rFonts w:ascii="Times New Roman" w:hAnsi="Times New Roman" w:cs="Times New Roman"/>
          <w:sz w:val="24"/>
          <w:szCs w:val="24"/>
        </w:rPr>
        <w:t>share -GDP ratio</w:t>
      </w:r>
      <w:r>
        <w:rPr>
          <w:rFonts w:ascii="Times New Roman" w:hAnsi="Times New Roman" w:cs="Times New Roman"/>
          <w:sz w:val="24"/>
          <w:szCs w:val="24"/>
        </w:rPr>
        <w:t xml:space="preserve"> means the amount of grants given to states as intergovernmental transfers and it has</w:t>
      </w:r>
      <w:r w:rsidRPr="002F6481">
        <w:rPr>
          <w:rFonts w:ascii="Times New Roman" w:hAnsi="Times New Roman" w:cs="Times New Roman"/>
          <w:sz w:val="24"/>
          <w:szCs w:val="24"/>
        </w:rPr>
        <w:t xml:space="preserve"> varied over the years, ranging from 1.77 in 2004-05 to 3.78 in 2020-21. The Central Tax share -GDP ratio, which is the ratio of the central government's tax</w:t>
      </w:r>
      <w:r>
        <w:rPr>
          <w:rFonts w:ascii="Times New Roman" w:hAnsi="Times New Roman" w:cs="Times New Roman"/>
          <w:sz w:val="24"/>
          <w:szCs w:val="24"/>
        </w:rPr>
        <w:t xml:space="preserve"> devolutions to the states </w:t>
      </w:r>
      <w:r w:rsidRPr="002F6481">
        <w:rPr>
          <w:rFonts w:ascii="Times New Roman" w:hAnsi="Times New Roman" w:cs="Times New Roman"/>
          <w:sz w:val="24"/>
          <w:szCs w:val="24"/>
        </w:rPr>
        <w:t>to the GDP, has also varied over the years, ranging from 2.47 in 2004-05 to 3.95 in 2016-17 and 2018-19</w:t>
      </w:r>
      <w:r>
        <w:rPr>
          <w:rFonts w:ascii="Times New Roman" w:hAnsi="Times New Roman" w:cs="Times New Roman"/>
          <w:sz w:val="24"/>
          <w:szCs w:val="24"/>
        </w:rPr>
        <w:t>.</w:t>
      </w:r>
      <w:r w:rsidRPr="002F6481">
        <w:rPr>
          <w:rFonts w:ascii="Times New Roman" w:hAnsi="Times New Roman" w:cs="Times New Roman"/>
          <w:sz w:val="24"/>
          <w:szCs w:val="24"/>
        </w:rPr>
        <w:t xml:space="preserve"> </w:t>
      </w:r>
      <w:r>
        <w:rPr>
          <w:rFonts w:ascii="Times New Roman" w:hAnsi="Times New Roman" w:cs="Times New Roman"/>
          <w:sz w:val="24"/>
          <w:szCs w:val="24"/>
        </w:rPr>
        <w:t xml:space="preserve">The latter has been </w:t>
      </w:r>
      <w:r w:rsidRPr="002F6481">
        <w:rPr>
          <w:rFonts w:ascii="Times New Roman" w:hAnsi="Times New Roman" w:cs="Times New Roman"/>
          <w:sz w:val="24"/>
          <w:szCs w:val="24"/>
        </w:rPr>
        <w:t>fluctuating over the years, with a relatively high ratio in 2016-17 and 2018-19.</w:t>
      </w:r>
      <w:r>
        <w:rPr>
          <w:rFonts w:ascii="Times New Roman" w:hAnsi="Times New Roman" w:cs="Times New Roman"/>
          <w:sz w:val="24"/>
          <w:szCs w:val="24"/>
        </w:rPr>
        <w:t xml:space="preserve"> </w:t>
      </w:r>
      <w:r w:rsidRPr="002F6481">
        <w:rPr>
          <w:rFonts w:ascii="Times New Roman" w:hAnsi="Times New Roman" w:cs="Times New Roman"/>
          <w:sz w:val="24"/>
          <w:szCs w:val="24"/>
        </w:rPr>
        <w:t xml:space="preserve">The relationship between the Central Grand share -GDP ratio and the Central Tax share -GDP ratio is not consistent. </w:t>
      </w:r>
      <w:r>
        <w:rPr>
          <w:rFonts w:ascii="Times New Roman" w:hAnsi="Times New Roman" w:cs="Times New Roman"/>
          <w:sz w:val="24"/>
          <w:szCs w:val="24"/>
        </w:rPr>
        <w:t xml:space="preserve">Because factors such as the finance commission’s recommendations are important. </w:t>
      </w:r>
      <w:r w:rsidRPr="002F6481">
        <w:rPr>
          <w:rFonts w:ascii="Times New Roman" w:hAnsi="Times New Roman" w:cs="Times New Roman"/>
          <w:sz w:val="24"/>
          <w:szCs w:val="24"/>
        </w:rPr>
        <w:t>There have been years when both ratios have increased together</w:t>
      </w:r>
      <w:r>
        <w:rPr>
          <w:rFonts w:ascii="Times New Roman" w:hAnsi="Times New Roman" w:cs="Times New Roman"/>
          <w:sz w:val="24"/>
          <w:szCs w:val="24"/>
        </w:rPr>
        <w:t xml:space="preserve"> </w:t>
      </w:r>
      <w:r w:rsidRPr="002F6481">
        <w:rPr>
          <w:rFonts w:ascii="Times New Roman" w:hAnsi="Times New Roman" w:cs="Times New Roman"/>
          <w:sz w:val="24"/>
          <w:szCs w:val="24"/>
        </w:rPr>
        <w:t>and there have been years when one ratio has increased while the other has decreased</w:t>
      </w:r>
      <w:r>
        <w:rPr>
          <w:rFonts w:ascii="Times New Roman" w:hAnsi="Times New Roman" w:cs="Times New Roman"/>
          <w:sz w:val="24"/>
          <w:szCs w:val="24"/>
        </w:rPr>
        <w:t>.</w:t>
      </w:r>
      <w:r w:rsidRPr="002F6481">
        <w:rPr>
          <w:rFonts w:ascii="Times New Roman" w:hAnsi="Times New Roman" w:cs="Times New Roman"/>
          <w:sz w:val="24"/>
          <w:szCs w:val="24"/>
        </w:rPr>
        <w:t xml:space="preserve"> </w:t>
      </w:r>
    </w:p>
    <w:p w14:paraId="49189BC0" w14:textId="02B112CC" w:rsidR="008F4EEC" w:rsidRPr="00AE13FB" w:rsidRDefault="008F4EEC" w:rsidP="008F4EEC">
      <w:pPr>
        <w:spacing w:line="360" w:lineRule="auto"/>
        <w:jc w:val="center"/>
        <w:rPr>
          <w:rFonts w:ascii="Times New Roman" w:hAnsi="Times New Roman" w:cs="Times New Roman"/>
          <w:b/>
          <w:bCs/>
          <w:sz w:val="24"/>
          <w:szCs w:val="24"/>
        </w:rPr>
      </w:pPr>
      <w:r w:rsidRPr="00AE13FB">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AE13FB">
        <w:rPr>
          <w:rFonts w:ascii="Times New Roman" w:hAnsi="Times New Roman" w:cs="Times New Roman"/>
          <w:b/>
          <w:bCs/>
          <w:sz w:val="24"/>
          <w:szCs w:val="24"/>
        </w:rPr>
        <w:t>.3 The Central Grant share-to-GDP ratio and The Central Tax share-to-GDP ratio</w:t>
      </w:r>
    </w:p>
    <w:tbl>
      <w:tblPr>
        <w:tblStyle w:val="TableGrid"/>
        <w:tblpPr w:leftFromText="180" w:rightFromText="180" w:vertAnchor="text" w:horzAnchor="margin" w:tblpY="55"/>
        <w:tblW w:w="9021" w:type="dxa"/>
        <w:tblLook w:val="04A0" w:firstRow="1" w:lastRow="0" w:firstColumn="1" w:lastColumn="0" w:noHBand="0" w:noVBand="1"/>
      </w:tblPr>
      <w:tblGrid>
        <w:gridCol w:w="2547"/>
        <w:gridCol w:w="3467"/>
        <w:gridCol w:w="3007"/>
      </w:tblGrid>
      <w:tr w:rsidR="008F4EEC" w:rsidRPr="00A646EB" w14:paraId="29994F9C" w14:textId="77777777" w:rsidTr="008F3665">
        <w:trPr>
          <w:trHeight w:val="269"/>
        </w:trPr>
        <w:tc>
          <w:tcPr>
            <w:tcW w:w="2547" w:type="dxa"/>
          </w:tcPr>
          <w:p w14:paraId="501BF5A2"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Pr>
                <w:rFonts w:ascii="Times New Roman" w:eastAsia="Times New Roman" w:hAnsi="Times New Roman" w:cs="Times New Roman"/>
                <w:color w:val="000000"/>
                <w:sz w:val="24"/>
                <w:szCs w:val="24"/>
                <w:lang w:eastAsia="en-IN" w:bidi="ml-IN"/>
              </w:rPr>
              <w:t>Y</w:t>
            </w:r>
            <w:r w:rsidRPr="00A646EB">
              <w:rPr>
                <w:rFonts w:ascii="Times New Roman" w:eastAsia="Times New Roman" w:hAnsi="Times New Roman" w:cs="Times New Roman"/>
                <w:color w:val="000000"/>
                <w:sz w:val="24"/>
                <w:szCs w:val="24"/>
                <w:lang w:eastAsia="en-IN" w:bidi="ml-IN"/>
              </w:rPr>
              <w:t>ear</w:t>
            </w:r>
          </w:p>
        </w:tc>
        <w:tc>
          <w:tcPr>
            <w:tcW w:w="3467" w:type="dxa"/>
            <w:noWrap/>
          </w:tcPr>
          <w:p w14:paraId="5BAB1C5F"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 xml:space="preserve">Central Grand </w:t>
            </w:r>
            <w:r>
              <w:rPr>
                <w:rFonts w:ascii="Times New Roman" w:eastAsia="Times New Roman" w:hAnsi="Times New Roman" w:cs="Times New Roman"/>
                <w:color w:val="000000"/>
                <w:sz w:val="24"/>
                <w:szCs w:val="24"/>
                <w:lang w:eastAsia="en-IN" w:bidi="ml-IN"/>
              </w:rPr>
              <w:t>Share</w:t>
            </w:r>
            <w:r w:rsidRPr="00A646EB">
              <w:rPr>
                <w:rFonts w:ascii="Times New Roman" w:eastAsia="Times New Roman" w:hAnsi="Times New Roman" w:cs="Times New Roman"/>
                <w:color w:val="000000"/>
                <w:sz w:val="24"/>
                <w:szCs w:val="24"/>
                <w:lang w:eastAsia="en-IN" w:bidi="ml-IN"/>
              </w:rPr>
              <w:t xml:space="preserve"> -GDP ratio</w:t>
            </w:r>
          </w:p>
        </w:tc>
        <w:tc>
          <w:tcPr>
            <w:tcW w:w="3007" w:type="dxa"/>
            <w:noWrap/>
          </w:tcPr>
          <w:p w14:paraId="4E6C3E27"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 xml:space="preserve">Central Tax </w:t>
            </w:r>
            <w:r>
              <w:rPr>
                <w:rFonts w:ascii="Times New Roman" w:eastAsia="Times New Roman" w:hAnsi="Times New Roman" w:cs="Times New Roman"/>
                <w:color w:val="000000"/>
                <w:sz w:val="24"/>
                <w:szCs w:val="24"/>
                <w:lang w:eastAsia="en-IN" w:bidi="ml-IN"/>
              </w:rPr>
              <w:t>S</w:t>
            </w:r>
            <w:r w:rsidRPr="00A646EB">
              <w:rPr>
                <w:rFonts w:ascii="Times New Roman" w:eastAsia="Times New Roman" w:hAnsi="Times New Roman" w:cs="Times New Roman"/>
                <w:color w:val="000000"/>
                <w:sz w:val="24"/>
                <w:szCs w:val="24"/>
                <w:lang w:eastAsia="en-IN" w:bidi="ml-IN"/>
              </w:rPr>
              <w:t>hare -GDP ratio</w:t>
            </w:r>
          </w:p>
        </w:tc>
      </w:tr>
      <w:tr w:rsidR="008F4EEC" w:rsidRPr="00A646EB" w14:paraId="151CD791" w14:textId="77777777" w:rsidTr="008F3665">
        <w:trPr>
          <w:trHeight w:val="269"/>
        </w:trPr>
        <w:tc>
          <w:tcPr>
            <w:tcW w:w="2547" w:type="dxa"/>
            <w:hideMark/>
          </w:tcPr>
          <w:p w14:paraId="798FEDA8"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2004-05</w:t>
            </w:r>
          </w:p>
        </w:tc>
        <w:tc>
          <w:tcPr>
            <w:tcW w:w="3467" w:type="dxa"/>
            <w:noWrap/>
            <w:hideMark/>
          </w:tcPr>
          <w:p w14:paraId="219D4C01"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1.77</w:t>
            </w:r>
          </w:p>
        </w:tc>
        <w:tc>
          <w:tcPr>
            <w:tcW w:w="3007" w:type="dxa"/>
            <w:noWrap/>
            <w:hideMark/>
          </w:tcPr>
          <w:p w14:paraId="2A799383"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2.47</w:t>
            </w:r>
          </w:p>
        </w:tc>
      </w:tr>
      <w:tr w:rsidR="008F4EEC" w:rsidRPr="00A646EB" w14:paraId="0FA97000" w14:textId="77777777" w:rsidTr="008F3665">
        <w:trPr>
          <w:trHeight w:val="269"/>
        </w:trPr>
        <w:tc>
          <w:tcPr>
            <w:tcW w:w="2547" w:type="dxa"/>
            <w:hideMark/>
          </w:tcPr>
          <w:p w14:paraId="0E869A63"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2005-06</w:t>
            </w:r>
          </w:p>
        </w:tc>
        <w:tc>
          <w:tcPr>
            <w:tcW w:w="3467" w:type="dxa"/>
            <w:noWrap/>
            <w:hideMark/>
          </w:tcPr>
          <w:p w14:paraId="5CDD9118"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2.11</w:t>
            </w:r>
          </w:p>
        </w:tc>
        <w:tc>
          <w:tcPr>
            <w:tcW w:w="3007" w:type="dxa"/>
            <w:noWrap/>
            <w:hideMark/>
          </w:tcPr>
          <w:p w14:paraId="3B142A59"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2.59</w:t>
            </w:r>
          </w:p>
        </w:tc>
      </w:tr>
      <w:tr w:rsidR="008F4EEC" w:rsidRPr="00A646EB" w14:paraId="51E1D2EB" w14:textId="77777777" w:rsidTr="008F3665">
        <w:trPr>
          <w:trHeight w:val="269"/>
        </w:trPr>
        <w:tc>
          <w:tcPr>
            <w:tcW w:w="2547" w:type="dxa"/>
            <w:hideMark/>
          </w:tcPr>
          <w:p w14:paraId="723A7767"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2006-07</w:t>
            </w:r>
          </w:p>
        </w:tc>
        <w:tc>
          <w:tcPr>
            <w:tcW w:w="3467" w:type="dxa"/>
            <w:noWrap/>
            <w:hideMark/>
          </w:tcPr>
          <w:p w14:paraId="4803AE97"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2.22</w:t>
            </w:r>
          </w:p>
        </w:tc>
        <w:tc>
          <w:tcPr>
            <w:tcW w:w="3007" w:type="dxa"/>
            <w:noWrap/>
            <w:hideMark/>
          </w:tcPr>
          <w:p w14:paraId="504DC094"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2.83</w:t>
            </w:r>
          </w:p>
        </w:tc>
      </w:tr>
      <w:tr w:rsidR="008F4EEC" w:rsidRPr="00A646EB" w14:paraId="02B6A9F7" w14:textId="77777777" w:rsidTr="008F3665">
        <w:trPr>
          <w:trHeight w:val="269"/>
        </w:trPr>
        <w:tc>
          <w:tcPr>
            <w:tcW w:w="2547" w:type="dxa"/>
            <w:hideMark/>
          </w:tcPr>
          <w:p w14:paraId="5F656373"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2007-08</w:t>
            </w:r>
          </w:p>
        </w:tc>
        <w:tc>
          <w:tcPr>
            <w:tcW w:w="3467" w:type="dxa"/>
            <w:noWrap/>
            <w:hideMark/>
          </w:tcPr>
          <w:p w14:paraId="4FA52A10"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2.22</w:t>
            </w:r>
          </w:p>
        </w:tc>
        <w:tc>
          <w:tcPr>
            <w:tcW w:w="3007" w:type="dxa"/>
            <w:noWrap/>
            <w:hideMark/>
          </w:tcPr>
          <w:p w14:paraId="0E4B8840"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3.09</w:t>
            </w:r>
          </w:p>
        </w:tc>
      </w:tr>
      <w:tr w:rsidR="008F4EEC" w:rsidRPr="00A646EB" w14:paraId="799518D2" w14:textId="77777777" w:rsidTr="008F3665">
        <w:trPr>
          <w:trHeight w:val="269"/>
        </w:trPr>
        <w:tc>
          <w:tcPr>
            <w:tcW w:w="2547" w:type="dxa"/>
            <w:hideMark/>
          </w:tcPr>
          <w:p w14:paraId="34A30A60"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2008-09</w:t>
            </w:r>
          </w:p>
        </w:tc>
        <w:tc>
          <w:tcPr>
            <w:tcW w:w="3467" w:type="dxa"/>
            <w:noWrap/>
            <w:hideMark/>
          </w:tcPr>
          <w:p w14:paraId="6DD1CDB5"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2.36</w:t>
            </w:r>
          </w:p>
        </w:tc>
        <w:tc>
          <w:tcPr>
            <w:tcW w:w="3007" w:type="dxa"/>
            <w:noWrap/>
            <w:hideMark/>
          </w:tcPr>
          <w:p w14:paraId="24CD7884"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2.92</w:t>
            </w:r>
          </w:p>
        </w:tc>
      </w:tr>
      <w:tr w:rsidR="008F4EEC" w:rsidRPr="00A646EB" w14:paraId="0C63D3DB" w14:textId="77777777" w:rsidTr="008F3665">
        <w:trPr>
          <w:trHeight w:val="269"/>
        </w:trPr>
        <w:tc>
          <w:tcPr>
            <w:tcW w:w="2547" w:type="dxa"/>
            <w:hideMark/>
          </w:tcPr>
          <w:p w14:paraId="67E62B52"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lastRenderedPageBreak/>
              <w:t>2009-10</w:t>
            </w:r>
          </w:p>
        </w:tc>
        <w:tc>
          <w:tcPr>
            <w:tcW w:w="3467" w:type="dxa"/>
            <w:noWrap/>
            <w:hideMark/>
          </w:tcPr>
          <w:p w14:paraId="0418CC86"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2.37</w:t>
            </w:r>
          </w:p>
        </w:tc>
        <w:tc>
          <w:tcPr>
            <w:tcW w:w="3007" w:type="dxa"/>
            <w:noWrap/>
            <w:hideMark/>
          </w:tcPr>
          <w:p w14:paraId="466ADB17"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2.59</w:t>
            </w:r>
          </w:p>
        </w:tc>
      </w:tr>
      <w:tr w:rsidR="008F4EEC" w:rsidRPr="00A646EB" w14:paraId="10BBCE3B" w14:textId="77777777" w:rsidTr="008F3665">
        <w:trPr>
          <w:trHeight w:val="269"/>
        </w:trPr>
        <w:tc>
          <w:tcPr>
            <w:tcW w:w="2547" w:type="dxa"/>
            <w:hideMark/>
          </w:tcPr>
          <w:p w14:paraId="6CC32B82"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2010-11</w:t>
            </w:r>
          </w:p>
        </w:tc>
        <w:tc>
          <w:tcPr>
            <w:tcW w:w="3467" w:type="dxa"/>
            <w:noWrap/>
            <w:hideMark/>
          </w:tcPr>
          <w:p w14:paraId="166907D9"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2.14</w:t>
            </w:r>
          </w:p>
        </w:tc>
        <w:tc>
          <w:tcPr>
            <w:tcW w:w="3007" w:type="dxa"/>
            <w:noWrap/>
            <w:hideMark/>
          </w:tcPr>
          <w:p w14:paraId="565EDFC8"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2.87</w:t>
            </w:r>
          </w:p>
        </w:tc>
      </w:tr>
      <w:tr w:rsidR="008F4EEC" w:rsidRPr="00A646EB" w14:paraId="31021997" w14:textId="77777777" w:rsidTr="008F3665">
        <w:trPr>
          <w:trHeight w:val="269"/>
        </w:trPr>
        <w:tc>
          <w:tcPr>
            <w:tcW w:w="2547" w:type="dxa"/>
            <w:hideMark/>
          </w:tcPr>
          <w:p w14:paraId="0FE3675B"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2011-12</w:t>
            </w:r>
          </w:p>
        </w:tc>
        <w:tc>
          <w:tcPr>
            <w:tcW w:w="3467" w:type="dxa"/>
            <w:noWrap/>
            <w:hideMark/>
          </w:tcPr>
          <w:p w14:paraId="2200D132"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2.13</w:t>
            </w:r>
          </w:p>
        </w:tc>
        <w:tc>
          <w:tcPr>
            <w:tcW w:w="3007" w:type="dxa"/>
            <w:noWrap/>
            <w:hideMark/>
          </w:tcPr>
          <w:p w14:paraId="14663B6A"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2.93</w:t>
            </w:r>
          </w:p>
        </w:tc>
      </w:tr>
      <w:tr w:rsidR="008F4EEC" w:rsidRPr="00A646EB" w14:paraId="4F431EE8" w14:textId="77777777" w:rsidTr="008F3665">
        <w:trPr>
          <w:trHeight w:val="269"/>
        </w:trPr>
        <w:tc>
          <w:tcPr>
            <w:tcW w:w="2547" w:type="dxa"/>
            <w:hideMark/>
          </w:tcPr>
          <w:p w14:paraId="389C85A8"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2012-13</w:t>
            </w:r>
          </w:p>
        </w:tc>
        <w:tc>
          <w:tcPr>
            <w:tcW w:w="3467" w:type="dxa"/>
            <w:noWrap/>
            <w:hideMark/>
          </w:tcPr>
          <w:p w14:paraId="67C042AA"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1.90</w:t>
            </w:r>
          </w:p>
        </w:tc>
        <w:tc>
          <w:tcPr>
            <w:tcW w:w="3007" w:type="dxa"/>
            <w:noWrap/>
            <w:hideMark/>
          </w:tcPr>
          <w:p w14:paraId="55CA5C48"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2.93</w:t>
            </w:r>
          </w:p>
        </w:tc>
      </w:tr>
      <w:tr w:rsidR="008F4EEC" w:rsidRPr="00A646EB" w14:paraId="5FEB614F" w14:textId="77777777" w:rsidTr="008F3665">
        <w:trPr>
          <w:trHeight w:val="269"/>
        </w:trPr>
        <w:tc>
          <w:tcPr>
            <w:tcW w:w="2547" w:type="dxa"/>
            <w:hideMark/>
          </w:tcPr>
          <w:p w14:paraId="5D058192"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2013-14</w:t>
            </w:r>
          </w:p>
        </w:tc>
        <w:tc>
          <w:tcPr>
            <w:tcW w:w="3467" w:type="dxa"/>
            <w:noWrap/>
            <w:hideMark/>
          </w:tcPr>
          <w:p w14:paraId="3748AF55"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1.83</w:t>
            </w:r>
          </w:p>
        </w:tc>
        <w:tc>
          <w:tcPr>
            <w:tcW w:w="3007" w:type="dxa"/>
            <w:noWrap/>
            <w:hideMark/>
          </w:tcPr>
          <w:p w14:paraId="7A7B1BEE"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2.83</w:t>
            </w:r>
          </w:p>
        </w:tc>
      </w:tr>
      <w:tr w:rsidR="008F4EEC" w:rsidRPr="00A646EB" w14:paraId="442D3DF8" w14:textId="77777777" w:rsidTr="008F3665">
        <w:trPr>
          <w:trHeight w:val="269"/>
        </w:trPr>
        <w:tc>
          <w:tcPr>
            <w:tcW w:w="2547" w:type="dxa"/>
            <w:hideMark/>
          </w:tcPr>
          <w:p w14:paraId="64010A9C"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2014-15</w:t>
            </w:r>
          </w:p>
        </w:tc>
        <w:tc>
          <w:tcPr>
            <w:tcW w:w="3467" w:type="dxa"/>
            <w:noWrap/>
            <w:hideMark/>
          </w:tcPr>
          <w:p w14:paraId="1700E6A1"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2.65</w:t>
            </w:r>
          </w:p>
        </w:tc>
        <w:tc>
          <w:tcPr>
            <w:tcW w:w="3007" w:type="dxa"/>
            <w:noWrap/>
            <w:hideMark/>
          </w:tcPr>
          <w:p w14:paraId="189C6DCE"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2.71</w:t>
            </w:r>
          </w:p>
        </w:tc>
      </w:tr>
      <w:tr w:rsidR="008F4EEC" w:rsidRPr="00A646EB" w14:paraId="7A1355E3" w14:textId="77777777" w:rsidTr="008F3665">
        <w:trPr>
          <w:trHeight w:val="269"/>
        </w:trPr>
        <w:tc>
          <w:tcPr>
            <w:tcW w:w="2547" w:type="dxa"/>
            <w:hideMark/>
          </w:tcPr>
          <w:p w14:paraId="16AF2D89"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2015-16</w:t>
            </w:r>
          </w:p>
        </w:tc>
        <w:tc>
          <w:tcPr>
            <w:tcW w:w="3467" w:type="dxa"/>
            <w:noWrap/>
            <w:hideMark/>
          </w:tcPr>
          <w:p w14:paraId="59729D76"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2.37</w:t>
            </w:r>
          </w:p>
        </w:tc>
        <w:tc>
          <w:tcPr>
            <w:tcW w:w="3007" w:type="dxa"/>
            <w:noWrap/>
            <w:hideMark/>
          </w:tcPr>
          <w:p w14:paraId="1D0F96A7"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3.68</w:t>
            </w:r>
          </w:p>
        </w:tc>
      </w:tr>
      <w:tr w:rsidR="008F4EEC" w:rsidRPr="00A646EB" w14:paraId="4A706F70" w14:textId="77777777" w:rsidTr="008F3665">
        <w:trPr>
          <w:trHeight w:val="269"/>
        </w:trPr>
        <w:tc>
          <w:tcPr>
            <w:tcW w:w="2547" w:type="dxa"/>
            <w:hideMark/>
          </w:tcPr>
          <w:p w14:paraId="52D2E1C5"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2016-17</w:t>
            </w:r>
          </w:p>
        </w:tc>
        <w:tc>
          <w:tcPr>
            <w:tcW w:w="3467" w:type="dxa"/>
            <w:noWrap/>
            <w:hideMark/>
          </w:tcPr>
          <w:p w14:paraId="7F2C2997"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2.31</w:t>
            </w:r>
          </w:p>
        </w:tc>
        <w:tc>
          <w:tcPr>
            <w:tcW w:w="3007" w:type="dxa"/>
            <w:noWrap/>
            <w:hideMark/>
          </w:tcPr>
          <w:p w14:paraId="5C447CB1"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3.95</w:t>
            </w:r>
          </w:p>
        </w:tc>
      </w:tr>
      <w:tr w:rsidR="008F4EEC" w:rsidRPr="00A646EB" w14:paraId="3BC41853" w14:textId="77777777" w:rsidTr="008F3665">
        <w:trPr>
          <w:trHeight w:val="269"/>
        </w:trPr>
        <w:tc>
          <w:tcPr>
            <w:tcW w:w="2547" w:type="dxa"/>
            <w:hideMark/>
          </w:tcPr>
          <w:p w14:paraId="566FED0F"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2017-18</w:t>
            </w:r>
          </w:p>
        </w:tc>
        <w:tc>
          <w:tcPr>
            <w:tcW w:w="3467" w:type="dxa"/>
            <w:noWrap/>
            <w:hideMark/>
          </w:tcPr>
          <w:p w14:paraId="1EE63C55"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2.38</w:t>
            </w:r>
          </w:p>
        </w:tc>
        <w:tc>
          <w:tcPr>
            <w:tcW w:w="3007" w:type="dxa"/>
            <w:noWrap/>
            <w:hideMark/>
          </w:tcPr>
          <w:p w14:paraId="01A5413B"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3.54</w:t>
            </w:r>
          </w:p>
        </w:tc>
      </w:tr>
      <w:tr w:rsidR="008F4EEC" w:rsidRPr="00A646EB" w14:paraId="2693AF2F" w14:textId="77777777" w:rsidTr="008F3665">
        <w:trPr>
          <w:trHeight w:val="269"/>
        </w:trPr>
        <w:tc>
          <w:tcPr>
            <w:tcW w:w="2547" w:type="dxa"/>
            <w:hideMark/>
          </w:tcPr>
          <w:p w14:paraId="6CE60237"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2018-19</w:t>
            </w:r>
          </w:p>
        </w:tc>
        <w:tc>
          <w:tcPr>
            <w:tcW w:w="3467" w:type="dxa"/>
            <w:noWrap/>
            <w:hideMark/>
          </w:tcPr>
          <w:p w14:paraId="4EEFEA05"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2.33</w:t>
            </w:r>
          </w:p>
        </w:tc>
        <w:tc>
          <w:tcPr>
            <w:tcW w:w="3007" w:type="dxa"/>
            <w:noWrap/>
            <w:hideMark/>
          </w:tcPr>
          <w:p w14:paraId="64F1AD56"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3.95</w:t>
            </w:r>
          </w:p>
        </w:tc>
      </w:tr>
      <w:tr w:rsidR="008F4EEC" w:rsidRPr="00A646EB" w14:paraId="71CE1D74" w14:textId="77777777" w:rsidTr="008F3665">
        <w:trPr>
          <w:trHeight w:val="269"/>
        </w:trPr>
        <w:tc>
          <w:tcPr>
            <w:tcW w:w="2547" w:type="dxa"/>
            <w:hideMark/>
          </w:tcPr>
          <w:p w14:paraId="0AB469FB"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2019-20</w:t>
            </w:r>
          </w:p>
        </w:tc>
        <w:tc>
          <w:tcPr>
            <w:tcW w:w="3467" w:type="dxa"/>
            <w:noWrap/>
            <w:hideMark/>
          </w:tcPr>
          <w:p w14:paraId="465275BC"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2.66</w:t>
            </w:r>
          </w:p>
        </w:tc>
        <w:tc>
          <w:tcPr>
            <w:tcW w:w="3007" w:type="dxa"/>
            <w:noWrap/>
            <w:hideMark/>
          </w:tcPr>
          <w:p w14:paraId="647B85EF"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3.24</w:t>
            </w:r>
          </w:p>
        </w:tc>
      </w:tr>
      <w:tr w:rsidR="008F4EEC" w:rsidRPr="00A646EB" w14:paraId="3FA1FFCC" w14:textId="77777777" w:rsidTr="008F3665">
        <w:trPr>
          <w:trHeight w:val="269"/>
        </w:trPr>
        <w:tc>
          <w:tcPr>
            <w:tcW w:w="2547" w:type="dxa"/>
            <w:hideMark/>
          </w:tcPr>
          <w:p w14:paraId="0B4CE01B"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2020-21</w:t>
            </w:r>
          </w:p>
        </w:tc>
        <w:tc>
          <w:tcPr>
            <w:tcW w:w="3467" w:type="dxa"/>
            <w:noWrap/>
            <w:hideMark/>
          </w:tcPr>
          <w:p w14:paraId="1F3E341E"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3.78</w:t>
            </w:r>
          </w:p>
        </w:tc>
        <w:tc>
          <w:tcPr>
            <w:tcW w:w="3007" w:type="dxa"/>
            <w:noWrap/>
            <w:hideMark/>
          </w:tcPr>
          <w:p w14:paraId="3062213D"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2.98</w:t>
            </w:r>
          </w:p>
        </w:tc>
      </w:tr>
      <w:tr w:rsidR="008F4EEC" w:rsidRPr="00A646EB" w14:paraId="47C51150" w14:textId="77777777" w:rsidTr="008F3665">
        <w:trPr>
          <w:trHeight w:val="269"/>
        </w:trPr>
        <w:tc>
          <w:tcPr>
            <w:tcW w:w="2547" w:type="dxa"/>
            <w:hideMark/>
          </w:tcPr>
          <w:p w14:paraId="44DEF865"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2021-22</w:t>
            </w:r>
          </w:p>
        </w:tc>
        <w:tc>
          <w:tcPr>
            <w:tcW w:w="3467" w:type="dxa"/>
            <w:noWrap/>
            <w:hideMark/>
          </w:tcPr>
          <w:p w14:paraId="38EC18E1"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3.73</w:t>
            </w:r>
          </w:p>
        </w:tc>
        <w:tc>
          <w:tcPr>
            <w:tcW w:w="3007" w:type="dxa"/>
            <w:noWrap/>
            <w:hideMark/>
          </w:tcPr>
          <w:p w14:paraId="54832F94" w14:textId="77777777" w:rsidR="008F4EEC" w:rsidRPr="00A646EB" w:rsidRDefault="008F4EEC" w:rsidP="008F3665">
            <w:pPr>
              <w:spacing w:line="360" w:lineRule="auto"/>
              <w:jc w:val="both"/>
              <w:rPr>
                <w:rFonts w:ascii="Times New Roman" w:eastAsia="Times New Roman" w:hAnsi="Times New Roman" w:cs="Times New Roman"/>
                <w:color w:val="000000"/>
                <w:sz w:val="24"/>
                <w:szCs w:val="24"/>
                <w:lang w:eastAsia="en-IN" w:bidi="ml-IN"/>
              </w:rPr>
            </w:pPr>
            <w:r w:rsidRPr="00A646EB">
              <w:rPr>
                <w:rFonts w:ascii="Times New Roman" w:eastAsia="Times New Roman" w:hAnsi="Times New Roman" w:cs="Times New Roman"/>
                <w:color w:val="000000"/>
                <w:sz w:val="24"/>
                <w:szCs w:val="24"/>
                <w:lang w:eastAsia="en-IN" w:bidi="ml-IN"/>
              </w:rPr>
              <w:t>2.92</w:t>
            </w:r>
          </w:p>
        </w:tc>
      </w:tr>
    </w:tbl>
    <w:p w14:paraId="6E360E04" w14:textId="77777777" w:rsidR="008F4EEC" w:rsidRDefault="008F4EEC" w:rsidP="008F4EEC">
      <w:pPr>
        <w:spacing w:line="360" w:lineRule="auto"/>
        <w:jc w:val="both"/>
        <w:rPr>
          <w:rFonts w:ascii="Times New Roman" w:hAnsi="Times New Roman" w:cs="Times New Roman"/>
          <w:i/>
          <w:iCs/>
          <w:color w:val="222222"/>
          <w:sz w:val="24"/>
          <w:szCs w:val="24"/>
        </w:rPr>
      </w:pPr>
      <w:r w:rsidRPr="0055215A">
        <w:rPr>
          <w:rFonts w:ascii="Times New Roman" w:hAnsi="Times New Roman" w:cs="Times New Roman"/>
          <w:i/>
          <w:iCs/>
          <w:sz w:val="24"/>
          <w:szCs w:val="24"/>
        </w:rPr>
        <w:t xml:space="preserve">Source: Author’s calculation based on the RBI </w:t>
      </w:r>
      <w:r w:rsidRPr="0055215A">
        <w:rPr>
          <w:rFonts w:ascii="Times New Roman" w:hAnsi="Times New Roman" w:cs="Times New Roman"/>
          <w:i/>
          <w:iCs/>
          <w:color w:val="222222"/>
          <w:sz w:val="24"/>
          <w:szCs w:val="24"/>
        </w:rPr>
        <w:t>Handbook of Statistics on the Indian Economy, 2021-22</w:t>
      </w:r>
      <w:r>
        <w:rPr>
          <w:rFonts w:ascii="Times New Roman" w:hAnsi="Times New Roman" w:cs="Times New Roman"/>
          <w:i/>
          <w:iCs/>
          <w:color w:val="222222"/>
          <w:sz w:val="24"/>
          <w:szCs w:val="24"/>
        </w:rPr>
        <w:t>.</w:t>
      </w:r>
    </w:p>
    <w:p w14:paraId="6091092A" w14:textId="65FBD7FA" w:rsidR="00D71967" w:rsidRDefault="00D71967" w:rsidP="004750C7">
      <w:pPr>
        <w:pStyle w:val="NormalWeb"/>
        <w:shd w:val="clear" w:color="auto" w:fill="FFFFFF"/>
        <w:spacing w:before="0" w:beforeAutospacing="0" w:after="0" w:afterAutospacing="0" w:line="360" w:lineRule="auto"/>
        <w:jc w:val="both"/>
      </w:pPr>
      <w:r w:rsidRPr="00441925">
        <w:t>During the 1990s, there was a decline in the ratio of central taxes transferred to and grants made to the states as a share of GD</w:t>
      </w:r>
      <w:r>
        <w:t>P</w:t>
      </w:r>
      <w:r w:rsidRPr="00441925">
        <w:t>. However, there was a slight increase during the first decade of the 21st century</w:t>
      </w:r>
      <w:r>
        <w:t xml:space="preserve"> (</w:t>
      </w:r>
      <w:proofErr w:type="spellStart"/>
      <w:r>
        <w:t>Issac</w:t>
      </w:r>
      <w:proofErr w:type="spellEnd"/>
      <w:r>
        <w:t>, 2019)</w:t>
      </w:r>
      <w:r w:rsidRPr="00441925">
        <w:t xml:space="preserve">. From 2010-11 to 2016-17, there was a rise in the share of central taxes devolved to states relative to GDP </w:t>
      </w:r>
      <w:r>
        <w:t xml:space="preserve">compared to previous decade </w:t>
      </w:r>
      <w:r w:rsidRPr="00441925">
        <w:t>due to enhanced tax devolution in the initial two years of the 14th Finance Commission award</w:t>
      </w:r>
      <w:r>
        <w:t xml:space="preserve"> that is 2015-16 and 2016-17</w:t>
      </w:r>
      <w:r w:rsidRPr="00441925">
        <w:t>.</w:t>
      </w:r>
      <w:r w:rsidRPr="00EB4C9F">
        <w:t xml:space="preserve"> According to the </w:t>
      </w:r>
      <w:r>
        <w:t>14</w:t>
      </w:r>
      <w:r w:rsidRPr="00EB4C9F">
        <w:rPr>
          <w:vertAlign w:val="superscript"/>
        </w:rPr>
        <w:t>th</w:t>
      </w:r>
      <w:r>
        <w:t xml:space="preserve"> finance commission</w:t>
      </w:r>
      <w:r w:rsidRPr="00EB4C9F">
        <w:t xml:space="preserve"> recommendation, the share of states in the net proceeds of shareable Central taxes should be 42%, which represents a 10-percentage point increase from the recommendation of the 13th Finance Commission.</w:t>
      </w:r>
      <w:r w:rsidRPr="00441925">
        <w:t xml:space="preserve"> Comparing the period of 2010-11 to 2014-15 with the previous five-year period of 2005-06 to 2009-10, there was a marginal increase in tax devolution to states</w:t>
      </w:r>
      <w:r>
        <w:t>, merely 0.05 percentage change</w:t>
      </w:r>
      <w:r w:rsidRPr="00441925">
        <w:t xml:space="preserve">. </w:t>
      </w:r>
      <w:r>
        <w:t xml:space="preserve">But </w:t>
      </w:r>
      <w:r w:rsidRPr="00441925">
        <w:t>Central tax share to GDP ratio increased to 3.</w:t>
      </w:r>
      <w:r>
        <w:t>68</w:t>
      </w:r>
      <w:r w:rsidRPr="00441925">
        <w:t xml:space="preserve"> and 3.</w:t>
      </w:r>
      <w:r>
        <w:t>9</w:t>
      </w:r>
      <w:r w:rsidRPr="00441925">
        <w:t>5 percent in 2015-16 and 2016-17, respectively. The ratio of central grants to GDP also increased from 2010-11 to 2016-17, but there was a change in the method of grants transfer to states in 2014-15, where the entire central share in C</w:t>
      </w:r>
      <w:r>
        <w:t xml:space="preserve">entral </w:t>
      </w:r>
      <w:r w:rsidRPr="00441925">
        <w:t>S</w:t>
      </w:r>
      <w:r>
        <w:t xml:space="preserve">ponsored </w:t>
      </w:r>
      <w:r w:rsidRPr="00441925">
        <w:t>S</w:t>
      </w:r>
      <w:r>
        <w:t xml:space="preserve">cheme </w:t>
      </w:r>
      <w:r w:rsidRPr="00441925">
        <w:t>was routed through state budgets instead of being given directly to implementation agencies as was done previously. This explains the rise in the share of grants relative to GDP in 2014-15 to 2.6</w:t>
      </w:r>
      <w:r>
        <w:t>5</w:t>
      </w:r>
      <w:r w:rsidRPr="00441925">
        <w:t xml:space="preserve"> percent compared to 1.</w:t>
      </w:r>
      <w:r>
        <w:t>90</w:t>
      </w:r>
      <w:r w:rsidRPr="00441925">
        <w:t xml:space="preserve"> and 1.</w:t>
      </w:r>
      <w:r>
        <w:t>83</w:t>
      </w:r>
      <w:r w:rsidRPr="00441925">
        <w:t xml:space="preserve"> percent in 2012-13 and 2013-14, respectively. However, figures prior to and in 2014-15 are not strictly comparable</w:t>
      </w:r>
      <w:r>
        <w:t xml:space="preserve"> to the figures after implementing the recommendation of 14</w:t>
      </w:r>
      <w:r w:rsidRPr="0070105E">
        <w:rPr>
          <w:vertAlign w:val="superscript"/>
        </w:rPr>
        <w:t>th</w:t>
      </w:r>
      <w:r>
        <w:t xml:space="preserve"> finance commission</w:t>
      </w:r>
      <w:r w:rsidRPr="00441925">
        <w:t xml:space="preserve">. There was a </w:t>
      </w:r>
      <w:r w:rsidRPr="00441925">
        <w:lastRenderedPageBreak/>
        <w:t>decline in the grant-GDP ratio in 2015-16 and 2016-17 to 2.3</w:t>
      </w:r>
      <w:r>
        <w:t>7</w:t>
      </w:r>
      <w:r w:rsidRPr="00441925">
        <w:t xml:space="preserve"> and 2.3</w:t>
      </w:r>
      <w:r>
        <w:t>1</w:t>
      </w:r>
      <w:r w:rsidRPr="00441925">
        <w:t xml:space="preserve"> percent, respectively, due to a fall in the central share in many of the CSS</w:t>
      </w:r>
      <w:r>
        <w:t xml:space="preserve">. </w:t>
      </w:r>
      <w:r w:rsidRPr="002F6481">
        <w:t>The Central Grand share -GDP ratio</w:t>
      </w:r>
      <w:r>
        <w:t xml:space="preserve"> </w:t>
      </w:r>
      <w:r w:rsidRPr="002F6481">
        <w:t>has been increasing in recent years, with a sharp increase in 2020-21</w:t>
      </w:r>
      <w:r>
        <w:t xml:space="preserve"> at the same time </w:t>
      </w:r>
      <w:r w:rsidRPr="002F6481">
        <w:t>The Central Tax shar-GDP ratio</w:t>
      </w:r>
      <w:r>
        <w:t xml:space="preserve"> decreasing. This is because of the decrease in divisible pool of tax revenue.</w:t>
      </w:r>
    </w:p>
    <w:p w14:paraId="4E884C24" w14:textId="59E39124" w:rsidR="00D47D84" w:rsidRPr="00D47D84" w:rsidRDefault="00D47D84" w:rsidP="00D47D84">
      <w:pPr>
        <w:pStyle w:val="NormalWeb"/>
        <w:shd w:val="clear" w:color="auto" w:fill="FFFFFF"/>
        <w:spacing w:before="0" w:beforeAutospacing="0" w:after="0" w:afterAutospacing="0" w:line="360" w:lineRule="auto"/>
        <w:jc w:val="center"/>
        <w:rPr>
          <w:b/>
          <w:bCs/>
        </w:rPr>
      </w:pPr>
      <w:r w:rsidRPr="00D47D84">
        <w:rPr>
          <w:b/>
          <w:bCs/>
        </w:rPr>
        <w:t>CONCLUTION</w:t>
      </w:r>
    </w:p>
    <w:p w14:paraId="208B7A40" w14:textId="23E65AEB" w:rsidR="00D47D84" w:rsidRPr="00EB6325" w:rsidRDefault="00D47D84" w:rsidP="00D47D84">
      <w:pPr>
        <w:spacing w:line="360" w:lineRule="auto"/>
        <w:jc w:val="both"/>
        <w:rPr>
          <w:rFonts w:ascii="Times New Roman" w:hAnsi="Times New Roman" w:cs="Times New Roman"/>
          <w:sz w:val="24"/>
          <w:szCs w:val="24"/>
        </w:rPr>
      </w:pPr>
      <w:r w:rsidRPr="00EB6325">
        <w:rPr>
          <w:rFonts w:ascii="Times New Roman" w:hAnsi="Times New Roman" w:cs="Times New Roman"/>
          <w:sz w:val="24"/>
          <w:szCs w:val="24"/>
        </w:rPr>
        <w:t xml:space="preserve">Indian fiscal federalism is </w:t>
      </w:r>
      <w:r>
        <w:rPr>
          <w:rFonts w:ascii="Times New Roman" w:hAnsi="Times New Roman" w:cs="Times New Roman"/>
          <w:sz w:val="24"/>
          <w:szCs w:val="24"/>
        </w:rPr>
        <w:t xml:space="preserve">unique </w:t>
      </w:r>
      <w:r w:rsidRPr="00EB6325">
        <w:rPr>
          <w:rFonts w:ascii="Times New Roman" w:hAnsi="Times New Roman" w:cs="Times New Roman"/>
          <w:sz w:val="24"/>
          <w:szCs w:val="24"/>
        </w:rPr>
        <w:t>in a number of ways, both legally and constitutionally. There is an organised distribution of power within the government at the outset. The Seventh Schedule of the Indian Constitution divides some authorities between the central government and the individual states. Th</w:t>
      </w:r>
      <w:r>
        <w:rPr>
          <w:rFonts w:ascii="Times New Roman" w:hAnsi="Times New Roman" w:cs="Times New Roman"/>
          <w:sz w:val="24"/>
          <w:szCs w:val="24"/>
        </w:rPr>
        <w:t>e</w:t>
      </w:r>
      <w:r w:rsidRPr="00EB6325">
        <w:rPr>
          <w:rFonts w:ascii="Times New Roman" w:hAnsi="Times New Roman" w:cs="Times New Roman"/>
          <w:sz w:val="24"/>
          <w:szCs w:val="24"/>
        </w:rPr>
        <w:t xml:space="preserve"> separation of duties guarantees that every tier of government has the power it needs to carry out its functions.</w:t>
      </w:r>
      <w:r>
        <w:rPr>
          <w:rFonts w:ascii="Times New Roman" w:hAnsi="Times New Roman" w:cs="Times New Roman"/>
          <w:sz w:val="24"/>
          <w:szCs w:val="24"/>
        </w:rPr>
        <w:t xml:space="preserve"> </w:t>
      </w:r>
      <w:r w:rsidRPr="00EB6325">
        <w:rPr>
          <w:rFonts w:ascii="Times New Roman" w:hAnsi="Times New Roman" w:cs="Times New Roman"/>
          <w:sz w:val="24"/>
          <w:szCs w:val="24"/>
        </w:rPr>
        <w:t xml:space="preserve">According to the Indian Constitution, the central government is responsible for generating revenue through taxes like customs, excise, and income tax, while the state governments are in charge of generating money through taxes like sales tax and stamp duty (initially, </w:t>
      </w:r>
      <w:r>
        <w:rPr>
          <w:rFonts w:ascii="Times New Roman" w:hAnsi="Times New Roman" w:cs="Times New Roman"/>
          <w:sz w:val="24"/>
          <w:szCs w:val="24"/>
        </w:rPr>
        <w:t xml:space="preserve">but </w:t>
      </w:r>
      <w:r w:rsidRPr="00EB6325">
        <w:rPr>
          <w:rFonts w:ascii="Times New Roman" w:hAnsi="Times New Roman" w:cs="Times New Roman"/>
          <w:sz w:val="24"/>
          <w:szCs w:val="24"/>
        </w:rPr>
        <w:t xml:space="preserve">now it has changed). As a result of this disparity, the federal government has a greater fiscal advantage over the states. The Constitution also allows for federal grants and other forms of financial help to be distributed to state governments. </w:t>
      </w:r>
    </w:p>
    <w:p w14:paraId="21DDA947" w14:textId="77777777" w:rsidR="00D47D84" w:rsidRDefault="00D47D84" w:rsidP="00D47D84">
      <w:pPr>
        <w:spacing w:line="360" w:lineRule="auto"/>
        <w:jc w:val="both"/>
        <w:rPr>
          <w:rFonts w:ascii="Times New Roman" w:hAnsi="Times New Roman" w:cs="Times New Roman"/>
          <w:sz w:val="24"/>
          <w:szCs w:val="24"/>
        </w:rPr>
      </w:pPr>
      <w:r w:rsidRPr="00BA4A00">
        <w:rPr>
          <w:rFonts w:ascii="Times New Roman" w:hAnsi="Times New Roman" w:cs="Times New Roman"/>
          <w:sz w:val="24"/>
          <w:szCs w:val="24"/>
        </w:rPr>
        <w:t>Government spending in India has skyrocketed since colonial times, with deficit financing being the norm at both the federal and state levels. In contrast to developed and middle-income nations, however, the government has not been able to collect enough money to offset the money it spends. Class restrictions in the development regime have prevented the mobilisation of sufficient resources from the classes that have benefited most from the development process and hence contributed to the lack of revenue mobilisation. While state governments' tax-to-GDP ratios now remain lower than the federal government's, they have been steadily rising over time. All states have relied on intergovernmental transfers, borrowing, or other income sources to support their expenditures, as evidenced by a revenue expenditure-to-GDP ratio that is continuously larger than the tax-to-GDP ratio. The federal government should transfer more of its tax revenue to the states in order to correct vertical fiscal imbalances. Recent years have shown an upward trend in the Central Grant share-GDP ratio, with a considerable rise expected in 2020-21, while the Central Tax share-GDP ratio in state revenue has been decreasing as the divisible pool of tax income has shrunk.</w:t>
      </w:r>
    </w:p>
    <w:p w14:paraId="44C8D07A" w14:textId="5F5E085F" w:rsidR="00A721FC" w:rsidRPr="00A721FC" w:rsidRDefault="00A721FC" w:rsidP="00A721FC">
      <w:pPr>
        <w:spacing w:line="360" w:lineRule="auto"/>
        <w:jc w:val="center"/>
        <w:rPr>
          <w:rFonts w:ascii="Times New Roman" w:hAnsi="Times New Roman" w:cs="Times New Roman"/>
          <w:b/>
          <w:bCs/>
          <w:sz w:val="24"/>
          <w:szCs w:val="24"/>
        </w:rPr>
      </w:pPr>
      <w:r w:rsidRPr="00A721FC">
        <w:rPr>
          <w:rFonts w:ascii="Times New Roman" w:hAnsi="Times New Roman" w:cs="Times New Roman"/>
          <w:b/>
          <w:bCs/>
          <w:sz w:val="24"/>
          <w:szCs w:val="24"/>
        </w:rPr>
        <w:t>REFERENCES</w:t>
      </w:r>
    </w:p>
    <w:p w14:paraId="58E87D48" w14:textId="77777777" w:rsidR="00D47D84" w:rsidRPr="00FE6144" w:rsidRDefault="00D47D84" w:rsidP="00D47D84">
      <w:pPr>
        <w:pStyle w:val="NormalWeb"/>
        <w:numPr>
          <w:ilvl w:val="0"/>
          <w:numId w:val="2"/>
        </w:numPr>
        <w:spacing w:before="240" w:beforeAutospacing="0" w:after="0" w:afterAutospacing="0" w:line="360" w:lineRule="auto"/>
        <w:jc w:val="both"/>
        <w:textAlignment w:val="baseline"/>
        <w:rPr>
          <w:color w:val="000000"/>
        </w:rPr>
      </w:pPr>
      <w:r w:rsidRPr="00FE6144">
        <w:rPr>
          <w:color w:val="000000"/>
        </w:rPr>
        <w:t xml:space="preserve">Dash, S. K., &amp; </w:t>
      </w:r>
      <w:proofErr w:type="spellStart"/>
      <w:r w:rsidRPr="00FE6144">
        <w:rPr>
          <w:color w:val="000000"/>
        </w:rPr>
        <w:t>Kakarlapudi</w:t>
      </w:r>
      <w:proofErr w:type="spellEnd"/>
      <w:r w:rsidRPr="00FE6144">
        <w:rPr>
          <w:color w:val="000000"/>
        </w:rPr>
        <w:t>, K. K. (2021) Kerala's GST revenue performance in a comparative perspective</w:t>
      </w:r>
      <w:r w:rsidRPr="00FE6144">
        <w:rPr>
          <w:i/>
          <w:iCs/>
          <w:color w:val="000000"/>
        </w:rPr>
        <w:t>.</w:t>
      </w:r>
      <w:r w:rsidRPr="00FE6144">
        <w:rPr>
          <w:color w:val="000000"/>
        </w:rPr>
        <w:t xml:space="preserve"> </w:t>
      </w:r>
      <w:r w:rsidRPr="00FE6144">
        <w:rPr>
          <w:i/>
          <w:iCs/>
          <w:color w:val="000000"/>
        </w:rPr>
        <w:t>Kerala Economy</w:t>
      </w:r>
      <w:r w:rsidRPr="00FE6144">
        <w:rPr>
          <w:color w:val="000000"/>
        </w:rPr>
        <w:t xml:space="preserve"> VOL. 2, pp 33-39.</w:t>
      </w:r>
    </w:p>
    <w:p w14:paraId="6A1B165C" w14:textId="77777777" w:rsidR="00D47D84" w:rsidRPr="00FE6144" w:rsidRDefault="00D47D84" w:rsidP="00D47D84">
      <w:pPr>
        <w:pStyle w:val="NormalWeb"/>
        <w:numPr>
          <w:ilvl w:val="0"/>
          <w:numId w:val="4"/>
        </w:numPr>
        <w:spacing w:before="240" w:beforeAutospacing="0" w:after="240" w:afterAutospacing="0" w:line="360" w:lineRule="auto"/>
        <w:jc w:val="both"/>
        <w:rPr>
          <w:color w:val="000000"/>
          <w:kern w:val="2"/>
          <w:lang w:bidi="ar-SA"/>
          <w14:ligatures w14:val="standardContextual"/>
        </w:rPr>
      </w:pPr>
      <w:r w:rsidRPr="00FE6144">
        <w:rPr>
          <w:color w:val="000000"/>
        </w:rPr>
        <w:lastRenderedPageBreak/>
        <w:t>Dash, S.K., &amp; Kumar A.S. (2022</w:t>
      </w:r>
      <w:r w:rsidRPr="00FE6144">
        <w:rPr>
          <w:i/>
          <w:iCs/>
          <w:color w:val="000000"/>
        </w:rPr>
        <w:t>). Impact of GST on inflation: Evidence from Bayesian causal analysis</w:t>
      </w:r>
      <w:r w:rsidRPr="00FE6144">
        <w:rPr>
          <w:color w:val="000000"/>
        </w:rPr>
        <w:t xml:space="preserve">. Thiruvananthapuram: Gulati Institute of Finance and Taxation. </w:t>
      </w:r>
    </w:p>
    <w:p w14:paraId="2C35B425" w14:textId="77777777" w:rsidR="00D47D84" w:rsidRPr="00FE6144" w:rsidRDefault="00D47D84" w:rsidP="00D47D84">
      <w:pPr>
        <w:pStyle w:val="NormalWeb"/>
        <w:numPr>
          <w:ilvl w:val="0"/>
          <w:numId w:val="2"/>
        </w:numPr>
        <w:spacing w:before="0" w:beforeAutospacing="0" w:after="0" w:afterAutospacing="0" w:line="360" w:lineRule="auto"/>
        <w:jc w:val="both"/>
        <w:textAlignment w:val="baseline"/>
        <w:rPr>
          <w:color w:val="000000"/>
        </w:rPr>
      </w:pPr>
      <w:r w:rsidRPr="00FE6144">
        <w:rPr>
          <w:color w:val="000000"/>
        </w:rPr>
        <w:t xml:space="preserve">India. Controller and auditor general (CAG) (2017). </w:t>
      </w:r>
      <w:r w:rsidRPr="00FE6144">
        <w:rPr>
          <w:i/>
          <w:iCs/>
          <w:color w:val="000000"/>
        </w:rPr>
        <w:t xml:space="preserve">Combined finance and revenue accounts of the Union and state governments in India for the year 2015-16, </w:t>
      </w:r>
      <w:r w:rsidRPr="00FE6144">
        <w:rPr>
          <w:color w:val="000000"/>
        </w:rPr>
        <w:t>Volume 1. New Delhi.</w:t>
      </w:r>
    </w:p>
    <w:p w14:paraId="234CB86C" w14:textId="77777777" w:rsidR="00D47D84" w:rsidRPr="00FE6144" w:rsidRDefault="00D47D84" w:rsidP="00D47D84">
      <w:pPr>
        <w:pStyle w:val="NormalWeb"/>
        <w:numPr>
          <w:ilvl w:val="0"/>
          <w:numId w:val="2"/>
        </w:numPr>
        <w:spacing w:before="0" w:beforeAutospacing="0" w:after="0" w:afterAutospacing="0" w:line="360" w:lineRule="auto"/>
        <w:jc w:val="both"/>
        <w:textAlignment w:val="baseline"/>
        <w:rPr>
          <w:color w:val="000000"/>
        </w:rPr>
      </w:pPr>
      <w:r w:rsidRPr="00FE6144">
        <w:rPr>
          <w:color w:val="000000"/>
        </w:rPr>
        <w:t xml:space="preserve">Isaac, T.M. Thomas., Mohan, R., &amp; Chakraborty, </w:t>
      </w:r>
      <w:proofErr w:type="spellStart"/>
      <w:r w:rsidRPr="00FE6144">
        <w:rPr>
          <w:color w:val="000000"/>
        </w:rPr>
        <w:t>Lekha</w:t>
      </w:r>
      <w:proofErr w:type="spellEnd"/>
      <w:r w:rsidRPr="00FE6144">
        <w:rPr>
          <w:color w:val="000000"/>
        </w:rPr>
        <w:t xml:space="preserve"> (Eds). (2019). </w:t>
      </w:r>
      <w:r w:rsidRPr="00FE6144">
        <w:rPr>
          <w:i/>
          <w:iCs/>
          <w:color w:val="000000"/>
        </w:rPr>
        <w:t>Challenges To Indian Fiscal Federalism.</w:t>
      </w:r>
      <w:r w:rsidRPr="00FE6144">
        <w:rPr>
          <w:color w:val="000000"/>
        </w:rPr>
        <w:t xml:space="preserve"> Delhi:</w:t>
      </w:r>
      <w:r w:rsidRPr="00FE6144">
        <w:rPr>
          <w:i/>
          <w:iCs/>
          <w:color w:val="000000"/>
        </w:rPr>
        <w:t xml:space="preserve"> </w:t>
      </w:r>
      <w:r w:rsidRPr="00FE6144">
        <w:rPr>
          <w:color w:val="000000"/>
        </w:rPr>
        <w:t xml:space="preserve">Naya </w:t>
      </w:r>
      <w:proofErr w:type="spellStart"/>
      <w:r w:rsidRPr="00FE6144">
        <w:rPr>
          <w:color w:val="000000"/>
        </w:rPr>
        <w:t>Raste</w:t>
      </w:r>
      <w:proofErr w:type="spellEnd"/>
      <w:r w:rsidRPr="00FE6144">
        <w:rPr>
          <w:color w:val="000000"/>
        </w:rPr>
        <w:t xml:space="preserve"> Publishers </w:t>
      </w:r>
      <w:proofErr w:type="spellStart"/>
      <w:r w:rsidRPr="00FE6144">
        <w:rPr>
          <w:color w:val="000000"/>
        </w:rPr>
        <w:t>Pvt.</w:t>
      </w:r>
      <w:proofErr w:type="spellEnd"/>
      <w:r w:rsidRPr="00FE6144">
        <w:rPr>
          <w:color w:val="000000"/>
        </w:rPr>
        <w:t xml:space="preserve"> Ltd.</w:t>
      </w:r>
    </w:p>
    <w:p w14:paraId="514BDDED" w14:textId="77777777" w:rsidR="00D47D84" w:rsidRPr="00FE6144" w:rsidRDefault="00D47D84" w:rsidP="00D47D84">
      <w:pPr>
        <w:pStyle w:val="NormalWeb"/>
        <w:numPr>
          <w:ilvl w:val="0"/>
          <w:numId w:val="2"/>
        </w:numPr>
        <w:spacing w:before="0" w:beforeAutospacing="0" w:after="0" w:afterAutospacing="0" w:line="360" w:lineRule="auto"/>
        <w:jc w:val="both"/>
        <w:textAlignment w:val="baseline"/>
        <w:rPr>
          <w:color w:val="000000"/>
        </w:rPr>
      </w:pPr>
      <w:r w:rsidRPr="00FE6144">
        <w:rPr>
          <w:color w:val="000000"/>
        </w:rPr>
        <w:t xml:space="preserve">Isaac, T.M. Tomas., &amp; </w:t>
      </w:r>
      <w:proofErr w:type="spellStart"/>
      <w:r w:rsidRPr="00FE6144">
        <w:rPr>
          <w:color w:val="000000"/>
        </w:rPr>
        <w:t>Ramakumar</w:t>
      </w:r>
      <w:proofErr w:type="spellEnd"/>
      <w:r w:rsidRPr="00FE6144">
        <w:rPr>
          <w:color w:val="000000"/>
        </w:rPr>
        <w:t xml:space="preserve">., R. (2006). Why Do the States Not Spend? An Exploration of the Phenomenon of Cash Surpluses and the FRBM Legislation. </w:t>
      </w:r>
      <w:r w:rsidRPr="00FE6144">
        <w:rPr>
          <w:i/>
          <w:iCs/>
          <w:color w:val="000000"/>
        </w:rPr>
        <w:t>Economic and Political Weekly</w:t>
      </w:r>
      <w:r w:rsidRPr="00FE6144">
        <w:rPr>
          <w:color w:val="000000"/>
        </w:rPr>
        <w:t>, Vol.41, No-48, Pp no-4965-4976.</w:t>
      </w:r>
    </w:p>
    <w:p w14:paraId="668DAD01" w14:textId="77777777" w:rsidR="00D47D84" w:rsidRPr="00FE6144" w:rsidRDefault="00D47D84" w:rsidP="00D47D84">
      <w:pPr>
        <w:pStyle w:val="ListParagraph"/>
        <w:numPr>
          <w:ilvl w:val="0"/>
          <w:numId w:val="4"/>
        </w:numPr>
        <w:spacing w:after="0" w:line="360" w:lineRule="auto"/>
        <w:jc w:val="both"/>
        <w:rPr>
          <w:rFonts w:ascii="Times New Roman" w:eastAsia="Times New Roman" w:hAnsi="Times New Roman" w:cs="Times New Roman"/>
          <w:b/>
          <w:bCs/>
          <w:color w:val="000000"/>
          <w:sz w:val="24"/>
          <w:szCs w:val="24"/>
          <w:lang w:eastAsia="en-IN"/>
        </w:rPr>
      </w:pPr>
      <w:r w:rsidRPr="00FE6144">
        <w:rPr>
          <w:rFonts w:ascii="Times New Roman" w:hAnsi="Times New Roman" w:cs="Times New Roman"/>
          <w:color w:val="000000"/>
          <w:sz w:val="24"/>
          <w:szCs w:val="24"/>
        </w:rPr>
        <w:t xml:space="preserve">Joseph, K.J., &amp; </w:t>
      </w:r>
      <w:proofErr w:type="spellStart"/>
      <w:r w:rsidRPr="00FE6144">
        <w:rPr>
          <w:rFonts w:ascii="Times New Roman" w:hAnsi="Times New Roman" w:cs="Times New Roman"/>
          <w:color w:val="000000"/>
          <w:sz w:val="24"/>
          <w:szCs w:val="24"/>
        </w:rPr>
        <w:t>Kumary</w:t>
      </w:r>
      <w:proofErr w:type="spellEnd"/>
      <w:r w:rsidRPr="00FE6144">
        <w:rPr>
          <w:rFonts w:ascii="Times New Roman" w:hAnsi="Times New Roman" w:cs="Times New Roman"/>
          <w:color w:val="000000"/>
          <w:sz w:val="24"/>
          <w:szCs w:val="24"/>
        </w:rPr>
        <w:t xml:space="preserve">, </w:t>
      </w:r>
      <w:proofErr w:type="spellStart"/>
      <w:r w:rsidRPr="00FE6144">
        <w:rPr>
          <w:rFonts w:ascii="Times New Roman" w:hAnsi="Times New Roman" w:cs="Times New Roman"/>
          <w:color w:val="000000"/>
          <w:sz w:val="24"/>
          <w:szCs w:val="24"/>
        </w:rPr>
        <w:t>Anitha</w:t>
      </w:r>
      <w:proofErr w:type="spellEnd"/>
      <w:r w:rsidRPr="00FE6144">
        <w:rPr>
          <w:rFonts w:ascii="Times New Roman" w:hAnsi="Times New Roman" w:cs="Times New Roman"/>
          <w:color w:val="000000"/>
          <w:sz w:val="24"/>
          <w:szCs w:val="24"/>
        </w:rPr>
        <w:t xml:space="preserve"> L. (2022). </w:t>
      </w:r>
      <w:r w:rsidRPr="00FE6144">
        <w:rPr>
          <w:rFonts w:ascii="Times New Roman" w:eastAsia="Times New Roman" w:hAnsi="Times New Roman" w:cs="Times New Roman"/>
          <w:i/>
          <w:iCs/>
          <w:color w:val="000000"/>
          <w:sz w:val="24"/>
          <w:szCs w:val="24"/>
          <w:lang w:eastAsia="en-IN"/>
        </w:rPr>
        <w:t>India’s GST paradigm and the trajectory of fiscal federalism: An analysis with special reference to Kerala</w:t>
      </w:r>
      <w:r w:rsidRPr="00FE6144">
        <w:rPr>
          <w:rFonts w:ascii="Times New Roman" w:eastAsia="Times New Roman" w:hAnsi="Times New Roman" w:cs="Times New Roman"/>
          <w:color w:val="000000"/>
          <w:sz w:val="24"/>
          <w:szCs w:val="24"/>
          <w:lang w:eastAsia="en-IN"/>
        </w:rPr>
        <w:t xml:space="preserve">. Thiruvananthapuram: Gulati Institute of Finance and Taxation. </w:t>
      </w:r>
    </w:p>
    <w:p w14:paraId="6432EC62" w14:textId="77777777" w:rsidR="00D47D84" w:rsidRPr="00FE6144" w:rsidRDefault="00D47D84" w:rsidP="00D47D84">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bidi="ml-IN"/>
          <w14:ligatures w14:val="none"/>
        </w:rPr>
      </w:pPr>
      <w:r w:rsidRPr="00FE6144">
        <w:rPr>
          <w:rFonts w:ascii="Times New Roman" w:eastAsia="Times New Roman" w:hAnsi="Times New Roman" w:cs="Times New Roman"/>
          <w:color w:val="000000"/>
          <w:kern w:val="0"/>
          <w:sz w:val="24"/>
          <w:szCs w:val="24"/>
          <w:lang w:eastAsia="en-IN" w:bidi="ml-IN"/>
          <w14:ligatures w14:val="none"/>
        </w:rPr>
        <w:t xml:space="preserve">Mukherjee, S. (2020a). </w:t>
      </w:r>
      <w:r w:rsidRPr="00FE6144">
        <w:rPr>
          <w:rFonts w:ascii="Times New Roman" w:eastAsia="Times New Roman" w:hAnsi="Times New Roman" w:cs="Times New Roman"/>
          <w:i/>
          <w:iCs/>
          <w:color w:val="000000"/>
          <w:kern w:val="0"/>
          <w:sz w:val="24"/>
          <w:szCs w:val="24"/>
          <w:lang w:eastAsia="en-IN" w:bidi="ml-IN"/>
          <w14:ligatures w14:val="none"/>
        </w:rPr>
        <w:t>Performance Assessment of Indian GST: State-level Analysis of Compliance Gap and Revenue Growth</w:t>
      </w:r>
      <w:r w:rsidRPr="00FE6144">
        <w:rPr>
          <w:rFonts w:ascii="Times New Roman" w:eastAsia="Times New Roman" w:hAnsi="Times New Roman" w:cs="Times New Roman"/>
          <w:color w:val="000000"/>
          <w:kern w:val="0"/>
          <w:sz w:val="24"/>
          <w:szCs w:val="24"/>
          <w:lang w:eastAsia="en-IN" w:bidi="ml-IN"/>
          <w14:ligatures w14:val="none"/>
        </w:rPr>
        <w:t xml:space="preserve">, Working Paper No. 301 (No. 20/301). New Delhi: National Institute of Public Finance and Policy. </w:t>
      </w:r>
    </w:p>
    <w:p w14:paraId="10A35075" w14:textId="77777777" w:rsidR="00D47D84" w:rsidRPr="00BB4741" w:rsidRDefault="00D47D84" w:rsidP="00D47D84">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bidi="ml-IN"/>
          <w14:ligatures w14:val="none"/>
        </w:rPr>
      </w:pPr>
      <w:r w:rsidRPr="00FE6144">
        <w:rPr>
          <w:rFonts w:ascii="Times New Roman" w:eastAsia="Times New Roman" w:hAnsi="Times New Roman" w:cs="Times New Roman"/>
          <w:color w:val="000000"/>
          <w:kern w:val="0"/>
          <w:sz w:val="24"/>
          <w:szCs w:val="24"/>
          <w:lang w:eastAsia="en-IN" w:bidi="ml-IN"/>
          <w14:ligatures w14:val="none"/>
        </w:rPr>
        <w:t xml:space="preserve">Mukherjee, S. (2020b). Goods and Services Tax efficiency across Indian States: panel stochastic frontier analysis. </w:t>
      </w:r>
      <w:r w:rsidRPr="00FE6144">
        <w:rPr>
          <w:rFonts w:ascii="Times New Roman" w:eastAsia="Times New Roman" w:hAnsi="Times New Roman" w:cs="Times New Roman"/>
          <w:i/>
          <w:iCs/>
          <w:color w:val="000000"/>
          <w:kern w:val="0"/>
          <w:sz w:val="24"/>
          <w:szCs w:val="24"/>
          <w:lang w:eastAsia="en-IN" w:bidi="ml-IN"/>
          <w14:ligatures w14:val="none"/>
        </w:rPr>
        <w:t>Indian Economic Review</w:t>
      </w:r>
      <w:r w:rsidRPr="00FE6144">
        <w:rPr>
          <w:rFonts w:ascii="Times New Roman" w:eastAsia="Times New Roman" w:hAnsi="Times New Roman" w:cs="Times New Roman"/>
          <w:color w:val="000000"/>
          <w:kern w:val="0"/>
          <w:sz w:val="24"/>
          <w:szCs w:val="24"/>
          <w:lang w:eastAsia="en-IN" w:bidi="ml-IN"/>
          <w14:ligatures w14:val="none"/>
        </w:rPr>
        <w:t xml:space="preserve">, 55(2), 225-251. </w:t>
      </w:r>
    </w:p>
    <w:p w14:paraId="64525EB6" w14:textId="77777777" w:rsidR="00D47D84" w:rsidRPr="00FE6144" w:rsidRDefault="00D47D84" w:rsidP="00D47D84">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bidi="ml-IN"/>
          <w14:ligatures w14:val="none"/>
        </w:rPr>
      </w:pPr>
      <w:r w:rsidRPr="00FE6144">
        <w:rPr>
          <w:rFonts w:ascii="Times New Roman" w:eastAsia="Times New Roman" w:hAnsi="Times New Roman" w:cs="Times New Roman"/>
          <w:color w:val="000000"/>
          <w:kern w:val="0"/>
          <w:sz w:val="24"/>
          <w:szCs w:val="24"/>
          <w:lang w:eastAsia="en-IN" w:bidi="ml-IN"/>
          <w14:ligatures w14:val="none"/>
        </w:rPr>
        <w:t xml:space="preserve">Rao, M. G. (2011). Goods and Services Tax: A Gorilla, Chimpanzee or a Genus Like Primates? </w:t>
      </w:r>
      <w:r w:rsidRPr="00FE6144">
        <w:rPr>
          <w:rFonts w:ascii="Times New Roman" w:eastAsia="Times New Roman" w:hAnsi="Times New Roman" w:cs="Times New Roman"/>
          <w:i/>
          <w:iCs/>
          <w:color w:val="000000"/>
          <w:kern w:val="0"/>
          <w:sz w:val="24"/>
          <w:szCs w:val="24"/>
          <w:lang w:eastAsia="en-IN" w:bidi="ml-IN"/>
          <w14:ligatures w14:val="none"/>
        </w:rPr>
        <w:t>Economic and Political Weekly</w:t>
      </w:r>
      <w:r w:rsidRPr="00FE6144">
        <w:rPr>
          <w:rFonts w:ascii="Times New Roman" w:eastAsia="Times New Roman" w:hAnsi="Times New Roman" w:cs="Times New Roman"/>
          <w:color w:val="000000"/>
          <w:kern w:val="0"/>
          <w:sz w:val="24"/>
          <w:szCs w:val="24"/>
          <w:lang w:eastAsia="en-IN" w:bidi="ml-IN"/>
          <w14:ligatures w14:val="none"/>
        </w:rPr>
        <w:t xml:space="preserve">, 46 (7), 43-48. </w:t>
      </w:r>
    </w:p>
    <w:p w14:paraId="47084D86" w14:textId="77777777" w:rsidR="00D47D84" w:rsidRPr="004507E7" w:rsidRDefault="00D47D84" w:rsidP="00D47D84">
      <w:pPr>
        <w:pStyle w:val="NormalWeb"/>
        <w:numPr>
          <w:ilvl w:val="0"/>
          <w:numId w:val="2"/>
        </w:numPr>
        <w:spacing w:before="0" w:beforeAutospacing="0" w:after="0" w:afterAutospacing="0" w:line="360" w:lineRule="auto"/>
        <w:jc w:val="both"/>
        <w:textAlignment w:val="baseline"/>
        <w:rPr>
          <w:color w:val="000000"/>
        </w:rPr>
      </w:pPr>
      <w:r w:rsidRPr="00FE6144">
        <w:rPr>
          <w:color w:val="000000"/>
        </w:rPr>
        <w:t xml:space="preserve">Rao, M.G. (2005). </w:t>
      </w:r>
      <w:r w:rsidRPr="00FE6144">
        <w:rPr>
          <w:i/>
          <w:iCs/>
          <w:color w:val="000000"/>
        </w:rPr>
        <w:t>Changing contours in fiscal federalism in India</w:t>
      </w:r>
      <w:r w:rsidRPr="00FE6144">
        <w:rPr>
          <w:color w:val="000000"/>
        </w:rPr>
        <w:t>.  New Delhi: National Institute of Public Finance and Policy.</w:t>
      </w:r>
    </w:p>
    <w:p w14:paraId="2492EC9E" w14:textId="77777777" w:rsidR="00D47D84" w:rsidRPr="00263EF1" w:rsidRDefault="00D47D84" w:rsidP="00D47D84">
      <w:pPr>
        <w:pStyle w:val="ListParagraph"/>
        <w:numPr>
          <w:ilvl w:val="0"/>
          <w:numId w:val="3"/>
        </w:numPr>
        <w:spacing w:after="0" w:line="360" w:lineRule="auto"/>
        <w:jc w:val="both"/>
        <w:rPr>
          <w:rFonts w:ascii="Times New Roman" w:eastAsia="Times New Roman" w:hAnsi="Times New Roman" w:cs="Times New Roman"/>
          <w:kern w:val="0"/>
          <w:sz w:val="24"/>
          <w:szCs w:val="24"/>
          <w:lang w:eastAsia="en-IN" w:bidi="ml-IN"/>
          <w14:ligatures w14:val="none"/>
        </w:rPr>
      </w:pPr>
      <w:r w:rsidRPr="00FE6144">
        <w:rPr>
          <w:rFonts w:ascii="Times New Roman" w:eastAsia="Times New Roman" w:hAnsi="Times New Roman" w:cs="Times New Roman"/>
          <w:color w:val="000000"/>
          <w:kern w:val="0"/>
          <w:sz w:val="24"/>
          <w:szCs w:val="24"/>
          <w:lang w:eastAsia="en-IN" w:bidi="ml-IN"/>
          <w14:ligatures w14:val="none"/>
        </w:rPr>
        <w:t xml:space="preserve">Rao, M.G., &amp; Singh, N. (2005). </w:t>
      </w:r>
      <w:r w:rsidRPr="00FE6144">
        <w:rPr>
          <w:rFonts w:ascii="Times New Roman" w:eastAsia="Times New Roman" w:hAnsi="Times New Roman" w:cs="Times New Roman"/>
          <w:i/>
          <w:iCs/>
          <w:color w:val="000000"/>
          <w:kern w:val="0"/>
          <w:sz w:val="24"/>
          <w:szCs w:val="24"/>
          <w:lang w:eastAsia="en-IN" w:bidi="ml-IN"/>
          <w14:ligatures w14:val="none"/>
        </w:rPr>
        <w:t>Political economy of federalism in India</w:t>
      </w:r>
      <w:r w:rsidRPr="00FE6144">
        <w:rPr>
          <w:rFonts w:ascii="Times New Roman" w:eastAsia="Times New Roman" w:hAnsi="Times New Roman" w:cs="Times New Roman"/>
          <w:color w:val="000000"/>
          <w:kern w:val="0"/>
          <w:sz w:val="24"/>
          <w:szCs w:val="24"/>
          <w:lang w:eastAsia="en-IN" w:bidi="ml-IN"/>
          <w14:ligatures w14:val="none"/>
        </w:rPr>
        <w:t>. New Delhi: Oxford University Press.</w:t>
      </w:r>
    </w:p>
    <w:p w14:paraId="338C2232" w14:textId="77777777" w:rsidR="00D47D84" w:rsidRPr="00FE6144" w:rsidRDefault="00D47D84" w:rsidP="00D47D84">
      <w:pPr>
        <w:pStyle w:val="NormalWeb"/>
        <w:numPr>
          <w:ilvl w:val="0"/>
          <w:numId w:val="2"/>
        </w:numPr>
        <w:spacing w:before="0" w:beforeAutospacing="0" w:after="0" w:afterAutospacing="0" w:line="360" w:lineRule="auto"/>
        <w:jc w:val="both"/>
        <w:textAlignment w:val="baseline"/>
        <w:rPr>
          <w:color w:val="000000"/>
        </w:rPr>
      </w:pPr>
      <w:r w:rsidRPr="00FE6144">
        <w:rPr>
          <w:color w:val="000000"/>
        </w:rPr>
        <w:t>Reddy, Y. V., &amp; Reddy, G. R. (2019)</w:t>
      </w:r>
      <w:r w:rsidRPr="00FE6144">
        <w:rPr>
          <w:i/>
          <w:iCs/>
          <w:color w:val="000000"/>
        </w:rPr>
        <w:t xml:space="preserve"> Indian Fiscal Federalism</w:t>
      </w:r>
      <w:r w:rsidRPr="00FE6144">
        <w:rPr>
          <w:color w:val="000000"/>
        </w:rPr>
        <w:t>. New Delhi: Oxford University Press.</w:t>
      </w:r>
    </w:p>
    <w:p w14:paraId="2208A5DE" w14:textId="77777777" w:rsidR="00D47D84" w:rsidRPr="00FE6144" w:rsidRDefault="00D47D84" w:rsidP="00D47D84">
      <w:pPr>
        <w:pStyle w:val="NormalWeb"/>
        <w:numPr>
          <w:ilvl w:val="0"/>
          <w:numId w:val="2"/>
        </w:numPr>
        <w:spacing w:before="0" w:beforeAutospacing="0" w:after="0" w:afterAutospacing="0" w:line="360" w:lineRule="auto"/>
        <w:jc w:val="both"/>
        <w:textAlignment w:val="baseline"/>
        <w:rPr>
          <w:color w:val="000000"/>
        </w:rPr>
      </w:pPr>
      <w:proofErr w:type="spellStart"/>
      <w:r w:rsidRPr="00FE6144">
        <w:rPr>
          <w:color w:val="000000"/>
        </w:rPr>
        <w:t>Renjith</w:t>
      </w:r>
      <w:proofErr w:type="spellEnd"/>
      <w:r w:rsidRPr="00FE6144">
        <w:rPr>
          <w:color w:val="000000"/>
        </w:rPr>
        <w:t>, P. S., &amp; Shanmugam, K. R. (2018). Sustainable debt policies of Indian state governments. Margin:</w:t>
      </w:r>
      <w:r w:rsidRPr="00FE6144">
        <w:rPr>
          <w:i/>
          <w:iCs/>
          <w:color w:val="000000"/>
        </w:rPr>
        <w:t xml:space="preserve"> The Journal of Applied Economic Research</w:t>
      </w:r>
      <w:r w:rsidRPr="00FE6144">
        <w:rPr>
          <w:color w:val="000000"/>
        </w:rPr>
        <w:t>, 12(2), 224-243.</w:t>
      </w:r>
    </w:p>
    <w:p w14:paraId="01A828F6" w14:textId="7C50E58F" w:rsidR="00D47D84" w:rsidRDefault="00D47D84" w:rsidP="0083663A">
      <w:pPr>
        <w:pStyle w:val="ListParagraph"/>
        <w:numPr>
          <w:ilvl w:val="0"/>
          <w:numId w:val="4"/>
        </w:numPr>
        <w:shd w:val="clear" w:color="auto" w:fill="FFFFFF"/>
        <w:spacing w:after="0" w:line="360" w:lineRule="auto"/>
        <w:jc w:val="both"/>
      </w:pPr>
      <w:r w:rsidRPr="00A721FC">
        <w:rPr>
          <w:rFonts w:ascii="Times New Roman" w:hAnsi="Times New Roman" w:cs="Times New Roman"/>
          <w:color w:val="000000"/>
          <w:sz w:val="24"/>
          <w:szCs w:val="24"/>
        </w:rPr>
        <w:t xml:space="preserve">Srinivasan, R., &amp; </w:t>
      </w:r>
      <w:proofErr w:type="spellStart"/>
      <w:r w:rsidRPr="00A721FC">
        <w:rPr>
          <w:rFonts w:ascii="Times New Roman" w:hAnsi="Times New Roman" w:cs="Times New Roman"/>
          <w:color w:val="000000"/>
          <w:sz w:val="24"/>
          <w:szCs w:val="24"/>
        </w:rPr>
        <w:t>Durai</w:t>
      </w:r>
      <w:proofErr w:type="spellEnd"/>
      <w:r w:rsidRPr="00A721FC">
        <w:rPr>
          <w:rFonts w:ascii="Times New Roman" w:hAnsi="Times New Roman" w:cs="Times New Roman"/>
          <w:color w:val="000000"/>
          <w:sz w:val="24"/>
          <w:szCs w:val="24"/>
        </w:rPr>
        <w:t xml:space="preserve">, S.R.S. (2022). </w:t>
      </w:r>
      <w:r w:rsidRPr="00A721FC">
        <w:rPr>
          <w:rFonts w:ascii="Times New Roman" w:hAnsi="Times New Roman" w:cs="Times New Roman"/>
          <w:i/>
          <w:iCs/>
          <w:sz w:val="24"/>
          <w:szCs w:val="24"/>
        </w:rPr>
        <w:t xml:space="preserve">Fiscal Federalism in India: A Case for Reassigning of Tax Powers. </w:t>
      </w:r>
      <w:r w:rsidRPr="00A721FC">
        <w:rPr>
          <w:rFonts w:ascii="Times New Roman" w:hAnsi="Times New Roman" w:cs="Times New Roman"/>
          <w:sz w:val="24"/>
          <w:szCs w:val="24"/>
        </w:rPr>
        <w:t>Chennai: Centre for Public Finance, Madras School of Economics.</w:t>
      </w:r>
    </w:p>
    <w:p w14:paraId="3DA73018" w14:textId="77777777" w:rsidR="008758E5" w:rsidRPr="008758E5" w:rsidRDefault="008758E5" w:rsidP="004750C7">
      <w:pPr>
        <w:spacing w:line="360" w:lineRule="auto"/>
        <w:rPr>
          <w:rFonts w:ascii="Times New Roman" w:hAnsi="Times New Roman" w:cs="Times New Roman"/>
          <w:sz w:val="24"/>
          <w:szCs w:val="24"/>
        </w:rPr>
      </w:pPr>
    </w:p>
    <w:sectPr w:rsidR="008758E5" w:rsidRPr="008758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30EC0"/>
    <w:multiLevelType w:val="hybridMultilevel"/>
    <w:tmpl w:val="DCAA2A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222E32"/>
    <w:multiLevelType w:val="hybridMultilevel"/>
    <w:tmpl w:val="BF269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B0C3F41"/>
    <w:multiLevelType w:val="hybridMultilevel"/>
    <w:tmpl w:val="2326D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226F92"/>
    <w:multiLevelType w:val="multilevel"/>
    <w:tmpl w:val="ECAAE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91341">
    <w:abstractNumId w:val="0"/>
  </w:num>
  <w:num w:numId="2" w16cid:durableId="1660114933">
    <w:abstractNumId w:val="3"/>
  </w:num>
  <w:num w:numId="3" w16cid:durableId="379403374">
    <w:abstractNumId w:val="2"/>
  </w:num>
  <w:num w:numId="4" w16cid:durableId="59644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160"/>
    <w:rsid w:val="0025481D"/>
    <w:rsid w:val="00265160"/>
    <w:rsid w:val="002B04B9"/>
    <w:rsid w:val="002D149D"/>
    <w:rsid w:val="004750C7"/>
    <w:rsid w:val="00603ABB"/>
    <w:rsid w:val="00695109"/>
    <w:rsid w:val="008749CB"/>
    <w:rsid w:val="008758E5"/>
    <w:rsid w:val="008D4F03"/>
    <w:rsid w:val="008F4EEC"/>
    <w:rsid w:val="00A721FC"/>
    <w:rsid w:val="00B91585"/>
    <w:rsid w:val="00BC782E"/>
    <w:rsid w:val="00D47D84"/>
    <w:rsid w:val="00D7196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2172C"/>
  <w15:chartTrackingRefBased/>
  <w15:docId w15:val="{B341CB5B-D861-46C9-AB4E-39A23D13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5160"/>
    <w:pPr>
      <w:ind w:left="720"/>
      <w:contextualSpacing/>
    </w:pPr>
  </w:style>
  <w:style w:type="character" w:styleId="Hyperlink">
    <w:name w:val="Hyperlink"/>
    <w:basedOn w:val="DefaultParagraphFont"/>
    <w:uiPriority w:val="99"/>
    <w:unhideWhenUsed/>
    <w:rsid w:val="008D4F03"/>
    <w:rPr>
      <w:color w:val="0563C1" w:themeColor="hyperlink"/>
      <w:u w:val="single"/>
    </w:rPr>
  </w:style>
  <w:style w:type="character" w:styleId="UnresolvedMention">
    <w:name w:val="Unresolved Mention"/>
    <w:basedOn w:val="DefaultParagraphFont"/>
    <w:uiPriority w:val="99"/>
    <w:semiHidden/>
    <w:unhideWhenUsed/>
    <w:rsid w:val="008D4F03"/>
    <w:rPr>
      <w:color w:val="605E5C"/>
      <w:shd w:val="clear" w:color="auto" w:fill="E1DFDD"/>
    </w:rPr>
  </w:style>
  <w:style w:type="paragraph" w:styleId="NormalWeb">
    <w:name w:val="Normal (Web)"/>
    <w:basedOn w:val="Normal"/>
    <w:uiPriority w:val="99"/>
    <w:unhideWhenUsed/>
    <w:rsid w:val="00D71967"/>
    <w:pPr>
      <w:spacing w:before="100" w:beforeAutospacing="1" w:after="100" w:afterAutospacing="1" w:line="240" w:lineRule="auto"/>
    </w:pPr>
    <w:rPr>
      <w:rFonts w:ascii="Times New Roman" w:eastAsia="Times New Roman" w:hAnsi="Times New Roman" w:cs="Times New Roman"/>
      <w:kern w:val="0"/>
      <w:sz w:val="24"/>
      <w:szCs w:val="24"/>
      <w:lang w:eastAsia="en-IN" w:bidi="ml-IN"/>
      <w14:ligatures w14:val="none"/>
    </w:rPr>
  </w:style>
  <w:style w:type="table" w:styleId="PlainTable5">
    <w:name w:val="Plain Table 5"/>
    <w:basedOn w:val="TableNormal"/>
    <w:uiPriority w:val="45"/>
    <w:rsid w:val="00D71967"/>
    <w:pPr>
      <w:spacing w:after="0" w:line="240" w:lineRule="auto"/>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39"/>
    <w:rsid w:val="00D7196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253695">
      <w:bodyDiv w:val="1"/>
      <w:marLeft w:val="0"/>
      <w:marRight w:val="0"/>
      <w:marTop w:val="0"/>
      <w:marBottom w:val="0"/>
      <w:divBdr>
        <w:top w:val="none" w:sz="0" w:space="0" w:color="auto"/>
        <w:left w:val="none" w:sz="0" w:space="0" w:color="auto"/>
        <w:bottom w:val="none" w:sz="0" w:space="0" w:color="auto"/>
        <w:right w:val="none" w:sz="0" w:space="0" w:color="auto"/>
      </w:divBdr>
      <w:divsChild>
        <w:div w:id="1882937448">
          <w:marLeft w:val="0"/>
          <w:marRight w:val="0"/>
          <w:marTop w:val="0"/>
          <w:marBottom w:val="0"/>
          <w:divBdr>
            <w:top w:val="none" w:sz="0" w:space="0" w:color="auto"/>
            <w:left w:val="none" w:sz="0" w:space="0" w:color="auto"/>
            <w:bottom w:val="none" w:sz="0" w:space="0" w:color="auto"/>
            <w:right w:val="none" w:sz="0" w:space="0" w:color="auto"/>
          </w:divBdr>
        </w:div>
        <w:div w:id="770467012">
          <w:marLeft w:val="0"/>
          <w:marRight w:val="0"/>
          <w:marTop w:val="0"/>
          <w:marBottom w:val="0"/>
          <w:divBdr>
            <w:top w:val="none" w:sz="0" w:space="0" w:color="auto"/>
            <w:left w:val="none" w:sz="0" w:space="0" w:color="auto"/>
            <w:bottom w:val="none" w:sz="0" w:space="0" w:color="auto"/>
            <w:right w:val="none" w:sz="0" w:space="0" w:color="auto"/>
          </w:divBdr>
        </w:div>
        <w:div w:id="1336685495">
          <w:marLeft w:val="0"/>
          <w:marRight w:val="0"/>
          <w:marTop w:val="0"/>
          <w:marBottom w:val="0"/>
          <w:divBdr>
            <w:top w:val="none" w:sz="0" w:space="0" w:color="auto"/>
            <w:left w:val="none" w:sz="0" w:space="0" w:color="auto"/>
            <w:bottom w:val="none" w:sz="0" w:space="0" w:color="auto"/>
            <w:right w:val="none" w:sz="0" w:space="0" w:color="auto"/>
          </w:divBdr>
        </w:div>
        <w:div w:id="33820997">
          <w:marLeft w:val="0"/>
          <w:marRight w:val="0"/>
          <w:marTop w:val="0"/>
          <w:marBottom w:val="0"/>
          <w:divBdr>
            <w:top w:val="none" w:sz="0" w:space="0" w:color="auto"/>
            <w:left w:val="none" w:sz="0" w:space="0" w:color="auto"/>
            <w:bottom w:val="none" w:sz="0" w:space="0" w:color="auto"/>
            <w:right w:val="none" w:sz="0" w:space="0" w:color="auto"/>
          </w:divBdr>
        </w:div>
        <w:div w:id="449786326">
          <w:marLeft w:val="0"/>
          <w:marRight w:val="0"/>
          <w:marTop w:val="0"/>
          <w:marBottom w:val="0"/>
          <w:divBdr>
            <w:top w:val="none" w:sz="0" w:space="0" w:color="auto"/>
            <w:left w:val="none" w:sz="0" w:space="0" w:color="auto"/>
            <w:bottom w:val="none" w:sz="0" w:space="0" w:color="auto"/>
            <w:right w:val="none" w:sz="0" w:space="0" w:color="auto"/>
          </w:divBdr>
        </w:div>
        <w:div w:id="1756592277">
          <w:marLeft w:val="0"/>
          <w:marRight w:val="0"/>
          <w:marTop w:val="0"/>
          <w:marBottom w:val="0"/>
          <w:divBdr>
            <w:top w:val="none" w:sz="0" w:space="0" w:color="auto"/>
            <w:left w:val="none" w:sz="0" w:space="0" w:color="auto"/>
            <w:bottom w:val="none" w:sz="0" w:space="0" w:color="auto"/>
            <w:right w:val="none" w:sz="0" w:space="0" w:color="auto"/>
          </w:divBdr>
        </w:div>
        <w:div w:id="89157112">
          <w:marLeft w:val="0"/>
          <w:marRight w:val="0"/>
          <w:marTop w:val="0"/>
          <w:marBottom w:val="0"/>
          <w:divBdr>
            <w:top w:val="none" w:sz="0" w:space="0" w:color="auto"/>
            <w:left w:val="none" w:sz="0" w:space="0" w:color="auto"/>
            <w:bottom w:val="none" w:sz="0" w:space="0" w:color="auto"/>
            <w:right w:val="none" w:sz="0" w:space="0" w:color="auto"/>
          </w:divBdr>
        </w:div>
        <w:div w:id="1930652479">
          <w:marLeft w:val="0"/>
          <w:marRight w:val="0"/>
          <w:marTop w:val="0"/>
          <w:marBottom w:val="0"/>
          <w:divBdr>
            <w:top w:val="none" w:sz="0" w:space="0" w:color="auto"/>
            <w:left w:val="none" w:sz="0" w:space="0" w:color="auto"/>
            <w:bottom w:val="none" w:sz="0" w:space="0" w:color="auto"/>
            <w:right w:val="none" w:sz="0" w:space="0" w:color="auto"/>
          </w:divBdr>
        </w:div>
        <w:div w:id="1911692931">
          <w:marLeft w:val="0"/>
          <w:marRight w:val="0"/>
          <w:marTop w:val="0"/>
          <w:marBottom w:val="0"/>
          <w:divBdr>
            <w:top w:val="none" w:sz="0" w:space="0" w:color="auto"/>
            <w:left w:val="none" w:sz="0" w:space="0" w:color="auto"/>
            <w:bottom w:val="none" w:sz="0" w:space="0" w:color="auto"/>
            <w:right w:val="none" w:sz="0" w:space="0" w:color="auto"/>
          </w:divBdr>
        </w:div>
        <w:div w:id="519009387">
          <w:marLeft w:val="0"/>
          <w:marRight w:val="0"/>
          <w:marTop w:val="0"/>
          <w:marBottom w:val="0"/>
          <w:divBdr>
            <w:top w:val="none" w:sz="0" w:space="0" w:color="auto"/>
            <w:left w:val="none" w:sz="0" w:space="0" w:color="auto"/>
            <w:bottom w:val="none" w:sz="0" w:space="0" w:color="auto"/>
            <w:right w:val="none" w:sz="0" w:space="0" w:color="auto"/>
          </w:divBdr>
        </w:div>
        <w:div w:id="1224832237">
          <w:marLeft w:val="0"/>
          <w:marRight w:val="0"/>
          <w:marTop w:val="0"/>
          <w:marBottom w:val="0"/>
          <w:divBdr>
            <w:top w:val="none" w:sz="0" w:space="0" w:color="auto"/>
            <w:left w:val="none" w:sz="0" w:space="0" w:color="auto"/>
            <w:bottom w:val="none" w:sz="0" w:space="0" w:color="auto"/>
            <w:right w:val="none" w:sz="0" w:space="0" w:color="auto"/>
          </w:divBdr>
        </w:div>
        <w:div w:id="1235820369">
          <w:marLeft w:val="0"/>
          <w:marRight w:val="0"/>
          <w:marTop w:val="0"/>
          <w:marBottom w:val="0"/>
          <w:divBdr>
            <w:top w:val="none" w:sz="0" w:space="0" w:color="auto"/>
            <w:left w:val="none" w:sz="0" w:space="0" w:color="auto"/>
            <w:bottom w:val="none" w:sz="0" w:space="0" w:color="auto"/>
            <w:right w:val="none" w:sz="0" w:space="0" w:color="auto"/>
          </w:divBdr>
        </w:div>
        <w:div w:id="1708795230">
          <w:marLeft w:val="0"/>
          <w:marRight w:val="0"/>
          <w:marTop w:val="0"/>
          <w:marBottom w:val="0"/>
          <w:divBdr>
            <w:top w:val="none" w:sz="0" w:space="0" w:color="auto"/>
            <w:left w:val="none" w:sz="0" w:space="0" w:color="auto"/>
            <w:bottom w:val="none" w:sz="0" w:space="0" w:color="auto"/>
            <w:right w:val="none" w:sz="0" w:space="0" w:color="auto"/>
          </w:divBdr>
        </w:div>
        <w:div w:id="188761885">
          <w:marLeft w:val="0"/>
          <w:marRight w:val="0"/>
          <w:marTop w:val="0"/>
          <w:marBottom w:val="0"/>
          <w:divBdr>
            <w:top w:val="none" w:sz="0" w:space="0" w:color="auto"/>
            <w:left w:val="none" w:sz="0" w:space="0" w:color="auto"/>
            <w:bottom w:val="none" w:sz="0" w:space="0" w:color="auto"/>
            <w:right w:val="none" w:sz="0" w:space="0" w:color="auto"/>
          </w:divBdr>
        </w:div>
        <w:div w:id="1197349210">
          <w:marLeft w:val="0"/>
          <w:marRight w:val="0"/>
          <w:marTop w:val="0"/>
          <w:marBottom w:val="0"/>
          <w:divBdr>
            <w:top w:val="none" w:sz="0" w:space="0" w:color="auto"/>
            <w:left w:val="none" w:sz="0" w:space="0" w:color="auto"/>
            <w:bottom w:val="none" w:sz="0" w:space="0" w:color="auto"/>
            <w:right w:val="none" w:sz="0" w:space="0" w:color="auto"/>
          </w:divBdr>
        </w:div>
        <w:div w:id="357393733">
          <w:marLeft w:val="0"/>
          <w:marRight w:val="0"/>
          <w:marTop w:val="0"/>
          <w:marBottom w:val="0"/>
          <w:divBdr>
            <w:top w:val="none" w:sz="0" w:space="0" w:color="auto"/>
            <w:left w:val="none" w:sz="0" w:space="0" w:color="auto"/>
            <w:bottom w:val="none" w:sz="0" w:space="0" w:color="auto"/>
            <w:right w:val="none" w:sz="0" w:space="0" w:color="auto"/>
          </w:divBdr>
        </w:div>
        <w:div w:id="914776328">
          <w:marLeft w:val="0"/>
          <w:marRight w:val="0"/>
          <w:marTop w:val="0"/>
          <w:marBottom w:val="0"/>
          <w:divBdr>
            <w:top w:val="none" w:sz="0" w:space="0" w:color="auto"/>
            <w:left w:val="none" w:sz="0" w:space="0" w:color="auto"/>
            <w:bottom w:val="none" w:sz="0" w:space="0" w:color="auto"/>
            <w:right w:val="none" w:sz="0" w:space="0" w:color="auto"/>
          </w:divBdr>
        </w:div>
        <w:div w:id="585848890">
          <w:marLeft w:val="0"/>
          <w:marRight w:val="0"/>
          <w:marTop w:val="0"/>
          <w:marBottom w:val="0"/>
          <w:divBdr>
            <w:top w:val="none" w:sz="0" w:space="0" w:color="auto"/>
            <w:left w:val="none" w:sz="0" w:space="0" w:color="auto"/>
            <w:bottom w:val="none" w:sz="0" w:space="0" w:color="auto"/>
            <w:right w:val="none" w:sz="0" w:space="0" w:color="auto"/>
          </w:divBdr>
        </w:div>
        <w:div w:id="989558975">
          <w:marLeft w:val="0"/>
          <w:marRight w:val="0"/>
          <w:marTop w:val="0"/>
          <w:marBottom w:val="0"/>
          <w:divBdr>
            <w:top w:val="none" w:sz="0" w:space="0" w:color="auto"/>
            <w:left w:val="none" w:sz="0" w:space="0" w:color="auto"/>
            <w:bottom w:val="none" w:sz="0" w:space="0" w:color="auto"/>
            <w:right w:val="none" w:sz="0" w:space="0" w:color="auto"/>
          </w:divBdr>
        </w:div>
        <w:div w:id="1688217409">
          <w:marLeft w:val="0"/>
          <w:marRight w:val="0"/>
          <w:marTop w:val="0"/>
          <w:marBottom w:val="0"/>
          <w:divBdr>
            <w:top w:val="none" w:sz="0" w:space="0" w:color="auto"/>
            <w:left w:val="none" w:sz="0" w:space="0" w:color="auto"/>
            <w:bottom w:val="none" w:sz="0" w:space="0" w:color="auto"/>
            <w:right w:val="none" w:sz="0" w:space="0" w:color="auto"/>
          </w:divBdr>
        </w:div>
        <w:div w:id="1861889850">
          <w:marLeft w:val="0"/>
          <w:marRight w:val="0"/>
          <w:marTop w:val="0"/>
          <w:marBottom w:val="0"/>
          <w:divBdr>
            <w:top w:val="none" w:sz="0" w:space="0" w:color="auto"/>
            <w:left w:val="none" w:sz="0" w:space="0" w:color="auto"/>
            <w:bottom w:val="none" w:sz="0" w:space="0" w:color="auto"/>
            <w:right w:val="none" w:sz="0" w:space="0" w:color="auto"/>
          </w:divBdr>
        </w:div>
        <w:div w:id="1813596911">
          <w:marLeft w:val="0"/>
          <w:marRight w:val="0"/>
          <w:marTop w:val="0"/>
          <w:marBottom w:val="0"/>
          <w:divBdr>
            <w:top w:val="none" w:sz="0" w:space="0" w:color="auto"/>
            <w:left w:val="none" w:sz="0" w:space="0" w:color="auto"/>
            <w:bottom w:val="none" w:sz="0" w:space="0" w:color="auto"/>
            <w:right w:val="none" w:sz="0" w:space="0" w:color="auto"/>
          </w:divBdr>
        </w:div>
        <w:div w:id="1133325597">
          <w:marLeft w:val="0"/>
          <w:marRight w:val="0"/>
          <w:marTop w:val="0"/>
          <w:marBottom w:val="0"/>
          <w:divBdr>
            <w:top w:val="none" w:sz="0" w:space="0" w:color="auto"/>
            <w:left w:val="none" w:sz="0" w:space="0" w:color="auto"/>
            <w:bottom w:val="none" w:sz="0" w:space="0" w:color="auto"/>
            <w:right w:val="none" w:sz="0" w:space="0" w:color="auto"/>
          </w:divBdr>
        </w:div>
        <w:div w:id="1449547111">
          <w:marLeft w:val="0"/>
          <w:marRight w:val="0"/>
          <w:marTop w:val="0"/>
          <w:marBottom w:val="0"/>
          <w:divBdr>
            <w:top w:val="none" w:sz="0" w:space="0" w:color="auto"/>
            <w:left w:val="none" w:sz="0" w:space="0" w:color="auto"/>
            <w:bottom w:val="none" w:sz="0" w:space="0" w:color="auto"/>
            <w:right w:val="none" w:sz="0" w:space="0" w:color="auto"/>
          </w:divBdr>
        </w:div>
        <w:div w:id="2031222828">
          <w:marLeft w:val="0"/>
          <w:marRight w:val="0"/>
          <w:marTop w:val="0"/>
          <w:marBottom w:val="0"/>
          <w:divBdr>
            <w:top w:val="none" w:sz="0" w:space="0" w:color="auto"/>
            <w:left w:val="none" w:sz="0" w:space="0" w:color="auto"/>
            <w:bottom w:val="none" w:sz="0" w:space="0" w:color="auto"/>
            <w:right w:val="none" w:sz="0" w:space="0" w:color="auto"/>
          </w:divBdr>
        </w:div>
        <w:div w:id="487207804">
          <w:marLeft w:val="0"/>
          <w:marRight w:val="0"/>
          <w:marTop w:val="0"/>
          <w:marBottom w:val="0"/>
          <w:divBdr>
            <w:top w:val="none" w:sz="0" w:space="0" w:color="auto"/>
            <w:left w:val="none" w:sz="0" w:space="0" w:color="auto"/>
            <w:bottom w:val="none" w:sz="0" w:space="0" w:color="auto"/>
            <w:right w:val="none" w:sz="0" w:space="0" w:color="auto"/>
          </w:divBdr>
        </w:div>
        <w:div w:id="912543555">
          <w:marLeft w:val="0"/>
          <w:marRight w:val="0"/>
          <w:marTop w:val="0"/>
          <w:marBottom w:val="0"/>
          <w:divBdr>
            <w:top w:val="none" w:sz="0" w:space="0" w:color="auto"/>
            <w:left w:val="none" w:sz="0" w:space="0" w:color="auto"/>
            <w:bottom w:val="none" w:sz="0" w:space="0" w:color="auto"/>
            <w:right w:val="none" w:sz="0" w:space="0" w:color="auto"/>
          </w:divBdr>
        </w:div>
        <w:div w:id="1871261547">
          <w:marLeft w:val="0"/>
          <w:marRight w:val="0"/>
          <w:marTop w:val="0"/>
          <w:marBottom w:val="0"/>
          <w:divBdr>
            <w:top w:val="none" w:sz="0" w:space="0" w:color="auto"/>
            <w:left w:val="none" w:sz="0" w:space="0" w:color="auto"/>
            <w:bottom w:val="none" w:sz="0" w:space="0" w:color="auto"/>
            <w:right w:val="none" w:sz="0" w:space="0" w:color="auto"/>
          </w:divBdr>
        </w:div>
        <w:div w:id="920913893">
          <w:marLeft w:val="0"/>
          <w:marRight w:val="0"/>
          <w:marTop w:val="0"/>
          <w:marBottom w:val="0"/>
          <w:divBdr>
            <w:top w:val="none" w:sz="0" w:space="0" w:color="auto"/>
            <w:left w:val="none" w:sz="0" w:space="0" w:color="auto"/>
            <w:bottom w:val="none" w:sz="0" w:space="0" w:color="auto"/>
            <w:right w:val="none" w:sz="0" w:space="0" w:color="auto"/>
          </w:divBdr>
        </w:div>
        <w:div w:id="1872104263">
          <w:marLeft w:val="0"/>
          <w:marRight w:val="0"/>
          <w:marTop w:val="0"/>
          <w:marBottom w:val="0"/>
          <w:divBdr>
            <w:top w:val="none" w:sz="0" w:space="0" w:color="auto"/>
            <w:left w:val="none" w:sz="0" w:space="0" w:color="auto"/>
            <w:bottom w:val="none" w:sz="0" w:space="0" w:color="auto"/>
            <w:right w:val="none" w:sz="0" w:space="0" w:color="auto"/>
          </w:divBdr>
        </w:div>
        <w:div w:id="877279028">
          <w:marLeft w:val="0"/>
          <w:marRight w:val="0"/>
          <w:marTop w:val="0"/>
          <w:marBottom w:val="0"/>
          <w:divBdr>
            <w:top w:val="none" w:sz="0" w:space="0" w:color="auto"/>
            <w:left w:val="none" w:sz="0" w:space="0" w:color="auto"/>
            <w:bottom w:val="none" w:sz="0" w:space="0" w:color="auto"/>
            <w:right w:val="none" w:sz="0" w:space="0" w:color="auto"/>
          </w:divBdr>
        </w:div>
        <w:div w:id="1884100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84C25-6DBD-4BD4-8D7C-8ED1DADA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10</Pages>
  <Words>3382</Words>
  <Characters>19284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Rhwithwik M S</dc:creator>
  <cp:keywords/>
  <dc:description/>
  <cp:lastModifiedBy>Rhwithwik M S</cp:lastModifiedBy>
  <cp:revision>1</cp:revision>
  <dcterms:created xsi:type="dcterms:W3CDTF">2023-07-16T04:44:00Z</dcterms:created>
  <dcterms:modified xsi:type="dcterms:W3CDTF">2023-07-16T06:41:00Z</dcterms:modified>
</cp:coreProperties>
</file>