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48"/>
          <w:szCs w:val="48"/>
        </w:rPr>
        <w:t>Gene T</w:t>
      </w:r>
      <w:r>
        <w:rPr>
          <w:rFonts w:ascii="Times New Roman" w:cs="Times New Roman" w:eastAsia="Calibri" w:hAnsi="Times New Roman"/>
          <w:b/>
          <w:color w:val="000000"/>
          <w:sz w:val="48"/>
          <w:szCs w:val="48"/>
        </w:rPr>
        <w:t>herapy Used in Cancer Treatment</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r>
        <w:rPr>
          <w:rFonts w:ascii="Times New Roman" w:cs="Times New Roman" w:eastAsia="Calibri" w:hAnsi="Times New Roman"/>
          <w:b/>
          <w:color w:val="000000"/>
          <w:sz w:val="20"/>
          <w:szCs w:val="20"/>
        </w:rPr>
        <w:t>Vrushali</w:t>
      </w:r>
      <w:r>
        <w:rPr>
          <w:rFonts w:ascii="Times New Roman" w:cs="Times New Roman" w:eastAsia="Calibri" w:hAnsi="Times New Roman"/>
          <w:b/>
          <w:color w:val="000000"/>
          <w:sz w:val="20"/>
          <w:szCs w:val="20"/>
        </w:rPr>
        <w:t xml:space="preserve"> S. Shinde</w:t>
      </w:r>
      <w:r>
        <w:rPr>
          <w:rFonts w:ascii="Times New Roman" w:cs="Times New Roman" w:eastAsia="Calibri" w:hAnsi="Times New Roman"/>
          <w:b/>
          <w:color w:val="000000"/>
          <w:sz w:val="20"/>
          <w:szCs w:val="20"/>
          <w:vertAlign w:val="superscript"/>
        </w:rPr>
        <w:t>1</w:t>
      </w:r>
      <w:r>
        <w:rPr>
          <w:rFonts w:ascii="Times New Roman" w:cs="Times New Roman" w:eastAsia="Calibri" w:hAnsi="Times New Roman"/>
          <w:b/>
          <w:color w:val="000000"/>
          <w:sz w:val="20"/>
          <w:szCs w:val="20"/>
        </w:rPr>
        <w:t>, Sachin B. Somwanshi</w:t>
      </w:r>
      <w:r>
        <w:rPr>
          <w:rFonts w:ascii="Times New Roman" w:cs="Times New Roman" w:eastAsia="Calibri" w:hAnsi="Times New Roman"/>
          <w:b/>
          <w:color w:val="000000"/>
          <w:sz w:val="20"/>
          <w:szCs w:val="20"/>
          <w:vertAlign w:val="superscript"/>
        </w:rPr>
        <w:t>2</w:t>
      </w:r>
      <w:r>
        <w:rPr>
          <w:rFonts w:ascii="Times New Roman" w:cs="Times New Roman" w:eastAsia="Calibri" w:hAnsi="Times New Roman"/>
          <w:b/>
          <w:color w:val="000000"/>
          <w:sz w:val="20"/>
          <w:szCs w:val="20"/>
        </w:rPr>
        <w:t xml:space="preserve"> &amp; </w:t>
      </w:r>
      <w:r>
        <w:rPr>
          <w:rFonts w:ascii="Times New Roman" w:cs="Times New Roman" w:eastAsia="Calibri" w:hAnsi="Times New Roman"/>
          <w:b/>
          <w:color w:val="000000"/>
          <w:sz w:val="20"/>
          <w:szCs w:val="20"/>
        </w:rPr>
        <w:t>Kiran</w:t>
      </w:r>
      <w:r>
        <w:rPr>
          <w:rFonts w:ascii="Times New Roman" w:cs="Times New Roman" w:eastAsia="Calibri" w:hAnsi="Times New Roman"/>
          <w:b/>
          <w:color w:val="000000"/>
          <w:sz w:val="20"/>
          <w:szCs w:val="20"/>
        </w:rPr>
        <w:t xml:space="preserve"> B. Kotade</w:t>
      </w:r>
      <w:r>
        <w:rPr>
          <w:rFonts w:ascii="Times New Roman" w:cs="Times New Roman" w:eastAsia="Calibri" w:hAnsi="Times New Roman"/>
          <w:b/>
          <w:color w:val="000000"/>
          <w:sz w:val="20"/>
          <w:szCs w:val="20"/>
          <w:vertAlign w:val="superscript"/>
        </w:rPr>
        <w:t>3</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Research Scholar,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Helvetica" w:hAnsi="Helvetica"/>
          <w:bCs/>
          <w:color w:val="5e5e5e"/>
          <w:sz w:val="20"/>
          <w:shd w:val="clear" w:color="auto" w:fill="ffffff"/>
        </w:rPr>
        <w:t xml:space="preserve"> </w:t>
      </w:r>
      <w:r>
        <w:rPr>
          <w:rFonts w:ascii="Times New Roman" w:cs="Times New Roman" w:eastAsia="Calibri" w:hAnsi="Times New Roman"/>
          <w:bCs/>
          <w:color w:val="000000"/>
          <w:sz w:val="20"/>
        </w:rPr>
        <w:t>vrushalis681@gmail.com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Associate Professor,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 sachinsomwanshi27@gmail.com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Associate Professor, Department of Pharmac</w:t>
      </w:r>
      <w:r>
        <w:rPr>
          <w:rFonts w:ascii="Times New Roman" w:cs="Times New Roman" w:eastAsia="Calibri" w:hAnsi="Times New Roman"/>
          <w:bCs/>
          <w:color w:val="000000"/>
          <w:sz w:val="20"/>
        </w:rPr>
        <w:t>ology</w:t>
      </w:r>
      <w:r>
        <w:rPr>
          <w:rFonts w:ascii="Times New Roman" w:cs="Times New Roman" w:eastAsia="Calibri" w:hAnsi="Times New Roman"/>
          <w:bCs/>
          <w:color w:val="000000"/>
          <w:sz w:val="20"/>
        </w:rPr>
        <w:t xml:space="preserve">,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kirankotade@gmail.com</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rPr>
          <w:rFonts w:hint="default"/>
          <w:lang w:val="en-US"/>
        </w:rPr>
      </w:pPr>
      <w:r>
        <w:rPr>
          <w:rFonts w:hint="default"/>
          <w:b/>
          <w:bCs/>
          <w:lang w:val="en-US"/>
        </w:rPr>
        <w:t>Abstract</w:t>
      </w:r>
      <w:r>
        <w:rPr>
          <w:rFonts w:hint="default"/>
          <w:lang w:val="en-US"/>
        </w:rPr>
        <w:t xml:space="preserve"> </w:t>
      </w:r>
    </w:p>
    <w:p>
      <w:pPr>
        <w:pStyle w:val="style0"/>
        <w:jc w:val="both"/>
        <w:rPr>
          <w:rFonts w:hint="default"/>
          <w:lang w:val="en-US"/>
        </w:rPr>
      </w:pPr>
      <w:r>
        <w:rPr>
          <w:rFonts w:hint="default"/>
          <w:lang w:val="en-US"/>
        </w:rPr>
        <w:t xml:space="preserve">                  </w:t>
      </w:r>
      <w:r>
        <w:rPr>
          <w:rFonts w:hint="default"/>
          <w:sz w:val="22"/>
          <w:szCs w:val="22"/>
          <w:lang w:val="en-US"/>
        </w:rPr>
        <w:t>Gene therapy is an advanced method to fight various diseases. It involves replacing defective genes with healthy, functional copies of those genes and may be more beneficial than chemotherapy in cancer treatment due to  greater selectivity and reduced risk of non-toxicity. specific. Although there have been significant advances in preclinical studies related to improved targeting and expression in tumors, several obstacles remain that hinder success at the clinical level, including include nonspecific manifestations, low delivery efficiency, and biosafety issues. To address these challenges, innovative methods have been developed to regenerate vectors/transgenes to create them secure and more viable. Various strategies have also been used to treat cancer, such as anti-angiogenic therapy, prodrug-activated suicide gene therapy, oncolytic virustherapy, gene therapy which is based on immunomodulation, Genetic manipulation of  tumor invasion and apoptotic pathways,  correction/compensation of genetic defects and RNAi Strategies . Gene therapy can target many different types of cancer including brain, lung, liver, breast, colorectal, cervical/prostate/bladder/head and neck/skin/ovary/kidney cancers. In this chapter, the latest advances in gene therapy are discussed in general  and their effect on both preclinical and clinical levels and highlight various aspects related to gene delivery methods, viral/non-viral vectors used.</w:t>
      </w:r>
    </w:p>
    <w:p>
      <w:pPr>
        <w:pStyle w:val="style0"/>
        <w:jc w:val="both"/>
        <w:rPr>
          <w:rFonts w:hint="default"/>
        </w:rPr>
      </w:pPr>
      <w:r>
        <w:rPr>
          <w:rFonts w:hint="default"/>
          <w:lang w:val="en-US"/>
        </w:rPr>
        <w:t xml:space="preserve">  </w:t>
      </w:r>
    </w:p>
    <w:p>
      <w:pPr>
        <w:pStyle w:val="style0"/>
        <w:jc w:val="both"/>
        <w:rPr>
          <w:rFonts w:ascii="Times New Roman" w:cs="Times New Roman" w:eastAsia="Calibri" w:hAnsi="Times New Roman"/>
          <w:b/>
          <w:i/>
          <w:iCs/>
          <w:color w:val="000000"/>
          <w:sz w:val="20"/>
          <w:szCs w:val="20"/>
        </w:rPr>
      </w:pPr>
      <w:r>
        <w:rPr>
          <w:rFonts w:hint="default"/>
        </w:rPr>
        <w:t xml:space="preserve"> </w:t>
      </w:r>
      <w:r>
        <w:rPr>
          <w:rFonts w:hint="default"/>
          <w:b/>
          <w:bCs/>
          <w:i w:val="false"/>
          <w:iCs w:val="false"/>
        </w:rPr>
        <w:t>keywords</w:t>
      </w:r>
      <w:r>
        <w:rPr>
          <w:rFonts w:hint="default"/>
        </w:rPr>
        <w:t xml:space="preserve"> </w:t>
      </w:r>
      <w:r>
        <w:rPr>
          <w:rFonts w:hint="default"/>
          <w:lang w:val="en-US"/>
        </w:rPr>
        <w:t xml:space="preserve">:-  </w:t>
      </w:r>
      <w:r>
        <w:rPr>
          <w:rFonts w:hint="default"/>
          <w:i/>
          <w:iCs/>
        </w:rPr>
        <w:t>Cancer,Gene Therapy,Viral Vectors,and Non-Viral Vectors.</w:t>
      </w:r>
    </w:p>
    <w:p>
      <w:pPr>
        <w:pStyle w:val="style0"/>
        <w:widowControl w:val="false"/>
        <w:pBdr>
          <w:left w:val="nil"/>
          <w:right w:val="nil"/>
          <w:top w:val="nil"/>
          <w:bottom w:val="nil"/>
          <w:between w:val="nil"/>
        </w:pBdr>
        <w:spacing w:lineRule="auto" w:line="240"/>
        <w:rPr>
          <w:rFonts w:hint="default"/>
          <w:b/>
          <w:bCs/>
          <w:lang w:val="en-US"/>
        </w:rPr>
      </w:pPr>
      <w:r>
        <w:rPr>
          <w:rFonts w:ascii="Times New Roman" w:cs="Times New Roman" w:eastAsia="Calibri" w:hAnsi="Times New Roman"/>
          <w:b/>
          <w:color w:val="000000"/>
          <w:sz w:val="20"/>
          <w:szCs w:val="20"/>
        </w:rPr>
        <w:t xml:space="preserve">     </w:t>
      </w:r>
    </w:p>
    <w:p>
      <w:pPr>
        <w:pStyle w:val="style0"/>
        <w:widowControl w:val="false"/>
        <w:numPr>
          <w:ilvl w:val="0"/>
          <w:numId w:val="0"/>
        </w:numPr>
        <w:pBdr>
          <w:left w:val="nil"/>
          <w:right w:val="nil"/>
          <w:top w:val="nil"/>
          <w:bottom w:val="nil"/>
          <w:between w:val="nil"/>
        </w:pBdr>
        <w:spacing w:lineRule="auto" w:line="240"/>
        <w:rPr>
          <w:rFonts w:hint="default"/>
        </w:rPr>
      </w:pPr>
      <w:r>
        <w:rPr>
          <w:rFonts w:ascii="Times New Roman" w:cs="Times New Roman" w:eastAsia="Calibri" w:hAnsi="Times New Roman" w:hint="default"/>
          <w:b/>
          <w:bCs/>
          <w:color w:val="000000"/>
          <w:sz w:val="20"/>
          <w:szCs w:val="20"/>
          <w:lang w:val="en-US"/>
        </w:rPr>
        <w:t xml:space="preserve">                                                                 I.  </w:t>
      </w:r>
      <w:r>
        <w:rPr>
          <w:rFonts w:ascii="Times New Roman" w:cs="Times New Roman" w:eastAsia="Calibri" w:hAnsi="Times New Roman" w:hint="default"/>
          <w:b/>
          <w:bCs/>
          <w:i w:val="false"/>
          <w:iCs w:val="false"/>
          <w:color w:val="000000"/>
          <w:sz w:val="20"/>
          <w:szCs w:val="20"/>
          <w:lang w:val="en-US"/>
        </w:rPr>
        <w:t>Introduction</w:t>
      </w: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ascii="Times New Roman" w:cs="Times New Roman" w:eastAsia="Calibri" w:hAnsi="Times New Roman" w:hint="default"/>
          <w:b w:val="false"/>
          <w:bCs w:val="false"/>
          <w:i w:val="false"/>
          <w:iCs w:val="false"/>
          <w:color w:val="000000"/>
          <w:sz w:val="22"/>
          <w:szCs w:val="22"/>
          <w:lang w:val="en-US"/>
        </w:rPr>
      </w:pPr>
      <w:r>
        <w:rPr>
          <w:rFonts w:ascii="Times New Roman" w:cs="Times New Roman" w:eastAsia="Calibri" w:hAnsi="Times New Roman" w:hint="default"/>
          <w:b w:val="false"/>
          <w:bCs w:val="false"/>
          <w:i w:val="false"/>
          <w:iCs w:val="false"/>
          <w:color w:val="000000"/>
          <w:sz w:val="22"/>
          <w:szCs w:val="22"/>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hint="default"/>
          <w:sz w:val="22"/>
          <w:szCs w:val="22"/>
        </w:rPr>
      </w:pPr>
      <w:r>
        <w:rPr>
          <w:rFonts w:ascii="Times New Roman" w:cs="Times New Roman" w:eastAsia="Calibri" w:hAnsi="Times New Roman" w:hint="default"/>
          <w:b w:val="false"/>
          <w:bCs w:val="false"/>
          <w:i w:val="false"/>
          <w:iCs w:val="false"/>
          <w:color w:val="000000"/>
          <w:sz w:val="22"/>
          <w:szCs w:val="22"/>
          <w:lang w:val="en-US"/>
        </w:rPr>
        <w:t xml:space="preserve">                   Cancer is a major global health problem that kills more than 8 million people worldwide each year. It is a multifaceted and complex disease with genomic changes influenced by host and environment interactions [1]. The past decade has seen significant advances in molecular biology, virology, genetics, immunology, and tumor biology. In 1990, Fearon and Vogelstein published a model that linked malignant transformation to specific genetic defects. This has led to the development of cancer gene therapy strategies based on replacement of defective tumor suppressor genes and inactivation of oncogenes [2]. The goal of gene therapy is to deliver genetic material to target cells or tissues for therapeutic effect.Compared to traditional therapies, it offers many advantages because it can be administered topically without the risk of systemic side effects at high therapeutic doses. In addition, most gene therapies require only one application, making them cost-effective in the long term; Current gene transfer technology is very suitable for cancer gene therapy [3].</w:t>
      </w:r>
    </w:p>
    <w:p>
      <w:pPr>
        <w:pStyle w:val="style0"/>
        <w:widowControl w:val="false"/>
        <w:numPr>
          <w:ilvl w:val="0"/>
          <w:numId w:val="0"/>
        </w:numPr>
        <w:pBdr>
          <w:left w:val="nil"/>
          <w:right w:val="nil"/>
          <w:top w:val="nil"/>
          <w:bottom w:val="nil"/>
          <w:between w:val="nil"/>
        </w:pBdr>
        <w:spacing w:lineRule="auto" w:line="240"/>
        <w:rPr>
          <w:rFonts w:hint="default"/>
        </w:rPr>
      </w:pPr>
    </w:p>
    <w:p>
      <w:pPr>
        <w:pStyle w:val="style0"/>
        <w:widowControl w:val="false"/>
        <w:numPr>
          <w:ilvl w:val="0"/>
          <w:numId w:val="0"/>
        </w:numPr>
        <w:pBdr>
          <w:left w:val="nil"/>
          <w:right w:val="nil"/>
          <w:top w:val="nil"/>
          <w:bottom w:val="nil"/>
          <w:between w:val="nil"/>
        </w:pBdr>
        <w:spacing w:lineRule="auto" w:line="240"/>
        <w:rPr>
          <w:rFonts w:ascii="Times New Roman" w:cs="Times New Roman" w:eastAsia="Calibri" w:hAnsi="Times New Roman" w:hint="default"/>
          <w:b w:val="false"/>
          <w:bCs w:val="false"/>
          <w:i w:val="false"/>
          <w:iCs w:val="false"/>
          <w:color w:val="000000"/>
          <w:sz w:val="20"/>
          <w:szCs w:val="20"/>
          <w:lang w:val="en-US"/>
        </w:rPr>
      </w:pP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rPr>
          <w:rFonts w:hint="default"/>
        </w:rPr>
      </w:pPr>
      <w:r>
        <w:rPr>
          <w:rFonts w:hint="default"/>
          <w:b/>
          <w:bCs/>
          <w:lang w:val="en-US"/>
        </w:rPr>
        <w:t xml:space="preserve">II. 1 </w:t>
      </w:r>
      <w:r>
        <w:rPr>
          <w:rFonts w:hint="default"/>
          <w:b/>
          <w:bCs/>
        </w:rPr>
        <w:t xml:space="preserve">Cancer - A Complex Genetic Disorder </w:t>
      </w:r>
      <w:r>
        <w:rPr>
          <w:rFonts w:hint="default"/>
          <w:b/>
          <w:bCs/>
          <w:lang w:val="en-US"/>
        </w:rPr>
        <w:t>:-</w:t>
      </w:r>
    </w:p>
    <w:p>
      <w:pPr>
        <w:pStyle w:val="style0"/>
        <w:jc w:val="both"/>
        <w:rPr>
          <w:rFonts w:ascii="Times New Roman" w:cs="Times New Roman" w:eastAsia="Calibri" w:hAnsi="Times New Roman"/>
          <w:noProof/>
          <w:color w:val="000000"/>
          <w:sz w:val="20"/>
          <w:szCs w:val="20"/>
        </w:rPr>
      </w:pPr>
      <w:r>
        <w:rPr>
          <w:rFonts w:hint="default"/>
          <w:lang w:val="en-US"/>
        </w:rPr>
        <w:t xml:space="preserve">                 </w:t>
      </w:r>
      <w:r>
        <w:rPr>
          <w:rFonts w:hint="default"/>
        </w:rPr>
        <w:t xml:space="preserve"> </w:t>
      </w:r>
      <w:r>
        <w:rPr>
          <w:rFonts w:hint="eastAsia"/>
          <w:lang w:eastAsia="zh-CN"/>
        </w:rPr>
        <w:t>“Cancer” is a word derived from the Latin word meaning “crab”.</w:t>
      </w:r>
      <w:r>
        <w:rPr>
          <w:rFonts w:hint="default"/>
        </w:rPr>
        <w:t>The Greek word oncos, meaning swelling, gave rise to the terms oncology and oncologist. It has long been assumed that cancer arises from single cells that undergo transformation under the influence of various environmental factors, including physical agents, chemical agents, and viruses. Hundreds of gene mutations are required for a normal cell to change into a cancer cell. The main functional changes that lead to these transformations are mainly associated with the activation of oncogenes or the inactivation of tumor suppressor genes [1,4].</w:t>
      </w:r>
    </w:p>
    <w:p>
      <w:pPr>
        <w:pStyle w:val="style0"/>
        <w:jc w:val="both"/>
        <w:rPr>
          <w:rFonts w:ascii="Times New Roman" w:cs="Times New Roman" w:eastAsia="Calibri" w:hAnsi="Times New Roman"/>
          <w:noProof/>
          <w:color w:val="000000"/>
          <w:sz w:val="20"/>
          <w:szCs w:val="20"/>
        </w:rPr>
      </w:pP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2657475" cy="2295525"/>
            <wp:effectExtent l="0" t="0" r="9525" b="9525"/>
            <wp:docPr id="1026"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2" cstate="print"/>
                    <a:srcRect l="0" t="0" r="0" b="0"/>
                    <a:stretch/>
                  </pic:blipFill>
                  <pic:spPr>
                    <a:xfrm rot="0">
                      <a:off x="0" y="0"/>
                      <a:ext cx="2657475" cy="229552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Figure</w:t>
      </w:r>
      <w:r>
        <w:rPr>
          <w:rFonts w:ascii="Times New Roman" w:cs="Times New Roman" w:eastAsia="Calibri" w:hAnsi="Times New Roman"/>
          <w:b/>
          <w:bCs/>
          <w:color w:val="000000"/>
          <w:sz w:val="20"/>
          <w:szCs w:val="20"/>
        </w:rPr>
        <w:t xml:space="preserve"> No.1</w:t>
      </w:r>
      <w:r>
        <w:rPr>
          <w:rFonts w:ascii="Times New Roman" w:cs="Times New Roman" w:eastAsia="Calibri" w:hAnsi="Times New Roman"/>
          <w:b/>
          <w:bCs/>
          <w:color w:val="000000"/>
          <w:sz w:val="20"/>
          <w:szCs w:val="20"/>
        </w:rPr>
        <w:t>:</w:t>
      </w:r>
      <w:r>
        <w:rPr>
          <w:rFonts w:ascii="Times New Roman" w:cs="Times New Roman" w:eastAsia="Calibri" w:hAnsi="Times New Roman"/>
          <w:b/>
          <w:bCs/>
          <w:color w:val="000000"/>
          <w:sz w:val="20"/>
          <w:szCs w:val="20"/>
        </w:rPr>
        <w:t xml:space="preserve"> Cancer Development Process</w:t>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 </w:t>
      </w:r>
      <w:r>
        <w:rPr>
          <w:rFonts w:ascii="Times New Roman" w:cs="Times New Roman" w:eastAsia="Calibri" w:hAnsi="Times New Roman"/>
          <w:b/>
          <w:color w:val="000000"/>
          <w:sz w:val="20"/>
          <w:szCs w:val="20"/>
        </w:rPr>
        <w:t>GENE THERAPY FOR CANCER: AN OVERVIEW</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jc w:val="both"/>
        <w:rPr>
          <w:rFonts w:ascii="Times New Roman" w:cs="Times New Roman" w:eastAsia="Calibri" w:hAnsi="Times New Roman"/>
          <w:b/>
          <w:noProof/>
          <w:color w:val="000000"/>
          <w:sz w:val="20"/>
          <w:szCs w:val="20"/>
        </w:rPr>
      </w:pPr>
      <w:r>
        <w:rPr>
          <w:rFonts w:hint="default"/>
        </w:rPr>
        <w:t xml:space="preserve">              Gene therapy is an innovative treatment method that uses genes or short oligonucleotide sequences as agents instead of traditional drug compounds. It involves introducing one or more foreign genes into an organism to address hereditary or acquired genetic defects. Gene therapy can be </w:t>
      </w:r>
      <w:r>
        <w:rPr>
          <w:rFonts w:hint="default"/>
          <w:lang w:val="en-US"/>
        </w:rPr>
        <w:t xml:space="preserve">divided </w:t>
      </w:r>
      <w:r>
        <w:rPr>
          <w:rFonts w:hint="default"/>
        </w:rPr>
        <w:t>into two types: Somatic Cell Therapy and Germline gene therapy. By expressing the inserted DNA through cellular machinery, the disease can be treated with minimal toxicity. A pioneer in the field, Rogers and colleagues provided the first proof of concept for virus-mediated gene transfer, showing that viruses can be used to introduce foreign genetic material into target cells. Inspired by these results, he went ahead and experimented on humans, becoming the first to conduct clinical trials of human gene therapy.[5]</w:t>
      </w:r>
    </w:p>
    <w:p>
      <w:pPr>
        <w:pStyle w:val="style0"/>
        <w:jc w:val="both"/>
        <w:rPr>
          <w:rFonts w:ascii="Times New Roman" w:cs="Times New Roman" w:eastAsia="Calibri" w:hAnsi="Times New Roman"/>
          <w:b/>
          <w:noProof/>
          <w:color w:val="000000"/>
          <w:sz w:val="20"/>
          <w:szCs w:val="20"/>
        </w:rPr>
      </w:pPr>
      <w:r>
        <w:rPr>
          <w:rFonts w:hint="default"/>
          <w:lang w:val="en-US"/>
        </w:rPr>
        <w:t xml:space="preserve">              In 1989, the US Food and Drug Administration (FDA) approved the first gene therapy protocol, which was soon implemented. The following year a clinical trial with therapeutic intent began in cancer patients, in which patients with advanced melanoma were treated ex vivo with genetically modified tumor-infiltrating lymphocytes that express tumor necrosis factor [6].</w:t>
      </w:r>
    </w:p>
    <w:p>
      <w:pPr>
        <w:pStyle w:val="style0"/>
        <w:jc w:val="both"/>
        <w:rPr>
          <w:rFonts w:ascii="Times New Roman" w:cs="Times New Roman" w:eastAsia="Calibri" w:hAnsi="Times New Roman"/>
          <w:b/>
          <w:noProof/>
          <w:color w:val="000000"/>
          <w:sz w:val="20"/>
          <w:szCs w:val="20"/>
        </w:rPr>
      </w:pPr>
      <w:r>
        <w:rPr>
          <w:rFonts w:hint="default"/>
          <w:lang w:val="en-US"/>
        </w:rPr>
        <w:t xml:space="preserve">               Another milestone in the history of gene therapy was achieved by the research of Cline and colleagues. Without permission from the University of California, Los Angeles, Institutional Review Board (UCLA). Cline treated thalassemia patients by removing their bone marrow and replacing them with ex vivo plasmids containing the human globulin gene; This case shows how little knowledge about human gene therapy can make the work difficult and challenging. [7] [8]</w:t>
      </w:r>
    </w:p>
    <w:p>
      <w:pPr>
        <w:pStyle w:val="style0"/>
        <w:jc w:val="both"/>
        <w:rPr>
          <w:rFonts w:ascii="Times New Roman" w:cs="Times New Roman" w:eastAsia="Calibri" w:hAnsi="Times New Roman"/>
          <w:b/>
          <w:noProof/>
          <w:color w:val="000000"/>
          <w:sz w:val="20"/>
          <w:szCs w:val="20"/>
        </w:rPr>
      </w:pPr>
      <w:r>
        <w:rPr>
          <w:rFonts w:hint="default"/>
          <w:lang w:val="en-US"/>
        </w:rPr>
        <w:t xml:space="preserve">               </w:t>
      </w:r>
      <w:r>
        <w:rPr>
          <w:rFonts w:hint="default"/>
        </w:rPr>
        <w:t>Successful cancer treatment via gene therapy requires several prerequisites such as appropriate targets for replacement/modification, proper carriers for reaching targeted cells with sufficient expression levels of therapeutic genes while also ensuring strong efficacy safety [3][9].</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noProof/>
          <w:color w:val="000000"/>
          <w:sz w:val="20"/>
          <w:szCs w:val="20"/>
        </w:rPr>
        <w:drawing>
          <wp:inline distL="0" distT="0" distB="0" distR="0">
            <wp:extent cx="4032744" cy="2047874"/>
            <wp:effectExtent l="0" t="0" r="635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4032744" cy="2047874"/>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2</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Gene Therapy</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III. </w:t>
      </w:r>
      <w:r>
        <w:rPr>
          <w:rFonts w:ascii="Times New Roman" w:cs="Times New Roman" w:eastAsia="Calibri" w:hAnsi="Times New Roman"/>
          <w:b/>
          <w:color w:val="000000"/>
          <w:sz w:val="20"/>
          <w:szCs w:val="20"/>
        </w:rPr>
        <w:t>GENE TRANSFER METHODS AND VECTORS USED FOR GENE THERAPY</w:t>
      </w: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The challenge in gene therapy is to deliver the correct genetic material to the target cell or tissue and control gene expression at the desired time. Genetic material can be delivered to a target cell or tissue by a variety of delivery methods. We can divide them according to the principle , such as (1) physical, (2) viral, (3) non-viral, (4) bacterial or yeast. Examples of physical methods used include ultrasound, microinjection, electrophoresis, and gene gun delivery. Examples of chemical methods used are lipofection, finishing, use of detergent mixtures.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As the name suggests,  viral vectors use biological vectors (ie, viruses)  as vehicles to deliver genetic material into cells, while  minimal gene transfer methods use synthetic vectors (liposomes or nanoparticles). Distinctive vectors have specific characteristics according to their transduction efficiency and  the efficiency of expression of the inserted genes.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Currently, viral vectors are taken into consideration to be the maximum efficient gene transfer approach to promote gene transfer [ 10 ]. However, most viral vectors have a natural affinity for precise cell types or tissues that can be used in healing processes [11].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3.</w:t>
      </w:r>
      <w:r>
        <w:rPr>
          <w:rFonts w:ascii="Times New Roman" w:cs="Times New Roman" w:eastAsia="Calibri" w:hAnsi="Times New Roman"/>
          <w:b/>
          <w:color w:val="000000"/>
          <w:sz w:val="20"/>
          <w:szCs w:val="20"/>
        </w:rPr>
        <w:t>1</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 </w:t>
      </w:r>
      <w:r>
        <w:rPr>
          <w:rFonts w:ascii="Times New Roman" w:cs="Times New Roman" w:eastAsia="Calibri" w:hAnsi="Times New Roman"/>
          <w:b/>
          <w:color w:val="000000"/>
          <w:sz w:val="20"/>
          <w:szCs w:val="20"/>
        </w:rPr>
        <w:t xml:space="preserve">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Viral vectors can be divided into integral and non-integral vectors depending on their origin. Nonintegrating vectors such as adenoviruses and baculoviruses do not have the ability to integrate their genomes (and thus transgenes) into the host genome. Lenti, retroviruses, and adenoviruses are examples of integrative vectors that have the ability to integrate into the host genome. Transgene expression is transient and declines within weeks if the viral vector is not integrated, whereas vector integration usually results in long-term effects of months or even years. Genome integration of these transgene recipients raises concerns about the safety of these agents. Therefore, random integration with active expression sites (eg, insertional mutagenesis) has been reported [12-14]. </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Examples of viral vectors</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a. Retrovirus vector  </w:t>
      </w:r>
    </w:p>
    <w:p>
      <w:pPr>
        <w:pStyle w:val="style0"/>
        <w:widowControl w:val="false"/>
        <w:pBdr>
          <w:left w:val="nil"/>
          <w:right w:val="nil"/>
          <w:top w:val="nil"/>
          <w:bottom w:val="nil"/>
          <w:between w:val="nil"/>
        </w:pBdr>
        <w:spacing w:lineRule="auto" w:line="240"/>
        <w:ind w:left="86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b. Adenovirus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 </w:t>
      </w:r>
      <w:r>
        <w:rPr>
          <w:rFonts w:ascii="Times New Roman" w:cs="Times New Roman" w:eastAsia="Calibri" w:hAnsi="Times New Roman"/>
          <w:color w:val="000000"/>
          <w:sz w:val="20"/>
          <w:szCs w:val="20"/>
        </w:rPr>
        <w:t>Adeno</w:t>
      </w:r>
      <w:r>
        <w:rPr>
          <w:rFonts w:ascii="Times New Roman" w:cs="Times New Roman" w:eastAsia="Calibri" w:hAnsi="Times New Roman"/>
          <w:color w:val="000000"/>
          <w:sz w:val="20"/>
          <w:szCs w:val="20"/>
        </w:rPr>
        <w:t xml:space="preserve"> associated virus vector </w:t>
      </w:r>
    </w:p>
    <w:p>
      <w:pPr>
        <w:pStyle w:val="style0"/>
        <w:widowControl w:val="false"/>
        <w:pBdr>
          <w:left w:val="nil"/>
          <w:right w:val="nil"/>
          <w:top w:val="nil"/>
          <w:bottom w:val="nil"/>
          <w:between w:val="nil"/>
        </w:pBdr>
        <w:spacing w:lineRule="auto" w:line="240"/>
        <w:ind w:left="85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d. Herpes simplex 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e. </w:t>
      </w:r>
      <w:r>
        <w:rPr>
          <w:rFonts w:ascii="Times New Roman" w:cs="Times New Roman" w:eastAsia="Calibri" w:hAnsi="Times New Roman"/>
          <w:color w:val="000000"/>
          <w:sz w:val="20"/>
          <w:szCs w:val="20"/>
        </w:rPr>
        <w:t>Lentivirus</w:t>
      </w:r>
      <w:r>
        <w:rPr>
          <w:rFonts w:ascii="Times New Roman" w:cs="Times New Roman" w:eastAsia="Calibri" w:hAnsi="Times New Roman"/>
          <w:color w:val="000000"/>
          <w:sz w:val="20"/>
          <w:szCs w:val="20"/>
        </w:rPr>
        <w:t xml:space="preserve"> vector </w:t>
      </w:r>
    </w:p>
    <w:p>
      <w:pPr>
        <w:pStyle w:val="style0"/>
        <w:widowControl w:val="false"/>
        <w:pBdr>
          <w:left w:val="nil"/>
          <w:right w:val="nil"/>
          <w:top w:val="nil"/>
          <w:bottom w:val="nil"/>
          <w:between w:val="nil"/>
        </w:pBdr>
        <w:tabs>
          <w:tab w:val="left" w:leader="none" w:pos="9027"/>
        </w:tabs>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4248150" cy="2814955"/>
            <wp:effectExtent l="0" t="0" r="0" b="4445"/>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rcRect l="0" t="0" r="0" b="0"/>
                    <a:stretch/>
                  </pic:blipFill>
                  <pic:spPr>
                    <a:xfrm rot="0">
                      <a:off x="0" y="0"/>
                      <a:ext cx="4248150" cy="281495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3</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3.1.1.</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Adenovirus</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Adenoviruses are the most commonly used vectors in cancer gene therapy. There are at least 51 serotypes in this family of genomic DNA viruses. Of these, serotypes 2 and 5 are most commonly used in gene therapy. This virus often causes respiratory diseases, especially in the upper respiratory tract [15]. Also, many of these vesicles (endosomes) degrade in the cytoplasm, leaving free viral particles, but can cause gastroenteritis, conjunctivitis, or cystitis. The particles are quickly transported into the nucleus, only DNA and a few proteins pass through. Once in a while, the adenovirus DNA begins to replicate. Adenoviral gene therapy vectors will initiate the process that leads to the production of therapeutic proteins. The DNA of this virus does not integrate into the cell chromosome, so its activity is temporary (usually a few weeks) [16, 17]. </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Adenovirus can infect many types of cells, whether they are dividing cells or not. This makes them suitable for use in the treatment of cancer, as they can be used in many types of cancer, regardless of the origin or the initial growth rate. Adenoviruses without problems penetrate epithelia, making them perfect for treating carcinomas. then again, adenoviral vectors are rarely used in tumors of hematopoietic origin due to the fact they may be tough to introduce into the majority of hematopoietic cells [18]. </w:t>
      </w:r>
    </w:p>
    <w:p>
      <w:pPr>
        <w:pStyle w:val="style0"/>
        <w:spacing w:lineRule="auto" w:line="240"/>
        <w:jc w:val="left"/>
        <w:rPr>
          <w:rFonts w:ascii="Times New Roman" w:cs="Times New Roman" w:eastAsia="Calibri" w:hAnsi="Times New Roman"/>
          <w:b w:val="false"/>
          <w:bCs w:val="false"/>
          <w:color w:val="000000"/>
          <w:sz w:val="20"/>
          <w:szCs w:val="20"/>
        </w:rPr>
      </w:pPr>
    </w:p>
    <w:p>
      <w:pPr>
        <w:pStyle w:val="style0"/>
        <w:spacing w:lineRule="auto" w:line="240"/>
        <w:jc w:val="left"/>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2</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Non-viral</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Vectors</w:t>
      </w:r>
    </w:p>
    <w:p>
      <w:pPr>
        <w:pStyle w:val="style0"/>
        <w:spacing w:lineRule="auto" w:line="240"/>
        <w:ind w:firstLine="72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Non-viral gene transport structures are presently the subject of lots studies as an alternative to gene delivery structures. The most effective shape of non-viral system is naked plasmid DNA and its advantage is that it has the lowest form of toxicity or side effects. additionally, it is simple to construct and cheaper to manufacture. but, its drawback is that the gene transfer efficiency is low in comparison to virus-mediated gene transfer [19]. Accordingly, to improve cationic polymers, metabolic performance or lipid formulations were evolved to concentrate plasmid DNA to defend DNA degradation and improve plasmid uptake and metabolism [19]. The benefit of these formulations is that the polymer or lipid may be modified particularly without difficulty to gain positive properties. Unfortunately, the fulfillment of nonviral transport structures in clinical programs in gene therapy is limited  [20].</w:t>
      </w:r>
    </w:p>
    <w:p>
      <w:pPr>
        <w:pStyle w:val="style0"/>
        <w:spacing w:lineRule="auto" w:line="240"/>
        <w:ind w:firstLine="72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The fulfillment of non-viral gene therapy depends on numerous intracellular and extracellular obstacles that affect the performance of all gene transport systems, which includes cellular uptake, contact break out sensation, nuclear uptake and gene expression [20-22].</w:t>
      </w: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IV.</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GENE</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THERAPY</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FOR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CANCER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TREATMENT</w:t>
      </w:r>
    </w:p>
    <w:p>
      <w:pPr>
        <w:pStyle w:val="style0"/>
        <w:spacing w:lineRule="auto" w:line="240"/>
        <w:jc w:val="center"/>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Cancer is due to disruption of regular cellular proliferation and apoptosis. Advances in cancer gene therapy require new therapeutic agents with novel modes of action, a couple of cellular killing mechanisms, and synergy with conventional therapies. Several gene therapy techniques were evolved for the control of ovarian most cancers, which includes autologous gene therapy, immunotherapy, anti-angiogenic gene therapy, siRNA therapy, proapoptotic gene therapy , oncolytic virus therapy, and enzyme-targeted gene therapy (23). As of November 2017, more than 2,597 gene therapy clinical trials were conducted global. Greater than 65 % of those trials are associated with cancer, accompanied by cardiovascular sicknesses and monogenic sicknesses [24]. Using car T-cell therapy has shown significant outcomes in the control of myeloid and lymphocytic leukemia. As of August 2019, only 22 gene products had been accepted to deal with various problems. Most of the gene products used inside the treatment of numerous cancers are listed in table 1 [24].</w:t>
      </w:r>
    </w:p>
    <w:p>
      <w:pPr>
        <w:pStyle w:val="style0"/>
        <w:spacing w:lineRule="auto" w:line="240"/>
        <w:jc w:val="both"/>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114"/>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Table</w:t>
      </w:r>
      <w:r>
        <w:rPr>
          <w:rFonts w:ascii="Times New Roman" w:cs="Times New Roman" w:eastAsia="Calibri" w:hAnsi="Times New Roman"/>
          <w:b/>
          <w:color w:val="000000"/>
          <w:sz w:val="20"/>
          <w:szCs w:val="20"/>
        </w:rPr>
        <w:t xml:space="preserve"> No.</w:t>
      </w:r>
      <w:r>
        <w:rPr>
          <w:rFonts w:ascii="Times New Roman" w:cs="Times New Roman" w:eastAsia="Calibri" w:hAnsi="Times New Roman"/>
          <w:b/>
          <w:color w:val="000000"/>
          <w:sz w:val="20"/>
          <w:szCs w:val="20"/>
        </w:rPr>
        <w:t xml:space="preserve"> 1</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 xml:space="preserve"> Gene Therapies Products Approved for Therapeutic Use</w:t>
      </w:r>
    </w:p>
    <w:tbl>
      <w:tblPr>
        <w:tblStyle w:val="style409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1844"/>
        <w:gridCol w:w="1417"/>
        <w:gridCol w:w="2270"/>
        <w:gridCol w:w="1329"/>
      </w:tblGrid>
      <w:tr>
        <w:trPr>
          <w:trHeight w:val="8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Trade Name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(Proper Name)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Data of  approval and  Approving</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Agency</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Vector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and</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Modified  Gene</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Indication</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Route of  Administration</w:t>
            </w:r>
          </w:p>
        </w:tc>
      </w:tr>
      <w:tr>
        <w:tblPrEx/>
        <w:trPr>
          <w:trHeight w:val="1103"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Gendicine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2003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 xml:space="preserve"> 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 xml:space="preserve"> al vector  P53</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Head and  neck</w:t>
            </w:r>
          </w:p>
          <w:p>
            <w:pPr>
              <w:pStyle w:val="style0"/>
              <w:widowControl w:val="false"/>
              <w:pBdr>
                <w:left w:val="nil"/>
                <w:right w:val="nil"/>
                <w:top w:val="nil"/>
                <w:bottom w:val="nil"/>
                <w:between w:val="nil"/>
              </w:pBdr>
              <w:spacing w:lineRule="auto" w:line="240"/>
              <w:ind w:hanging="1"/>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squamous cell  carcinoma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7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Imlygic</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talimogene</w:t>
            </w:r>
          </w:p>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laherparepvec</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T-</w:t>
            </w:r>
            <w:r>
              <w:rPr>
                <w:rFonts w:ascii="Times New Roman" w:cs="Times New Roman" w:eastAsia="Calibri" w:hAnsi="Times New Roman"/>
                <w:color w:val="000000"/>
                <w:sz w:val="20"/>
                <w:szCs w:val="20"/>
              </w:rPr>
              <w:t>vec</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2015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GM-CSF</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HSV </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I</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Melanoma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961"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Kymriah</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tisagenlecleuc</w:t>
            </w:r>
            <w:r>
              <w:rPr>
                <w:rFonts w:ascii="Times New Roman" w:cs="Times New Roman" w:eastAsia="Calibri" w:hAnsi="Times New Roman"/>
                <w:color w:val="000000"/>
                <w:sz w:val="20"/>
                <w:szCs w:val="20"/>
              </w:rPr>
              <w:t>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August 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CD19-</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CAR T  </w:t>
            </w:r>
            <w:r>
              <w:rPr>
                <w:rFonts w:ascii="Times New Roman" w:cs="Times New Roman" w:eastAsia="Calibri" w:hAnsi="Times New Roman"/>
                <w:color w:val="000000"/>
                <w:sz w:val="20"/>
                <w:szCs w:val="20"/>
              </w:rPr>
              <w:t>Lentiviral</w:t>
            </w:r>
            <w:r>
              <w:rPr>
                <w:rFonts w:ascii="Times New Roman" w:cs="Times New Roman" w:eastAsia="Calibri" w:hAnsi="Times New Roman"/>
                <w:color w:val="000000"/>
                <w:sz w:val="20"/>
                <w:szCs w:val="20"/>
              </w:rPr>
              <w:t xml:space="preserve">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Acute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lymphoblastic  </w:t>
            </w:r>
            <w:r>
              <w:rPr>
                <w:rFonts w:ascii="Times New Roman" w:cs="Times New Roman" w:eastAsia="Calibri" w:hAnsi="Times New Roman"/>
                <w:color w:val="000000"/>
                <w:sz w:val="20"/>
                <w:szCs w:val="20"/>
              </w:rPr>
              <w:t>leukemia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r>
        <w:tblPrEx/>
        <w:trPr>
          <w:trHeight w:val="1135"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Oncorine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 xml:space="preserve">(Recombinant  Human </w:t>
            </w:r>
            <w:r>
              <w:rPr>
                <w:rFonts w:ascii="Times New Roman" w:cs="Times New Roman" w:eastAsia="Calibri" w:hAnsi="Times New Roman"/>
                <w:color w:val="000000"/>
                <w:sz w:val="20"/>
                <w:szCs w:val="20"/>
              </w:rPr>
              <w:t>Adenovirus</w:t>
            </w:r>
          </w:p>
          <w:p>
            <w:pPr>
              <w:pStyle w:val="style0"/>
              <w:widowControl w:val="false"/>
              <w:pBdr>
                <w:left w:val="nil"/>
                <w:right w:val="nil"/>
                <w:top w:val="nil"/>
                <w:bottom w:val="nil"/>
                <w:between w:val="nil"/>
              </w:pBdr>
              <w:spacing w:lineRule="auto" w:line="240"/>
              <w:ind w:hanging="2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Type 5  Injection)</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2005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us Type 5</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1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Head and  neck and  </w:t>
            </w:r>
            <w:r>
              <w:rPr>
                <w:rFonts w:ascii="Times New Roman" w:cs="Times New Roman" w:eastAsia="Calibri" w:hAnsi="Times New Roman"/>
                <w:color w:val="000000"/>
                <w:sz w:val="20"/>
                <w:szCs w:val="20"/>
              </w:rPr>
              <w:t>esophagus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cancer, </w:t>
            </w:r>
            <w:r>
              <w:rPr>
                <w:rFonts w:ascii="Times New Roman" w:cs="Times New Roman" w:eastAsia="Calibri" w:hAnsi="Times New Roman"/>
                <w:color w:val="000000"/>
                <w:sz w:val="20"/>
                <w:szCs w:val="20"/>
              </w:rPr>
              <w:t>Nasopharyng</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eal</w:t>
            </w:r>
            <w:r>
              <w:rPr>
                <w:rFonts w:ascii="Times New Roman" w:cs="Times New Roman" w:eastAsia="Calibri" w:hAnsi="Times New Roman"/>
                <w:color w:val="000000"/>
                <w:sz w:val="20"/>
                <w:szCs w:val="20"/>
              </w:rPr>
              <w:t xml:space="preserve"> cancer, </w:t>
            </w:r>
            <w:r>
              <w:rPr>
                <w:rFonts w:ascii="Times New Roman" w:cs="Times New Roman" w:eastAsia="Calibri" w:hAnsi="Times New Roman"/>
                <w:color w:val="000000"/>
                <w:sz w:val="20"/>
                <w:szCs w:val="20"/>
              </w:rPr>
              <w:t>etc</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306"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Yesterday</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axicabtagene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ciloleucel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October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 19 - 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CAR T Y Retroviral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Non-Hodgkin  lymphoma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bl>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 </w:t>
      </w:r>
      <w:r>
        <w:rPr>
          <w:rFonts w:ascii="Times New Roman" w:cs="Times New Roman" w:eastAsia="Calibri" w:hAnsi="Times New Roman"/>
          <w:b/>
          <w:color w:val="000000"/>
          <w:sz w:val="20"/>
          <w:szCs w:val="20"/>
        </w:rPr>
        <w:t>Chimeric Antigen Receptor (</w:t>
      </w:r>
      <w:r>
        <w:rPr>
          <w:rFonts w:ascii="Times New Roman" w:cs="Times New Roman" w:eastAsia="Calibri" w:hAnsi="Times New Roman"/>
          <w:b/>
          <w:color w:val="000000"/>
          <w:sz w:val="20"/>
          <w:szCs w:val="20"/>
        </w:rPr>
        <w:t>CAR) T-Cell 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The first CAR T cell therapy accepted through the U.S. Food and Drug administration (FDA) in August 2017 is tisagenlucucel. Another CAR T-cell therapy accepted by the US FDA in October 2017 to treat adult patients with relapsed or refractory large B-cell lymphoma after two or more systemic therapies, which includes second-line DLBCL. The targeted axicabtagene/ciloleucel , box large B-cellular lymphoma, high-grade B-cell lymphoma, follicular lymphoma DLBCL. The National Institutes of Health Clinical Trials Registry includes several ongoing clinical trials of CAR T cell therapy for a spread of diseases, consisting of multiple myeloma, central nervous system tumors, hepatocellular carcinoma, and lung cancer [25, 26, 27, 28].</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Chimeric antigen receptors (CARs) are complicated receptors for antigens that modulate the specificity and function of T lymphocytes and/or other immune cells inside a cell. The concept behind the use of CARs in tumor immunotherapy is that CARs engineered to target tumor-associated antigens may be replicated fast and uniformly. Direct injection of T cells that focus on those armed tumors bypasses the barriers and dynamics of active immunity. In comparison to conventional passive immunization with live antibodies, supraphysiological CAR-modified T cells act as active agents that interact with tumor-related antigens, resulting in immediate and long-term antibody effects [29, 30].</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3200400" cy="2857500"/>
            <wp:effectExtent l="0" t="0" r="0" b="0"/>
            <wp:docPr id="102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5" cstate="print"/>
                    <a:srcRect l="0" t="0" r="0" b="0"/>
                    <a:stretch/>
                  </pic:blipFill>
                  <pic:spPr>
                    <a:xfrm rot="0">
                      <a:off x="0" y="0"/>
                      <a:ext cx="3200400" cy="2857500"/>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4</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CAR T </w:t>
      </w:r>
      <w:r>
        <w:rPr>
          <w:rFonts w:ascii="Times New Roman" w:cs="Times New Roman" w:eastAsia="Calibri" w:hAnsi="Times New Roman"/>
          <w:b/>
          <w:color w:val="000000"/>
          <w:sz w:val="20"/>
          <w:szCs w:val="20"/>
        </w:rPr>
        <w:t>Cell</w:t>
      </w:r>
      <w:r>
        <w:rPr>
          <w:rFonts w:ascii="Times New Roman" w:cs="Times New Roman" w:eastAsia="Calibri" w:hAnsi="Times New Roman"/>
          <w:b/>
          <w:color w:val="000000"/>
          <w:sz w:val="20"/>
          <w:szCs w:val="20"/>
        </w:rPr>
        <w:t xml:space="preserve"> Therapy</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4.1.1. </w:t>
      </w:r>
      <w:r>
        <w:rPr>
          <w:rFonts w:ascii="Times New Roman" w:cs="Times New Roman" w:eastAsia="Calibri" w:hAnsi="Times New Roman"/>
          <w:b/>
          <w:color w:val="000000"/>
          <w:sz w:val="20"/>
          <w:szCs w:val="20"/>
        </w:rPr>
        <w:t>Yescar</w:t>
      </w:r>
      <w:r>
        <w:rPr>
          <w:rFonts w:ascii="Times New Roman" w:cs="Times New Roman" w:eastAsia="Calibri" w:hAnsi="Times New Roman"/>
          <w:b/>
          <w:color w:val="000000"/>
          <w:sz w:val="20"/>
          <w:szCs w:val="20"/>
        </w:rPr>
        <w:t>ta</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Axicabtagene</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Ciloleucel</w:t>
      </w:r>
      <w:r>
        <w:rPr>
          <w:rFonts w:ascii="Times New Roman" w:cs="Times New Roman" w:eastAsia="Calibri" w:hAnsi="Times New Roman"/>
          <w:b/>
          <w:color w:val="000000"/>
          <w:sz w:val="20"/>
          <w:szCs w:val="20"/>
        </w:rPr>
        <w:t>)</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Kymriah is the first CAR T-cell-based gene product accepted through the FDA for the treatment of B-cell acute lymphoblastic leukemia [31]. This is the second CAR T-cell therapy used to treat aggressive non-Hodgkin's lymphoma. These are CD19 antigen-particular ex vivo changed autologous T cells infected with a gamma retrovirus. It encodes a CAR containing a murine extracellular anti-CD19 single-chain variable fragment fused to the cytoplasmic domain of CD28 and CD3 zeta-aggregation domains [32,33].</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4.2. </w:t>
      </w:r>
      <w:r>
        <w:rPr>
          <w:rFonts w:ascii="Times New Roman" w:cs="Times New Roman" w:eastAsia="Calibri" w:hAnsi="Times New Roman"/>
          <w:b/>
          <w:color w:val="000000"/>
          <w:sz w:val="20"/>
          <w:szCs w:val="20"/>
        </w:rPr>
        <w:t>Anti-</w:t>
      </w:r>
      <w:r>
        <w:rPr>
          <w:rFonts w:ascii="Times New Roman" w:cs="Times New Roman" w:eastAsia="Calibri" w:hAnsi="Times New Roman"/>
          <w:b/>
          <w:color w:val="000000"/>
          <w:sz w:val="20"/>
          <w:szCs w:val="20"/>
        </w:rPr>
        <w:t>Tumor</w:t>
      </w:r>
      <w:r>
        <w:rPr>
          <w:rFonts w:ascii="Times New Roman" w:cs="Times New Roman" w:eastAsia="Calibri" w:hAnsi="Times New Roman"/>
          <w:b/>
          <w:color w:val="000000"/>
          <w:sz w:val="20"/>
          <w:szCs w:val="20"/>
        </w:rPr>
        <w:t xml:space="preserve"> Angiogenesis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Tumor based angiogenesis involves several growth factors, which includes vascular endothelial growth factor (VEGF), fibroblast growth factor-2 (FGF-2), angiopoietin or IL-eight, which give oxygen and nutrient supply. There are two methods to inhibit tumor angiogenesis. The first method is to down-regulate the expression of pro-angiogenic factors  which includes VEGF and the second method is to up-alter the expression of anti-angiogenic factors which include angiostatin, endostatin and human soluble FMS-like tyrosine kinase receptor. In spite of the successful therapeutic use of mAbs including bevacizumab for targeted cancer treatment, production and administration of therapeutic mAb is restricted due to expensive manufacturing. Therefore, gene-primarily based research have been performed to develop angiogenesis-targeted cancer therapies [34,35].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4.3. </w:t>
      </w:r>
      <w:r>
        <w:rPr>
          <w:rFonts w:ascii="Times New Roman" w:cs="Times New Roman" w:eastAsia="Calibri" w:hAnsi="Times New Roman"/>
          <w:b/>
          <w:color w:val="000000"/>
          <w:sz w:val="20"/>
          <w:szCs w:val="20"/>
        </w:rPr>
        <w:t>Oncolytic</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Virotherapy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Oncolytic virus therapy (OV) is the simplest way to treat cancer. OVs use replication capable viruses that may selectively multiply in tumor cells. Oncolytic viruses are categorized as common viruses, including parvovirus and Newcastle disease, that may selectively replicate in tumor cells with out the need for genetic modification. Other groups of viruses, which includes vesicular stomatitis virus, adenovirus, herpes simplex virus (HSV), and herpes simplex virus, were genetically modified to enhance immunity and cancer and decrease pathogenicity. Oncolytic virus therapy in the treatment of cancer is an immune-mediated therapy. Oncolytic viruses act by way of directly lysing tumor cells and introducing wild-type tumor suppressor genes [36,37]. Changes in p53 gene characteristic occur in half of malignancies, and broad-spectrum p53 gene induction restores normal p53 expression. Several p53-expressing recombinant OVs were developed with the purpose of manufacturing more effective OVs that cooperate with host immunity or other tumor cell killing therapies [37, 38].</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color w:val="000000"/>
          <w:sz w:val="20"/>
          <w:szCs w:val="20"/>
        </w:rPr>
        <w:t xml:space="preserve">4.3.1. </w:t>
      </w:r>
      <w:r>
        <w:rPr>
          <w:rFonts w:ascii="Times New Roman" w:cs="Times New Roman" w:eastAsia="Calibri" w:hAnsi="Times New Roman"/>
          <w:b/>
          <w:color w:val="000000"/>
          <w:sz w:val="20"/>
          <w:szCs w:val="20"/>
        </w:rPr>
        <w:t>Oncorine</w:t>
      </w:r>
      <w:r>
        <w:rPr>
          <w:rFonts w:ascii="Times New Roman" w:cs="Times New Roman" w:eastAsia="Calibri" w:hAnsi="Times New Roman"/>
          <w:b/>
          <w:color w:val="000000"/>
          <w:sz w:val="20"/>
          <w:szCs w:val="20"/>
        </w:rPr>
        <w:t xml:space="preserve"> (rAd5-H101)</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That is the primary oncolytic recombinant Ad5 (rAd5-H101) accepted for the treatment of refractory nasopharyngeal cancer. Decreased p53 quality is related to drug resistance and decreased survival in non-small cell cancer patients [38]. Oncorin is an Ad5 virus with a deletion inside the E1B 55K quality. Inactivation of p53 quality inside cells is essential to prevent wild-type initiation of the apoptotic pathway. Abolishing the E1B 55K quality prevents the infection from replicating in normal cells and, so to speak, allows replication in  p-53-deficient  cells. In tumor cells, viral replication causes oncolysis, providing a means of treatment  for severe tumors. After Lydia's cancer cell, adenovirus is released and contaminates another cell, resulting in extreme oncorin-mediated cell death [39, 40].</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V. </w:t>
      </w:r>
      <w:r>
        <w:rPr>
          <w:rFonts w:ascii="Times New Roman" w:cs="Times New Roman" w:eastAsia="Calibri" w:hAnsi="Times New Roman"/>
          <w:b/>
          <w:color w:val="000000"/>
          <w:sz w:val="20"/>
          <w:szCs w:val="20"/>
        </w:rPr>
        <w:t>CONCLUSION</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Gene therapy is a brand new choice for the treatment of diseases for which there may be no satisfactory treatment. Gene therapy for cancer  has made great strides over the past 30 years, but only a few drugs have been approved and others are still in the experimental phase. In cancer therapy, gene therapy is relatively safer than chemotherapy and its side effects are more tolerable.Vectors are beneficial for extremely particular varieties of cancer and patients, and although they do not but provide a treatment, they have got improved and keep to enhance the quality of life for patients. This type of treatment seems to be a suitable method to  fight against malignant tumors. The successful use of T lymphocytes integrated with autologous and allogeneic chimeric antigen receptors in the administration of adoptive immunotherapy has improved the safety and efficacy of gene therapy. In the future, gene therapy using safe vectors and advanced biotechnology will be even more important in cancer prevention.</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REFERENCES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 </w:t>
      </w:r>
      <w:r>
        <w:rPr>
          <w:rFonts w:ascii="Times New Roman" w:cs="Times New Roman" w:eastAsia="Calibri" w:hAnsi="Times New Roman"/>
          <w:color w:val="000000"/>
          <w:sz w:val="16"/>
          <w:szCs w:val="16"/>
        </w:rPr>
        <w:t>Hanahan</w:t>
      </w:r>
      <w:r>
        <w:rPr>
          <w:rFonts w:ascii="Times New Roman" w:cs="Times New Roman" w:eastAsia="Calibri" w:hAnsi="Times New Roman"/>
          <w:color w:val="000000"/>
          <w:sz w:val="16"/>
          <w:szCs w:val="16"/>
        </w:rPr>
        <w:t>, D.</w:t>
      </w:r>
      <w:r>
        <w:rPr>
          <w:rFonts w:ascii="Times New Roman" w:cs="Times New Roman" w:eastAsia="Calibri" w:hAnsi="Times New Roman"/>
          <w:color w:val="000000"/>
          <w:sz w:val="16"/>
          <w:szCs w:val="16"/>
        </w:rPr>
        <w:t xml:space="preserve"> and</w:t>
      </w:r>
      <w:r>
        <w:rPr>
          <w:rFonts w:ascii="Times New Roman" w:cs="Times New Roman" w:eastAsia="Calibri" w:hAnsi="Times New Roman"/>
          <w:color w:val="000000"/>
          <w:sz w:val="16"/>
          <w:szCs w:val="16"/>
        </w:rPr>
        <w:t xml:space="preserve"> Weinberg, R.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hallmarks of cancer. Cell 2000,</w:t>
      </w:r>
      <w:r>
        <w:rPr>
          <w:rFonts w:ascii="Times New Roman" w:cs="Times New Roman" w:eastAsia="Calibri" w:hAnsi="Times New Roman"/>
          <w:color w:val="000000"/>
          <w:sz w:val="16"/>
          <w:szCs w:val="16"/>
        </w:rPr>
        <w:t xml:space="preserve"> 100, 57-70.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 </w:t>
      </w:r>
      <w:r>
        <w:rPr>
          <w:rFonts w:ascii="Times New Roman" w:cs="Times New Roman" w:eastAsia="Calibri" w:hAnsi="Times New Roman"/>
          <w:color w:val="000000"/>
          <w:sz w:val="16"/>
          <w:szCs w:val="16"/>
        </w:rPr>
        <w:t>Fearon</w:t>
      </w:r>
      <w:r>
        <w:rPr>
          <w:rFonts w:ascii="Times New Roman" w:cs="Times New Roman" w:eastAsia="Calibri" w:hAnsi="Times New Roman"/>
          <w:color w:val="000000"/>
          <w:sz w:val="16"/>
          <w:szCs w:val="16"/>
        </w:rPr>
        <w:t>, E.R. and</w:t>
      </w:r>
      <w:r>
        <w:rPr>
          <w:rFonts w:ascii="Times New Roman" w:cs="Times New Roman" w:eastAsia="Calibri" w:hAnsi="Times New Roman"/>
          <w:color w:val="000000"/>
          <w:sz w:val="16"/>
          <w:szCs w:val="16"/>
        </w:rPr>
        <w:t xml:space="preserve"> Vogelstein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B.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w:t>
      </w:r>
      <w:r>
        <w:rPr>
          <w:rFonts w:ascii="Times New Roman" w:cs="Times New Roman" w:eastAsia="Calibri" w:hAnsi="Times New Roman"/>
          <w:color w:val="000000"/>
          <w:sz w:val="16"/>
          <w:szCs w:val="16"/>
        </w:rPr>
        <w:t xml:space="preserve">enetic model for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 xml:space="preserve">olorectal  </w:t>
      </w:r>
      <w:r>
        <w:rPr>
          <w:rFonts w:ascii="Times New Roman" w:cs="Times New Roman" w:eastAsia="Calibri" w:hAnsi="Times New Roman"/>
          <w:color w:val="000000"/>
          <w:sz w:val="16"/>
          <w:szCs w:val="16"/>
        </w:rPr>
        <w:t>tumorigenesis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Cell.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1990;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759-767.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 </w:t>
      </w:r>
      <w:r>
        <w:rPr>
          <w:rFonts w:ascii="Times New Roman" w:cs="Times New Roman" w:eastAsia="Calibri" w:hAnsi="Times New Roman"/>
          <w:color w:val="000000"/>
          <w:sz w:val="16"/>
          <w:szCs w:val="16"/>
        </w:rPr>
        <w:t>Kendall, R. L. and Thomas</w:t>
      </w:r>
      <w:r>
        <w:rPr>
          <w:rFonts w:ascii="Times New Roman" w:cs="Times New Roman" w:eastAsia="Calibri" w:hAnsi="Times New Roman"/>
          <w:color w:val="000000"/>
          <w:sz w:val="16"/>
          <w:szCs w:val="16"/>
        </w:rPr>
        <w:t xml:space="preserve"> K.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Inhibition of vascular endothelial cell growth factor activity by an </w:t>
      </w:r>
      <w:r>
        <w:rPr>
          <w:rFonts w:ascii="Times New Roman" w:cs="Times New Roman" w:eastAsia="Calibri" w:hAnsi="Times New Roman"/>
          <w:color w:val="000000"/>
          <w:sz w:val="16"/>
          <w:szCs w:val="16"/>
        </w:rPr>
        <w:t>endoge</w:t>
      </w:r>
      <w:r>
        <w:rPr>
          <w:rFonts w:ascii="Times New Roman" w:cs="Times New Roman" w:eastAsia="Calibri" w:hAnsi="Times New Roman"/>
          <w:color w:val="000000"/>
          <w:sz w:val="16"/>
          <w:szCs w:val="16"/>
        </w:rPr>
        <w:t>nously</w:t>
      </w:r>
      <w:r>
        <w:rPr>
          <w:rFonts w:ascii="Times New Roman" w:cs="Times New Roman" w:eastAsia="Calibri" w:hAnsi="Times New Roman"/>
          <w:color w:val="000000"/>
          <w:sz w:val="16"/>
          <w:szCs w:val="16"/>
        </w:rPr>
        <w:t xml:space="preserve"> encoded soluble receptor.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Acad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Sci</w:t>
      </w:r>
      <w:r>
        <w:rPr>
          <w:rFonts w:ascii="Times New Roman" w:cs="Times New Roman" w:eastAsia="Calibri" w:hAnsi="Times New Roman"/>
          <w:color w:val="000000"/>
          <w:sz w:val="16"/>
          <w:szCs w:val="16"/>
        </w:rPr>
        <w:t xml:space="preserve"> U S A, 1993; 90(22): 10705-10709</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4) </w:t>
      </w:r>
      <w:r>
        <w:rPr>
          <w:rFonts w:ascii="Times New Roman" w:cs="Times New Roman" w:eastAsia="Calibri" w:hAnsi="Times New Roman"/>
          <w:color w:val="000000"/>
          <w:sz w:val="16"/>
          <w:szCs w:val="16"/>
        </w:rPr>
        <w:t>Gavima</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Sumitra</w:t>
      </w:r>
      <w:r>
        <w:rPr>
          <w:rFonts w:ascii="Times New Roman" w:cs="Times New Roman" w:eastAsia="Calibri" w:hAnsi="Times New Roman"/>
          <w:color w:val="000000"/>
          <w:sz w:val="16"/>
          <w:szCs w:val="16"/>
        </w:rPr>
        <w:t xml:space="preserve"> 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 xml:space="preserve">nd </w:t>
      </w:r>
      <w:r>
        <w:rPr>
          <w:rFonts w:ascii="Times New Roman" w:cs="Times New Roman" w:eastAsia="Calibri" w:hAnsi="Times New Roman"/>
          <w:color w:val="000000"/>
          <w:sz w:val="16"/>
          <w:szCs w:val="16"/>
        </w:rPr>
        <w:t>Pramod</w:t>
      </w:r>
      <w:r>
        <w:rPr>
          <w:rFonts w:ascii="Times New Roman" w:cs="Times New Roman" w:eastAsia="Calibri" w:hAnsi="Times New Roman"/>
          <w:color w:val="000000"/>
          <w:sz w:val="16"/>
          <w:szCs w:val="16"/>
        </w:rPr>
        <w:t xml:space="preserve"> KS.,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An overview. </w:t>
      </w:r>
      <w:r>
        <w:rPr>
          <w:rFonts w:ascii="Times New Roman" w:cs="Times New Roman" w:eastAsia="Calibri" w:hAnsi="Times New Roman"/>
          <w:color w:val="000000"/>
          <w:sz w:val="16"/>
          <w:szCs w:val="16"/>
        </w:rPr>
        <w:t>Academic Journal o</w:t>
      </w:r>
      <w:r>
        <w:rPr>
          <w:rFonts w:ascii="Times New Roman" w:cs="Times New Roman" w:eastAsia="Calibri" w:hAnsi="Times New Roman"/>
          <w:color w:val="000000"/>
          <w:sz w:val="16"/>
          <w:szCs w:val="16"/>
        </w:rPr>
        <w:t>f Cancer Research.</w:t>
      </w:r>
      <w:r>
        <w:rPr>
          <w:rFonts w:ascii="Times New Roman" w:cs="Times New Roman" w:eastAsia="Calibri" w:hAnsi="Times New Roman"/>
          <w:color w:val="000000"/>
          <w:sz w:val="16"/>
          <w:szCs w:val="16"/>
        </w:rPr>
        <w:t xml:space="preserve"> 2015; 8(1): 01-09.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5) Rogers, S.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Pfuderer</w:t>
      </w:r>
      <w:r>
        <w:rPr>
          <w:rFonts w:ascii="Times New Roman" w:cs="Times New Roman" w:eastAsia="Calibri" w:hAnsi="Times New Roman"/>
          <w:color w:val="000000"/>
          <w:sz w:val="16"/>
          <w:szCs w:val="16"/>
        </w:rPr>
        <w:t>,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Use of virus</w:t>
      </w:r>
      <w:r>
        <w:rPr>
          <w:rFonts w:ascii="Times New Roman" w:cs="Times New Roman" w:eastAsia="Calibri" w:hAnsi="Times New Roman"/>
          <w:color w:val="000000"/>
          <w:sz w:val="16"/>
          <w:szCs w:val="16"/>
        </w:rPr>
        <w:t>es as carriers of added genetic</w:t>
      </w:r>
      <w:r>
        <w:rPr>
          <w:rFonts w:ascii="Times New Roman" w:cs="Times New Roman" w:eastAsia="Calibri" w:hAnsi="Times New Roman"/>
          <w:color w:val="000000"/>
          <w:sz w:val="16"/>
          <w:szCs w:val="16"/>
        </w:rPr>
        <w:t xml:space="preserve"> information.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Nature</w:t>
      </w:r>
      <w:r>
        <w:rPr>
          <w:rFonts w:ascii="Times New Roman" w:cs="Times New Roman" w:eastAsia="Calibri" w:hAnsi="Times New Roman"/>
          <w:color w:val="000000"/>
          <w:sz w:val="16"/>
          <w:szCs w:val="16"/>
        </w:rPr>
        <w:t xml:space="preserve"> 1968; 219: </w:t>
      </w:r>
      <w:r>
        <w:rPr>
          <w:rFonts w:ascii="Times New Roman" w:cs="Times New Roman" w:eastAsia="Calibri" w:hAnsi="Times New Roman"/>
          <w:color w:val="000000"/>
          <w:sz w:val="16"/>
          <w:szCs w:val="16"/>
        </w:rPr>
        <w:t>749-751.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6) Rosenberg, S. A., </w:t>
      </w:r>
      <w:r>
        <w:rPr>
          <w:rFonts w:ascii="Times New Roman" w:cs="Times New Roman" w:eastAsia="Calibri" w:hAnsi="Times New Roman"/>
          <w:color w:val="000000"/>
          <w:sz w:val="16"/>
          <w:szCs w:val="16"/>
        </w:rPr>
        <w:t>Aebersold</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Cornetta</w:t>
      </w:r>
      <w:r>
        <w:rPr>
          <w:rFonts w:ascii="Times New Roman" w:cs="Times New Roman" w:eastAsia="Calibri" w:hAnsi="Times New Roman"/>
          <w:color w:val="000000"/>
          <w:sz w:val="16"/>
          <w:szCs w:val="16"/>
        </w:rPr>
        <w:t xml:space="preserve">, K., </w:t>
      </w:r>
      <w:r>
        <w:rPr>
          <w:rFonts w:ascii="Times New Roman" w:cs="Times New Roman" w:eastAsia="Calibri" w:hAnsi="Times New Roman"/>
          <w:color w:val="000000"/>
          <w:sz w:val="16"/>
          <w:szCs w:val="16"/>
        </w:rPr>
        <w:t>Kasid</w:t>
      </w:r>
      <w:r>
        <w:rPr>
          <w:rFonts w:ascii="Times New Roman" w:cs="Times New Roman" w:eastAsia="Calibri" w:hAnsi="Times New Roman"/>
          <w:color w:val="000000"/>
          <w:sz w:val="16"/>
          <w:szCs w:val="16"/>
        </w:rPr>
        <w:t xml:space="preserve">, A., Morgan, R.  A., Moen, R., </w:t>
      </w:r>
      <w:r>
        <w:rPr>
          <w:rFonts w:ascii="Times New Roman" w:cs="Times New Roman" w:eastAsia="Calibri" w:hAnsi="Times New Roman"/>
          <w:color w:val="000000"/>
          <w:sz w:val="16"/>
          <w:szCs w:val="16"/>
        </w:rPr>
        <w:t>Karson</w:t>
      </w:r>
      <w:r>
        <w:rPr>
          <w:rFonts w:ascii="Times New Roman" w:cs="Times New Roman" w:eastAsia="Calibri" w:hAnsi="Times New Roman"/>
          <w:color w:val="000000"/>
          <w:sz w:val="16"/>
          <w:szCs w:val="16"/>
        </w:rPr>
        <w:t xml:space="preserve">, E. M., </w:t>
      </w:r>
      <w:r>
        <w:rPr>
          <w:rFonts w:ascii="Times New Roman" w:cs="Times New Roman" w:eastAsia="Calibri" w:hAnsi="Times New Roman"/>
          <w:color w:val="000000"/>
          <w:sz w:val="16"/>
          <w:szCs w:val="16"/>
        </w:rPr>
        <w:t>Lotze</w:t>
      </w:r>
      <w:r>
        <w:rPr>
          <w:rFonts w:ascii="Times New Roman" w:cs="Times New Roman" w:eastAsia="Calibri" w:hAnsi="Times New Roman"/>
          <w:color w:val="000000"/>
          <w:sz w:val="16"/>
          <w:szCs w:val="16"/>
        </w:rPr>
        <w:t xml:space="preserve">, M. T., Yang, J.  C., and </w:t>
      </w:r>
      <w:r>
        <w:rPr>
          <w:rFonts w:ascii="Times New Roman" w:cs="Times New Roman" w:eastAsia="Calibri" w:hAnsi="Times New Roman"/>
          <w:color w:val="000000"/>
          <w:sz w:val="16"/>
          <w:szCs w:val="16"/>
        </w:rPr>
        <w:t>Topalian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Gene transfer into humans-Immunotherapy </w:t>
      </w:r>
      <w:r>
        <w:rPr>
          <w:rFonts w:ascii="Times New Roman" w:cs="Times New Roman" w:eastAsia="Calibri" w:hAnsi="Times New Roman"/>
          <w:color w:val="000000"/>
          <w:sz w:val="16"/>
          <w:szCs w:val="16"/>
        </w:rPr>
        <w:t>of  patients</w:t>
      </w:r>
      <w:r>
        <w:rPr>
          <w:rFonts w:ascii="Times New Roman" w:cs="Times New Roman" w:eastAsia="Calibri" w:hAnsi="Times New Roman"/>
          <w:color w:val="000000"/>
          <w:sz w:val="16"/>
          <w:szCs w:val="16"/>
        </w:rPr>
        <w:t xml:space="preserve"> with advanced melanoma, using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-infiltrating  lymphocytes modified by retroviral gene trans</w:t>
      </w:r>
      <w:r>
        <w:rPr>
          <w:rFonts w:ascii="Times New Roman" w:cs="Times New Roman" w:eastAsia="Calibri" w:hAnsi="Times New Roman"/>
          <w:color w:val="000000"/>
          <w:sz w:val="16"/>
          <w:szCs w:val="16"/>
        </w:rPr>
        <w:t xml:space="preserve">duction. N. Engl. J.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1990; 323:</w:t>
      </w:r>
      <w:r>
        <w:rPr>
          <w:rFonts w:ascii="Times New Roman" w:cs="Times New Roman" w:eastAsia="Calibri" w:hAnsi="Times New Roman"/>
          <w:color w:val="000000"/>
          <w:sz w:val="16"/>
          <w:szCs w:val="16"/>
        </w:rPr>
        <w:t xml:space="preserve"> 570-578.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7) MacMillan,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Nurs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Times.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1982; 78:</w:t>
      </w:r>
      <w:r>
        <w:rPr>
          <w:rFonts w:ascii="Times New Roman" w:cs="Times New Roman" w:eastAsia="Calibri" w:hAnsi="Times New Roman"/>
          <w:color w:val="000000"/>
          <w:sz w:val="16"/>
          <w:szCs w:val="16"/>
        </w:rPr>
        <w:t xml:space="preserve"> 383.</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8) </w:t>
      </w:r>
      <w:r>
        <w:rPr>
          <w:rFonts w:ascii="Times New Roman" w:cs="Times New Roman" w:eastAsia="Calibri" w:hAnsi="Times New Roman"/>
          <w:color w:val="000000"/>
          <w:sz w:val="16"/>
          <w:szCs w:val="16"/>
        </w:rPr>
        <w:t>Beutler</w:t>
      </w:r>
      <w:r>
        <w:rPr>
          <w:rFonts w:ascii="Times New Roman" w:cs="Times New Roman" w:eastAsia="Calibri" w:hAnsi="Times New Roman"/>
          <w:color w:val="000000"/>
          <w:sz w:val="16"/>
          <w:szCs w:val="16"/>
        </w:rPr>
        <w:t>,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Mol.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2001; 4:</w:t>
      </w:r>
      <w:r>
        <w:rPr>
          <w:rFonts w:ascii="Times New Roman" w:cs="Times New Roman" w:eastAsia="Calibri" w:hAnsi="Times New Roman"/>
          <w:color w:val="000000"/>
          <w:sz w:val="16"/>
          <w:szCs w:val="16"/>
        </w:rPr>
        <w:t xml:space="preserve"> 396-397.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9) </w:t>
      </w:r>
      <w:r>
        <w:rPr>
          <w:rFonts w:ascii="Times New Roman" w:cs="Times New Roman" w:eastAsia="Calibri" w:hAnsi="Times New Roman"/>
          <w:color w:val="000000"/>
          <w:sz w:val="16"/>
          <w:szCs w:val="16"/>
        </w:rPr>
        <w:t>Mark.A.Kay.Dexiuv</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And</w:t>
      </w:r>
      <w:r>
        <w:rPr>
          <w:rFonts w:ascii="Times New Roman" w:cs="Times New Roman" w:eastAsia="Calibri" w:hAnsi="Times New Roman"/>
          <w:color w:val="000000"/>
          <w:sz w:val="16"/>
          <w:szCs w:val="16"/>
        </w:rPr>
        <w:t xml:space="preserve"> Peter M. </w:t>
      </w:r>
      <w:r>
        <w:rPr>
          <w:rFonts w:ascii="Times New Roman" w:cs="Times New Roman" w:eastAsia="Calibri" w:hAnsi="Times New Roman"/>
          <w:color w:val="000000"/>
          <w:sz w:val="16"/>
          <w:szCs w:val="16"/>
        </w:rPr>
        <w:t>Hoogerbrugge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Gene Therapy, Vol. 94</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PP. 12744-12746,</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Nov 1997,</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Proc.Natl.Acad.Sci.USA</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10) </w:t>
      </w:r>
      <w:r>
        <w:rPr>
          <w:rFonts w:ascii="Times New Roman" w:cs="Times New Roman" w:eastAsia="Calibri" w:hAnsi="Times New Roman"/>
          <w:color w:val="000000"/>
          <w:sz w:val="16"/>
          <w:szCs w:val="16"/>
        </w:rPr>
        <w:t>Raty</w:t>
      </w:r>
      <w:r>
        <w:rPr>
          <w:rFonts w:ascii="Times New Roman" w:cs="Times New Roman" w:eastAsia="Calibri" w:hAnsi="Times New Roman"/>
          <w:color w:val="000000"/>
          <w:sz w:val="16"/>
          <w:szCs w:val="16"/>
        </w:rPr>
        <w:t xml:space="preserve">, J. K., </w:t>
      </w:r>
      <w:r>
        <w:rPr>
          <w:rFonts w:ascii="Times New Roman" w:cs="Times New Roman" w:eastAsia="Calibri" w:hAnsi="Times New Roman"/>
          <w:color w:val="000000"/>
          <w:sz w:val="16"/>
          <w:szCs w:val="16"/>
        </w:rPr>
        <w:t>Lesch</w:t>
      </w:r>
      <w:r>
        <w:rPr>
          <w:rFonts w:ascii="Times New Roman" w:cs="Times New Roman" w:eastAsia="Calibri" w:hAnsi="Times New Roman"/>
          <w:color w:val="000000"/>
          <w:sz w:val="16"/>
          <w:szCs w:val="16"/>
        </w:rPr>
        <w:t>, H. P., Wirth, 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Yla-Herttuala</w:t>
      </w:r>
      <w:r>
        <w:rPr>
          <w:rFonts w:ascii="Times New Roman" w:cs="Times New Roman" w:eastAsia="Calibri" w:hAnsi="Times New Roman"/>
          <w:color w:val="000000"/>
          <w:sz w:val="16"/>
          <w:szCs w:val="16"/>
        </w:rPr>
        <w:t>, S.</w:t>
      </w:r>
      <w:r>
        <w:rPr>
          <w:rFonts w:ascii="Times New Roman" w:cs="Times New Roman" w:eastAsia="Calibri" w:hAnsi="Times New Roman"/>
          <w:color w:val="000000"/>
          <w:sz w:val="16"/>
          <w:szCs w:val="16"/>
        </w:rPr>
        <w:t xml:space="preserve"> Improving </w:t>
      </w:r>
      <w:r>
        <w:rPr>
          <w:rFonts w:ascii="Times New Roman" w:cs="Times New Roman" w:eastAsia="Calibri" w:hAnsi="Times New Roman"/>
          <w:color w:val="000000"/>
          <w:sz w:val="16"/>
          <w:szCs w:val="16"/>
        </w:rPr>
        <w:t>safety of gene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Curr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Drug </w:t>
      </w:r>
      <w:r>
        <w:rPr>
          <w:rFonts w:ascii="Times New Roman" w:cs="Times New Roman" w:eastAsia="Calibri" w:hAnsi="Times New Roman"/>
          <w:color w:val="000000"/>
          <w:sz w:val="16"/>
          <w:szCs w:val="16"/>
        </w:rPr>
        <w:t>Saf</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2008; 3:</w:t>
      </w:r>
      <w:r>
        <w:rPr>
          <w:rFonts w:ascii="Times New Roman" w:cs="Times New Roman" w:eastAsia="Calibri" w:hAnsi="Times New Roman"/>
          <w:color w:val="000000"/>
          <w:sz w:val="16"/>
          <w:szCs w:val="16"/>
        </w:rPr>
        <w:t xml:space="preserve"> 46-53.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11)</w:t>
      </w:r>
      <w:r>
        <w:rPr>
          <w:rFonts w:ascii="Times New Roman" w:cs="Times New Roman" w:eastAsia="Calibri" w:hAnsi="Times New Roman"/>
          <w:color w:val="000000"/>
          <w:sz w:val="16"/>
          <w:szCs w:val="16"/>
        </w:rPr>
        <w:t xml:space="preserve">Coughlan, L., </w:t>
      </w:r>
      <w:r>
        <w:rPr>
          <w:rFonts w:ascii="Times New Roman" w:cs="Times New Roman" w:eastAsia="Calibri" w:hAnsi="Times New Roman"/>
          <w:color w:val="000000"/>
          <w:sz w:val="16"/>
          <w:szCs w:val="16"/>
        </w:rPr>
        <w:t>Alba,</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Parker,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w:t>
      </w:r>
      <w:r>
        <w:rPr>
          <w:rFonts w:ascii="Times New Roman" w:cs="Times New Roman" w:eastAsia="Calibri" w:hAnsi="Times New Roman"/>
          <w:color w:val="000000"/>
          <w:sz w:val="16"/>
          <w:szCs w:val="16"/>
        </w:rPr>
        <w:t xml:space="preserve">L., Bradshaw, A.C., </w:t>
      </w:r>
      <w:r>
        <w:rPr>
          <w:rFonts w:ascii="Times New Roman" w:cs="Times New Roman" w:eastAsia="Calibri" w:hAnsi="Times New Roman"/>
          <w:color w:val="000000"/>
          <w:sz w:val="16"/>
          <w:szCs w:val="16"/>
        </w:rPr>
        <w:t>McNeish</w:t>
      </w:r>
      <w:r>
        <w:rPr>
          <w:rFonts w:ascii="Times New Roman" w:cs="Times New Roman" w:eastAsia="Calibri" w:hAnsi="Times New Roman"/>
          <w:color w:val="000000"/>
          <w:sz w:val="16"/>
          <w:szCs w:val="16"/>
        </w:rPr>
        <w:t xml:space="preserve">,  I.A., </w:t>
      </w:r>
      <w:r>
        <w:rPr>
          <w:rFonts w:ascii="Times New Roman" w:cs="Times New Roman" w:eastAsia="Calibri" w:hAnsi="Times New Roman"/>
          <w:color w:val="000000"/>
          <w:sz w:val="16"/>
          <w:szCs w:val="16"/>
        </w:rPr>
        <w:t>Nicklin,S.A</w:t>
      </w:r>
      <w:r>
        <w:rPr>
          <w:rFonts w:ascii="Times New Roman" w:cs="Times New Roman" w:eastAsia="Calibri" w:hAnsi="Times New Roman"/>
          <w:color w:val="000000"/>
          <w:sz w:val="16"/>
          <w:szCs w:val="16"/>
        </w:rPr>
        <w:t xml:space="preserve">. and </w:t>
      </w:r>
      <w:r>
        <w:rPr>
          <w:rFonts w:ascii="Times New Roman" w:cs="Times New Roman" w:eastAsia="Calibri" w:hAnsi="Times New Roman"/>
          <w:color w:val="000000"/>
          <w:sz w:val="16"/>
          <w:szCs w:val="16"/>
        </w:rPr>
        <w:t>Baker,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Tropism-modification strategies for  targeted gene delivery using a</w:t>
      </w:r>
      <w:r>
        <w:rPr>
          <w:rFonts w:ascii="Times New Roman" w:cs="Times New Roman" w:eastAsia="Calibri" w:hAnsi="Times New Roman"/>
          <w:color w:val="000000"/>
          <w:sz w:val="16"/>
          <w:szCs w:val="16"/>
        </w:rPr>
        <w:t xml:space="preserve">denoviral vectors. </w:t>
      </w:r>
      <w:r>
        <w:rPr>
          <w:rFonts w:ascii="Times New Roman" w:cs="Times New Roman" w:eastAsia="Calibri" w:hAnsi="Times New Roman"/>
          <w:color w:val="000000"/>
          <w:sz w:val="16"/>
          <w:szCs w:val="16"/>
        </w:rPr>
        <w:t>Viruses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2010; 2: </w:t>
      </w:r>
      <w:r>
        <w:rPr>
          <w:rFonts w:ascii="Times New Roman" w:cs="Times New Roman" w:eastAsia="Calibri" w:hAnsi="Times New Roman"/>
          <w:color w:val="000000"/>
          <w:sz w:val="16"/>
          <w:szCs w:val="16"/>
        </w:rPr>
        <w:t>2290-2355.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12)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and</w:t>
      </w:r>
      <w:r>
        <w:rPr>
          <w:rFonts w:ascii="Times New Roman" w:cs="Times New Roman" w:eastAsia="Calibri" w:hAnsi="Times New Roman"/>
          <w:color w:val="000000"/>
          <w:sz w:val="16"/>
          <w:szCs w:val="16"/>
        </w:rPr>
        <w:t xml:space="preserve"> Gupta, K. C.</w:t>
      </w:r>
      <w:r>
        <w:rPr>
          <w:rFonts w:ascii="Times New Roman" w:cs="Times New Roman" w:eastAsia="Calibri" w:hAnsi="Times New Roman"/>
          <w:color w:val="000000"/>
          <w:sz w:val="16"/>
          <w:szCs w:val="16"/>
        </w:rPr>
        <w:t>, Recent trends in non-viral</w:t>
      </w:r>
      <w:r>
        <w:rPr>
          <w:rFonts w:ascii="Times New Roman" w:cs="Times New Roman" w:eastAsia="Calibri" w:hAnsi="Times New Roman"/>
          <w:color w:val="000000"/>
          <w:sz w:val="16"/>
          <w:szCs w:val="16"/>
        </w:rPr>
        <w:t xml:space="preserve"> vector-mediated gene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13)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 2009; 11:</w:t>
      </w:r>
      <w:r>
        <w:rPr>
          <w:rFonts w:ascii="Times New Roman" w:cs="Times New Roman" w:eastAsia="Calibri" w:hAnsi="Times New Roman"/>
          <w:color w:val="000000"/>
          <w:sz w:val="16"/>
          <w:szCs w:val="16"/>
        </w:rPr>
        <w:t xml:space="preserve"> 65-77.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14)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w:t>
      </w:r>
      <w:r>
        <w:rPr>
          <w:rFonts w:ascii="Times New Roman" w:cs="Times New Roman" w:eastAsia="Calibri" w:hAnsi="Times New Roman"/>
          <w:color w:val="000000"/>
          <w:sz w:val="16"/>
          <w:szCs w:val="16"/>
        </w:rPr>
        <w:t>be</w:t>
      </w:r>
      <w:r>
        <w:rPr>
          <w:rFonts w:ascii="Times New Roman" w:cs="Times New Roman" w:eastAsia="Calibri" w:hAnsi="Times New Roman"/>
          <w:color w:val="000000"/>
          <w:sz w:val="16"/>
          <w:szCs w:val="16"/>
        </w:rPr>
        <w:t xml:space="preserve">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Biol. 2010; 236: 61-</w:t>
      </w:r>
      <w:r>
        <w:rPr>
          <w:rFonts w:ascii="Times New Roman" w:cs="Times New Roman" w:eastAsia="Calibri" w:hAnsi="Times New Roman"/>
          <w:color w:val="000000"/>
          <w:sz w:val="16"/>
          <w:szCs w:val="16"/>
        </w:rPr>
        <w:t>74.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15) Sharma, A.; Li, X.; </w:t>
      </w:r>
      <w:r>
        <w:rPr>
          <w:rFonts w:ascii="Times New Roman" w:cs="Times New Roman" w:eastAsia="Calibri" w:hAnsi="Times New Roman"/>
          <w:color w:val="000000"/>
          <w:sz w:val="16"/>
          <w:szCs w:val="16"/>
        </w:rPr>
        <w:t>Bangari</w:t>
      </w:r>
      <w:r>
        <w:rPr>
          <w:rFonts w:ascii="Times New Roman" w:cs="Times New Roman" w:eastAsia="Calibri" w:hAnsi="Times New Roman"/>
          <w:color w:val="000000"/>
          <w:sz w:val="16"/>
          <w:szCs w:val="16"/>
        </w:rPr>
        <w:t xml:space="preserve">, D. S.; Mittal, S.K. </w:t>
      </w:r>
      <w:r>
        <w:rPr>
          <w:rFonts w:ascii="Times New Roman" w:cs="Times New Roman" w:eastAsia="Calibri" w:hAnsi="Times New Roman"/>
          <w:color w:val="000000"/>
          <w:sz w:val="16"/>
          <w:szCs w:val="16"/>
        </w:rPr>
        <w:t>Adenovirus  receptors</w:t>
      </w:r>
      <w:r>
        <w:rPr>
          <w:rFonts w:ascii="Times New Roman" w:cs="Times New Roman" w:eastAsia="Calibri" w:hAnsi="Times New Roman"/>
          <w:color w:val="000000"/>
          <w:sz w:val="16"/>
          <w:szCs w:val="16"/>
        </w:rPr>
        <w:t xml:space="preserve"> and their implications in</w:t>
      </w:r>
      <w:r>
        <w:rPr>
          <w:rFonts w:ascii="Times New Roman" w:cs="Times New Roman" w:eastAsia="Calibri" w:hAnsi="Times New Roman"/>
          <w:color w:val="000000"/>
          <w:sz w:val="16"/>
          <w:szCs w:val="16"/>
        </w:rPr>
        <w:t xml:space="preserve"> gene delivery. </w:t>
      </w:r>
      <w:r>
        <w:rPr>
          <w:rFonts w:ascii="Times New Roman" w:cs="Times New Roman" w:eastAsia="Calibri" w:hAnsi="Times New Roman"/>
          <w:color w:val="000000"/>
          <w:sz w:val="16"/>
          <w:szCs w:val="16"/>
        </w:rPr>
        <w:t xml:space="preserve">Virus Res. 2009; 143: </w:t>
      </w:r>
      <w:r>
        <w:rPr>
          <w:rFonts w:ascii="Times New Roman" w:cs="Times New Roman" w:eastAsia="Calibri" w:hAnsi="Times New Roman"/>
          <w:color w:val="000000"/>
          <w:sz w:val="16"/>
          <w:szCs w:val="16"/>
        </w:rPr>
        <w:t>184-</w:t>
      </w:r>
      <w:r>
        <w:rPr>
          <w:rFonts w:ascii="Times New Roman" w:cs="Times New Roman" w:eastAsia="Calibri" w:hAnsi="Times New Roman"/>
          <w:color w:val="000000"/>
          <w:sz w:val="16"/>
          <w:szCs w:val="16"/>
        </w:rPr>
        <w:t>194.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16) </w:t>
      </w:r>
      <w:r>
        <w:rPr>
          <w:rFonts w:ascii="Times New Roman" w:cs="Times New Roman" w:eastAsia="Calibri" w:hAnsi="Times New Roman"/>
          <w:color w:val="000000"/>
          <w:sz w:val="16"/>
          <w:szCs w:val="16"/>
        </w:rPr>
        <w:t>Borkenhagen</w:t>
      </w:r>
      <w:r>
        <w:rPr>
          <w:rFonts w:ascii="Times New Roman" w:cs="Times New Roman" w:eastAsia="Calibri" w:hAnsi="Times New Roman"/>
          <w:color w:val="000000"/>
          <w:sz w:val="16"/>
          <w:szCs w:val="16"/>
        </w:rPr>
        <w:t xml:space="preserve"> LK, Fieldhouse</w:t>
      </w:r>
      <w:r>
        <w:rPr>
          <w:rFonts w:ascii="Times New Roman" w:cs="Times New Roman" w:eastAsia="Calibri" w:hAnsi="Times New Roman"/>
          <w:color w:val="000000"/>
          <w:sz w:val="16"/>
          <w:szCs w:val="16"/>
        </w:rPr>
        <w:t xml:space="preserve"> JK, </w:t>
      </w:r>
      <w:r>
        <w:rPr>
          <w:rFonts w:ascii="Times New Roman" w:cs="Times New Roman" w:eastAsia="Calibri" w:hAnsi="Times New Roman"/>
          <w:color w:val="000000"/>
          <w:sz w:val="16"/>
          <w:szCs w:val="16"/>
        </w:rPr>
        <w:t>Seto</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Gray</w:t>
      </w:r>
      <w:r>
        <w:rPr>
          <w:rFonts w:ascii="Times New Roman" w:cs="Times New Roman" w:eastAsia="Calibri" w:hAnsi="Times New Roman"/>
          <w:color w:val="000000"/>
          <w:sz w:val="16"/>
          <w:szCs w:val="16"/>
        </w:rPr>
        <w:t xml:space="preserve"> GC, Are adenoviruses zoonotic? </w:t>
      </w:r>
      <w:r>
        <w:rPr>
          <w:rFonts w:ascii="Times New Roman" w:cs="Times New Roman" w:eastAsia="Calibri" w:hAnsi="Times New Roman"/>
          <w:color w:val="000000"/>
          <w:sz w:val="16"/>
          <w:szCs w:val="16"/>
        </w:rPr>
        <w:t>A systematic review of the evidence.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Emerg</w:t>
      </w:r>
      <w:r>
        <w:rPr>
          <w:rFonts w:ascii="Times New Roman" w:cs="Times New Roman" w:eastAsia="Calibri" w:hAnsi="Times New Roman"/>
          <w:color w:val="000000"/>
          <w:sz w:val="16"/>
          <w:szCs w:val="16"/>
        </w:rPr>
        <w:t xml:space="preserve"> Microbes Infect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2019;</w:t>
      </w:r>
      <w:r>
        <w:rPr>
          <w:rFonts w:ascii="Times New Roman" w:cs="Times New Roman" w:eastAsia="Calibri" w:hAnsi="Times New Roman"/>
          <w:color w:val="000000"/>
          <w:sz w:val="16"/>
          <w:szCs w:val="16"/>
        </w:rPr>
        <w:t xml:space="preserve"> 8(1):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1679-1687.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17) </w:t>
      </w:r>
      <w:r>
        <w:rPr>
          <w:rFonts w:ascii="Times New Roman" w:cs="Times New Roman" w:eastAsia="Calibri" w:hAnsi="Times New Roman"/>
          <w:color w:val="000000"/>
          <w:sz w:val="16"/>
          <w:szCs w:val="16"/>
        </w:rPr>
        <w:t>Schwartze</w:t>
      </w:r>
      <w:r>
        <w:rPr>
          <w:rFonts w:ascii="Times New Roman" w:cs="Times New Roman" w:eastAsia="Calibri" w:hAnsi="Times New Roman"/>
          <w:color w:val="000000"/>
          <w:sz w:val="16"/>
          <w:szCs w:val="16"/>
        </w:rPr>
        <w:t xml:space="preserve"> JT, </w:t>
      </w:r>
      <w:r>
        <w:rPr>
          <w:rFonts w:ascii="Times New Roman" w:cs="Times New Roman" w:eastAsia="Calibri" w:hAnsi="Times New Roman"/>
          <w:color w:val="000000"/>
          <w:sz w:val="16"/>
          <w:szCs w:val="16"/>
        </w:rPr>
        <w:t>Havenga</w:t>
      </w:r>
      <w:r>
        <w:rPr>
          <w:rFonts w:ascii="Times New Roman" w:cs="Times New Roman" w:eastAsia="Calibri" w:hAnsi="Times New Roman"/>
          <w:color w:val="000000"/>
          <w:sz w:val="16"/>
          <w:szCs w:val="16"/>
        </w:rPr>
        <w:t xml:space="preserve"> M, Baller WAM, Bradshaw AC</w:t>
      </w:r>
      <w:r>
        <w:rPr>
          <w:rFonts w:ascii="Times New Roman" w:cs="Times New Roman" w:eastAsia="Calibri" w:hAnsi="Times New Roman"/>
          <w:color w:val="000000"/>
          <w:sz w:val="16"/>
          <w:szCs w:val="16"/>
        </w:rPr>
        <w:t>,  Buckling</w:t>
      </w:r>
      <w:r>
        <w:rPr>
          <w:rFonts w:ascii="Times New Roman" w:cs="Times New Roman" w:eastAsia="Calibri" w:hAnsi="Times New Roman"/>
          <w:color w:val="000000"/>
          <w:sz w:val="16"/>
          <w:szCs w:val="16"/>
        </w:rPr>
        <w:t xml:space="preserve"> SA, Adenoviral vectors for cardiovasc</w:t>
      </w:r>
      <w:r>
        <w:rPr>
          <w:rFonts w:ascii="Times New Roman" w:cs="Times New Roman" w:eastAsia="Calibri" w:hAnsi="Times New Roman"/>
          <w:color w:val="000000"/>
          <w:sz w:val="16"/>
          <w:szCs w:val="16"/>
        </w:rPr>
        <w:t>ular gene therapy  applications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Clinical and industry perspective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Med (</w:t>
      </w:r>
      <w:r>
        <w:rPr>
          <w:rFonts w:ascii="Times New Roman" w:cs="Times New Roman" w:eastAsia="Calibri" w:hAnsi="Times New Roman"/>
          <w:color w:val="000000"/>
          <w:sz w:val="16"/>
          <w:szCs w:val="16"/>
        </w:rPr>
        <w:t>Berl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2022; 100(6): 875-901</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18) </w:t>
      </w:r>
      <w:r>
        <w:rPr>
          <w:rFonts w:ascii="Times New Roman" w:cs="Times New Roman" w:eastAsia="Calibri" w:hAnsi="Times New Roman"/>
          <w:color w:val="000000"/>
          <w:sz w:val="16"/>
          <w:szCs w:val="16"/>
        </w:rPr>
        <w:t>Raper</w:t>
      </w:r>
      <w:r>
        <w:rPr>
          <w:rFonts w:ascii="Times New Roman" w:cs="Times New Roman" w:eastAsia="Calibri" w:hAnsi="Times New Roman"/>
          <w:color w:val="000000"/>
          <w:sz w:val="16"/>
          <w:szCs w:val="16"/>
        </w:rPr>
        <w:t xml:space="preserve"> SE, </w:t>
      </w:r>
      <w:r>
        <w:rPr>
          <w:rFonts w:ascii="Times New Roman" w:cs="Times New Roman" w:eastAsia="Calibri" w:hAnsi="Times New Roman"/>
          <w:color w:val="000000"/>
          <w:sz w:val="16"/>
          <w:szCs w:val="16"/>
        </w:rPr>
        <w:t>Chirmule</w:t>
      </w:r>
      <w:r>
        <w:rPr>
          <w:rFonts w:ascii="Times New Roman" w:cs="Times New Roman" w:eastAsia="Calibri" w:hAnsi="Times New Roman"/>
          <w:color w:val="000000"/>
          <w:sz w:val="16"/>
          <w:szCs w:val="16"/>
        </w:rPr>
        <w:t xml:space="preserve"> N, Lee FS, et al. Fatal systemic  inflammatory response syndrome in a ornithine </w:t>
      </w:r>
      <w:r>
        <w:rPr>
          <w:rFonts w:ascii="Times New Roman" w:cs="Times New Roman" w:eastAsia="Calibri" w:hAnsi="Times New Roman"/>
          <w:color w:val="000000"/>
          <w:sz w:val="16"/>
          <w:szCs w:val="16"/>
        </w:rPr>
        <w:t>transcarbamylase</w:t>
      </w:r>
      <w:r>
        <w:rPr>
          <w:rFonts w:ascii="Times New Roman" w:cs="Times New Roman" w:eastAsia="Calibri" w:hAnsi="Times New Roman"/>
          <w:color w:val="000000"/>
          <w:sz w:val="16"/>
          <w:szCs w:val="16"/>
        </w:rPr>
        <w:t xml:space="preserve">  deficient patient following adenoviral gene transfer. </w:t>
      </w:r>
      <w:r>
        <w:rPr>
          <w:rFonts w:ascii="Times New Roman" w:cs="Times New Roman" w:eastAsia="Calibri" w:hAnsi="Times New Roman"/>
          <w:color w:val="000000"/>
          <w:sz w:val="16"/>
          <w:szCs w:val="16"/>
        </w:rPr>
        <w:t>MolGenet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Metab</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2003; 80: 148-158.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19) </w:t>
      </w:r>
      <w:r>
        <w:rPr>
          <w:rFonts w:ascii="Times New Roman" w:cs="Times New Roman" w:eastAsia="Calibri" w:hAnsi="Times New Roman"/>
          <w:color w:val="000000"/>
          <w:sz w:val="16"/>
          <w:szCs w:val="16"/>
        </w:rPr>
        <w:t>Heyde</w:t>
      </w:r>
      <w:r>
        <w:rPr>
          <w:rFonts w:ascii="Times New Roman" w:cs="Times New Roman" w:eastAsia="Calibri" w:hAnsi="Times New Roman"/>
          <w:color w:val="000000"/>
          <w:sz w:val="16"/>
          <w:szCs w:val="16"/>
        </w:rPr>
        <w:t xml:space="preserve">, M.; Partridge, K. A.; </w:t>
      </w:r>
      <w:r>
        <w:rPr>
          <w:rFonts w:ascii="Times New Roman" w:cs="Times New Roman" w:eastAsia="Calibri" w:hAnsi="Times New Roman"/>
          <w:color w:val="000000"/>
          <w:sz w:val="16"/>
          <w:szCs w:val="16"/>
        </w:rPr>
        <w:t>Oreffo</w:t>
      </w:r>
      <w:r>
        <w:rPr>
          <w:rFonts w:ascii="Times New Roman" w:cs="Times New Roman" w:eastAsia="Calibri" w:hAnsi="Times New Roman"/>
          <w:color w:val="000000"/>
          <w:sz w:val="16"/>
          <w:szCs w:val="16"/>
        </w:rPr>
        <w:t>, R. O.;</w:t>
      </w:r>
      <w:r>
        <w:rPr>
          <w:rFonts w:ascii="Times New Roman" w:cs="Times New Roman" w:eastAsia="Calibri" w:hAnsi="Times New Roman"/>
          <w:color w:val="000000"/>
          <w:sz w:val="16"/>
          <w:szCs w:val="16"/>
        </w:rPr>
        <w:t>Howdle</w:t>
      </w:r>
      <w:r>
        <w:rPr>
          <w:rFonts w:ascii="Times New Roman" w:cs="Times New Roman" w:eastAsia="Calibri" w:hAnsi="Times New Roman"/>
          <w:color w:val="000000"/>
          <w:sz w:val="16"/>
          <w:szCs w:val="16"/>
        </w:rPr>
        <w:t xml:space="preserve">, S. M.;  </w:t>
      </w:r>
      <w:r>
        <w:rPr>
          <w:rFonts w:ascii="Times New Roman" w:cs="Times New Roman" w:eastAsia="Calibri" w:hAnsi="Times New Roman"/>
          <w:color w:val="000000"/>
          <w:sz w:val="16"/>
          <w:szCs w:val="16"/>
        </w:rPr>
        <w:t>Shakesheff</w:t>
      </w:r>
      <w:r>
        <w:rPr>
          <w:rFonts w:ascii="Times New Roman" w:cs="Times New Roman" w:eastAsia="Calibri" w:hAnsi="Times New Roman"/>
          <w:color w:val="000000"/>
          <w:sz w:val="16"/>
          <w:szCs w:val="16"/>
        </w:rPr>
        <w:t xml:space="preserve">, K. M.; Garnett, M. </w:t>
      </w:r>
      <w:r>
        <w:rPr>
          <w:rFonts w:ascii="Times New Roman" w:cs="Times New Roman" w:eastAsia="Calibri" w:hAnsi="Times New Roman"/>
          <w:color w:val="000000"/>
          <w:sz w:val="16"/>
          <w:szCs w:val="16"/>
        </w:rPr>
        <w:t>C.Gene</w:t>
      </w:r>
      <w:r>
        <w:rPr>
          <w:rFonts w:ascii="Times New Roman" w:cs="Times New Roman" w:eastAsia="Calibri" w:hAnsi="Times New Roman"/>
          <w:color w:val="000000"/>
          <w:sz w:val="16"/>
          <w:szCs w:val="16"/>
        </w:rPr>
        <w:t xml:space="preserve"> therapy used for tissue  engineering applications. J. Pharm. </w:t>
      </w:r>
      <w:r>
        <w:rPr>
          <w:rFonts w:ascii="Times New Roman" w:cs="Times New Roman" w:eastAsia="Calibri" w:hAnsi="Times New Roman"/>
          <w:color w:val="000000"/>
          <w:sz w:val="16"/>
          <w:szCs w:val="16"/>
        </w:rPr>
        <w:t>Ph</w:t>
      </w:r>
      <w:r>
        <w:rPr>
          <w:rFonts w:ascii="Times New Roman" w:cs="Times New Roman" w:eastAsia="Calibri" w:hAnsi="Times New Roman"/>
          <w:color w:val="000000"/>
          <w:sz w:val="16"/>
          <w:szCs w:val="16"/>
        </w:rPr>
        <w:t>armacol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2007; 59: </w:t>
      </w:r>
      <w:r>
        <w:rPr>
          <w:rFonts w:ascii="Times New Roman" w:cs="Times New Roman" w:eastAsia="Calibri" w:hAnsi="Times New Roman"/>
          <w:color w:val="000000"/>
          <w:sz w:val="16"/>
          <w:szCs w:val="16"/>
        </w:rPr>
        <w:t>329-350.</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20)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Gupta, K</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C.Recent</w:t>
      </w:r>
      <w:r>
        <w:rPr>
          <w:rFonts w:ascii="Times New Roman" w:cs="Times New Roman" w:eastAsia="Calibri" w:hAnsi="Times New Roman"/>
          <w:color w:val="000000"/>
          <w:sz w:val="16"/>
          <w:szCs w:val="16"/>
        </w:rPr>
        <w:t xml:space="preserve"> trends in non-viral </w:t>
      </w:r>
      <w:r>
        <w:rPr>
          <w:rFonts w:ascii="Times New Roman" w:cs="Times New Roman" w:eastAsia="Calibri" w:hAnsi="Times New Roman"/>
          <w:color w:val="000000"/>
          <w:sz w:val="16"/>
          <w:szCs w:val="16"/>
        </w:rPr>
        <w:t>vector-mediated ge</w:t>
      </w:r>
      <w:r>
        <w:rPr>
          <w:rFonts w:ascii="Times New Roman" w:cs="Times New Roman" w:eastAsia="Calibri" w:hAnsi="Times New Roman"/>
          <w:color w:val="000000"/>
          <w:sz w:val="16"/>
          <w:szCs w:val="16"/>
        </w:rPr>
        <w:t>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21)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w:t>
      </w:r>
      <w:r>
        <w:rPr>
          <w:rFonts w:ascii="Times New Roman" w:cs="Times New Roman" w:eastAsia="Calibri" w:hAnsi="Times New Roman"/>
          <w:color w:val="000000"/>
          <w:sz w:val="16"/>
          <w:szCs w:val="16"/>
        </w:rPr>
        <w:t xml:space="preserve"> 2009; 11:</w:t>
      </w:r>
      <w:r>
        <w:rPr>
          <w:rFonts w:ascii="Times New Roman" w:cs="Times New Roman" w:eastAsia="Calibri" w:hAnsi="Times New Roman"/>
          <w:color w:val="000000"/>
          <w:sz w:val="16"/>
          <w:szCs w:val="16"/>
        </w:rPr>
        <w:t xml:space="preserve"> 65-77.</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22)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Biol. 2010, 236, 61-74. 23) Li T, Kang G, Wang T, Huang H.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cancer.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 (1):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24) </w:t>
      </w:r>
      <w:r>
        <w:rPr>
          <w:rFonts w:ascii="Times New Roman" w:cs="Times New Roman" w:eastAsia="Calibri" w:hAnsi="Times New Roman"/>
          <w:color w:val="000000"/>
          <w:sz w:val="16"/>
          <w:szCs w:val="16"/>
        </w:rPr>
        <w:t>Tristán-Manzano</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Justicia-Lirio</w:t>
      </w:r>
      <w:r>
        <w:rPr>
          <w:rFonts w:ascii="Times New Roman" w:cs="Times New Roman" w:eastAsia="Calibri" w:hAnsi="Times New Roman"/>
          <w:color w:val="000000"/>
          <w:sz w:val="16"/>
          <w:szCs w:val="16"/>
        </w:rPr>
        <w:t xml:space="preserve"> P, Maldonado-Pérez N,  </w:t>
      </w:r>
      <w:r>
        <w:rPr>
          <w:rFonts w:ascii="Times New Roman" w:cs="Times New Roman" w:eastAsia="Calibri" w:hAnsi="Times New Roman"/>
          <w:color w:val="000000"/>
          <w:sz w:val="16"/>
          <w:szCs w:val="16"/>
        </w:rPr>
        <w:t>CortijoGutiérrez</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Benabdellah</w:t>
      </w:r>
      <w:r>
        <w:rPr>
          <w:rFonts w:ascii="Times New Roman" w:cs="Times New Roman" w:eastAsia="Calibri" w:hAnsi="Times New Roman"/>
          <w:color w:val="000000"/>
          <w:sz w:val="16"/>
          <w:szCs w:val="16"/>
        </w:rPr>
        <w:t xml:space="preserve"> K, Martin F. Externally-controlled  systems for immunotherapy: from bench to bedside. </w:t>
      </w:r>
      <w:r>
        <w:rPr>
          <w:rFonts w:ascii="Times New Roman" w:cs="Times New Roman" w:eastAsia="Calibri" w:hAnsi="Times New Roman"/>
          <w:color w:val="000000"/>
          <w:sz w:val="16"/>
          <w:szCs w:val="16"/>
        </w:rPr>
        <w:t xml:space="preserve">Front  </w:t>
      </w:r>
      <w:r>
        <w:rPr>
          <w:rFonts w:ascii="Times New Roman" w:cs="Times New Roman" w:eastAsia="Calibri" w:hAnsi="Times New Roman"/>
          <w:color w:val="000000"/>
          <w:sz w:val="16"/>
          <w:szCs w:val="16"/>
        </w:rPr>
        <w:t>Immunol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2020; 11.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25) </w:t>
      </w:r>
      <w:r>
        <w:rPr>
          <w:rFonts w:ascii="Times New Roman" w:cs="Times New Roman" w:eastAsia="Calibri" w:hAnsi="Times New Roman"/>
          <w:color w:val="000000"/>
          <w:sz w:val="16"/>
          <w:szCs w:val="16"/>
        </w:rPr>
        <w:t>Vairy</w:t>
      </w:r>
      <w:r>
        <w:rPr>
          <w:rFonts w:ascii="Times New Roman" w:cs="Times New Roman" w:eastAsia="Calibri" w:hAnsi="Times New Roman"/>
          <w:color w:val="000000"/>
          <w:sz w:val="16"/>
          <w:szCs w:val="16"/>
        </w:rPr>
        <w:t xml:space="preserve"> S, Garcia JL,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Teira</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Bittencourt</w:t>
      </w:r>
      <w:r>
        <w:rPr>
          <w:rFonts w:ascii="Times New Roman" w:cs="Times New Roman" w:eastAsia="Calibri" w:hAnsi="Times New Roman"/>
          <w:color w:val="000000"/>
          <w:sz w:val="16"/>
          <w:szCs w:val="16"/>
        </w:rPr>
        <w:t xml:space="preserve"> H. CTL019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tisagenlecleucel</w:t>
      </w:r>
      <w:r>
        <w:rPr>
          <w:rFonts w:ascii="Times New Roman" w:cs="Times New Roman" w:eastAsia="Calibri" w:hAnsi="Times New Roman"/>
          <w:color w:val="000000"/>
          <w:sz w:val="16"/>
          <w:szCs w:val="16"/>
        </w:rPr>
        <w:t>): CAR-T therapy for relapsed and refractory B-</w:t>
      </w:r>
      <w:r>
        <w:rPr>
          <w:rFonts w:ascii="Times New Roman" w:cs="Times New Roman" w:eastAsia="Calibri" w:hAnsi="Times New Roman"/>
          <w:color w:val="000000"/>
          <w:sz w:val="16"/>
          <w:szCs w:val="16"/>
        </w:rPr>
        <w:t>cell  acute</w:t>
      </w:r>
      <w:r>
        <w:rPr>
          <w:rFonts w:ascii="Times New Roman" w:cs="Times New Roman" w:eastAsia="Calibri" w:hAnsi="Times New Roman"/>
          <w:color w:val="000000"/>
          <w:sz w:val="16"/>
          <w:szCs w:val="16"/>
        </w:rPr>
        <w:t xml:space="preserve"> lymphoblastic </w:t>
      </w:r>
      <w:r>
        <w:rPr>
          <w:rFonts w:ascii="Times New Roman" w:cs="Times New Roman" w:eastAsia="Calibri" w:hAnsi="Times New Roman"/>
          <w:color w:val="000000"/>
          <w:sz w:val="16"/>
          <w:szCs w:val="16"/>
        </w:rPr>
        <w:t>leukemia</w:t>
      </w:r>
      <w:r>
        <w:rPr>
          <w:rFonts w:ascii="Times New Roman" w:cs="Times New Roman" w:eastAsia="Calibri" w:hAnsi="Times New Roman"/>
          <w:color w:val="000000"/>
          <w:sz w:val="16"/>
          <w:szCs w:val="16"/>
        </w:rPr>
        <w:t xml:space="preserve">. Drug Des </w:t>
      </w:r>
      <w:r>
        <w:rPr>
          <w:rFonts w:ascii="Times New Roman" w:cs="Times New Roman" w:eastAsia="Calibri" w:hAnsi="Times New Roman"/>
          <w:color w:val="000000"/>
          <w:sz w:val="16"/>
          <w:szCs w:val="16"/>
        </w:rPr>
        <w:t>Devel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12:</w:t>
      </w:r>
      <w:r>
        <w:rPr>
          <w:rFonts w:ascii="Times New Roman" w:cs="Times New Roman" w:eastAsia="Calibri" w:hAnsi="Times New Roman"/>
          <w:color w:val="000000"/>
          <w:sz w:val="16"/>
          <w:szCs w:val="16"/>
        </w:rPr>
        <w:t xml:space="preserve"> 3885-</w:t>
      </w:r>
      <w:r>
        <w:rPr>
          <w:rFonts w:ascii="Times New Roman" w:cs="Times New Roman" w:eastAsia="Calibri" w:hAnsi="Times New Roman"/>
          <w:color w:val="000000"/>
          <w:sz w:val="16"/>
          <w:szCs w:val="16"/>
        </w:rPr>
        <w:t>3898.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26) Schuster SJ, Bishop MR, Tam CS, Waller EK, </w:t>
      </w:r>
      <w:r>
        <w:rPr>
          <w:rFonts w:ascii="Times New Roman" w:cs="Times New Roman" w:eastAsia="Calibri" w:hAnsi="Times New Roman"/>
          <w:color w:val="000000"/>
          <w:sz w:val="16"/>
          <w:szCs w:val="16"/>
        </w:rPr>
        <w:t>Borchmann</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McGuirk</w:t>
      </w:r>
      <w:r>
        <w:rPr>
          <w:rFonts w:ascii="Times New Roman" w:cs="Times New Roman" w:eastAsia="Calibri" w:hAnsi="Times New Roman"/>
          <w:color w:val="000000"/>
          <w:sz w:val="16"/>
          <w:szCs w:val="16"/>
        </w:rPr>
        <w:t xml:space="preserve"> JP, </w:t>
      </w:r>
      <w:r>
        <w:rPr>
          <w:rFonts w:ascii="Times New Roman" w:cs="Times New Roman" w:eastAsia="Calibri" w:hAnsi="Times New Roman"/>
          <w:color w:val="000000"/>
          <w:sz w:val="16"/>
          <w:szCs w:val="16"/>
        </w:rPr>
        <w:t>Jäger</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Jaglowski</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Andreadis</w:t>
      </w:r>
      <w:r>
        <w:rPr>
          <w:rFonts w:ascii="Times New Roman" w:cs="Times New Roman" w:eastAsia="Calibri" w:hAnsi="Times New Roman"/>
          <w:color w:val="000000"/>
          <w:sz w:val="16"/>
          <w:szCs w:val="16"/>
        </w:rPr>
        <w:t xml:space="preserve"> C, Westin JR, </w:t>
      </w:r>
      <w:r>
        <w:rPr>
          <w:rFonts w:ascii="Times New Roman" w:cs="Times New Roman" w:eastAsia="Calibri" w:hAnsi="Times New Roman"/>
          <w:color w:val="000000"/>
          <w:sz w:val="16"/>
          <w:szCs w:val="16"/>
        </w:rPr>
        <w:t>Fleury</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Bachanova</w:t>
      </w:r>
      <w:r>
        <w:rPr>
          <w:rFonts w:ascii="Times New Roman" w:cs="Times New Roman" w:eastAsia="Calibri" w:hAnsi="Times New Roman"/>
          <w:color w:val="000000"/>
          <w:sz w:val="16"/>
          <w:szCs w:val="16"/>
        </w:rPr>
        <w:t xml:space="preserve"> V, Foley SR, HO PJ, </w:t>
      </w:r>
      <w:r>
        <w:rPr>
          <w:rFonts w:ascii="Times New Roman" w:cs="Times New Roman" w:eastAsia="Calibri" w:hAnsi="Times New Roman"/>
          <w:color w:val="000000"/>
          <w:sz w:val="16"/>
          <w:szCs w:val="16"/>
        </w:rPr>
        <w:t>Mielke</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Magenau</w:t>
      </w:r>
      <w:r>
        <w:rPr>
          <w:rFonts w:ascii="Times New Roman" w:cs="Times New Roman" w:eastAsia="Calibri" w:hAnsi="Times New Roman"/>
          <w:color w:val="000000"/>
          <w:sz w:val="16"/>
          <w:szCs w:val="16"/>
        </w:rPr>
        <w:t xml:space="preserve"> JM, </w:t>
      </w:r>
      <w:r>
        <w:rPr>
          <w:rFonts w:ascii="Times New Roman" w:cs="Times New Roman" w:eastAsia="Calibri" w:hAnsi="Times New Roman"/>
          <w:color w:val="000000"/>
          <w:sz w:val="16"/>
          <w:szCs w:val="16"/>
        </w:rPr>
        <w:t>Holte</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Pantano</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Pacaud</w:t>
      </w:r>
      <w:r>
        <w:rPr>
          <w:rFonts w:ascii="Times New Roman" w:cs="Times New Roman" w:eastAsia="Calibri" w:hAnsi="Times New Roman"/>
          <w:color w:val="000000"/>
          <w:sz w:val="16"/>
          <w:szCs w:val="16"/>
        </w:rPr>
        <w:t xml:space="preserve"> LB, </w:t>
      </w:r>
      <w:r>
        <w:rPr>
          <w:rFonts w:ascii="Times New Roman" w:cs="Times New Roman" w:eastAsia="Calibri" w:hAnsi="Times New Roman"/>
          <w:color w:val="000000"/>
          <w:sz w:val="16"/>
          <w:szCs w:val="16"/>
        </w:rPr>
        <w:t>Awasthi</w:t>
      </w:r>
      <w:r>
        <w:rPr>
          <w:rFonts w:ascii="Times New Roman" w:cs="Times New Roman" w:eastAsia="Calibri" w:hAnsi="Times New Roman"/>
          <w:color w:val="000000"/>
          <w:sz w:val="16"/>
          <w:szCs w:val="16"/>
        </w:rPr>
        <w:t xml:space="preserve"> R, Chu J, </w:t>
      </w:r>
      <w:r>
        <w:rPr>
          <w:rFonts w:ascii="Times New Roman" w:cs="Times New Roman" w:eastAsia="Calibri" w:hAnsi="Times New Roman"/>
          <w:color w:val="000000"/>
          <w:sz w:val="16"/>
          <w:szCs w:val="16"/>
        </w:rPr>
        <w:t>Anak</w:t>
      </w:r>
      <w:r>
        <w:rPr>
          <w:rFonts w:ascii="Times New Roman" w:cs="Times New Roman" w:eastAsia="Calibri" w:hAnsi="Times New Roman"/>
          <w:color w:val="000000"/>
          <w:sz w:val="16"/>
          <w:szCs w:val="16"/>
        </w:rPr>
        <w:t xml:space="preserve"> Ö, </w:t>
      </w:r>
      <w:r>
        <w:rPr>
          <w:rFonts w:ascii="Times New Roman" w:cs="Times New Roman" w:eastAsia="Calibri" w:hAnsi="Times New Roman"/>
          <w:color w:val="000000"/>
          <w:sz w:val="16"/>
          <w:szCs w:val="16"/>
        </w:rPr>
        <w:t>Salles</w:t>
      </w:r>
      <w:r>
        <w:rPr>
          <w:rFonts w:ascii="Times New Roman" w:cs="Times New Roman" w:eastAsia="Calibri" w:hAnsi="Times New Roman"/>
          <w:color w:val="000000"/>
          <w:sz w:val="16"/>
          <w:szCs w:val="16"/>
        </w:rPr>
        <w:t xml:space="preserve"> G, </w:t>
      </w:r>
      <w:r>
        <w:rPr>
          <w:rFonts w:ascii="Times New Roman" w:cs="Times New Roman" w:eastAsia="Calibri" w:hAnsi="Times New Roman"/>
          <w:color w:val="000000"/>
          <w:sz w:val="16"/>
          <w:szCs w:val="16"/>
        </w:rPr>
        <w:t>Maziarz</w:t>
      </w:r>
      <w:r>
        <w:rPr>
          <w:rFonts w:ascii="Times New Roman" w:cs="Times New Roman" w:eastAsia="Calibri" w:hAnsi="Times New Roman"/>
          <w:color w:val="000000"/>
          <w:sz w:val="16"/>
          <w:szCs w:val="16"/>
        </w:rPr>
        <w:t xml:space="preserve">  RT., JULIET Investigators. </w:t>
      </w:r>
      <w:r>
        <w:rPr>
          <w:rFonts w:ascii="Times New Roman" w:cs="Times New Roman" w:eastAsia="Calibri" w:hAnsi="Times New Roman"/>
          <w:color w:val="000000"/>
          <w:sz w:val="16"/>
          <w:szCs w:val="16"/>
        </w:rPr>
        <w:t>Tisagen</w:t>
      </w:r>
      <w:r>
        <w:rPr>
          <w:rFonts w:ascii="Times New Roman" w:cs="Times New Roman" w:eastAsia="Calibri" w:hAnsi="Times New Roman"/>
          <w:color w:val="000000"/>
          <w:sz w:val="16"/>
          <w:szCs w:val="16"/>
        </w:rPr>
        <w:t>lecleucel</w:t>
      </w:r>
      <w:r>
        <w:rPr>
          <w:rFonts w:ascii="Times New Roman" w:cs="Times New Roman" w:eastAsia="Calibri" w:hAnsi="Times New Roman"/>
          <w:color w:val="000000"/>
          <w:sz w:val="16"/>
          <w:szCs w:val="16"/>
        </w:rPr>
        <w:t xml:space="preserve"> in Adult Relapsed or </w:t>
      </w:r>
      <w:r>
        <w:rPr>
          <w:rFonts w:ascii="Times New Roman" w:cs="Times New Roman" w:eastAsia="Calibri" w:hAnsi="Times New Roman"/>
          <w:color w:val="000000"/>
          <w:sz w:val="16"/>
          <w:szCs w:val="16"/>
        </w:rPr>
        <w:t>Refractory Diffuse Large B-Cell Ly</w:t>
      </w:r>
      <w:r>
        <w:rPr>
          <w:rFonts w:ascii="Times New Roman" w:cs="Times New Roman" w:eastAsia="Calibri" w:hAnsi="Times New Roman"/>
          <w:color w:val="000000"/>
          <w:sz w:val="16"/>
          <w:szCs w:val="16"/>
        </w:rPr>
        <w:t>mphoma.</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Engl</w:t>
      </w:r>
      <w:r>
        <w:rPr>
          <w:rFonts w:ascii="Times New Roman" w:cs="Times New Roman" w:eastAsia="Calibri" w:hAnsi="Times New Roman"/>
          <w:color w:val="000000"/>
          <w:sz w:val="16"/>
          <w:szCs w:val="16"/>
        </w:rPr>
        <w:t xml:space="preserve"> J Med. 2019</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380(1):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45-56.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27) Geyer MB. First CAR to Pass th</w:t>
      </w:r>
      <w:r>
        <w:rPr>
          <w:rFonts w:ascii="Times New Roman" w:cs="Times New Roman" w:eastAsia="Calibri" w:hAnsi="Times New Roman"/>
          <w:color w:val="000000"/>
          <w:sz w:val="16"/>
          <w:szCs w:val="16"/>
        </w:rPr>
        <w:t xml:space="preserve">e Road Test: </w:t>
      </w:r>
      <w:r>
        <w:rPr>
          <w:rFonts w:ascii="Times New Roman" w:cs="Times New Roman" w:eastAsia="Calibri" w:hAnsi="Times New Roman"/>
          <w:color w:val="000000"/>
          <w:sz w:val="16"/>
          <w:szCs w:val="16"/>
        </w:rPr>
        <w:t>Tisagenlecleucel's</w:t>
      </w:r>
      <w:r>
        <w:rPr>
          <w:rFonts w:ascii="Times New Roman" w:cs="Times New Roman" w:eastAsia="Calibri" w:hAnsi="Times New Roman"/>
          <w:color w:val="000000"/>
          <w:sz w:val="16"/>
          <w:szCs w:val="16"/>
        </w:rPr>
        <w:t xml:space="preserve"> Drive to FDA Approval.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1133- 1135.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28)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Yes</w:t>
      </w:r>
      <w:r>
        <w:rPr>
          <w:rFonts w:ascii="Times New Roman" w:cs="Times New Roman" w:eastAsia="Calibri" w:hAnsi="Times New Roman"/>
          <w:color w:val="000000"/>
          <w:sz w:val="16"/>
          <w:szCs w:val="16"/>
        </w:rPr>
        <w:t>carta</w:t>
      </w:r>
      <w:r>
        <w:rPr>
          <w:rFonts w:ascii="Times New Roman" w:cs="Times New Roman" w:eastAsia="Calibri" w:hAnsi="Times New Roman"/>
          <w:color w:val="000000"/>
          <w:sz w:val="16"/>
          <w:szCs w:val="16"/>
        </w:rPr>
        <w:t xml:space="preserve">) for B-cell lymphoma.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xml:space="preserve"> Drugs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60(1551):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e122-e123.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29) Davila ML,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Wan</w:t>
      </w:r>
      <w:r>
        <w:rPr>
          <w:rFonts w:ascii="Times New Roman" w:cs="Times New Roman" w:eastAsia="Calibri" w:hAnsi="Times New Roman"/>
          <w:color w:val="000000"/>
          <w:sz w:val="16"/>
          <w:szCs w:val="16"/>
        </w:rPr>
        <w:t xml:space="preserve">g X,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How</w:t>
      </w:r>
      <w:r>
        <w:rPr>
          <w:rFonts w:ascii="Times New Roman" w:cs="Times New Roman" w:eastAsia="Calibri" w:hAnsi="Times New Roman"/>
          <w:color w:val="000000"/>
          <w:sz w:val="16"/>
          <w:szCs w:val="16"/>
        </w:rPr>
        <w:t xml:space="preserve"> do CARS work?</w:t>
      </w:r>
      <w:r>
        <w:rPr>
          <w:rFonts w:ascii="Times New Roman" w:cs="Times New Roman" w:eastAsia="Calibri" w:hAnsi="Times New Roman"/>
          <w:color w:val="000000"/>
          <w:sz w:val="16"/>
          <w:szCs w:val="16"/>
        </w:rPr>
        <w:t xml:space="preserve"> Early insights from recent clinical studies targeting  CD19. </w:t>
      </w:r>
      <w:r>
        <w:rPr>
          <w:rFonts w:ascii="Times New Roman" w:cs="Times New Roman" w:eastAsia="Calibri" w:hAnsi="Times New Roman"/>
          <w:color w:val="000000"/>
          <w:sz w:val="16"/>
          <w:szCs w:val="16"/>
        </w:rPr>
        <w:t>Oncoimmunology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1577-1583.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30)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The basic principles of chimeric antigen receptor design. </w:t>
      </w:r>
      <w:r>
        <w:rPr>
          <w:rFonts w:ascii="Times New Roman" w:cs="Times New Roman" w:eastAsia="Calibri" w:hAnsi="Times New Roman"/>
          <w:color w:val="000000"/>
          <w:sz w:val="16"/>
          <w:szCs w:val="16"/>
        </w:rPr>
        <w:t xml:space="preserve">Cancer </w:t>
      </w:r>
      <w:r>
        <w:rPr>
          <w:rFonts w:ascii="Times New Roman" w:cs="Times New Roman" w:eastAsia="Calibri" w:hAnsi="Times New Roman"/>
          <w:color w:val="000000"/>
          <w:sz w:val="16"/>
          <w:szCs w:val="16"/>
        </w:rPr>
        <w:t>Discov</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388-98.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31) </w:t>
      </w:r>
      <w:r>
        <w:rPr>
          <w:rFonts w:ascii="Times New Roman" w:cs="Times New Roman" w:eastAsia="Calibri" w:hAnsi="Times New Roman"/>
          <w:color w:val="000000"/>
          <w:sz w:val="16"/>
          <w:szCs w:val="16"/>
        </w:rPr>
        <w:t>Tafere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Mulaw</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Belete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current status of gene thera</w:t>
      </w:r>
      <w:r>
        <w:rPr>
          <w:rFonts w:ascii="Times New Roman" w:cs="Times New Roman" w:eastAsia="Calibri" w:hAnsi="Times New Roman"/>
          <w:color w:val="000000"/>
          <w:sz w:val="16"/>
          <w:szCs w:val="16"/>
        </w:rPr>
        <w:t xml:space="preserve">py for the treatment of cancer. </w:t>
      </w:r>
      <w:r>
        <w:rPr>
          <w:rFonts w:ascii="Times New Roman" w:cs="Times New Roman" w:eastAsia="Calibri" w:hAnsi="Times New Roman"/>
          <w:color w:val="000000"/>
          <w:sz w:val="16"/>
          <w:szCs w:val="16"/>
        </w:rPr>
        <w:t>B</w:t>
      </w:r>
      <w:r>
        <w:rPr>
          <w:rFonts w:ascii="Times New Roman" w:cs="Times New Roman" w:eastAsia="Calibri" w:hAnsi="Times New Roman"/>
          <w:color w:val="000000"/>
          <w:sz w:val="16"/>
          <w:szCs w:val="16"/>
        </w:rPr>
        <w:t>iological: Targets and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2021; 15: </w:t>
      </w:r>
      <w:r>
        <w:rPr>
          <w:rFonts w:ascii="Times New Roman" w:cs="Times New Roman" w:eastAsia="Calibri" w:hAnsi="Times New Roman"/>
          <w:color w:val="000000"/>
          <w:sz w:val="16"/>
          <w:szCs w:val="16"/>
        </w:rPr>
        <w:t>67-77.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32) </w:t>
      </w:r>
      <w:r>
        <w:rPr>
          <w:rFonts w:ascii="Times New Roman" w:cs="Times New Roman" w:eastAsia="Calibri" w:hAnsi="Times New Roman"/>
          <w:color w:val="000000"/>
          <w:sz w:val="16"/>
          <w:szCs w:val="16"/>
        </w:rPr>
        <w:t>Bouchkouj</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Kasamon</w:t>
      </w:r>
      <w:r>
        <w:rPr>
          <w:rFonts w:ascii="Times New Roman" w:cs="Times New Roman" w:eastAsia="Calibri" w:hAnsi="Times New Roman"/>
          <w:color w:val="000000"/>
          <w:sz w:val="16"/>
          <w:szCs w:val="16"/>
        </w:rPr>
        <w:t xml:space="preserve"> YL, d</w:t>
      </w:r>
      <w:r>
        <w:rPr>
          <w:rFonts w:ascii="Times New Roman" w:cs="Times New Roman" w:eastAsia="Calibri" w:hAnsi="Times New Roman"/>
          <w:color w:val="000000"/>
          <w:sz w:val="16"/>
          <w:szCs w:val="16"/>
        </w:rPr>
        <w:t>e Claro RA, et al. FDA approval</w:t>
      </w:r>
      <w:r>
        <w:rPr>
          <w:rFonts w:ascii="Times New Roman" w:cs="Times New Roman" w:eastAsia="Calibri" w:hAnsi="Times New Roman"/>
          <w:color w:val="000000"/>
          <w:sz w:val="16"/>
          <w:szCs w:val="16"/>
        </w:rPr>
        <w:t xml:space="preserve"> summary: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f</w:t>
      </w:r>
      <w:r>
        <w:rPr>
          <w:rFonts w:ascii="Times New Roman" w:cs="Times New Roman" w:eastAsia="Calibri" w:hAnsi="Times New Roman"/>
          <w:color w:val="000000"/>
          <w:sz w:val="16"/>
          <w:szCs w:val="16"/>
        </w:rPr>
        <w:t>or relapsed or refractory large</w:t>
      </w:r>
      <w:r>
        <w:rPr>
          <w:rFonts w:ascii="Times New Roman" w:cs="Times New Roman" w:eastAsia="Calibri" w:hAnsi="Times New Roman"/>
          <w:color w:val="000000"/>
          <w:sz w:val="16"/>
          <w:szCs w:val="16"/>
        </w:rPr>
        <w:t xml:space="preserve"> B-cell lymphoma.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 25(6) 1702-1708.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33) Jacobson CA, </w:t>
      </w:r>
      <w:r>
        <w:rPr>
          <w:rFonts w:ascii="Times New Roman" w:cs="Times New Roman" w:eastAsia="Calibri" w:hAnsi="Times New Roman"/>
          <w:color w:val="000000"/>
          <w:sz w:val="16"/>
          <w:szCs w:val="16"/>
        </w:rPr>
        <w:t>Farooq</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Ghobadi</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an Anti-CD19 Chimeric Antigen Receptor T-Cell Therapy for  Relapsed or Refractory Large B-cell lymphoma: practical  implications for the community oncologist.  Oncologist.2020;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e138.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34) El-</w:t>
      </w:r>
      <w:r>
        <w:rPr>
          <w:rFonts w:ascii="Times New Roman" w:cs="Times New Roman" w:eastAsia="Calibri" w:hAnsi="Times New Roman"/>
          <w:color w:val="000000"/>
          <w:sz w:val="16"/>
          <w:szCs w:val="16"/>
        </w:rPr>
        <w:t>Kenawi</w:t>
      </w:r>
      <w:r>
        <w:rPr>
          <w:rFonts w:ascii="Times New Roman" w:cs="Times New Roman" w:eastAsia="Calibri" w:hAnsi="Times New Roman"/>
          <w:color w:val="000000"/>
          <w:sz w:val="16"/>
          <w:szCs w:val="16"/>
        </w:rPr>
        <w:t xml:space="preserve"> AE, El-</w:t>
      </w:r>
      <w:r>
        <w:rPr>
          <w:rFonts w:ascii="Times New Roman" w:cs="Times New Roman" w:eastAsia="Calibri" w:hAnsi="Times New Roman"/>
          <w:color w:val="000000"/>
          <w:sz w:val="16"/>
          <w:szCs w:val="16"/>
        </w:rPr>
        <w:t>Remessy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AB. Angiogenesis inhibitors in </w:t>
      </w:r>
      <w:r>
        <w:rPr>
          <w:rFonts w:ascii="Times New Roman" w:cs="Times New Roman" w:eastAsia="Calibri" w:hAnsi="Times New Roman"/>
          <w:color w:val="000000"/>
          <w:sz w:val="16"/>
          <w:szCs w:val="16"/>
        </w:rPr>
        <w:t>cancer therapy: mechanistic perspectiv</w:t>
      </w:r>
      <w:r>
        <w:rPr>
          <w:rFonts w:ascii="Times New Roman" w:cs="Times New Roman" w:eastAsia="Calibri" w:hAnsi="Times New Roman"/>
          <w:color w:val="000000"/>
          <w:sz w:val="16"/>
          <w:szCs w:val="16"/>
        </w:rPr>
        <w:t>e on classification and</w:t>
      </w:r>
      <w:r>
        <w:rPr>
          <w:rFonts w:ascii="Times New Roman" w:cs="Times New Roman" w:eastAsia="Calibri" w:hAnsi="Times New Roman"/>
          <w:color w:val="000000"/>
          <w:sz w:val="16"/>
          <w:szCs w:val="16"/>
        </w:rPr>
        <w:t xml:space="preserve"> treatment rationales. </w:t>
      </w:r>
      <w:r>
        <w:rPr>
          <w:rFonts w:ascii="Times New Roman" w:cs="Times New Roman" w:eastAsia="Calibri" w:hAnsi="Times New Roman"/>
          <w:color w:val="000000"/>
          <w:sz w:val="16"/>
          <w:szCs w:val="16"/>
        </w:rPr>
        <w:t xml:space="preserve">Br J </w:t>
      </w:r>
      <w:r>
        <w:rPr>
          <w:rFonts w:ascii="Times New Roman" w:cs="Times New Roman" w:eastAsia="Calibri" w:hAnsi="Times New Roman"/>
          <w:color w:val="000000"/>
          <w:sz w:val="16"/>
          <w:szCs w:val="16"/>
        </w:rPr>
        <w:t>Pharmacol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 170(4): 712-729.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35) Li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Kang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Wang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Huang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36) </w:t>
      </w:r>
      <w:r>
        <w:rPr>
          <w:rFonts w:ascii="Times New Roman" w:cs="Times New Roman" w:eastAsia="Calibri" w:hAnsi="Times New Roman"/>
          <w:color w:val="000000"/>
          <w:sz w:val="16"/>
          <w:szCs w:val="16"/>
        </w:rPr>
        <w:t>Bommareddy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K</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Patel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Hossain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Kaufman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Talimogene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laherparepvec</w:t>
      </w:r>
      <w:r>
        <w:rPr>
          <w:rFonts w:ascii="Times New Roman" w:cs="Times New Roman" w:eastAsia="Calibri" w:hAnsi="Times New Roman"/>
          <w:color w:val="000000"/>
          <w:sz w:val="16"/>
          <w:szCs w:val="16"/>
        </w:rPr>
        <w:t xml:space="preserve"> (T-VEC) and other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viruses for the  treatment of melanoma. Am J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Dermatol</w:t>
      </w:r>
      <w:r>
        <w:rPr>
          <w:rFonts w:ascii="Times New Roman" w:cs="Times New Roman" w:eastAsia="Calibri" w:hAnsi="Times New Roman"/>
          <w:color w:val="000000"/>
          <w:sz w:val="16"/>
          <w:szCs w:val="16"/>
        </w:rPr>
        <w:t>. 2017; 18(1): 1-5.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37) </w:t>
      </w:r>
      <w:r>
        <w:rPr>
          <w:rFonts w:ascii="Times New Roman" w:cs="Times New Roman" w:eastAsia="Calibri" w:hAnsi="Times New Roman"/>
          <w:color w:val="000000"/>
          <w:sz w:val="16"/>
          <w:szCs w:val="16"/>
        </w:rPr>
        <w:t>Sostoa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Dutoit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V</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Migliorini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w:t>
      </w:r>
      <w:r>
        <w:rPr>
          <w:rFonts w:ascii="Times New Roman" w:cs="Times New Roman" w:eastAsia="Calibri" w:hAnsi="Times New Roman"/>
          <w:color w:val="000000"/>
          <w:sz w:val="16"/>
          <w:szCs w:val="16"/>
        </w:rPr>
        <w:t>olytic</w:t>
      </w:r>
      <w:r>
        <w:rPr>
          <w:rFonts w:ascii="Times New Roman" w:cs="Times New Roman" w:eastAsia="Calibri" w:hAnsi="Times New Roman"/>
          <w:color w:val="000000"/>
          <w:sz w:val="16"/>
          <w:szCs w:val="16"/>
        </w:rPr>
        <w:t xml:space="preserve"> viruses as a</w:t>
      </w:r>
      <w:r>
        <w:rPr>
          <w:rFonts w:ascii="Times New Roman" w:cs="Times New Roman" w:eastAsia="Calibri" w:hAnsi="Times New Roman"/>
          <w:color w:val="000000"/>
          <w:sz w:val="16"/>
          <w:szCs w:val="16"/>
        </w:rPr>
        <w:t xml:space="preserve"> platform for the treatment of malignant brain </w:t>
      </w:r>
      <w:r>
        <w:rPr>
          <w:rFonts w:ascii="Times New Roman" w:cs="Times New Roman" w:eastAsia="Calibri" w:hAnsi="Times New Roman"/>
          <w:color w:val="000000"/>
          <w:sz w:val="16"/>
          <w:szCs w:val="16"/>
        </w:rPr>
        <w:t>tumo</w:t>
      </w:r>
      <w:r>
        <w:rPr>
          <w:rFonts w:ascii="Times New Roman" w:cs="Times New Roman" w:eastAsia="Calibri" w:hAnsi="Times New Roman"/>
          <w:color w:val="000000"/>
          <w:sz w:val="16"/>
          <w:szCs w:val="16"/>
        </w:rPr>
        <w:t>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Int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Science. 2020;</w:t>
      </w:r>
      <w:r>
        <w:rPr>
          <w:rFonts w:ascii="Times New Roman" w:cs="Times New Roman" w:eastAsia="Calibri" w:hAnsi="Times New Roman"/>
          <w:color w:val="000000"/>
          <w:sz w:val="16"/>
          <w:szCs w:val="16"/>
        </w:rPr>
        <w:t xml:space="preserve"> 21</w:t>
      </w:r>
      <w:r>
        <w:rPr>
          <w:rFonts w:ascii="Times New Roman" w:cs="Times New Roman" w:eastAsia="Calibri" w:hAnsi="Times New Roman"/>
          <w:color w:val="000000"/>
          <w:sz w:val="16"/>
          <w:szCs w:val="16"/>
        </w:rPr>
        <w:t>(20):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7449.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38) Zhang -W-W, Li L, Li D, et al.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first approved gene therapy</w:t>
      </w:r>
      <w:r>
        <w:rPr>
          <w:rFonts w:ascii="Times New Roman" w:cs="Times New Roman" w:eastAsia="Calibri" w:hAnsi="Times New Roman"/>
          <w:color w:val="000000"/>
          <w:sz w:val="16"/>
          <w:szCs w:val="16"/>
        </w:rPr>
        <w:t xml:space="preserve"> product for cancer Ad-p53 (</w:t>
      </w:r>
      <w:r>
        <w:rPr>
          <w:rFonts w:ascii="Times New Roman" w:cs="Times New Roman" w:eastAsia="Calibri" w:hAnsi="Times New Roman"/>
          <w:color w:val="000000"/>
          <w:sz w:val="16"/>
          <w:szCs w:val="16"/>
        </w:rPr>
        <w:t>Gendicine</w:t>
      </w:r>
      <w:r>
        <w:rPr>
          <w:rFonts w:ascii="Times New Roman" w:cs="Times New Roman" w:eastAsia="Calibri" w:hAnsi="Times New Roman"/>
          <w:color w:val="000000"/>
          <w:sz w:val="16"/>
          <w:szCs w:val="16"/>
        </w:rPr>
        <w:t>):12 Years in the Clinic. Hum</w:t>
      </w:r>
      <w:r>
        <w:rPr>
          <w:rFonts w:ascii="Times New Roman" w:cs="Times New Roman" w:eastAsia="Calibri" w:hAnsi="Times New Roman"/>
          <w:color w:val="000000"/>
          <w:sz w:val="16"/>
          <w:szCs w:val="16"/>
        </w:rPr>
        <w:t xml:space="preserve"> Gene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2018; 29(2):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160-179.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39) </w:t>
      </w:r>
      <w:r>
        <w:rPr>
          <w:rFonts w:ascii="Times New Roman" w:cs="Times New Roman" w:eastAsia="Calibri" w:hAnsi="Times New Roman"/>
          <w:color w:val="000000"/>
          <w:sz w:val="16"/>
          <w:szCs w:val="16"/>
        </w:rPr>
        <w:t>Shahryari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Saghaeian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Jazi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Mohammadi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Razavi</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Nikoo</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Nazari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Z</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Hosseini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Development and clinical translation of  approved gene therapy produc</w:t>
      </w:r>
      <w:r>
        <w:rPr>
          <w:rFonts w:ascii="Times New Roman" w:cs="Times New Roman" w:eastAsia="Calibri" w:hAnsi="Times New Roman"/>
          <w:color w:val="000000"/>
          <w:sz w:val="16"/>
          <w:szCs w:val="16"/>
        </w:rPr>
        <w:t>ts for genetic disorders. Front</w:t>
      </w:r>
      <w:r>
        <w:rPr>
          <w:rFonts w:ascii="Times New Roman" w:cs="Times New Roman" w:eastAsia="Calibri" w:hAnsi="Times New Roman"/>
          <w:color w:val="000000"/>
          <w:sz w:val="16"/>
          <w:szCs w:val="16"/>
        </w:rPr>
        <w:t xml:space="preserve"> 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2019; 10: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868.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28"/>
          <w:szCs w:val="28"/>
        </w:rPr>
      </w:pPr>
      <w:r>
        <w:rPr>
          <w:rFonts w:ascii="Times New Roman" w:cs="Times New Roman" w:eastAsia="Calibri" w:hAnsi="Times New Roman"/>
          <w:color w:val="000000"/>
          <w:sz w:val="16"/>
          <w:szCs w:val="16"/>
        </w:rPr>
        <w:t>40) Russell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L</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Peng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K-W.</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em</w:t>
      </w:r>
      <w:r>
        <w:rPr>
          <w:rFonts w:ascii="Times New Roman" w:cs="Times New Roman" w:eastAsia="Calibri" w:hAnsi="Times New Roman"/>
          <w:color w:val="000000"/>
          <w:sz w:val="16"/>
          <w:szCs w:val="16"/>
        </w:rPr>
        <w:t xml:space="preserve">erging role of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 </w:t>
      </w:r>
      <w:r>
        <w:rPr>
          <w:rFonts w:ascii="Times New Roman" w:cs="Times New Roman" w:eastAsia="Calibri" w:hAnsi="Times New Roman"/>
          <w:color w:val="000000"/>
          <w:sz w:val="16"/>
          <w:szCs w:val="16"/>
        </w:rPr>
        <w:t xml:space="preserve">therapy against cancer. </w:t>
      </w:r>
      <w:r>
        <w:rPr>
          <w:rFonts w:ascii="Times New Roman" w:cs="Times New Roman" w:eastAsia="Calibri" w:hAnsi="Times New Roman"/>
          <w:color w:val="000000"/>
          <w:sz w:val="16"/>
          <w:szCs w:val="16"/>
        </w:rPr>
        <w:t xml:space="preserve">Chine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 7(2): 16. </w:t>
      </w:r>
      <w:r>
        <w:rPr>
          <w:rFonts w:ascii="Times New Roman" w:cs="Times New Roman" w:eastAsia="Calibri" w:hAnsi="Times New Roman"/>
          <w:color w:val="000000"/>
        </w:rPr>
        <w:t xml:space="preserve"> </w:t>
      </w:r>
    </w:p>
    <w:sectPr>
      <w:headerReference w:type="default" r:id="rId6"/>
      <w:footerReference w:type="default" r:id="rId7"/>
      <w:pgSz w:w="11907" w:h="16839" w:orient="portrait"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4002EFF" w:usb1="C000247B" w:usb2="00000009" w:usb3="00000000" w:csb0="000001FF" w:csb1="00000000"/>
  </w:font>
  <w:font w:name="Helvetica">
    <w:altName w:val="Helvetica"/>
    <w:panose1 w:val="020b0604020000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CC6BB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90522056"/>
    <w:lvl w:ilvl="0">
      <w:start w:val="2"/>
      <w:numFmt w:val="upperRoman"/>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0000002"/>
    <w:multiLevelType w:val="hybridMultilevel"/>
    <w:tmpl w:val="962EF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IN" w:bidi="mr-IN" w:eastAsia="en-IN"/>
      </w:rPr>
    </w:rPrDefault>
    <w:pPrDefault>
      <w:pPr>
        <w:spacing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098">
    <w:basedOn w:val="style105"/>
    <w:next w:val="style4098"/>
    <w:pPr/>
    <w:rPr/>
    <w:tblPr>
      <w:tblStyleRowBandSize w:val="1"/>
      <w:tblStyleColBandSize w:val="1"/>
      <w:tblInd w:w="0" w:type="dxa"/>
      <w:tblCellMar>
        <w:top w:w="100" w:type="dxa"/>
        <w:left w:w="100" w:type="dxa"/>
        <w:bottom w:w="100" w:type="dxa"/>
        <w:right w:w="100" w:type="dxa"/>
      </w:tblCellMar>
    </w:tblPr>
    <w:tcPr>
      <w:tcBorders/>
    </w:tcPr>
  </w:style>
  <w:style w:type="paragraph" w:styleId="style153">
    <w:name w:val="Balloon Text"/>
    <w:basedOn w:val="style0"/>
    <w:next w:val="style153"/>
    <w:link w:val="style4099"/>
    <w:uiPriority w:val="99"/>
    <w:pPr>
      <w:spacing w:lineRule="auto" w:line="240"/>
    </w:pPr>
    <w:rPr>
      <w:rFonts w:ascii="Tahoma" w:cs="Tahoma" w:hAnsi="Tahoma"/>
      <w:sz w:val="16"/>
      <w:szCs w:val="14"/>
    </w:rPr>
  </w:style>
  <w:style w:type="character" w:customStyle="1" w:styleId="style4099">
    <w:name w:val="Balloon Text Char"/>
    <w:basedOn w:val="style65"/>
    <w:next w:val="style4099"/>
    <w:link w:val="style153"/>
    <w:uiPriority w:val="99"/>
    <w:rPr>
      <w:rFonts w:ascii="Tahoma" w:cs="Tahoma" w:hAnsi="Tahoma"/>
      <w:sz w:val="16"/>
      <w:szCs w:val="14"/>
    </w:rPr>
  </w:style>
  <w:style w:type="paragraph" w:styleId="style179">
    <w:name w:val="List Paragraph"/>
    <w:basedOn w:val="style0"/>
    <w:next w:val="style179"/>
    <w:qFormat/>
    <w:uiPriority w:val="34"/>
    <w:pPr>
      <w:ind w:left="720"/>
      <w:contextualSpacing/>
    </w:pPr>
    <w:rPr>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Words>3728</Words>
  <Pages>7</Pages>
  <Characters>21456</Characters>
  <Application>WPS Office</Application>
  <DocSecurity>0</DocSecurity>
  <Paragraphs>197</Paragraphs>
  <ScaleCrop>false</ScaleCrop>
  <LinksUpToDate>false</LinksUpToDate>
  <CharactersWithSpaces>25610</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2023-08-29T05:01:00Z</dcterms:created>
  <dc:creator>WPS Office</dc:creator>
  <lastModifiedBy>meizu C9</lastModifiedBy>
  <dcterms:modified xsi:type="dcterms:W3CDTF">2023-10-14T16:15:03Z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c7076e78942b4f9b8c1f29fb1edd9ee8</vt:lpwstr>
  </property>
</Properties>
</file>