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BDE" w:rsidRPr="002D4BDE" w:rsidRDefault="002D4BDE" w:rsidP="002D4BDE">
      <w:pPr>
        <w:spacing w:after="0"/>
        <w:jc w:val="center"/>
        <w:rPr>
          <w:b/>
          <w:bCs/>
          <w:sz w:val="36"/>
          <w:szCs w:val="36"/>
          <w:lang w:val="en-US"/>
        </w:rPr>
      </w:pPr>
    </w:p>
    <w:p w:rsidR="001D7CD7" w:rsidRDefault="001D7CD7" w:rsidP="00F71B5C">
      <w:pPr>
        <w:jc w:val="center"/>
        <w:rPr>
          <w:rFonts w:asciiTheme="majorBidi" w:hAnsiTheme="majorBidi" w:cstheme="majorBidi"/>
          <w:sz w:val="34"/>
          <w:szCs w:val="34"/>
          <w:lang w:val="en-US"/>
        </w:rPr>
      </w:pPr>
    </w:p>
    <w:p w:rsidR="00BA1373" w:rsidRPr="002D4BDE" w:rsidRDefault="001A55E0" w:rsidP="00691B6D">
      <w:pPr>
        <w:jc w:val="center"/>
        <w:rPr>
          <w:rFonts w:asciiTheme="majorBidi" w:hAnsiTheme="majorBidi" w:cstheme="majorBidi"/>
          <w:sz w:val="34"/>
          <w:szCs w:val="34"/>
          <w:lang w:val="en-US"/>
        </w:rPr>
      </w:pPr>
      <w:r>
        <w:rPr>
          <w:rFonts w:asciiTheme="majorBidi" w:hAnsiTheme="majorBidi" w:cstheme="majorBidi"/>
          <w:sz w:val="34"/>
          <w:szCs w:val="34"/>
          <w:lang w:val="en-US"/>
        </w:rPr>
        <w:t>T</w:t>
      </w:r>
      <w:r w:rsidRPr="001A55E0">
        <w:rPr>
          <w:rFonts w:asciiTheme="majorBidi" w:hAnsiTheme="majorBidi" w:cstheme="majorBidi"/>
          <w:sz w:val="34"/>
          <w:szCs w:val="34"/>
          <w:lang w:val="en-US"/>
        </w:rPr>
        <w:t xml:space="preserve">he </w:t>
      </w:r>
      <w:r w:rsidR="008545DF">
        <w:rPr>
          <w:rFonts w:asciiTheme="majorBidi" w:hAnsiTheme="majorBidi" w:cstheme="majorBidi"/>
          <w:sz w:val="34"/>
          <w:szCs w:val="34"/>
          <w:lang w:val="en-US"/>
        </w:rPr>
        <w:t xml:space="preserve">causal </w:t>
      </w:r>
      <w:r>
        <w:rPr>
          <w:rFonts w:asciiTheme="majorBidi" w:hAnsiTheme="majorBidi" w:cstheme="majorBidi"/>
          <w:sz w:val="34"/>
          <w:szCs w:val="34"/>
          <w:lang w:val="en-US"/>
        </w:rPr>
        <w:t xml:space="preserve">impact of </w:t>
      </w:r>
      <w:r w:rsidRPr="001A55E0">
        <w:rPr>
          <w:rFonts w:asciiTheme="majorBidi" w:hAnsiTheme="majorBidi" w:cstheme="majorBidi"/>
          <w:sz w:val="34"/>
          <w:szCs w:val="34"/>
          <w:lang w:val="en-US"/>
        </w:rPr>
        <w:t xml:space="preserve">Russia-Ukraine war </w:t>
      </w:r>
      <w:r>
        <w:rPr>
          <w:rFonts w:asciiTheme="majorBidi" w:hAnsiTheme="majorBidi" w:cstheme="majorBidi"/>
          <w:sz w:val="34"/>
          <w:szCs w:val="34"/>
          <w:lang w:val="en-US"/>
        </w:rPr>
        <w:t xml:space="preserve">of </w:t>
      </w:r>
      <w:r w:rsidR="00C520B6" w:rsidRPr="00C520B6">
        <w:rPr>
          <w:rFonts w:asciiTheme="majorBidi" w:hAnsiTheme="majorBidi" w:cstheme="majorBidi"/>
          <w:sz w:val="34"/>
          <w:szCs w:val="34"/>
          <w:lang w:val="en-US"/>
        </w:rPr>
        <w:t>oil pric</w:t>
      </w:r>
      <w:r w:rsidR="00C520B6">
        <w:rPr>
          <w:rFonts w:asciiTheme="majorBidi" w:hAnsiTheme="majorBidi" w:cstheme="majorBidi"/>
          <w:sz w:val="34"/>
          <w:szCs w:val="34"/>
          <w:lang w:val="en-US"/>
        </w:rPr>
        <w:t>e</w:t>
      </w:r>
      <w:r w:rsidR="00C520B6" w:rsidRPr="00C520B6">
        <w:rPr>
          <w:rFonts w:asciiTheme="majorBidi" w:hAnsiTheme="majorBidi" w:cstheme="majorBidi"/>
          <w:sz w:val="34"/>
          <w:szCs w:val="34"/>
          <w:lang w:val="en-US"/>
        </w:rPr>
        <w:t>s and clean energymarket</w:t>
      </w:r>
      <w:r w:rsidR="000B11CF">
        <w:rPr>
          <w:rFonts w:asciiTheme="majorBidi" w:hAnsiTheme="majorBidi" w:cstheme="majorBidi"/>
          <w:sz w:val="34"/>
          <w:szCs w:val="34"/>
          <w:lang w:val="en-US"/>
        </w:rPr>
        <w:t>s</w:t>
      </w:r>
      <w:r w:rsidR="008545DF">
        <w:rPr>
          <w:rFonts w:asciiTheme="majorBidi" w:hAnsiTheme="majorBidi" w:cstheme="majorBidi"/>
          <w:sz w:val="34"/>
          <w:szCs w:val="34"/>
          <w:lang w:val="en-US"/>
        </w:rPr>
        <w:t xml:space="preserve">: </w:t>
      </w:r>
      <w:r w:rsidR="008545DF" w:rsidRPr="008545DF">
        <w:rPr>
          <w:rFonts w:asciiTheme="majorBidi" w:hAnsiTheme="majorBidi" w:cstheme="majorBidi"/>
          <w:sz w:val="34"/>
          <w:szCs w:val="34"/>
          <w:lang w:val="en-US"/>
        </w:rPr>
        <w:t>pre-post period analysis</w:t>
      </w:r>
    </w:p>
    <w:p w:rsidR="00BA1373" w:rsidRPr="00E615A5" w:rsidRDefault="00BA1373" w:rsidP="00F8602F">
      <w:pPr>
        <w:spacing w:after="0"/>
        <w:jc w:val="center"/>
        <w:rPr>
          <w:rFonts w:asciiTheme="majorBidi" w:hAnsiTheme="majorBidi" w:cstheme="majorBidi"/>
          <w:sz w:val="28"/>
          <w:szCs w:val="28"/>
          <w:lang w:val="en-US"/>
        </w:rPr>
      </w:pPr>
      <w:r w:rsidRPr="00F71B5C">
        <w:rPr>
          <w:rFonts w:asciiTheme="majorBidi" w:hAnsiTheme="majorBidi" w:cstheme="majorBidi"/>
          <w:sz w:val="28"/>
          <w:szCs w:val="28"/>
          <w:lang w:val="en-US"/>
        </w:rPr>
        <w:t>Mohammed Amine Mouffok</w:t>
      </w:r>
      <w:r w:rsidR="00F8602F">
        <w:rPr>
          <w:rFonts w:asciiTheme="majorBidi" w:hAnsiTheme="majorBidi" w:cstheme="majorBidi"/>
          <w:sz w:val="28"/>
          <w:szCs w:val="28"/>
          <w:vertAlign w:val="superscript"/>
          <w:lang w:val="en-US"/>
        </w:rPr>
        <w:t>a,</w:t>
      </w:r>
      <w:r w:rsidR="003C2FF5" w:rsidRPr="00F71B5C">
        <w:rPr>
          <w:rStyle w:val="Appelnotedebasdep"/>
          <w:rFonts w:asciiTheme="majorBidi" w:hAnsiTheme="majorBidi" w:cstheme="majorBidi"/>
          <w:sz w:val="28"/>
          <w:szCs w:val="28"/>
          <w:lang w:val="en-US"/>
        </w:rPr>
        <w:footnoteReference w:id="2"/>
      </w:r>
      <w:r w:rsidR="002D4BDE">
        <w:rPr>
          <w:rFonts w:asciiTheme="majorBidi" w:hAnsiTheme="majorBidi" w:cstheme="majorBidi"/>
          <w:sz w:val="28"/>
          <w:szCs w:val="28"/>
          <w:lang w:val="en-US"/>
        </w:rPr>
        <w:t>,</w:t>
      </w:r>
      <w:r w:rsidR="00F8602F">
        <w:rPr>
          <w:rFonts w:asciiTheme="majorBidi" w:hAnsiTheme="majorBidi" w:cstheme="majorBidi"/>
          <w:sz w:val="28"/>
          <w:szCs w:val="28"/>
          <w:lang w:val="en-US"/>
        </w:rPr>
        <w:t xml:space="preserve"> Youcef Souar</w:t>
      </w:r>
      <w:r w:rsidR="00F8602F">
        <w:rPr>
          <w:rFonts w:asciiTheme="majorBidi" w:hAnsiTheme="majorBidi" w:cstheme="majorBidi"/>
          <w:sz w:val="28"/>
          <w:szCs w:val="28"/>
          <w:vertAlign w:val="superscript"/>
          <w:lang w:val="en-US"/>
        </w:rPr>
        <w:t>b</w:t>
      </w:r>
      <w:r w:rsidR="00F8602F">
        <w:rPr>
          <w:rFonts w:asciiTheme="majorBidi" w:hAnsiTheme="majorBidi" w:cstheme="majorBidi"/>
          <w:sz w:val="28"/>
          <w:szCs w:val="28"/>
          <w:lang w:val="en-US"/>
        </w:rPr>
        <w:t>,</w:t>
      </w:r>
      <w:r w:rsidRPr="00F71B5C">
        <w:rPr>
          <w:rFonts w:asciiTheme="majorBidi" w:hAnsiTheme="majorBidi" w:cstheme="majorBidi"/>
          <w:sz w:val="28"/>
          <w:szCs w:val="28"/>
          <w:lang w:val="en-US"/>
        </w:rPr>
        <w:t>Omar Mouffok</w:t>
      </w:r>
      <w:r w:rsidR="00F8602F">
        <w:rPr>
          <w:rFonts w:asciiTheme="majorBidi" w:hAnsiTheme="majorBidi" w:cstheme="majorBidi"/>
          <w:sz w:val="28"/>
          <w:szCs w:val="28"/>
          <w:vertAlign w:val="superscript"/>
          <w:lang w:val="en-US"/>
        </w:rPr>
        <w:t>a</w:t>
      </w:r>
      <w:r w:rsidR="00E615A5">
        <w:rPr>
          <w:rFonts w:asciiTheme="majorBidi" w:hAnsiTheme="majorBidi" w:cstheme="majorBidi"/>
          <w:sz w:val="28"/>
          <w:szCs w:val="28"/>
          <w:lang w:val="en-US"/>
        </w:rPr>
        <w:t>, Amina Derbal</w:t>
      </w:r>
      <w:r w:rsidR="00E615A5">
        <w:rPr>
          <w:rFonts w:asciiTheme="majorBidi" w:hAnsiTheme="majorBidi" w:cstheme="majorBidi"/>
          <w:sz w:val="28"/>
          <w:szCs w:val="28"/>
          <w:vertAlign w:val="superscript"/>
          <w:lang w:val="en-US"/>
        </w:rPr>
        <w:t>b</w:t>
      </w:r>
    </w:p>
    <w:p w:rsidR="00F8602F" w:rsidRPr="002D4BDE" w:rsidRDefault="00F8602F" w:rsidP="00F8602F">
      <w:pPr>
        <w:spacing w:after="0"/>
        <w:jc w:val="center"/>
        <w:rPr>
          <w:rFonts w:asciiTheme="majorBidi" w:hAnsiTheme="majorBidi" w:cstheme="majorBidi"/>
          <w:sz w:val="28"/>
          <w:szCs w:val="28"/>
          <w:lang w:val="en-US"/>
        </w:rPr>
      </w:pPr>
    </w:p>
    <w:p w:rsidR="00BA1373" w:rsidRDefault="00F8602F" w:rsidP="00F8602F">
      <w:pPr>
        <w:spacing w:after="0"/>
        <w:jc w:val="center"/>
        <w:rPr>
          <w:rFonts w:asciiTheme="majorBidi" w:hAnsiTheme="majorBidi" w:cstheme="majorBidi"/>
          <w:i/>
          <w:iCs/>
          <w:sz w:val="20"/>
          <w:szCs w:val="20"/>
          <w:lang w:val="en-US"/>
        </w:rPr>
      </w:pPr>
      <w:r w:rsidRPr="000B11CF">
        <w:rPr>
          <w:rFonts w:asciiTheme="majorBidi" w:hAnsiTheme="majorBidi" w:cstheme="majorBidi"/>
          <w:sz w:val="20"/>
          <w:szCs w:val="20"/>
          <w:vertAlign w:val="superscript"/>
          <w:lang w:val="en-US"/>
        </w:rPr>
        <w:t>a</w:t>
      </w:r>
      <w:r w:rsidR="00BA1373" w:rsidRPr="002D4BDE">
        <w:rPr>
          <w:rFonts w:asciiTheme="majorBidi" w:hAnsiTheme="majorBidi" w:cstheme="majorBidi"/>
          <w:i/>
          <w:iCs/>
          <w:sz w:val="20"/>
          <w:szCs w:val="20"/>
          <w:lang w:val="en-US"/>
        </w:rPr>
        <w:t>College of Economic, Commercial, and Management Sciences Djillali Liabes University,Algeria</w:t>
      </w:r>
    </w:p>
    <w:p w:rsidR="00F8602F" w:rsidRPr="002D4BDE" w:rsidRDefault="00F8602F" w:rsidP="00F8602F">
      <w:pPr>
        <w:spacing w:after="0"/>
        <w:jc w:val="center"/>
        <w:rPr>
          <w:rFonts w:asciiTheme="majorBidi" w:hAnsiTheme="majorBidi" w:cstheme="majorBidi"/>
          <w:i/>
          <w:iCs/>
          <w:sz w:val="20"/>
          <w:szCs w:val="20"/>
          <w:lang w:val="en-US"/>
        </w:rPr>
      </w:pPr>
      <w:r w:rsidRPr="000B11CF">
        <w:rPr>
          <w:rFonts w:asciiTheme="majorBidi" w:hAnsiTheme="majorBidi" w:cstheme="majorBidi"/>
          <w:sz w:val="20"/>
          <w:szCs w:val="20"/>
          <w:vertAlign w:val="superscript"/>
          <w:lang w:val="en-US"/>
        </w:rPr>
        <w:t>b</w:t>
      </w:r>
      <w:r w:rsidRPr="00F8602F">
        <w:rPr>
          <w:rFonts w:asciiTheme="majorBidi" w:hAnsiTheme="majorBidi" w:cstheme="majorBidi"/>
          <w:i/>
          <w:iCs/>
          <w:sz w:val="20"/>
          <w:szCs w:val="20"/>
          <w:lang w:val="en-US"/>
        </w:rPr>
        <w:t>Faculty of Economics, Dr Tahar Moulay University, Algeria</w:t>
      </w:r>
    </w:p>
    <w:p w:rsidR="00BA1373" w:rsidRPr="00BA1373" w:rsidRDefault="00BA1373" w:rsidP="009219DB">
      <w:pPr>
        <w:spacing w:after="0"/>
        <w:jc w:val="both"/>
        <w:rPr>
          <w:b/>
          <w:bCs/>
          <w:sz w:val="36"/>
          <w:szCs w:val="36"/>
          <w:lang w:val="en-US"/>
        </w:rPr>
      </w:pPr>
    </w:p>
    <w:p w:rsidR="00105789" w:rsidRPr="001870CC" w:rsidRDefault="00105789" w:rsidP="002D4BDE">
      <w:pPr>
        <w:jc w:val="both"/>
        <w:rPr>
          <w:rFonts w:asciiTheme="majorBidi" w:hAnsiTheme="majorBidi" w:cstheme="majorBidi"/>
          <w:b/>
          <w:bCs/>
          <w:sz w:val="24"/>
          <w:szCs w:val="24"/>
          <w:lang w:val="en-US"/>
        </w:rPr>
      </w:pPr>
      <w:r w:rsidRPr="001870CC">
        <w:rPr>
          <w:rFonts w:asciiTheme="majorBidi" w:hAnsiTheme="majorBidi" w:cstheme="majorBidi"/>
          <w:b/>
          <w:bCs/>
          <w:sz w:val="24"/>
          <w:szCs w:val="24"/>
          <w:lang w:val="en-US"/>
        </w:rPr>
        <w:t>Abstract</w:t>
      </w:r>
    </w:p>
    <w:p w:rsidR="0073676C" w:rsidRPr="001870CC" w:rsidRDefault="00BA1437" w:rsidP="004A00FF">
      <w:pPr>
        <w:spacing w:after="0"/>
        <w:jc w:val="both"/>
        <w:rPr>
          <w:rFonts w:asciiTheme="majorBidi" w:hAnsiTheme="majorBidi" w:cstheme="majorBidi"/>
          <w:sz w:val="24"/>
          <w:szCs w:val="24"/>
          <w:lang w:val="en-US"/>
        </w:rPr>
      </w:pPr>
      <w:r w:rsidRPr="001870CC">
        <w:rPr>
          <w:rFonts w:asciiTheme="majorBidi" w:hAnsiTheme="majorBidi" w:cstheme="majorBidi"/>
          <w:sz w:val="24"/>
          <w:szCs w:val="24"/>
          <w:lang w:val="en-US"/>
        </w:rPr>
        <w:t xml:space="preserve">This </w:t>
      </w:r>
      <w:r w:rsidR="00D96ADA">
        <w:rPr>
          <w:rFonts w:asciiTheme="majorBidi" w:hAnsiTheme="majorBidi" w:cstheme="majorBidi"/>
          <w:sz w:val="24"/>
          <w:szCs w:val="24"/>
          <w:lang w:val="en-US"/>
        </w:rPr>
        <w:t>chapter</w:t>
      </w:r>
      <w:r w:rsidRPr="001870CC">
        <w:rPr>
          <w:rFonts w:asciiTheme="majorBidi" w:hAnsiTheme="majorBidi" w:cstheme="majorBidi"/>
          <w:sz w:val="24"/>
          <w:szCs w:val="24"/>
          <w:lang w:val="en-US"/>
        </w:rPr>
        <w:t xml:space="preserve"> aims to </w:t>
      </w:r>
      <w:r w:rsidR="00D96ADA" w:rsidRPr="00D96ADA">
        <w:rPr>
          <w:rFonts w:asciiTheme="majorBidi" w:hAnsiTheme="majorBidi" w:cstheme="majorBidi"/>
          <w:sz w:val="24"/>
          <w:szCs w:val="24"/>
          <w:lang w:val="en-US"/>
        </w:rPr>
        <w:t>analysis</w:t>
      </w:r>
      <w:r w:rsidR="00D96ADA">
        <w:rPr>
          <w:rFonts w:asciiTheme="majorBidi" w:hAnsiTheme="majorBidi" w:cstheme="majorBidi"/>
          <w:sz w:val="24"/>
          <w:szCs w:val="24"/>
          <w:lang w:val="en-US"/>
        </w:rPr>
        <w:t xml:space="preserve"> the</w:t>
      </w:r>
      <w:r w:rsidR="00D96ADA" w:rsidRPr="00D96ADA">
        <w:rPr>
          <w:rFonts w:asciiTheme="majorBidi" w:hAnsiTheme="majorBidi" w:cstheme="majorBidi"/>
          <w:sz w:val="24"/>
          <w:szCs w:val="24"/>
          <w:lang w:val="en-US"/>
        </w:rPr>
        <w:t xml:space="preserve"> pre-post period causal impact of Russia-Ukraine war of oil and clean energy markets</w:t>
      </w:r>
      <w:r w:rsidRPr="001870CC">
        <w:rPr>
          <w:rFonts w:asciiTheme="majorBidi" w:hAnsiTheme="majorBidi" w:cstheme="majorBidi"/>
          <w:sz w:val="24"/>
          <w:szCs w:val="24"/>
          <w:lang w:val="en-US"/>
        </w:rPr>
        <w:t>,</w:t>
      </w:r>
      <w:r w:rsidR="00A60446" w:rsidRPr="001870CC">
        <w:rPr>
          <w:rFonts w:asciiTheme="majorBidi" w:hAnsiTheme="majorBidi" w:cstheme="majorBidi"/>
          <w:sz w:val="24"/>
          <w:szCs w:val="24"/>
          <w:lang w:val="en-US"/>
        </w:rPr>
        <w:t>using</w:t>
      </w:r>
      <w:r w:rsidR="00D96ADA" w:rsidRPr="00D96ADA">
        <w:rPr>
          <w:rFonts w:asciiTheme="majorBidi" w:hAnsiTheme="majorBidi" w:cstheme="majorBidi"/>
          <w:sz w:val="24"/>
          <w:szCs w:val="24"/>
          <w:lang w:val="en-US"/>
        </w:rPr>
        <w:t>causal impact inference model</w:t>
      </w:r>
      <w:r w:rsidR="00A01341" w:rsidRPr="00A01341">
        <w:rPr>
          <w:rFonts w:asciiTheme="majorBidi" w:hAnsiTheme="majorBidi" w:cstheme="majorBidi"/>
          <w:sz w:val="24"/>
          <w:szCs w:val="24"/>
          <w:lang w:val="en-US"/>
        </w:rPr>
        <w:t>,</w:t>
      </w:r>
      <w:r w:rsidR="00A01341">
        <w:rPr>
          <w:rFonts w:asciiTheme="majorBidi" w:hAnsiTheme="majorBidi" w:cstheme="majorBidi"/>
          <w:sz w:val="24"/>
          <w:szCs w:val="24"/>
          <w:lang w:val="en-US"/>
        </w:rPr>
        <w:t>the</w:t>
      </w:r>
      <w:r w:rsidR="004A00FF" w:rsidRPr="004A00FF">
        <w:rPr>
          <w:rFonts w:asciiTheme="majorBidi" w:hAnsiTheme="majorBidi" w:cstheme="majorBidi"/>
          <w:sz w:val="24"/>
          <w:szCs w:val="24"/>
          <w:lang w:val="en-US"/>
        </w:rPr>
        <w:t>energy market</w:t>
      </w:r>
      <w:r w:rsidR="004A00FF">
        <w:rPr>
          <w:rFonts w:asciiTheme="majorBidi" w:hAnsiTheme="majorBidi" w:cstheme="majorBidi"/>
          <w:sz w:val="24"/>
          <w:szCs w:val="24"/>
          <w:lang w:val="en-US"/>
        </w:rPr>
        <w:t xml:space="preserve"> proxied by</w:t>
      </w:r>
      <w:r w:rsidR="00A60446" w:rsidRPr="001870CC">
        <w:rPr>
          <w:rFonts w:asciiTheme="majorBidi" w:hAnsiTheme="majorBidi" w:cstheme="majorBidi"/>
          <w:sz w:val="24"/>
          <w:szCs w:val="24"/>
          <w:lang w:val="en-US"/>
        </w:rPr>
        <w:t xml:space="preserve"> brent oil,</w:t>
      </w:r>
      <w:r w:rsidR="00A01341">
        <w:rPr>
          <w:rFonts w:asciiTheme="majorBidi" w:hAnsiTheme="majorBidi" w:cstheme="majorBidi"/>
          <w:sz w:val="24"/>
          <w:szCs w:val="24"/>
          <w:lang w:val="en-US"/>
        </w:rPr>
        <w:t>s</w:t>
      </w:r>
      <w:r w:rsidR="0073676C" w:rsidRPr="001870CC">
        <w:rPr>
          <w:rFonts w:asciiTheme="majorBidi" w:hAnsiTheme="majorBidi" w:cstheme="majorBidi"/>
          <w:sz w:val="24"/>
          <w:szCs w:val="24"/>
          <w:lang w:val="en-US"/>
        </w:rPr>
        <w:t xml:space="preserve">olar, </w:t>
      </w:r>
      <w:r w:rsidR="00A01341">
        <w:rPr>
          <w:rFonts w:asciiTheme="majorBidi" w:hAnsiTheme="majorBidi" w:cstheme="majorBidi"/>
          <w:sz w:val="24"/>
          <w:szCs w:val="24"/>
          <w:lang w:val="en-US"/>
        </w:rPr>
        <w:t>w</w:t>
      </w:r>
      <w:r w:rsidR="0073676C" w:rsidRPr="001870CC">
        <w:rPr>
          <w:rFonts w:asciiTheme="majorBidi" w:hAnsiTheme="majorBidi" w:cstheme="majorBidi"/>
          <w:sz w:val="24"/>
          <w:szCs w:val="24"/>
          <w:lang w:val="en-US"/>
        </w:rPr>
        <w:t xml:space="preserve">ind, </w:t>
      </w:r>
      <w:r w:rsidR="00A01341">
        <w:rPr>
          <w:rFonts w:asciiTheme="majorBidi" w:hAnsiTheme="majorBidi" w:cstheme="majorBidi"/>
          <w:sz w:val="24"/>
          <w:szCs w:val="24"/>
          <w:lang w:val="en-US"/>
        </w:rPr>
        <w:t>b</w:t>
      </w:r>
      <w:r w:rsidR="0073676C" w:rsidRPr="001870CC">
        <w:rPr>
          <w:rFonts w:asciiTheme="majorBidi" w:hAnsiTheme="majorBidi" w:cstheme="majorBidi"/>
          <w:sz w:val="24"/>
          <w:szCs w:val="24"/>
          <w:lang w:val="en-US"/>
        </w:rPr>
        <w:t xml:space="preserve">iofuels and </w:t>
      </w:r>
      <w:r w:rsidR="00A01341">
        <w:rPr>
          <w:rFonts w:asciiTheme="majorBidi" w:hAnsiTheme="majorBidi" w:cstheme="majorBidi"/>
          <w:sz w:val="24"/>
          <w:szCs w:val="24"/>
          <w:lang w:val="en-US"/>
        </w:rPr>
        <w:t>g</w:t>
      </w:r>
      <w:r w:rsidR="0073676C" w:rsidRPr="001870CC">
        <w:rPr>
          <w:rFonts w:asciiTheme="majorBidi" w:hAnsiTheme="majorBidi" w:cstheme="majorBidi"/>
          <w:sz w:val="24"/>
          <w:szCs w:val="24"/>
          <w:lang w:val="en-US"/>
        </w:rPr>
        <w:t>eothermal</w:t>
      </w:r>
      <w:r w:rsidR="00A72EF4" w:rsidRPr="001870CC">
        <w:rPr>
          <w:rFonts w:asciiTheme="majorBidi" w:hAnsiTheme="majorBidi" w:cstheme="majorBidi"/>
          <w:sz w:val="24"/>
          <w:szCs w:val="24"/>
          <w:lang w:val="en-US"/>
        </w:rPr>
        <w:t>energymarket</w:t>
      </w:r>
      <w:r w:rsidR="004A00FF">
        <w:rPr>
          <w:rFonts w:asciiTheme="majorBidi" w:hAnsiTheme="majorBidi" w:cstheme="majorBidi"/>
          <w:sz w:val="24"/>
          <w:szCs w:val="24"/>
          <w:lang w:val="en-US"/>
        </w:rPr>
        <w:t>, in the period 2013-2023</w:t>
      </w:r>
      <w:r w:rsidR="00A72EF4" w:rsidRPr="001870CC">
        <w:rPr>
          <w:rFonts w:asciiTheme="majorBidi" w:hAnsiTheme="majorBidi" w:cstheme="majorBidi"/>
          <w:sz w:val="24"/>
          <w:szCs w:val="24"/>
          <w:lang w:val="en-US"/>
        </w:rPr>
        <w:t>.</w:t>
      </w:r>
      <w:r w:rsidR="004A00FF" w:rsidRPr="004A00FF">
        <w:rPr>
          <w:rFonts w:asciiTheme="majorBidi" w:hAnsiTheme="majorBidi" w:cstheme="majorBidi"/>
          <w:sz w:val="24"/>
          <w:szCs w:val="24"/>
          <w:lang w:val="en-US"/>
        </w:rPr>
        <w:t xml:space="preserve">The findings </w:t>
      </w:r>
      <w:r w:rsidR="004A00FF">
        <w:rPr>
          <w:rFonts w:asciiTheme="majorBidi" w:hAnsiTheme="majorBidi" w:cstheme="majorBidi"/>
          <w:sz w:val="24"/>
          <w:szCs w:val="24"/>
          <w:lang w:val="en-US"/>
        </w:rPr>
        <w:t>indicate</w:t>
      </w:r>
      <w:r w:rsidR="004A00FF" w:rsidRPr="004A00FF">
        <w:rPr>
          <w:rFonts w:asciiTheme="majorBidi" w:hAnsiTheme="majorBidi" w:cstheme="majorBidi"/>
          <w:sz w:val="24"/>
          <w:szCs w:val="24"/>
          <w:lang w:val="en-US"/>
        </w:rPr>
        <w:t xml:space="preserve"> that Russia-Ukraine war had an average significant positive impact of 0.51% on oil prices and clean energy markets, where increase of the energy market remains inside the 95% confidence interval during the war</w:t>
      </w:r>
      <w:r w:rsidR="0073676C" w:rsidRPr="001870CC">
        <w:rPr>
          <w:rFonts w:asciiTheme="majorBidi" w:hAnsiTheme="majorBidi" w:cstheme="majorBidi"/>
          <w:sz w:val="24"/>
          <w:szCs w:val="24"/>
          <w:lang w:val="en-US"/>
        </w:rPr>
        <w:t>. The</w:t>
      </w:r>
      <w:r w:rsidR="006B0F66" w:rsidRPr="001870CC">
        <w:rPr>
          <w:rFonts w:asciiTheme="majorBidi" w:hAnsiTheme="majorBidi" w:cstheme="majorBidi"/>
          <w:sz w:val="24"/>
          <w:szCs w:val="24"/>
          <w:lang w:val="en-US"/>
        </w:rPr>
        <w:t>se</w:t>
      </w:r>
      <w:r w:rsidR="0073676C" w:rsidRPr="001870CC">
        <w:rPr>
          <w:rFonts w:asciiTheme="majorBidi" w:hAnsiTheme="majorBidi" w:cstheme="majorBidi"/>
          <w:sz w:val="24"/>
          <w:szCs w:val="24"/>
          <w:lang w:val="en-US"/>
        </w:rPr>
        <w:t xml:space="preserve"> findings </w:t>
      </w:r>
      <w:r w:rsidR="006B0F66" w:rsidRPr="001870CC">
        <w:rPr>
          <w:rFonts w:asciiTheme="majorBidi" w:hAnsiTheme="majorBidi" w:cstheme="majorBidi"/>
          <w:sz w:val="24"/>
          <w:szCs w:val="24"/>
          <w:lang w:val="en-US"/>
        </w:rPr>
        <w:t>provideimportant</w:t>
      </w:r>
      <w:r w:rsidR="0073676C" w:rsidRPr="001870CC">
        <w:rPr>
          <w:rFonts w:asciiTheme="majorBidi" w:hAnsiTheme="majorBidi" w:cstheme="majorBidi"/>
          <w:sz w:val="24"/>
          <w:szCs w:val="24"/>
          <w:lang w:val="en-US"/>
        </w:rPr>
        <w:t xml:space="preserve"> insights for investors, policy makers and other </w:t>
      </w:r>
      <w:r w:rsidR="006B0F66" w:rsidRPr="001870CC">
        <w:rPr>
          <w:rFonts w:asciiTheme="majorBidi" w:hAnsiTheme="majorBidi" w:cstheme="majorBidi"/>
          <w:sz w:val="24"/>
          <w:szCs w:val="24"/>
          <w:lang w:val="en-US"/>
        </w:rPr>
        <w:t>energy markets participants</w:t>
      </w:r>
      <w:r w:rsidR="0073676C" w:rsidRPr="001870CC">
        <w:rPr>
          <w:rFonts w:asciiTheme="majorBidi" w:hAnsiTheme="majorBidi" w:cstheme="majorBidi"/>
          <w:sz w:val="24"/>
          <w:szCs w:val="24"/>
          <w:lang w:val="en-US"/>
        </w:rPr>
        <w:t>.</w:t>
      </w:r>
    </w:p>
    <w:p w:rsidR="009A6DAF" w:rsidRPr="001870CC" w:rsidRDefault="009A6DAF" w:rsidP="009219DB">
      <w:pPr>
        <w:spacing w:after="0"/>
        <w:jc w:val="both"/>
        <w:rPr>
          <w:rFonts w:asciiTheme="majorBidi" w:hAnsiTheme="majorBidi" w:cstheme="majorBidi"/>
          <w:i/>
          <w:iCs/>
          <w:sz w:val="24"/>
          <w:szCs w:val="24"/>
          <w:lang w:val="en-US"/>
        </w:rPr>
      </w:pPr>
    </w:p>
    <w:p w:rsidR="00105789" w:rsidRPr="001870CC" w:rsidRDefault="00105789" w:rsidP="009219DB">
      <w:pPr>
        <w:spacing w:after="0"/>
        <w:jc w:val="both"/>
        <w:rPr>
          <w:rFonts w:asciiTheme="majorBidi" w:hAnsiTheme="majorBidi" w:cstheme="majorBidi"/>
          <w:sz w:val="24"/>
          <w:szCs w:val="24"/>
          <w:lang w:val="en-US"/>
        </w:rPr>
      </w:pPr>
      <w:r w:rsidRPr="001870CC">
        <w:rPr>
          <w:rFonts w:asciiTheme="majorBidi" w:hAnsiTheme="majorBidi" w:cstheme="majorBidi"/>
          <w:b/>
          <w:bCs/>
          <w:i/>
          <w:iCs/>
          <w:sz w:val="24"/>
          <w:szCs w:val="24"/>
          <w:lang w:val="en-US"/>
        </w:rPr>
        <w:t>Keywords</w:t>
      </w:r>
      <w:r w:rsidR="002C1560" w:rsidRPr="001870CC">
        <w:rPr>
          <w:rFonts w:asciiTheme="majorBidi" w:hAnsiTheme="majorBidi" w:cstheme="majorBidi"/>
          <w:b/>
          <w:bCs/>
          <w:i/>
          <w:iCs/>
          <w:sz w:val="24"/>
          <w:szCs w:val="24"/>
          <w:lang w:val="en-US"/>
        </w:rPr>
        <w:t>:</w:t>
      </w:r>
      <w:r w:rsidR="004A00FF">
        <w:rPr>
          <w:rFonts w:asciiTheme="majorBidi" w:hAnsiTheme="majorBidi" w:cstheme="majorBidi"/>
          <w:sz w:val="24"/>
          <w:szCs w:val="24"/>
          <w:lang w:val="en-US"/>
        </w:rPr>
        <w:t>oil price</w:t>
      </w:r>
      <w:r w:rsidR="00A72EF4" w:rsidRPr="001870CC">
        <w:rPr>
          <w:rFonts w:asciiTheme="majorBidi" w:hAnsiTheme="majorBidi" w:cstheme="majorBidi"/>
          <w:sz w:val="24"/>
          <w:szCs w:val="24"/>
          <w:lang w:val="en-US"/>
        </w:rPr>
        <w:t>, clean energy,energy market,</w:t>
      </w:r>
      <w:r w:rsidR="004A00FF" w:rsidRPr="004A00FF">
        <w:rPr>
          <w:sz w:val="24"/>
          <w:szCs w:val="24"/>
          <w:lang w:val="en-US"/>
        </w:rPr>
        <w:t>Russia-Ukraine war</w:t>
      </w:r>
      <w:r w:rsidR="004A00FF">
        <w:rPr>
          <w:sz w:val="24"/>
          <w:szCs w:val="24"/>
          <w:lang w:val="en-US"/>
        </w:rPr>
        <w:t xml:space="preserve">, </w:t>
      </w:r>
      <w:r w:rsidR="004A00FF" w:rsidRPr="004A00FF">
        <w:rPr>
          <w:sz w:val="24"/>
          <w:szCs w:val="24"/>
          <w:lang w:val="en-US"/>
        </w:rPr>
        <w:t>causal impact</w:t>
      </w:r>
      <w:r w:rsidR="004A00FF">
        <w:rPr>
          <w:sz w:val="24"/>
          <w:szCs w:val="24"/>
          <w:lang w:val="en-US"/>
        </w:rPr>
        <w:t>.</w:t>
      </w:r>
    </w:p>
    <w:p w:rsidR="00BA1373" w:rsidRPr="001A68FF" w:rsidRDefault="00BA1373" w:rsidP="009219DB">
      <w:pPr>
        <w:spacing w:after="0"/>
        <w:jc w:val="both"/>
        <w:rPr>
          <w:rFonts w:asciiTheme="majorBidi" w:hAnsiTheme="majorBidi" w:cstheme="majorBidi"/>
          <w:sz w:val="24"/>
          <w:szCs w:val="24"/>
          <w:lang w:val="en-US"/>
        </w:rPr>
      </w:pPr>
    </w:p>
    <w:p w:rsidR="00BA1373" w:rsidRDefault="00BA1373" w:rsidP="009219DB">
      <w:pPr>
        <w:spacing w:after="0"/>
        <w:jc w:val="both"/>
        <w:rPr>
          <w:rFonts w:asciiTheme="majorBidi" w:hAnsiTheme="majorBidi" w:cstheme="majorBidi"/>
          <w:sz w:val="20"/>
          <w:szCs w:val="20"/>
          <w:lang w:val="en-US"/>
        </w:rPr>
      </w:pPr>
    </w:p>
    <w:p w:rsidR="00E1139F" w:rsidRPr="002D4BDE" w:rsidRDefault="00E1139F" w:rsidP="009219DB">
      <w:pPr>
        <w:spacing w:after="0"/>
        <w:jc w:val="both"/>
        <w:rPr>
          <w:rFonts w:asciiTheme="majorBidi" w:hAnsiTheme="majorBidi" w:cstheme="majorBidi"/>
          <w:sz w:val="20"/>
          <w:szCs w:val="20"/>
          <w:lang w:val="en-US"/>
        </w:rPr>
      </w:pPr>
    </w:p>
    <w:p w:rsidR="00E1139F" w:rsidRDefault="00E1139F" w:rsidP="009219DB">
      <w:pPr>
        <w:spacing w:after="0"/>
        <w:jc w:val="both"/>
        <w:rPr>
          <w:rFonts w:asciiTheme="majorBidi" w:hAnsiTheme="majorBidi" w:cstheme="majorBidi"/>
          <w:sz w:val="20"/>
          <w:szCs w:val="20"/>
          <w:lang w:val="en-US"/>
        </w:rPr>
      </w:pPr>
    </w:p>
    <w:p w:rsidR="00F71B5C" w:rsidRDefault="00F71B5C" w:rsidP="009219DB">
      <w:pPr>
        <w:spacing w:after="0"/>
        <w:jc w:val="both"/>
        <w:rPr>
          <w:rFonts w:asciiTheme="majorBidi" w:hAnsiTheme="majorBidi" w:cstheme="majorBidi"/>
          <w:sz w:val="20"/>
          <w:szCs w:val="20"/>
          <w:lang w:val="en-US"/>
        </w:rPr>
      </w:pPr>
    </w:p>
    <w:p w:rsidR="00F71B5C" w:rsidRDefault="00F71B5C" w:rsidP="009219DB">
      <w:pPr>
        <w:spacing w:after="0"/>
        <w:jc w:val="both"/>
        <w:rPr>
          <w:rFonts w:asciiTheme="majorBidi" w:hAnsiTheme="majorBidi" w:cstheme="majorBidi"/>
          <w:sz w:val="20"/>
          <w:szCs w:val="20"/>
          <w:lang w:val="en-US"/>
        </w:rPr>
      </w:pPr>
    </w:p>
    <w:p w:rsidR="00BA1437" w:rsidRDefault="00BA1437" w:rsidP="009219DB">
      <w:pPr>
        <w:spacing w:after="0"/>
        <w:jc w:val="both"/>
        <w:rPr>
          <w:rFonts w:asciiTheme="majorBidi" w:hAnsiTheme="majorBidi" w:cstheme="majorBidi"/>
          <w:sz w:val="20"/>
          <w:szCs w:val="20"/>
          <w:lang w:val="en-US"/>
        </w:rPr>
      </w:pPr>
    </w:p>
    <w:p w:rsidR="00BA1437" w:rsidRDefault="00BA1437" w:rsidP="009219DB">
      <w:pPr>
        <w:spacing w:after="0"/>
        <w:jc w:val="both"/>
        <w:rPr>
          <w:rFonts w:asciiTheme="majorBidi" w:hAnsiTheme="majorBidi" w:cstheme="majorBidi"/>
          <w:sz w:val="20"/>
          <w:szCs w:val="20"/>
          <w:lang w:val="en-US"/>
        </w:rPr>
      </w:pPr>
    </w:p>
    <w:p w:rsidR="00BA1437" w:rsidRDefault="00BA1437" w:rsidP="009219DB">
      <w:pPr>
        <w:spacing w:after="0"/>
        <w:jc w:val="both"/>
        <w:rPr>
          <w:rFonts w:asciiTheme="majorBidi" w:hAnsiTheme="majorBidi" w:cstheme="majorBidi"/>
          <w:sz w:val="20"/>
          <w:szCs w:val="20"/>
          <w:lang w:val="en-US"/>
        </w:rPr>
      </w:pPr>
    </w:p>
    <w:p w:rsidR="00BA1437" w:rsidRDefault="00BA1437" w:rsidP="009219DB">
      <w:pPr>
        <w:spacing w:after="0"/>
        <w:jc w:val="both"/>
        <w:rPr>
          <w:rFonts w:asciiTheme="majorBidi" w:hAnsiTheme="majorBidi" w:cstheme="majorBidi"/>
          <w:sz w:val="20"/>
          <w:szCs w:val="20"/>
          <w:lang w:val="en-US"/>
        </w:rPr>
      </w:pPr>
    </w:p>
    <w:p w:rsidR="00933325" w:rsidRDefault="00933325" w:rsidP="009219DB">
      <w:pPr>
        <w:spacing w:after="0"/>
        <w:jc w:val="both"/>
        <w:rPr>
          <w:rFonts w:asciiTheme="majorBidi" w:hAnsiTheme="majorBidi" w:cstheme="majorBidi"/>
          <w:sz w:val="20"/>
          <w:szCs w:val="20"/>
          <w:lang w:val="en-US"/>
        </w:rPr>
      </w:pPr>
    </w:p>
    <w:p w:rsidR="00BA1437" w:rsidRDefault="00BA1437" w:rsidP="009219DB">
      <w:pPr>
        <w:spacing w:after="0"/>
        <w:jc w:val="both"/>
        <w:rPr>
          <w:rFonts w:asciiTheme="majorBidi" w:hAnsiTheme="majorBidi" w:cstheme="majorBidi"/>
          <w:sz w:val="20"/>
          <w:szCs w:val="20"/>
          <w:lang w:val="en-US"/>
        </w:rPr>
      </w:pPr>
    </w:p>
    <w:p w:rsidR="00E347A5" w:rsidRDefault="00E347A5" w:rsidP="009219DB">
      <w:pPr>
        <w:spacing w:after="0"/>
        <w:jc w:val="both"/>
        <w:rPr>
          <w:rFonts w:asciiTheme="majorBidi" w:hAnsiTheme="majorBidi" w:cstheme="majorBidi"/>
          <w:sz w:val="20"/>
          <w:szCs w:val="20"/>
          <w:lang w:val="en-US"/>
        </w:rPr>
      </w:pPr>
    </w:p>
    <w:p w:rsidR="00E347A5" w:rsidRDefault="00E347A5" w:rsidP="009219DB">
      <w:pPr>
        <w:spacing w:after="0"/>
        <w:jc w:val="both"/>
        <w:rPr>
          <w:rFonts w:asciiTheme="majorBidi" w:hAnsiTheme="majorBidi" w:cstheme="majorBidi"/>
          <w:sz w:val="20"/>
          <w:szCs w:val="20"/>
          <w:lang w:val="en-US"/>
        </w:rPr>
      </w:pPr>
    </w:p>
    <w:p w:rsidR="004A00FF" w:rsidRDefault="004A00FF" w:rsidP="009219DB">
      <w:pPr>
        <w:spacing w:after="0"/>
        <w:jc w:val="both"/>
        <w:rPr>
          <w:rFonts w:asciiTheme="majorBidi" w:hAnsiTheme="majorBidi" w:cstheme="majorBidi"/>
          <w:sz w:val="20"/>
          <w:szCs w:val="20"/>
          <w:lang w:val="en-US"/>
        </w:rPr>
      </w:pPr>
    </w:p>
    <w:p w:rsidR="004A00FF" w:rsidRDefault="004A00FF" w:rsidP="009219DB">
      <w:pPr>
        <w:spacing w:after="0"/>
        <w:jc w:val="both"/>
        <w:rPr>
          <w:rFonts w:asciiTheme="majorBidi" w:hAnsiTheme="majorBidi" w:cstheme="majorBidi"/>
          <w:sz w:val="20"/>
          <w:szCs w:val="20"/>
          <w:lang w:val="en-US"/>
        </w:rPr>
      </w:pPr>
    </w:p>
    <w:p w:rsidR="004A00FF" w:rsidRDefault="004A00FF" w:rsidP="009219DB">
      <w:pPr>
        <w:spacing w:after="0"/>
        <w:jc w:val="both"/>
        <w:rPr>
          <w:rFonts w:asciiTheme="majorBidi" w:hAnsiTheme="majorBidi" w:cstheme="majorBidi"/>
          <w:sz w:val="20"/>
          <w:szCs w:val="20"/>
          <w:lang w:val="en-US"/>
        </w:rPr>
      </w:pPr>
    </w:p>
    <w:p w:rsidR="004A00FF" w:rsidRDefault="004A00FF" w:rsidP="009219DB">
      <w:pPr>
        <w:spacing w:after="0"/>
        <w:jc w:val="both"/>
        <w:rPr>
          <w:rFonts w:asciiTheme="majorBidi" w:hAnsiTheme="majorBidi" w:cstheme="majorBidi"/>
          <w:sz w:val="20"/>
          <w:szCs w:val="20"/>
          <w:lang w:val="en-US"/>
        </w:rPr>
      </w:pPr>
    </w:p>
    <w:p w:rsidR="004A00FF" w:rsidRDefault="004A00FF" w:rsidP="009219DB">
      <w:pPr>
        <w:spacing w:after="0"/>
        <w:jc w:val="both"/>
        <w:rPr>
          <w:rFonts w:asciiTheme="majorBidi" w:hAnsiTheme="majorBidi" w:cstheme="majorBidi"/>
          <w:sz w:val="20"/>
          <w:szCs w:val="20"/>
          <w:lang w:val="en-US"/>
        </w:rPr>
      </w:pPr>
    </w:p>
    <w:p w:rsidR="002C1560" w:rsidRPr="008B0442" w:rsidRDefault="002C1560" w:rsidP="009219DB">
      <w:pPr>
        <w:spacing w:after="0"/>
        <w:jc w:val="both"/>
        <w:rPr>
          <w:rFonts w:asciiTheme="majorBidi" w:hAnsiTheme="majorBidi" w:cstheme="majorBidi"/>
          <w:sz w:val="20"/>
          <w:szCs w:val="20"/>
          <w:lang w:val="en-US"/>
        </w:rPr>
      </w:pPr>
    </w:p>
    <w:p w:rsidR="004A00FF" w:rsidRDefault="004A00FF" w:rsidP="00E347A5">
      <w:pPr>
        <w:tabs>
          <w:tab w:val="left" w:pos="851"/>
        </w:tabs>
        <w:spacing w:line="240" w:lineRule="auto"/>
        <w:jc w:val="both"/>
        <w:rPr>
          <w:rFonts w:asciiTheme="majorBidi" w:hAnsiTheme="majorBidi" w:cstheme="majorBidi"/>
          <w:b/>
          <w:bCs/>
          <w:sz w:val="24"/>
          <w:szCs w:val="24"/>
          <w:lang w:val="en-US"/>
        </w:rPr>
      </w:pPr>
    </w:p>
    <w:p w:rsidR="002C4FB7" w:rsidRPr="00E347A5" w:rsidRDefault="00E347A5" w:rsidP="00E347A5">
      <w:pPr>
        <w:tabs>
          <w:tab w:val="left" w:pos="851"/>
        </w:tabs>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 xml:space="preserve">1. </w:t>
      </w:r>
      <w:r w:rsidR="009532BE" w:rsidRPr="00E347A5">
        <w:rPr>
          <w:rFonts w:asciiTheme="majorBidi" w:hAnsiTheme="majorBidi" w:cstheme="majorBidi"/>
          <w:b/>
          <w:bCs/>
          <w:sz w:val="24"/>
          <w:szCs w:val="24"/>
          <w:lang w:val="en-US"/>
        </w:rPr>
        <w:t>Introduction</w:t>
      </w:r>
    </w:p>
    <w:p w:rsidR="002C4FB7" w:rsidRPr="005F65AE" w:rsidRDefault="004872F4" w:rsidP="00D965C1">
      <w:pPr>
        <w:spacing w:after="0"/>
        <w:ind w:firstLine="284"/>
        <w:jc w:val="both"/>
        <w:rPr>
          <w:rFonts w:asciiTheme="majorBidi" w:hAnsiTheme="majorBidi" w:cstheme="majorBidi"/>
          <w:sz w:val="24"/>
          <w:szCs w:val="24"/>
          <w:lang w:val="en-US"/>
        </w:rPr>
      </w:pPr>
      <w:r w:rsidRPr="004872F4">
        <w:rPr>
          <w:rFonts w:asciiTheme="majorBidi" w:hAnsiTheme="majorBidi" w:cstheme="majorBidi"/>
          <w:sz w:val="24"/>
          <w:szCs w:val="24"/>
          <w:lang w:val="en-US"/>
        </w:rPr>
        <w:t>The world's energy structure is at a crossroads, making it more crucial than ever to address climate change, provide sustainable energy security, and meet the increasing need for energy supplies without relying on fossil fuels, which release a lot of carbon dioxide when burned</w:t>
      </w:r>
      <w:r w:rsidR="009B0CA0" w:rsidRPr="005F65AE">
        <w:rPr>
          <w:rFonts w:asciiTheme="majorBidi" w:hAnsiTheme="majorBidi" w:cstheme="majorBidi"/>
          <w:sz w:val="24"/>
          <w:szCs w:val="24"/>
          <w:lang w:val="en-US"/>
        </w:rPr>
        <w:t xml:space="preserve"> (Qadir et al.,2021). In recent decades, </w:t>
      </w:r>
      <w:r w:rsidR="007A70D5" w:rsidRPr="005F65AE">
        <w:rPr>
          <w:rFonts w:asciiTheme="majorBidi" w:hAnsiTheme="majorBidi" w:cstheme="majorBidi"/>
          <w:sz w:val="24"/>
          <w:szCs w:val="24"/>
          <w:lang w:val="en-US"/>
        </w:rPr>
        <w:t xml:space="preserve">nations all </w:t>
      </w:r>
      <w:r w:rsidR="00B7261B">
        <w:rPr>
          <w:rFonts w:asciiTheme="majorBidi" w:hAnsiTheme="majorBidi" w:cstheme="majorBidi"/>
          <w:sz w:val="24"/>
          <w:szCs w:val="24"/>
          <w:lang w:val="en-US"/>
        </w:rPr>
        <w:t>a</w:t>
      </w:r>
      <w:r w:rsidR="007A70D5" w:rsidRPr="005F65AE">
        <w:rPr>
          <w:rFonts w:asciiTheme="majorBidi" w:hAnsiTheme="majorBidi" w:cstheme="majorBidi"/>
          <w:sz w:val="24"/>
          <w:szCs w:val="24"/>
          <w:lang w:val="en-US"/>
        </w:rPr>
        <w:t>round the world start tak</w:t>
      </w:r>
      <w:r w:rsidR="00473404" w:rsidRPr="005F65AE">
        <w:rPr>
          <w:rFonts w:asciiTheme="majorBidi" w:hAnsiTheme="majorBidi" w:cstheme="majorBidi"/>
          <w:sz w:val="24"/>
          <w:szCs w:val="24"/>
          <w:lang w:val="en-US"/>
        </w:rPr>
        <w:t xml:space="preserve">ing serious steps to shift in </w:t>
      </w:r>
      <w:r w:rsidR="00BF5DCB" w:rsidRPr="005F65AE">
        <w:rPr>
          <w:rFonts w:asciiTheme="majorBidi" w:hAnsiTheme="majorBidi" w:cstheme="majorBidi"/>
          <w:sz w:val="24"/>
          <w:szCs w:val="24"/>
          <w:lang w:val="en-US"/>
        </w:rPr>
        <w:t>low carbon alternativeenergies thr</w:t>
      </w:r>
      <w:r w:rsidR="00B7261B">
        <w:rPr>
          <w:rFonts w:asciiTheme="majorBidi" w:hAnsiTheme="majorBidi" w:cstheme="majorBidi"/>
          <w:sz w:val="24"/>
          <w:szCs w:val="24"/>
          <w:lang w:val="en-US"/>
        </w:rPr>
        <w:t>ough</w:t>
      </w:r>
      <w:r w:rsidR="00BF5DCB" w:rsidRPr="005F65AE">
        <w:rPr>
          <w:rFonts w:asciiTheme="majorBidi" w:hAnsiTheme="majorBidi" w:cstheme="majorBidi"/>
          <w:sz w:val="24"/>
          <w:szCs w:val="24"/>
          <w:lang w:val="en-US"/>
        </w:rPr>
        <w:t xml:space="preserve"> enormous investment push in the clean energy markets</w:t>
      </w:r>
      <w:r w:rsidR="00E8613B">
        <w:rPr>
          <w:rFonts w:asciiTheme="majorBidi" w:hAnsiTheme="majorBidi" w:cstheme="majorBidi"/>
          <w:sz w:val="24"/>
          <w:szCs w:val="24"/>
          <w:lang w:val="en-US"/>
        </w:rPr>
        <w:t xml:space="preserve"> (CEM)</w:t>
      </w:r>
      <w:r w:rsidR="00BF5DCB" w:rsidRPr="005F65AE">
        <w:rPr>
          <w:rFonts w:asciiTheme="majorBidi" w:hAnsiTheme="majorBidi" w:cstheme="majorBidi"/>
          <w:sz w:val="24"/>
          <w:szCs w:val="24"/>
          <w:lang w:val="en-US"/>
        </w:rPr>
        <w:t>, with anticipation of two thirds of all energy investments worldwide will be in renewable energy sources alone by 2040 (Yahya et al., 2021).</w:t>
      </w:r>
      <w:r w:rsidR="008E007E" w:rsidRPr="005F65AE">
        <w:rPr>
          <w:rFonts w:asciiTheme="majorBidi" w:hAnsiTheme="majorBidi" w:cstheme="majorBidi"/>
          <w:sz w:val="24"/>
          <w:szCs w:val="24"/>
          <w:lang w:val="en-US"/>
        </w:rPr>
        <w:t xml:space="preserve">In 2019, </w:t>
      </w:r>
      <w:r w:rsidR="00E8613B" w:rsidRPr="00E8613B">
        <w:rPr>
          <w:rFonts w:asciiTheme="majorBidi" w:hAnsiTheme="majorBidi" w:cstheme="majorBidi"/>
          <w:sz w:val="24"/>
          <w:szCs w:val="24"/>
          <w:lang w:val="en-US"/>
        </w:rPr>
        <w:t xml:space="preserve">CEM </w:t>
      </w:r>
      <w:r w:rsidR="007E452E" w:rsidRPr="005F65AE">
        <w:rPr>
          <w:rFonts w:asciiTheme="majorBidi" w:hAnsiTheme="majorBidi" w:cstheme="majorBidi"/>
          <w:sz w:val="24"/>
          <w:szCs w:val="24"/>
          <w:lang w:val="en-US"/>
        </w:rPr>
        <w:t xml:space="preserve">witnessed investments of 363.3 billion USD comparing </w:t>
      </w:r>
      <w:r w:rsidR="00E64033" w:rsidRPr="005F65AE">
        <w:rPr>
          <w:rFonts w:asciiTheme="majorBidi" w:hAnsiTheme="majorBidi" w:cstheme="majorBidi"/>
          <w:sz w:val="24"/>
          <w:szCs w:val="24"/>
          <w:lang w:val="en-US"/>
        </w:rPr>
        <w:t>to 120.1</w:t>
      </w:r>
      <w:r w:rsidR="007E452E" w:rsidRPr="005F65AE">
        <w:rPr>
          <w:rFonts w:asciiTheme="majorBidi" w:hAnsiTheme="majorBidi" w:cstheme="majorBidi"/>
          <w:sz w:val="24"/>
          <w:szCs w:val="24"/>
          <w:lang w:val="en-US"/>
        </w:rPr>
        <w:t xml:space="preserve"> billion USD in 2009, with average growth of 5% per year in 2009-2019 period</w:t>
      </w:r>
      <w:r w:rsidR="003B752C" w:rsidRPr="005F65AE">
        <w:rPr>
          <w:rFonts w:asciiTheme="majorBidi" w:hAnsiTheme="majorBidi" w:cstheme="majorBidi"/>
          <w:sz w:val="24"/>
          <w:szCs w:val="24"/>
          <w:lang w:val="en-US"/>
        </w:rPr>
        <w:t>,</w:t>
      </w:r>
      <w:r w:rsidR="00E64033" w:rsidRPr="005F65AE">
        <w:rPr>
          <w:rFonts w:asciiTheme="majorBidi" w:hAnsiTheme="majorBidi" w:cstheme="majorBidi"/>
          <w:sz w:val="24"/>
          <w:szCs w:val="24"/>
          <w:lang w:val="en-US"/>
        </w:rPr>
        <w:t xml:space="preserve"> surpassing 1.7% annual</w:t>
      </w:r>
      <w:r w:rsidR="008E007E" w:rsidRPr="005F65AE">
        <w:rPr>
          <w:rFonts w:asciiTheme="majorBidi" w:hAnsiTheme="majorBidi" w:cstheme="majorBidi"/>
          <w:sz w:val="24"/>
          <w:szCs w:val="24"/>
          <w:lang w:val="en-US"/>
        </w:rPr>
        <w:t>growth</w:t>
      </w:r>
      <w:r w:rsidR="003B752C" w:rsidRPr="005F65AE">
        <w:rPr>
          <w:rFonts w:asciiTheme="majorBidi" w:hAnsiTheme="majorBidi" w:cstheme="majorBidi"/>
          <w:sz w:val="24"/>
          <w:szCs w:val="24"/>
          <w:lang w:val="en-US"/>
        </w:rPr>
        <w:t>of</w:t>
      </w:r>
      <w:r w:rsidR="00E64033" w:rsidRPr="005F65AE">
        <w:rPr>
          <w:rFonts w:asciiTheme="majorBidi" w:hAnsiTheme="majorBidi" w:cstheme="majorBidi"/>
          <w:sz w:val="24"/>
          <w:szCs w:val="24"/>
          <w:lang w:val="en-US"/>
        </w:rPr>
        <w:t xml:space="preserve"> fossil fuelsmarket in the same period, especially after </w:t>
      </w:r>
      <w:r w:rsidR="00E64033" w:rsidRPr="00B7261B">
        <w:rPr>
          <w:rFonts w:asciiTheme="majorBidi" w:hAnsiTheme="majorBidi" w:cstheme="majorBidi"/>
          <w:sz w:val="24"/>
          <w:szCs w:val="24"/>
          <w:lang w:val="en-US"/>
        </w:rPr>
        <w:t>2015</w:t>
      </w:r>
      <w:r w:rsidR="00E64033" w:rsidRPr="005F65AE">
        <w:rPr>
          <w:rFonts w:asciiTheme="majorBidi" w:hAnsiTheme="majorBidi" w:cstheme="majorBidi"/>
          <w:sz w:val="24"/>
          <w:szCs w:val="24"/>
          <w:lang w:val="en-US"/>
        </w:rPr>
        <w:t xml:space="preserve"> Paris Climate Agreement (Fahmy, 2022; Yousaf et al., 2022).</w:t>
      </w:r>
    </w:p>
    <w:p w:rsidR="008E007E" w:rsidRPr="005F65AE" w:rsidRDefault="00DF4E4A" w:rsidP="00940965">
      <w:pPr>
        <w:spacing w:after="0"/>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t xml:space="preserve">The massive investments </w:t>
      </w:r>
      <w:r w:rsidR="00B7261B">
        <w:rPr>
          <w:rFonts w:asciiTheme="majorBidi" w:hAnsiTheme="majorBidi" w:cstheme="majorBidi"/>
          <w:sz w:val="24"/>
          <w:szCs w:val="24"/>
          <w:lang w:val="en-US"/>
        </w:rPr>
        <w:t xml:space="preserve">in </w:t>
      </w:r>
      <w:r w:rsidR="00E8613B" w:rsidRPr="00E8613B">
        <w:rPr>
          <w:rFonts w:asciiTheme="majorBidi" w:hAnsiTheme="majorBidi" w:cstheme="majorBidi"/>
          <w:sz w:val="24"/>
          <w:szCs w:val="24"/>
          <w:lang w:val="en-US"/>
        </w:rPr>
        <w:t xml:space="preserve">CEM </w:t>
      </w:r>
      <w:r w:rsidRPr="005F65AE">
        <w:rPr>
          <w:rFonts w:asciiTheme="majorBidi" w:hAnsiTheme="majorBidi" w:cstheme="majorBidi"/>
          <w:sz w:val="24"/>
          <w:szCs w:val="24"/>
          <w:lang w:val="en-US"/>
        </w:rPr>
        <w:t xml:space="preserve">led to significant increase inrenewable </w:t>
      </w:r>
      <w:r w:rsidR="00482331" w:rsidRPr="005F65AE">
        <w:rPr>
          <w:rFonts w:asciiTheme="majorBidi" w:hAnsiTheme="majorBidi" w:cstheme="majorBidi"/>
          <w:sz w:val="24"/>
          <w:szCs w:val="24"/>
          <w:lang w:val="en-US"/>
        </w:rPr>
        <w:t>energy</w:t>
      </w:r>
      <w:r w:rsidRPr="005F65AE">
        <w:rPr>
          <w:rFonts w:asciiTheme="majorBidi" w:hAnsiTheme="majorBidi" w:cstheme="majorBidi"/>
          <w:sz w:val="24"/>
          <w:szCs w:val="24"/>
          <w:lang w:val="en-US"/>
        </w:rPr>
        <w:t xml:space="preserve"> consumption, </w:t>
      </w:r>
      <w:r w:rsidR="00F8756E" w:rsidRPr="005F65AE">
        <w:rPr>
          <w:rFonts w:asciiTheme="majorBidi" w:hAnsiTheme="majorBidi" w:cstheme="majorBidi"/>
          <w:sz w:val="24"/>
          <w:szCs w:val="24"/>
          <w:lang w:val="en-US"/>
        </w:rPr>
        <w:t>with</w:t>
      </w:r>
      <w:r w:rsidRPr="005F65AE">
        <w:rPr>
          <w:rFonts w:asciiTheme="majorBidi" w:hAnsiTheme="majorBidi" w:cstheme="majorBidi"/>
          <w:sz w:val="24"/>
          <w:szCs w:val="24"/>
          <w:lang w:val="en-US"/>
        </w:rPr>
        <w:t xml:space="preserve"> 758,626 megawatts (MW) power generated in 2019, ma</w:t>
      </w:r>
      <w:r w:rsidR="00B7261B">
        <w:rPr>
          <w:rFonts w:asciiTheme="majorBidi" w:hAnsiTheme="majorBidi" w:cstheme="majorBidi"/>
          <w:sz w:val="24"/>
          <w:szCs w:val="24"/>
          <w:lang w:val="en-US"/>
        </w:rPr>
        <w:t>i</w:t>
      </w:r>
      <w:r w:rsidRPr="005F65AE">
        <w:rPr>
          <w:rFonts w:asciiTheme="majorBidi" w:hAnsiTheme="majorBidi" w:cstheme="majorBidi"/>
          <w:sz w:val="24"/>
          <w:szCs w:val="24"/>
          <w:lang w:val="en-US"/>
        </w:rPr>
        <w:t xml:space="preserve">nly by solar and wind </w:t>
      </w:r>
      <w:r w:rsidR="00F8756E" w:rsidRPr="005F65AE">
        <w:rPr>
          <w:rFonts w:asciiTheme="majorBidi" w:hAnsiTheme="majorBidi" w:cstheme="majorBidi"/>
          <w:sz w:val="24"/>
          <w:szCs w:val="24"/>
          <w:lang w:val="en-US"/>
        </w:rPr>
        <w:t>energy(Sayigh, 2020)</w:t>
      </w:r>
      <w:r w:rsidR="00482331" w:rsidRPr="005F65AE">
        <w:rPr>
          <w:rFonts w:asciiTheme="majorBidi" w:hAnsiTheme="majorBidi" w:cstheme="majorBidi"/>
          <w:sz w:val="24"/>
          <w:szCs w:val="24"/>
          <w:lang w:val="en-US"/>
        </w:rPr>
        <w:t>. Beside</w:t>
      </w:r>
      <w:r w:rsidR="00B7261B">
        <w:rPr>
          <w:rFonts w:asciiTheme="majorBidi" w:hAnsiTheme="majorBidi" w:cstheme="majorBidi"/>
          <w:sz w:val="24"/>
          <w:szCs w:val="24"/>
          <w:lang w:val="en-US"/>
        </w:rPr>
        <w:t>s</w:t>
      </w:r>
      <w:r w:rsidR="00482331" w:rsidRPr="005F65AE">
        <w:rPr>
          <w:rFonts w:asciiTheme="majorBidi" w:hAnsiTheme="majorBidi" w:cstheme="majorBidi"/>
          <w:sz w:val="24"/>
          <w:szCs w:val="24"/>
          <w:lang w:val="en-US"/>
        </w:rPr>
        <w:t xml:space="preserve"> environmental advantage</w:t>
      </w:r>
      <w:r w:rsidR="00C553BA" w:rsidRPr="005F65AE">
        <w:rPr>
          <w:rFonts w:asciiTheme="majorBidi" w:hAnsiTheme="majorBidi" w:cstheme="majorBidi"/>
          <w:sz w:val="24"/>
          <w:szCs w:val="24"/>
          <w:lang w:val="en-US"/>
        </w:rPr>
        <w:t>s</w:t>
      </w:r>
      <w:r w:rsidR="00482331" w:rsidRPr="005F65AE">
        <w:rPr>
          <w:rFonts w:asciiTheme="majorBidi" w:hAnsiTheme="majorBidi" w:cstheme="majorBidi"/>
          <w:sz w:val="24"/>
          <w:szCs w:val="24"/>
          <w:lang w:val="en-US"/>
        </w:rPr>
        <w:t xml:space="preserve"> of</w:t>
      </w:r>
      <w:r w:rsidR="00F8756E" w:rsidRPr="005F65AE">
        <w:rPr>
          <w:rFonts w:asciiTheme="majorBidi" w:hAnsiTheme="majorBidi" w:cstheme="majorBidi"/>
          <w:sz w:val="24"/>
          <w:szCs w:val="24"/>
          <w:lang w:val="en-US"/>
        </w:rPr>
        <w:t xml:space="preserve"> the rising </w:t>
      </w:r>
      <w:r w:rsidR="00482331" w:rsidRPr="005F65AE">
        <w:rPr>
          <w:rFonts w:asciiTheme="majorBidi" w:hAnsiTheme="majorBidi" w:cstheme="majorBidi"/>
          <w:sz w:val="24"/>
          <w:szCs w:val="24"/>
          <w:lang w:val="en-US"/>
        </w:rPr>
        <w:t xml:space="preserve">in renewable energy consumption, </w:t>
      </w:r>
      <w:r w:rsidR="00B7261B">
        <w:rPr>
          <w:rFonts w:asciiTheme="majorBidi" w:hAnsiTheme="majorBidi" w:cstheme="majorBidi"/>
          <w:sz w:val="24"/>
          <w:szCs w:val="24"/>
          <w:lang w:val="en-US"/>
        </w:rPr>
        <w:t xml:space="preserve">there are </w:t>
      </w:r>
      <w:r w:rsidR="00C553BA" w:rsidRPr="005F65AE">
        <w:rPr>
          <w:rFonts w:asciiTheme="majorBidi" w:hAnsiTheme="majorBidi" w:cstheme="majorBidi"/>
          <w:sz w:val="24"/>
          <w:szCs w:val="24"/>
          <w:lang w:val="en-US"/>
        </w:rPr>
        <w:t>also economic advantages</w:t>
      </w:r>
      <w:r w:rsidR="00B7261B">
        <w:rPr>
          <w:rFonts w:asciiTheme="majorBidi" w:hAnsiTheme="majorBidi" w:cstheme="majorBidi"/>
          <w:sz w:val="24"/>
          <w:szCs w:val="24"/>
          <w:lang w:val="en-US"/>
        </w:rPr>
        <w:t>,r</w:t>
      </w:r>
      <w:r w:rsidR="00C553BA" w:rsidRPr="005F65AE">
        <w:rPr>
          <w:rFonts w:asciiTheme="majorBidi" w:hAnsiTheme="majorBidi" w:cstheme="majorBidi"/>
          <w:sz w:val="24"/>
          <w:szCs w:val="24"/>
          <w:lang w:val="en-US"/>
        </w:rPr>
        <w:t xml:space="preserve">enewable energy consumption has significant positive impact on economic growth of </w:t>
      </w:r>
      <w:r w:rsidR="00DF24C4" w:rsidRPr="005F65AE">
        <w:rPr>
          <w:rFonts w:asciiTheme="majorBidi" w:hAnsiTheme="majorBidi" w:cstheme="majorBidi"/>
          <w:sz w:val="24"/>
          <w:szCs w:val="24"/>
          <w:lang w:val="en-US"/>
        </w:rPr>
        <w:t>many countries worldwide,</w:t>
      </w:r>
      <w:r w:rsidR="00C553BA" w:rsidRPr="005F65AE">
        <w:rPr>
          <w:rFonts w:asciiTheme="majorBidi" w:hAnsiTheme="majorBidi" w:cstheme="majorBidi"/>
          <w:sz w:val="24"/>
          <w:szCs w:val="24"/>
          <w:lang w:val="en-US"/>
        </w:rPr>
        <w:t xml:space="preserve"> as already proven by many studies (e.g., Pao and Fu, 2013; Rahman and Velayutham, 2020; Destek and Sinha, 2020)</w:t>
      </w:r>
      <w:r w:rsidR="00DF24C4" w:rsidRPr="005F65AE">
        <w:rPr>
          <w:rFonts w:asciiTheme="majorBidi" w:hAnsiTheme="majorBidi" w:cstheme="majorBidi"/>
          <w:sz w:val="24"/>
          <w:szCs w:val="24"/>
          <w:lang w:val="en-US"/>
        </w:rPr>
        <w:t xml:space="preserve">. </w:t>
      </w:r>
    </w:p>
    <w:p w:rsidR="00E64033" w:rsidRPr="005F65AE" w:rsidRDefault="00E64033" w:rsidP="00E64033">
      <w:pPr>
        <w:spacing w:after="0"/>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t xml:space="preserve">However, </w:t>
      </w:r>
      <w:r w:rsidR="004E7E94" w:rsidRPr="004E7E94">
        <w:rPr>
          <w:rFonts w:asciiTheme="majorBidi" w:hAnsiTheme="majorBidi" w:cstheme="majorBidi"/>
          <w:sz w:val="24"/>
          <w:szCs w:val="24"/>
          <w:lang w:val="en-US"/>
        </w:rPr>
        <w:t>the conventional energies continue to be the dominant sources for basic energy consumption, despite the renewable energy tremendous production rise</w:t>
      </w:r>
      <w:r w:rsidRPr="005F65AE">
        <w:rPr>
          <w:rFonts w:asciiTheme="majorBidi" w:hAnsiTheme="majorBidi" w:cstheme="majorBidi"/>
          <w:sz w:val="24"/>
          <w:szCs w:val="24"/>
          <w:lang w:val="en-US"/>
        </w:rPr>
        <w:t xml:space="preserve">. In </w:t>
      </w:r>
      <w:r w:rsidR="00CB5150" w:rsidRPr="005F65AE">
        <w:rPr>
          <w:rFonts w:asciiTheme="majorBidi" w:hAnsiTheme="majorBidi" w:cstheme="majorBidi"/>
          <w:sz w:val="24"/>
          <w:szCs w:val="24"/>
          <w:lang w:val="en-US"/>
        </w:rPr>
        <w:t xml:space="preserve">addition,the development and sustainability of the clean energy market cannot be separated from fossil fuels energy markets since it’s seen as an alternative for conventional energies </w:t>
      </w:r>
      <w:r w:rsidR="006E127B" w:rsidRPr="005F65AE">
        <w:rPr>
          <w:rFonts w:asciiTheme="majorBidi" w:hAnsiTheme="majorBidi" w:cstheme="majorBidi"/>
          <w:sz w:val="24"/>
          <w:szCs w:val="24"/>
          <w:lang w:val="en-US"/>
        </w:rPr>
        <w:t>(Xia et al., 2019)</w:t>
      </w:r>
      <w:r w:rsidR="00DF24C4" w:rsidRPr="005F65AE">
        <w:rPr>
          <w:rFonts w:asciiTheme="majorBidi" w:hAnsiTheme="majorBidi" w:cstheme="majorBidi"/>
          <w:sz w:val="24"/>
          <w:szCs w:val="24"/>
          <w:lang w:val="en-US"/>
        </w:rPr>
        <w:t>.</w:t>
      </w:r>
    </w:p>
    <w:p w:rsidR="00AB6229" w:rsidRPr="005F65AE" w:rsidRDefault="00E179AA" w:rsidP="00AB6229">
      <w:pPr>
        <w:spacing w:after="0"/>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t>Moreover, the rise</w:t>
      </w:r>
      <w:r w:rsidR="004E7E94">
        <w:rPr>
          <w:rFonts w:asciiTheme="majorBidi" w:hAnsiTheme="majorBidi" w:cstheme="majorBidi"/>
          <w:sz w:val="24"/>
          <w:szCs w:val="24"/>
          <w:lang w:val="en-US"/>
        </w:rPr>
        <w:t xml:space="preserve"> of</w:t>
      </w:r>
      <w:r w:rsidRPr="005F65AE">
        <w:rPr>
          <w:rFonts w:asciiTheme="majorBidi" w:hAnsiTheme="majorBidi" w:cstheme="majorBidi"/>
          <w:sz w:val="24"/>
          <w:szCs w:val="24"/>
          <w:lang w:val="en-US"/>
        </w:rPr>
        <w:t xml:space="preserve"> fossil fuels energies prices has </w:t>
      </w:r>
      <w:r w:rsidR="004E7E94">
        <w:rPr>
          <w:rFonts w:asciiTheme="majorBidi" w:hAnsiTheme="majorBidi" w:cstheme="majorBidi"/>
          <w:sz w:val="24"/>
          <w:szCs w:val="24"/>
          <w:lang w:val="en-US"/>
        </w:rPr>
        <w:t xml:space="preserve">a </w:t>
      </w:r>
      <w:r w:rsidR="003B75CA" w:rsidRPr="005F65AE">
        <w:rPr>
          <w:rFonts w:asciiTheme="majorBidi" w:hAnsiTheme="majorBidi" w:cstheme="majorBidi"/>
          <w:sz w:val="24"/>
          <w:szCs w:val="24"/>
          <w:lang w:val="en-US"/>
        </w:rPr>
        <w:t>significant negative impact</w:t>
      </w:r>
      <w:r w:rsidR="00BE7DBF" w:rsidRPr="005F65AE">
        <w:rPr>
          <w:rFonts w:asciiTheme="majorBidi" w:hAnsiTheme="majorBidi" w:cstheme="majorBidi"/>
          <w:sz w:val="24"/>
          <w:szCs w:val="24"/>
          <w:lang w:val="en-US"/>
        </w:rPr>
        <w:t xml:space="preserve"> on stock prices especially oil prices</w:t>
      </w:r>
      <w:r w:rsidR="00E8613B">
        <w:rPr>
          <w:rFonts w:asciiTheme="majorBidi" w:hAnsiTheme="majorBidi" w:cstheme="majorBidi"/>
          <w:sz w:val="24"/>
          <w:szCs w:val="24"/>
          <w:lang w:val="en-US"/>
        </w:rPr>
        <w:t xml:space="preserve"> (OP)</w:t>
      </w:r>
      <w:r w:rsidRPr="005F65AE">
        <w:rPr>
          <w:rFonts w:asciiTheme="majorBidi" w:hAnsiTheme="majorBidi" w:cstheme="majorBidi"/>
          <w:sz w:val="24"/>
          <w:szCs w:val="24"/>
          <w:lang w:val="en-US"/>
        </w:rPr>
        <w:t xml:space="preserve">. </w:t>
      </w:r>
      <w:r w:rsidR="00C55B79" w:rsidRPr="005F65AE">
        <w:rPr>
          <w:rFonts w:asciiTheme="majorBidi" w:hAnsiTheme="majorBidi" w:cstheme="majorBidi"/>
          <w:sz w:val="24"/>
          <w:szCs w:val="24"/>
          <w:lang w:val="en-US"/>
        </w:rPr>
        <w:t>Nevertheless</w:t>
      </w:r>
      <w:r w:rsidRPr="005F65AE">
        <w:rPr>
          <w:rFonts w:asciiTheme="majorBidi" w:hAnsiTheme="majorBidi" w:cstheme="majorBidi"/>
          <w:sz w:val="24"/>
          <w:szCs w:val="24"/>
          <w:lang w:val="en-US"/>
        </w:rPr>
        <w:t xml:space="preserve">, such impact might vary per industry given that there are a number of industries that can potentially benefit from increasing </w:t>
      </w:r>
      <w:r w:rsidR="00E8613B">
        <w:rPr>
          <w:rFonts w:asciiTheme="majorBidi" w:hAnsiTheme="majorBidi" w:cstheme="majorBidi"/>
          <w:sz w:val="24"/>
          <w:szCs w:val="24"/>
          <w:lang w:val="en-US"/>
        </w:rPr>
        <w:t>OP</w:t>
      </w:r>
      <w:r w:rsidR="004E7E94">
        <w:rPr>
          <w:rFonts w:asciiTheme="majorBidi" w:hAnsiTheme="majorBidi" w:cstheme="majorBidi"/>
          <w:sz w:val="24"/>
          <w:szCs w:val="24"/>
          <w:lang w:val="en-US"/>
        </w:rPr>
        <w:t>.</w:t>
      </w:r>
      <w:r w:rsidR="00E8613B" w:rsidRPr="00E8613B">
        <w:rPr>
          <w:rFonts w:asciiTheme="majorBidi" w:hAnsiTheme="majorBidi" w:cstheme="majorBidi"/>
          <w:sz w:val="24"/>
          <w:szCs w:val="24"/>
          <w:lang w:val="en-US"/>
        </w:rPr>
        <w:t xml:space="preserve">CEM </w:t>
      </w:r>
      <w:r w:rsidRPr="005F65AE">
        <w:rPr>
          <w:rFonts w:asciiTheme="majorBidi" w:hAnsiTheme="majorBidi" w:cstheme="majorBidi"/>
          <w:sz w:val="24"/>
          <w:szCs w:val="24"/>
          <w:lang w:val="en-US"/>
        </w:rPr>
        <w:t>can be one of these exceptions (Dutta, 2017).</w:t>
      </w:r>
      <w:r w:rsidR="00C55B79" w:rsidRPr="005F65AE">
        <w:rPr>
          <w:rFonts w:asciiTheme="majorBidi" w:hAnsiTheme="majorBidi" w:cstheme="majorBidi"/>
          <w:sz w:val="24"/>
          <w:szCs w:val="24"/>
          <w:lang w:val="en-US"/>
        </w:rPr>
        <w:t xml:space="preserve">Although many studies have investigated the </w:t>
      </w:r>
      <w:r w:rsidR="00CA4792" w:rsidRPr="005F65AE">
        <w:rPr>
          <w:rFonts w:asciiTheme="majorBidi" w:hAnsiTheme="majorBidi" w:cstheme="majorBidi"/>
          <w:sz w:val="24"/>
          <w:szCs w:val="24"/>
          <w:lang w:val="en-US"/>
        </w:rPr>
        <w:t xml:space="preserve">linkage between </w:t>
      </w:r>
      <w:r w:rsidR="00E8613B">
        <w:rPr>
          <w:rFonts w:asciiTheme="majorBidi" w:hAnsiTheme="majorBidi" w:cstheme="majorBidi"/>
          <w:sz w:val="24"/>
          <w:szCs w:val="24"/>
          <w:lang w:val="en-US"/>
        </w:rPr>
        <w:t xml:space="preserve">OP </w:t>
      </w:r>
      <w:r w:rsidR="00CA4792" w:rsidRPr="005F65AE">
        <w:rPr>
          <w:rFonts w:asciiTheme="majorBidi" w:hAnsiTheme="majorBidi" w:cstheme="majorBidi"/>
          <w:sz w:val="24"/>
          <w:szCs w:val="24"/>
          <w:lang w:val="en-US"/>
        </w:rPr>
        <w:t xml:space="preserve">and </w:t>
      </w:r>
      <w:r w:rsidR="00E8613B" w:rsidRPr="00E8613B">
        <w:rPr>
          <w:rFonts w:asciiTheme="majorBidi" w:hAnsiTheme="majorBidi" w:cstheme="majorBidi"/>
          <w:sz w:val="24"/>
          <w:szCs w:val="24"/>
          <w:lang w:val="en-US"/>
        </w:rPr>
        <w:t>CEM</w:t>
      </w:r>
      <w:r w:rsidR="00CA4792" w:rsidRPr="005F65AE">
        <w:rPr>
          <w:rFonts w:asciiTheme="majorBidi" w:hAnsiTheme="majorBidi" w:cstheme="majorBidi"/>
          <w:sz w:val="24"/>
          <w:szCs w:val="24"/>
          <w:lang w:val="en-US"/>
        </w:rPr>
        <w:t>,</w:t>
      </w:r>
      <w:r w:rsidR="002359D5" w:rsidRPr="005F65AE">
        <w:rPr>
          <w:rFonts w:asciiTheme="majorBidi" w:hAnsiTheme="majorBidi" w:cstheme="majorBidi"/>
          <w:sz w:val="24"/>
          <w:szCs w:val="24"/>
          <w:lang w:val="en-US"/>
        </w:rPr>
        <w:t xml:space="preserve"> (</w:t>
      </w:r>
      <w:r w:rsidR="00874D7A" w:rsidRPr="005F65AE">
        <w:rPr>
          <w:rFonts w:asciiTheme="majorBidi" w:hAnsiTheme="majorBidi" w:cstheme="majorBidi"/>
          <w:sz w:val="24"/>
          <w:szCs w:val="24"/>
          <w:lang w:val="en-US"/>
        </w:rPr>
        <w:t xml:space="preserve">e.g., </w:t>
      </w:r>
      <w:r w:rsidR="002359D5" w:rsidRPr="005F65AE">
        <w:rPr>
          <w:rFonts w:asciiTheme="majorBidi" w:hAnsiTheme="majorBidi" w:cstheme="majorBidi"/>
          <w:sz w:val="24"/>
          <w:szCs w:val="24"/>
          <w:lang w:val="en-US"/>
        </w:rPr>
        <w:t>Henriques and Sadorsky, 2008;</w:t>
      </w:r>
      <w:r w:rsidR="00874D7A" w:rsidRPr="005F65AE">
        <w:rPr>
          <w:rFonts w:asciiTheme="majorBidi" w:hAnsiTheme="majorBidi" w:cstheme="majorBidi"/>
          <w:sz w:val="24"/>
          <w:szCs w:val="24"/>
          <w:lang w:val="en-US"/>
        </w:rPr>
        <w:t>Reboredo, 2015;</w:t>
      </w:r>
      <w:r w:rsidR="002359D5" w:rsidRPr="005F65AE">
        <w:rPr>
          <w:rFonts w:asciiTheme="majorBidi" w:hAnsiTheme="majorBidi" w:cstheme="majorBidi"/>
          <w:sz w:val="24"/>
          <w:szCs w:val="24"/>
          <w:lang w:val="en-US"/>
        </w:rPr>
        <w:t xml:space="preserve"> Kocaarslan and Soytas, 2019; </w:t>
      </w:r>
      <w:r w:rsidR="00874D7A" w:rsidRPr="005F65AE">
        <w:rPr>
          <w:rFonts w:asciiTheme="majorBidi" w:hAnsiTheme="majorBidi" w:cstheme="majorBidi"/>
          <w:sz w:val="24"/>
          <w:szCs w:val="24"/>
          <w:lang w:val="en-US"/>
        </w:rPr>
        <w:t>Xia et al., 2019) they f</w:t>
      </w:r>
      <w:r w:rsidR="0002058B">
        <w:rPr>
          <w:rFonts w:asciiTheme="majorBidi" w:hAnsiTheme="majorBidi" w:cstheme="majorBidi"/>
          <w:sz w:val="24"/>
          <w:szCs w:val="24"/>
          <w:lang w:val="en-US"/>
        </w:rPr>
        <w:t>ou</w:t>
      </w:r>
      <w:r w:rsidR="00874D7A" w:rsidRPr="005F65AE">
        <w:rPr>
          <w:rFonts w:asciiTheme="majorBidi" w:hAnsiTheme="majorBidi" w:cstheme="majorBidi"/>
          <w:sz w:val="24"/>
          <w:szCs w:val="24"/>
          <w:lang w:val="en-US"/>
        </w:rPr>
        <w:t>nd that</w:t>
      </w:r>
      <w:r w:rsidR="00E8613B" w:rsidRPr="005F65AE">
        <w:rPr>
          <w:rFonts w:asciiTheme="majorBidi" w:hAnsiTheme="majorBidi" w:cstheme="majorBidi"/>
          <w:sz w:val="24"/>
          <w:szCs w:val="24"/>
          <w:lang w:val="en-US"/>
        </w:rPr>
        <w:t xml:space="preserve"> rising</w:t>
      </w:r>
      <w:r w:rsidR="00E8613B">
        <w:rPr>
          <w:rFonts w:asciiTheme="majorBidi" w:hAnsiTheme="majorBidi" w:cstheme="majorBidi"/>
          <w:sz w:val="24"/>
          <w:szCs w:val="24"/>
          <w:lang w:val="en-US"/>
        </w:rPr>
        <w:t xml:space="preserve"> of OP </w:t>
      </w:r>
      <w:r w:rsidR="00E8613B" w:rsidRPr="005F65AE">
        <w:rPr>
          <w:rFonts w:asciiTheme="majorBidi" w:hAnsiTheme="majorBidi" w:cstheme="majorBidi"/>
          <w:sz w:val="24"/>
          <w:szCs w:val="24"/>
          <w:lang w:val="en-US"/>
        </w:rPr>
        <w:t>has</w:t>
      </w:r>
      <w:r w:rsidR="0002058B">
        <w:rPr>
          <w:rFonts w:asciiTheme="majorBidi" w:hAnsiTheme="majorBidi" w:cstheme="majorBidi"/>
          <w:sz w:val="24"/>
          <w:szCs w:val="24"/>
          <w:lang w:val="en-US"/>
        </w:rPr>
        <w:t xml:space="preserve">a </w:t>
      </w:r>
      <w:r w:rsidR="00874D7A" w:rsidRPr="005F65AE">
        <w:rPr>
          <w:rFonts w:asciiTheme="majorBidi" w:hAnsiTheme="majorBidi" w:cstheme="majorBidi"/>
          <w:sz w:val="24"/>
          <w:szCs w:val="24"/>
          <w:lang w:val="en-US"/>
        </w:rPr>
        <w:t>significant impact on clean energ</w:t>
      </w:r>
      <w:r w:rsidR="00E8613B">
        <w:rPr>
          <w:rFonts w:asciiTheme="majorBidi" w:hAnsiTheme="majorBidi" w:cstheme="majorBidi"/>
          <w:sz w:val="24"/>
          <w:szCs w:val="24"/>
          <w:lang w:val="en-US"/>
        </w:rPr>
        <w:t>ies</w:t>
      </w:r>
      <w:r w:rsidR="00874D7A" w:rsidRPr="005F65AE">
        <w:rPr>
          <w:rFonts w:asciiTheme="majorBidi" w:hAnsiTheme="majorBidi" w:cstheme="majorBidi"/>
          <w:sz w:val="24"/>
          <w:szCs w:val="24"/>
          <w:lang w:val="en-US"/>
        </w:rPr>
        <w:t>.</w:t>
      </w:r>
      <w:r w:rsidR="00CA4792" w:rsidRPr="005F65AE">
        <w:rPr>
          <w:rFonts w:asciiTheme="majorBidi" w:hAnsiTheme="majorBidi" w:cstheme="majorBidi"/>
          <w:sz w:val="24"/>
          <w:szCs w:val="24"/>
          <w:lang w:val="en-US"/>
        </w:rPr>
        <w:t xml:space="preserve"> In </w:t>
      </w:r>
      <w:r w:rsidR="0002058B">
        <w:rPr>
          <w:rFonts w:asciiTheme="majorBidi" w:hAnsiTheme="majorBidi" w:cstheme="majorBidi"/>
          <w:sz w:val="24"/>
          <w:szCs w:val="24"/>
          <w:lang w:val="en-US"/>
        </w:rPr>
        <w:t xml:space="preserve">the </w:t>
      </w:r>
      <w:r w:rsidR="00CA4792" w:rsidRPr="005F65AE">
        <w:rPr>
          <w:rFonts w:asciiTheme="majorBidi" w:hAnsiTheme="majorBidi" w:cstheme="majorBidi"/>
          <w:sz w:val="24"/>
          <w:szCs w:val="24"/>
          <w:lang w:val="en-US"/>
        </w:rPr>
        <w:t xml:space="preserve">other hand,some studies provide evidence of strong </w:t>
      </w:r>
      <w:bookmarkStart w:id="0" w:name="_Hlk141289779"/>
      <w:r w:rsidR="00CA4792" w:rsidRPr="005F65AE">
        <w:rPr>
          <w:rFonts w:asciiTheme="majorBidi" w:hAnsiTheme="majorBidi" w:cstheme="majorBidi"/>
          <w:sz w:val="24"/>
          <w:szCs w:val="24"/>
          <w:lang w:val="en-US"/>
        </w:rPr>
        <w:t>connectedness</w:t>
      </w:r>
      <w:bookmarkEnd w:id="0"/>
      <w:r w:rsidR="00CA4792" w:rsidRPr="005F65AE">
        <w:rPr>
          <w:rFonts w:asciiTheme="majorBidi" w:hAnsiTheme="majorBidi" w:cstheme="majorBidi"/>
          <w:sz w:val="24"/>
          <w:szCs w:val="24"/>
          <w:lang w:val="en-US"/>
        </w:rPr>
        <w:t xml:space="preserve"> among </w:t>
      </w:r>
      <w:r w:rsidR="00E8613B">
        <w:rPr>
          <w:rFonts w:asciiTheme="majorBidi" w:hAnsiTheme="majorBidi" w:cstheme="majorBidi"/>
          <w:sz w:val="24"/>
          <w:szCs w:val="24"/>
          <w:lang w:val="en-US"/>
        </w:rPr>
        <w:t>OP</w:t>
      </w:r>
      <w:r w:rsidR="00CA4792" w:rsidRPr="005F65AE">
        <w:rPr>
          <w:rFonts w:asciiTheme="majorBidi" w:hAnsiTheme="majorBidi" w:cstheme="majorBidi"/>
          <w:sz w:val="24"/>
          <w:szCs w:val="24"/>
          <w:lang w:val="en-US"/>
        </w:rPr>
        <w:t xml:space="preserve"> and clean energy market </w:t>
      </w:r>
      <w:r w:rsidR="00D01729" w:rsidRPr="005F65AE">
        <w:rPr>
          <w:rFonts w:asciiTheme="majorBidi" w:hAnsiTheme="majorBidi" w:cstheme="majorBidi"/>
          <w:sz w:val="24"/>
          <w:szCs w:val="24"/>
          <w:lang w:val="en-US"/>
        </w:rPr>
        <w:t>indices</w:t>
      </w:r>
      <w:r w:rsidR="00CA4792" w:rsidRPr="005F65AE">
        <w:rPr>
          <w:rFonts w:asciiTheme="majorBidi" w:hAnsiTheme="majorBidi" w:cstheme="majorBidi"/>
          <w:sz w:val="24"/>
          <w:szCs w:val="24"/>
          <w:lang w:val="en-US"/>
        </w:rPr>
        <w:t>(e.g., Naeem et al</w:t>
      </w:r>
      <w:r w:rsidR="009D0027" w:rsidRPr="005F65AE">
        <w:rPr>
          <w:rFonts w:asciiTheme="majorBidi" w:hAnsiTheme="majorBidi" w:cstheme="majorBidi"/>
          <w:sz w:val="24"/>
          <w:szCs w:val="24"/>
          <w:lang w:val="en-US"/>
        </w:rPr>
        <w:t>., 2020; Nasreen et al., 2020; Umar et al., 2022; Farid et al., 2023).</w:t>
      </w:r>
      <w:r w:rsidR="00E447A0" w:rsidRPr="005F65AE">
        <w:rPr>
          <w:rFonts w:asciiTheme="majorBidi" w:hAnsiTheme="majorBidi" w:cstheme="majorBidi"/>
          <w:sz w:val="24"/>
          <w:szCs w:val="24"/>
          <w:lang w:val="en-US"/>
        </w:rPr>
        <w:t xml:space="preserve">Meanwhile, Pham (2019) study showed that not all </w:t>
      </w:r>
      <w:r w:rsidR="00E8613B">
        <w:rPr>
          <w:rFonts w:asciiTheme="majorBidi" w:hAnsiTheme="majorBidi" w:cstheme="majorBidi"/>
          <w:sz w:val="24"/>
          <w:szCs w:val="24"/>
          <w:lang w:val="en-US"/>
        </w:rPr>
        <w:t>CEM</w:t>
      </w:r>
      <w:r w:rsidR="001C69CE" w:rsidRPr="005F65AE">
        <w:rPr>
          <w:rFonts w:asciiTheme="majorBidi" w:hAnsiTheme="majorBidi" w:cstheme="majorBidi"/>
          <w:sz w:val="24"/>
          <w:szCs w:val="24"/>
          <w:lang w:val="en-US"/>
        </w:rPr>
        <w:t>respond</w:t>
      </w:r>
      <w:r w:rsidR="00E447A0" w:rsidRPr="005F65AE">
        <w:rPr>
          <w:rFonts w:asciiTheme="majorBidi" w:hAnsiTheme="majorBidi" w:cstheme="majorBidi"/>
          <w:sz w:val="24"/>
          <w:szCs w:val="24"/>
          <w:lang w:val="en-US"/>
        </w:rPr>
        <w:t xml:space="preserve"> equally to </w:t>
      </w:r>
      <w:r w:rsidR="00E8613B">
        <w:rPr>
          <w:rFonts w:asciiTheme="majorBidi" w:hAnsiTheme="majorBidi" w:cstheme="majorBidi"/>
          <w:sz w:val="24"/>
          <w:szCs w:val="24"/>
          <w:lang w:val="en-US"/>
        </w:rPr>
        <w:t>OP</w:t>
      </w:r>
      <w:r w:rsidR="00E447A0" w:rsidRPr="005F65AE">
        <w:rPr>
          <w:rFonts w:asciiTheme="majorBidi" w:hAnsiTheme="majorBidi" w:cstheme="majorBidi"/>
          <w:sz w:val="24"/>
          <w:szCs w:val="24"/>
          <w:lang w:val="en-US"/>
        </w:rPr>
        <w:t xml:space="preserve">,where biofuel has stronger </w:t>
      </w:r>
      <w:r w:rsidR="001C69CE" w:rsidRPr="005F65AE">
        <w:rPr>
          <w:rFonts w:asciiTheme="majorBidi" w:hAnsiTheme="majorBidi" w:cstheme="majorBidi"/>
          <w:sz w:val="24"/>
          <w:szCs w:val="24"/>
          <w:lang w:val="en-US"/>
        </w:rPr>
        <w:t>correlation</w:t>
      </w:r>
      <w:r w:rsidR="00526687" w:rsidRPr="005F65AE">
        <w:rPr>
          <w:rFonts w:asciiTheme="majorBidi" w:hAnsiTheme="majorBidi" w:cstheme="majorBidi"/>
          <w:sz w:val="24"/>
          <w:szCs w:val="24"/>
          <w:lang w:val="en-US"/>
        </w:rPr>
        <w:t xml:space="preserve"> with</w:t>
      </w:r>
      <w:r w:rsidR="00E8613B">
        <w:rPr>
          <w:rFonts w:asciiTheme="majorBidi" w:hAnsiTheme="majorBidi" w:cstheme="majorBidi"/>
          <w:sz w:val="24"/>
          <w:szCs w:val="24"/>
          <w:lang w:val="en-US"/>
        </w:rPr>
        <w:t>OP</w:t>
      </w:r>
      <w:r w:rsidR="001C69CE" w:rsidRPr="005F65AE">
        <w:rPr>
          <w:rFonts w:asciiTheme="majorBidi" w:hAnsiTheme="majorBidi" w:cstheme="majorBidi"/>
          <w:sz w:val="24"/>
          <w:szCs w:val="24"/>
          <w:lang w:val="en-US"/>
        </w:rPr>
        <w:t xml:space="preserve"> comparing to solar, wind and geothermal energy market.</w:t>
      </w:r>
    </w:p>
    <w:p w:rsidR="001C69CE" w:rsidRPr="005F65AE" w:rsidRDefault="00D36BC0" w:rsidP="00826279">
      <w:pPr>
        <w:spacing w:after="0"/>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t xml:space="preserve">By the beginning of 2022, the world faced </w:t>
      </w:r>
      <w:r w:rsidR="00DE47AF" w:rsidRPr="005F65AE">
        <w:rPr>
          <w:rFonts w:asciiTheme="majorBidi" w:hAnsiTheme="majorBidi" w:cstheme="majorBidi"/>
          <w:sz w:val="24"/>
          <w:szCs w:val="24"/>
          <w:lang w:val="en-US"/>
        </w:rPr>
        <w:t xml:space="preserve">massive economical, geopolitical, and humanitarian crisis due to Russian invasion of Ukraine (Ozili and Arun, 2023). Since Russia and </w:t>
      </w:r>
      <w:r w:rsidR="00E8613B" w:rsidRPr="005F65AE">
        <w:rPr>
          <w:rFonts w:asciiTheme="majorBidi" w:hAnsiTheme="majorBidi" w:cstheme="majorBidi"/>
          <w:sz w:val="24"/>
          <w:szCs w:val="24"/>
          <w:lang w:val="en-US"/>
        </w:rPr>
        <w:t xml:space="preserve">Ukraine </w:t>
      </w:r>
      <w:r w:rsidR="00E8613B">
        <w:rPr>
          <w:rFonts w:asciiTheme="majorBidi" w:hAnsiTheme="majorBidi" w:cstheme="majorBidi"/>
          <w:sz w:val="24"/>
          <w:szCs w:val="24"/>
          <w:lang w:val="en-US"/>
        </w:rPr>
        <w:t>are</w:t>
      </w:r>
      <w:r w:rsidR="00DE47AF" w:rsidRPr="005F65AE">
        <w:rPr>
          <w:rFonts w:asciiTheme="majorBidi" w:hAnsiTheme="majorBidi" w:cstheme="majorBidi"/>
          <w:sz w:val="24"/>
          <w:szCs w:val="24"/>
          <w:lang w:val="en-US"/>
        </w:rPr>
        <w:t xml:space="preserve">considered as major </w:t>
      </w:r>
      <w:r w:rsidR="00826279" w:rsidRPr="005F65AE">
        <w:rPr>
          <w:rFonts w:asciiTheme="majorBidi" w:hAnsiTheme="majorBidi" w:cstheme="majorBidi"/>
          <w:sz w:val="24"/>
          <w:szCs w:val="24"/>
          <w:lang w:val="en-US"/>
        </w:rPr>
        <w:t>commodities exporter</w:t>
      </w:r>
      <w:r w:rsidR="0002058B">
        <w:rPr>
          <w:rFonts w:asciiTheme="majorBidi" w:hAnsiTheme="majorBidi" w:cstheme="majorBidi"/>
          <w:sz w:val="24"/>
          <w:szCs w:val="24"/>
          <w:lang w:val="en-US"/>
        </w:rPr>
        <w:t>s;</w:t>
      </w:r>
      <w:r w:rsidR="00826279" w:rsidRPr="005F65AE">
        <w:rPr>
          <w:rFonts w:asciiTheme="majorBidi" w:hAnsiTheme="majorBidi" w:cstheme="majorBidi"/>
          <w:sz w:val="24"/>
          <w:szCs w:val="24"/>
          <w:lang w:val="en-US"/>
        </w:rPr>
        <w:t xml:space="preserve"> the agricultural, metal, and energy market’s volatility is greatly increased by the escalation of the Russia-Ukraine conflict(Fang and Shao, 2022). Thus</w:t>
      </w:r>
      <w:r w:rsidR="001C69CE" w:rsidRPr="005F65AE">
        <w:rPr>
          <w:rFonts w:asciiTheme="majorBidi" w:hAnsiTheme="majorBidi" w:cstheme="majorBidi"/>
          <w:sz w:val="24"/>
          <w:szCs w:val="24"/>
          <w:lang w:val="en-US"/>
        </w:rPr>
        <w:t xml:space="preserve">, </w:t>
      </w:r>
      <w:r w:rsidR="00826279" w:rsidRPr="005F65AE">
        <w:rPr>
          <w:rFonts w:asciiTheme="majorBidi" w:hAnsiTheme="majorBidi" w:cstheme="majorBidi"/>
          <w:sz w:val="24"/>
          <w:szCs w:val="24"/>
          <w:lang w:val="en-US"/>
        </w:rPr>
        <w:t>how do</w:t>
      </w:r>
      <w:r w:rsidR="0002058B">
        <w:rPr>
          <w:rFonts w:asciiTheme="majorBidi" w:hAnsiTheme="majorBidi" w:cstheme="majorBidi"/>
          <w:sz w:val="24"/>
          <w:szCs w:val="24"/>
          <w:lang w:val="en-US"/>
        </w:rPr>
        <w:t>es</w:t>
      </w:r>
      <w:r w:rsidR="00826279" w:rsidRPr="005F65AE">
        <w:rPr>
          <w:rFonts w:asciiTheme="majorBidi" w:hAnsiTheme="majorBidi" w:cstheme="majorBidi"/>
          <w:sz w:val="24"/>
          <w:szCs w:val="24"/>
          <w:lang w:val="en-US"/>
        </w:rPr>
        <w:t xml:space="preserve"> Russia-Ukraine </w:t>
      </w:r>
      <w:r w:rsidR="00ED11EF" w:rsidRPr="005F65AE">
        <w:rPr>
          <w:rFonts w:asciiTheme="majorBidi" w:hAnsiTheme="majorBidi" w:cstheme="majorBidi"/>
          <w:sz w:val="24"/>
          <w:szCs w:val="24"/>
          <w:lang w:val="en-US"/>
        </w:rPr>
        <w:t>war impact</w:t>
      </w:r>
      <w:r w:rsidR="00826279" w:rsidRPr="005F65AE">
        <w:rPr>
          <w:rFonts w:asciiTheme="majorBidi" w:hAnsiTheme="majorBidi" w:cstheme="majorBidi"/>
          <w:sz w:val="24"/>
          <w:szCs w:val="24"/>
          <w:lang w:val="en-US"/>
        </w:rPr>
        <w:t xml:space="preserve"> oil prices and clean energy markets</w:t>
      </w:r>
      <w:r w:rsidR="001C69CE" w:rsidRPr="005F65AE">
        <w:rPr>
          <w:rFonts w:asciiTheme="majorBidi" w:hAnsiTheme="majorBidi" w:cstheme="majorBidi"/>
          <w:sz w:val="24"/>
          <w:szCs w:val="24"/>
          <w:lang w:val="en-US"/>
        </w:rPr>
        <w:t>?</w:t>
      </w:r>
    </w:p>
    <w:p w:rsidR="003F7631" w:rsidRPr="005F65AE" w:rsidRDefault="003F7631" w:rsidP="003F7631">
      <w:pPr>
        <w:spacing w:after="0"/>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t>To answer the previous question, this study aims to examines the</w:t>
      </w:r>
      <w:r w:rsidR="00ED11EF" w:rsidRPr="005F65AE">
        <w:rPr>
          <w:rFonts w:asciiTheme="majorBidi" w:hAnsiTheme="majorBidi" w:cstheme="majorBidi"/>
          <w:sz w:val="24"/>
          <w:szCs w:val="24"/>
          <w:lang w:val="en-US"/>
        </w:rPr>
        <w:t xml:space="preserve"> war’s causal impact on</w:t>
      </w:r>
      <w:r w:rsidRPr="005F65AE">
        <w:rPr>
          <w:rFonts w:asciiTheme="majorBidi" w:hAnsiTheme="majorBidi" w:cstheme="majorBidi"/>
          <w:sz w:val="24"/>
          <w:szCs w:val="24"/>
          <w:lang w:val="en-US"/>
        </w:rPr>
        <w:t xml:space="preserve"> oil prices and </w:t>
      </w:r>
      <w:r w:rsidR="00ED11EF" w:rsidRPr="005F65AE">
        <w:rPr>
          <w:rFonts w:asciiTheme="majorBidi" w:hAnsiTheme="majorBidi" w:cstheme="majorBidi"/>
          <w:sz w:val="24"/>
          <w:szCs w:val="24"/>
          <w:lang w:val="en-US"/>
        </w:rPr>
        <w:t>four clean energy market sectors (solar, wind, biofuels and Geothermal) using pre-post period analysis.</w:t>
      </w:r>
    </w:p>
    <w:p w:rsidR="0082720D" w:rsidRPr="005F65AE" w:rsidRDefault="00E8613B" w:rsidP="00224375">
      <w:pPr>
        <w:spacing w:after="0"/>
        <w:ind w:firstLine="284"/>
        <w:jc w:val="both"/>
        <w:rPr>
          <w:rFonts w:asciiTheme="majorBidi" w:hAnsiTheme="majorBidi" w:cstheme="majorBidi"/>
          <w:sz w:val="24"/>
          <w:szCs w:val="24"/>
          <w:lang w:val="en-US"/>
        </w:rPr>
      </w:pPr>
      <w:r w:rsidRPr="00E8613B">
        <w:rPr>
          <w:rFonts w:asciiTheme="majorBidi" w:hAnsiTheme="majorBidi" w:cstheme="majorBidi"/>
          <w:sz w:val="24"/>
          <w:szCs w:val="24"/>
          <w:lang w:val="en-US"/>
        </w:rPr>
        <w:t>This study is organized with the following structure</w:t>
      </w:r>
      <w:r>
        <w:rPr>
          <w:rFonts w:asciiTheme="majorBidi" w:hAnsiTheme="majorBidi" w:cstheme="majorBidi"/>
          <w:sz w:val="24"/>
          <w:szCs w:val="24"/>
          <w:lang w:val="en-US"/>
        </w:rPr>
        <w:t>s</w:t>
      </w:r>
      <w:r w:rsidR="003F7631" w:rsidRPr="005F65AE">
        <w:rPr>
          <w:rFonts w:asciiTheme="majorBidi" w:hAnsiTheme="majorBidi" w:cstheme="majorBidi"/>
          <w:sz w:val="24"/>
          <w:szCs w:val="24"/>
          <w:lang w:val="en-US"/>
        </w:rPr>
        <w:t xml:space="preserve">: in the section 2 we cover the related literature on the topic. In section 3 we describe </w:t>
      </w:r>
      <w:r w:rsidR="000804DC" w:rsidRPr="005F65AE">
        <w:rPr>
          <w:rFonts w:asciiTheme="majorBidi" w:hAnsiTheme="majorBidi" w:cstheme="majorBidi"/>
          <w:sz w:val="24"/>
          <w:szCs w:val="24"/>
          <w:lang w:val="en-US"/>
        </w:rPr>
        <w:t>methodology</w:t>
      </w:r>
      <w:r w:rsidR="003F7631" w:rsidRPr="005F65AE">
        <w:rPr>
          <w:rFonts w:asciiTheme="majorBidi" w:hAnsiTheme="majorBidi" w:cstheme="majorBidi"/>
          <w:sz w:val="24"/>
          <w:szCs w:val="24"/>
          <w:lang w:val="en-US"/>
        </w:rPr>
        <w:t xml:space="preserve"> employed in the study</w:t>
      </w:r>
      <w:r w:rsidR="000804DC" w:rsidRPr="005F65AE">
        <w:rPr>
          <w:rFonts w:asciiTheme="majorBidi" w:hAnsiTheme="majorBidi" w:cstheme="majorBidi"/>
          <w:sz w:val="24"/>
          <w:szCs w:val="24"/>
          <w:lang w:val="en-US"/>
        </w:rPr>
        <w:t xml:space="preserve"> and dataset</w:t>
      </w:r>
      <w:r w:rsidR="003F7631" w:rsidRPr="005F65AE">
        <w:rPr>
          <w:rFonts w:asciiTheme="majorBidi" w:hAnsiTheme="majorBidi" w:cstheme="majorBidi"/>
          <w:sz w:val="24"/>
          <w:szCs w:val="24"/>
          <w:lang w:val="en-US"/>
        </w:rPr>
        <w:t xml:space="preserve">. In section 4 we illustrate empirical results and related discussion. The final section concludes the study </w:t>
      </w:r>
    </w:p>
    <w:p w:rsidR="00D965C1" w:rsidRPr="005F65AE" w:rsidRDefault="00D965C1" w:rsidP="00224375">
      <w:pPr>
        <w:spacing w:after="0"/>
        <w:ind w:firstLine="284"/>
        <w:jc w:val="both"/>
        <w:rPr>
          <w:rFonts w:asciiTheme="majorBidi" w:hAnsiTheme="majorBidi" w:cstheme="majorBidi"/>
          <w:sz w:val="24"/>
          <w:szCs w:val="24"/>
          <w:lang w:val="en-US"/>
        </w:rPr>
      </w:pPr>
    </w:p>
    <w:p w:rsidR="004A00FF" w:rsidRPr="005F65AE" w:rsidRDefault="004A00FF" w:rsidP="00224375">
      <w:pPr>
        <w:spacing w:after="0"/>
        <w:ind w:firstLine="284"/>
        <w:jc w:val="both"/>
        <w:rPr>
          <w:rFonts w:asciiTheme="majorBidi" w:hAnsiTheme="majorBidi" w:cstheme="majorBidi"/>
          <w:sz w:val="24"/>
          <w:szCs w:val="24"/>
          <w:lang w:val="en-US"/>
        </w:rPr>
      </w:pPr>
    </w:p>
    <w:p w:rsidR="004A00FF" w:rsidRPr="005F65AE" w:rsidRDefault="004A00FF" w:rsidP="00224375">
      <w:pPr>
        <w:spacing w:after="0"/>
        <w:ind w:firstLine="284"/>
        <w:jc w:val="both"/>
        <w:rPr>
          <w:rFonts w:asciiTheme="majorBidi" w:hAnsiTheme="majorBidi" w:cstheme="majorBidi"/>
          <w:sz w:val="24"/>
          <w:szCs w:val="24"/>
          <w:lang w:val="en-US"/>
        </w:rPr>
      </w:pPr>
    </w:p>
    <w:p w:rsidR="0082720D" w:rsidRPr="005F65AE" w:rsidRDefault="00C64453" w:rsidP="00E347A5">
      <w:pPr>
        <w:spacing w:after="0"/>
        <w:jc w:val="both"/>
        <w:rPr>
          <w:rFonts w:asciiTheme="majorBidi" w:hAnsiTheme="majorBidi" w:cstheme="majorBidi"/>
          <w:b/>
          <w:bCs/>
          <w:sz w:val="24"/>
          <w:szCs w:val="24"/>
          <w:lang w:val="en-US"/>
        </w:rPr>
      </w:pPr>
      <w:r w:rsidRPr="005F65AE">
        <w:rPr>
          <w:rFonts w:asciiTheme="majorBidi" w:hAnsiTheme="majorBidi" w:cstheme="majorBidi"/>
          <w:b/>
          <w:bCs/>
          <w:sz w:val="24"/>
          <w:szCs w:val="24"/>
          <w:lang w:val="en-US"/>
        </w:rPr>
        <w:t>2. Literature Review</w:t>
      </w:r>
    </w:p>
    <w:p w:rsidR="00C64453" w:rsidRPr="005F65AE" w:rsidRDefault="00C64453" w:rsidP="00E347A5">
      <w:pPr>
        <w:spacing w:before="240"/>
        <w:jc w:val="both"/>
        <w:rPr>
          <w:rFonts w:asciiTheme="majorBidi" w:hAnsiTheme="majorBidi" w:cstheme="majorBidi"/>
          <w:b/>
          <w:bCs/>
          <w:sz w:val="24"/>
          <w:szCs w:val="24"/>
          <w:lang w:val="en-US"/>
        </w:rPr>
      </w:pPr>
      <w:r w:rsidRPr="005F65AE">
        <w:rPr>
          <w:rFonts w:asciiTheme="majorBidi" w:hAnsiTheme="majorBidi" w:cstheme="majorBidi"/>
          <w:b/>
          <w:bCs/>
          <w:sz w:val="24"/>
          <w:szCs w:val="24"/>
          <w:lang w:val="en-US"/>
        </w:rPr>
        <w:lastRenderedPageBreak/>
        <w:t>2.1. Overview of oil prices and clean energy markets:</w:t>
      </w:r>
    </w:p>
    <w:p w:rsidR="00F96148" w:rsidRPr="005F65AE" w:rsidRDefault="007B5FB5" w:rsidP="00826279">
      <w:pPr>
        <w:spacing w:after="0"/>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t xml:space="preserve">The literature on energy markets provides a comprehensive overview of impact of </w:t>
      </w:r>
      <w:r w:rsidR="00E8613B">
        <w:rPr>
          <w:rFonts w:asciiTheme="majorBidi" w:hAnsiTheme="majorBidi" w:cstheme="majorBidi"/>
          <w:sz w:val="24"/>
          <w:szCs w:val="24"/>
          <w:lang w:val="en-US"/>
        </w:rPr>
        <w:t>OP</w:t>
      </w:r>
      <w:r w:rsidRPr="005F65AE">
        <w:rPr>
          <w:rFonts w:asciiTheme="majorBidi" w:hAnsiTheme="majorBidi" w:cstheme="majorBidi"/>
          <w:sz w:val="24"/>
          <w:szCs w:val="24"/>
          <w:lang w:val="en-US"/>
        </w:rPr>
        <w:t xml:space="preserve"> movements on different financial markets (e.g., Jones and Kaul, 1996; Kilian</w:t>
      </w:r>
      <w:r w:rsidR="00983694" w:rsidRPr="005F65AE">
        <w:rPr>
          <w:rFonts w:asciiTheme="majorBidi" w:hAnsiTheme="majorBidi" w:cstheme="majorBidi"/>
          <w:sz w:val="24"/>
          <w:szCs w:val="24"/>
          <w:lang w:val="en-US"/>
        </w:rPr>
        <w:t xml:space="preserve">and </w:t>
      </w:r>
      <w:r w:rsidRPr="005F65AE">
        <w:rPr>
          <w:rFonts w:asciiTheme="majorBidi" w:hAnsiTheme="majorBidi" w:cstheme="majorBidi"/>
          <w:sz w:val="24"/>
          <w:szCs w:val="24"/>
          <w:lang w:val="en-US"/>
        </w:rPr>
        <w:t>Park</w:t>
      </w:r>
      <w:r w:rsidR="00983694" w:rsidRPr="005F65AE">
        <w:rPr>
          <w:rFonts w:asciiTheme="majorBidi" w:hAnsiTheme="majorBidi" w:cstheme="majorBidi"/>
          <w:sz w:val="24"/>
          <w:szCs w:val="24"/>
          <w:lang w:val="en-US"/>
        </w:rPr>
        <w:t>, 2009; Kang et al., 2015; Kocaarslan et al., 2017).</w:t>
      </w:r>
      <w:r w:rsidR="00E47A92" w:rsidRPr="005F65AE">
        <w:rPr>
          <w:rFonts w:asciiTheme="majorBidi" w:hAnsiTheme="majorBidi" w:cstheme="majorBidi"/>
          <w:sz w:val="24"/>
          <w:szCs w:val="24"/>
          <w:lang w:val="en-US"/>
        </w:rPr>
        <w:t xml:space="preserve"> Furthermore, </w:t>
      </w:r>
      <w:r w:rsidR="0002058B">
        <w:rPr>
          <w:rFonts w:asciiTheme="majorBidi" w:hAnsiTheme="majorBidi" w:cstheme="majorBidi"/>
          <w:sz w:val="24"/>
          <w:szCs w:val="24"/>
          <w:lang w:val="en-US"/>
        </w:rPr>
        <w:t xml:space="preserve">the </w:t>
      </w:r>
      <w:r w:rsidR="00E47A92" w:rsidRPr="005F65AE">
        <w:rPr>
          <w:rFonts w:asciiTheme="majorBidi" w:hAnsiTheme="majorBidi" w:cstheme="majorBidi"/>
          <w:sz w:val="24"/>
          <w:szCs w:val="24"/>
          <w:lang w:val="en-US"/>
        </w:rPr>
        <w:t xml:space="preserve">study of Henriques and Sadorsky (2008) was one of first researches that provide evidence of </w:t>
      </w:r>
      <w:r w:rsidR="0002058B">
        <w:rPr>
          <w:rFonts w:asciiTheme="majorBidi" w:hAnsiTheme="majorBidi" w:cstheme="majorBidi"/>
          <w:sz w:val="24"/>
          <w:szCs w:val="24"/>
          <w:lang w:val="en-US"/>
        </w:rPr>
        <w:t xml:space="preserve">the </w:t>
      </w:r>
      <w:r w:rsidR="00E47A92" w:rsidRPr="005F65AE">
        <w:rPr>
          <w:rFonts w:asciiTheme="majorBidi" w:hAnsiTheme="majorBidi" w:cstheme="majorBidi"/>
          <w:sz w:val="24"/>
          <w:szCs w:val="24"/>
          <w:lang w:val="en-US"/>
        </w:rPr>
        <w:t xml:space="preserve">relationship between </w:t>
      </w:r>
      <w:r w:rsidR="00553EF2">
        <w:rPr>
          <w:rFonts w:asciiTheme="majorBidi" w:hAnsiTheme="majorBidi" w:cstheme="majorBidi"/>
          <w:sz w:val="24"/>
          <w:szCs w:val="24"/>
          <w:lang w:val="en-US"/>
        </w:rPr>
        <w:t>OP</w:t>
      </w:r>
      <w:r w:rsidR="00E47A92" w:rsidRPr="005F65AE">
        <w:rPr>
          <w:rFonts w:asciiTheme="majorBidi" w:hAnsiTheme="majorBidi" w:cstheme="majorBidi"/>
          <w:sz w:val="24"/>
          <w:szCs w:val="24"/>
          <w:lang w:val="en-US"/>
        </w:rPr>
        <w:t xml:space="preserve">and </w:t>
      </w:r>
      <w:r w:rsidR="00553EF2">
        <w:rPr>
          <w:rFonts w:asciiTheme="majorBidi" w:hAnsiTheme="majorBidi" w:cstheme="majorBidi"/>
          <w:sz w:val="24"/>
          <w:szCs w:val="24"/>
          <w:lang w:val="en-US"/>
        </w:rPr>
        <w:t>CEM</w:t>
      </w:r>
      <w:r w:rsidR="00E47A92" w:rsidRPr="005F65AE">
        <w:rPr>
          <w:rFonts w:asciiTheme="majorBidi" w:hAnsiTheme="majorBidi" w:cstheme="majorBidi"/>
          <w:sz w:val="24"/>
          <w:szCs w:val="24"/>
          <w:lang w:val="en-US"/>
        </w:rPr>
        <w:t>,</w:t>
      </w:r>
      <w:r w:rsidR="00C8250B" w:rsidRPr="005F65AE">
        <w:rPr>
          <w:rFonts w:asciiTheme="majorBidi" w:hAnsiTheme="majorBidi" w:cstheme="majorBidi"/>
          <w:sz w:val="24"/>
          <w:szCs w:val="24"/>
          <w:lang w:val="en-US"/>
        </w:rPr>
        <w:t xml:space="preserve"> they examine the causal relationship between oil, interest rates, technology and </w:t>
      </w:r>
      <w:r w:rsidR="008457D8" w:rsidRPr="005F65AE">
        <w:rPr>
          <w:rFonts w:asciiTheme="majorBidi" w:hAnsiTheme="majorBidi" w:cstheme="majorBidi"/>
          <w:sz w:val="24"/>
          <w:szCs w:val="24"/>
          <w:lang w:val="en-US"/>
        </w:rPr>
        <w:t>clean</w:t>
      </w:r>
      <w:r w:rsidR="00C8250B" w:rsidRPr="005F65AE">
        <w:rPr>
          <w:rFonts w:asciiTheme="majorBidi" w:hAnsiTheme="majorBidi" w:cstheme="majorBidi"/>
          <w:sz w:val="24"/>
          <w:szCs w:val="24"/>
          <w:lang w:val="en-US"/>
        </w:rPr>
        <w:t xml:space="preserve"> energy stock</w:t>
      </w:r>
      <w:r w:rsidR="00797D2E" w:rsidRPr="005F65AE">
        <w:rPr>
          <w:rFonts w:asciiTheme="majorBidi" w:hAnsiTheme="majorBidi" w:cstheme="majorBidi"/>
          <w:sz w:val="24"/>
          <w:szCs w:val="24"/>
          <w:lang w:val="en-US"/>
        </w:rPr>
        <w:t>s</w:t>
      </w:r>
      <w:r w:rsidR="00C8250B" w:rsidRPr="005F65AE">
        <w:rPr>
          <w:rFonts w:asciiTheme="majorBidi" w:hAnsiTheme="majorBidi" w:cstheme="majorBidi"/>
          <w:sz w:val="24"/>
          <w:szCs w:val="24"/>
          <w:lang w:val="en-US"/>
        </w:rPr>
        <w:t xml:space="preserve">, </w:t>
      </w:r>
      <w:r w:rsidR="008457D8" w:rsidRPr="005F65AE">
        <w:rPr>
          <w:rFonts w:asciiTheme="majorBidi" w:hAnsiTheme="majorBidi" w:cstheme="majorBidi"/>
          <w:sz w:val="24"/>
          <w:szCs w:val="24"/>
          <w:lang w:val="en-US"/>
        </w:rPr>
        <w:t xml:space="preserve">using </w:t>
      </w:r>
      <w:r w:rsidR="008B28CC" w:rsidRPr="005F65AE">
        <w:rPr>
          <w:rFonts w:asciiTheme="majorBidi" w:hAnsiTheme="majorBidi" w:cstheme="majorBidi"/>
          <w:sz w:val="24"/>
          <w:szCs w:val="24"/>
          <w:lang w:val="en-US"/>
        </w:rPr>
        <w:t>vector autoregression model</w:t>
      </w:r>
      <w:r w:rsidR="008457D8" w:rsidRPr="005F65AE">
        <w:rPr>
          <w:rFonts w:asciiTheme="majorBidi" w:hAnsiTheme="majorBidi" w:cstheme="majorBidi"/>
          <w:sz w:val="24"/>
          <w:szCs w:val="24"/>
          <w:lang w:val="en-US"/>
        </w:rPr>
        <w:t xml:space="preserve"> andGranger causality test</w:t>
      </w:r>
      <w:r w:rsidR="008B28CC" w:rsidRPr="005F65AE">
        <w:rPr>
          <w:rFonts w:asciiTheme="majorBidi" w:hAnsiTheme="majorBidi" w:cstheme="majorBidi"/>
          <w:sz w:val="24"/>
          <w:szCs w:val="24"/>
          <w:lang w:val="en-US"/>
        </w:rPr>
        <w:t xml:space="preserve">. </w:t>
      </w:r>
      <w:r w:rsidR="00F96148" w:rsidRPr="005F65AE">
        <w:rPr>
          <w:rFonts w:asciiTheme="majorBidi" w:hAnsiTheme="majorBidi" w:cstheme="majorBidi"/>
          <w:sz w:val="24"/>
          <w:szCs w:val="24"/>
          <w:lang w:val="en-US"/>
        </w:rPr>
        <w:t>The resultsshow</w:t>
      </w:r>
      <w:r w:rsidR="008B28CC" w:rsidRPr="005F65AE">
        <w:rPr>
          <w:rFonts w:asciiTheme="majorBidi" w:hAnsiTheme="majorBidi" w:cstheme="majorBidi"/>
          <w:sz w:val="24"/>
          <w:szCs w:val="24"/>
          <w:lang w:val="en-US"/>
        </w:rPr>
        <w:t xml:space="preserve"> that</w:t>
      </w:r>
      <w:r w:rsidR="00E8613B">
        <w:rPr>
          <w:rFonts w:asciiTheme="majorBidi" w:hAnsiTheme="majorBidi" w:cstheme="majorBidi"/>
          <w:sz w:val="24"/>
          <w:szCs w:val="24"/>
          <w:lang w:val="en-US"/>
        </w:rPr>
        <w:t>OP,</w:t>
      </w:r>
      <w:r w:rsidR="00F96148" w:rsidRPr="005F65AE">
        <w:rPr>
          <w:rFonts w:asciiTheme="majorBidi" w:hAnsiTheme="majorBidi" w:cstheme="majorBidi"/>
          <w:sz w:val="24"/>
          <w:szCs w:val="24"/>
          <w:lang w:val="en-US"/>
        </w:rPr>
        <w:t xml:space="preserve"> interest ratesand </w:t>
      </w:r>
      <w:r w:rsidR="008B28CC" w:rsidRPr="005F65AE">
        <w:rPr>
          <w:rFonts w:asciiTheme="majorBidi" w:hAnsiTheme="majorBidi" w:cstheme="majorBidi"/>
          <w:sz w:val="24"/>
          <w:szCs w:val="24"/>
          <w:lang w:val="en-US"/>
        </w:rPr>
        <w:t>technology stock</w:t>
      </w:r>
      <w:r w:rsidR="00E8613B">
        <w:rPr>
          <w:rFonts w:asciiTheme="majorBidi" w:hAnsiTheme="majorBidi" w:cstheme="majorBidi"/>
          <w:sz w:val="24"/>
          <w:szCs w:val="24"/>
          <w:lang w:val="en-US"/>
        </w:rPr>
        <w:t xml:space="preserve"> (T</w:t>
      </w:r>
      <w:r w:rsidR="005C3778">
        <w:rPr>
          <w:rFonts w:asciiTheme="majorBidi" w:hAnsiTheme="majorBidi" w:cstheme="majorBidi"/>
          <w:sz w:val="24"/>
          <w:szCs w:val="24"/>
          <w:lang w:val="en-US"/>
        </w:rPr>
        <w:t>S)</w:t>
      </w:r>
      <w:r w:rsidR="00F96148" w:rsidRPr="005F65AE">
        <w:rPr>
          <w:rFonts w:asciiTheme="majorBidi" w:hAnsiTheme="majorBidi" w:cstheme="majorBidi"/>
          <w:sz w:val="24"/>
          <w:szCs w:val="24"/>
          <w:lang w:val="en-US"/>
        </w:rPr>
        <w:t xml:space="preserve">movements </w:t>
      </w:r>
      <w:r w:rsidR="008B28CC" w:rsidRPr="005F65AE">
        <w:rPr>
          <w:rFonts w:asciiTheme="majorBidi" w:hAnsiTheme="majorBidi" w:cstheme="majorBidi"/>
          <w:sz w:val="24"/>
          <w:szCs w:val="24"/>
          <w:lang w:val="en-US"/>
        </w:rPr>
        <w:t xml:space="preserve">have </w:t>
      </w:r>
      <w:r w:rsidR="0002058B">
        <w:rPr>
          <w:rFonts w:asciiTheme="majorBidi" w:hAnsiTheme="majorBidi" w:cstheme="majorBidi"/>
          <w:sz w:val="24"/>
          <w:szCs w:val="24"/>
          <w:lang w:val="en-US"/>
        </w:rPr>
        <w:t xml:space="preserve">a </w:t>
      </w:r>
      <w:r w:rsidR="00F96148" w:rsidRPr="005F65AE">
        <w:rPr>
          <w:rFonts w:asciiTheme="majorBidi" w:hAnsiTheme="majorBidi" w:cstheme="majorBidi"/>
          <w:sz w:val="24"/>
          <w:szCs w:val="24"/>
          <w:lang w:val="en-US"/>
        </w:rPr>
        <w:t xml:space="preserve">significantcausality with </w:t>
      </w:r>
      <w:r w:rsidR="008B28CC" w:rsidRPr="005F65AE">
        <w:rPr>
          <w:rFonts w:asciiTheme="majorBidi" w:hAnsiTheme="majorBidi" w:cstheme="majorBidi"/>
          <w:sz w:val="24"/>
          <w:szCs w:val="24"/>
          <w:lang w:val="en-US"/>
        </w:rPr>
        <w:t>the</w:t>
      </w:r>
      <w:r w:rsidR="00F96148" w:rsidRPr="005F65AE">
        <w:rPr>
          <w:rFonts w:asciiTheme="majorBidi" w:hAnsiTheme="majorBidi" w:cstheme="majorBidi"/>
          <w:sz w:val="24"/>
          <w:szCs w:val="24"/>
          <w:lang w:val="en-US"/>
        </w:rPr>
        <w:t>clean energy</w:t>
      </w:r>
      <w:r w:rsidR="008B28CC" w:rsidRPr="005F65AE">
        <w:rPr>
          <w:rFonts w:asciiTheme="majorBidi" w:hAnsiTheme="majorBidi" w:cstheme="majorBidi"/>
          <w:sz w:val="24"/>
          <w:szCs w:val="24"/>
          <w:lang w:val="en-US"/>
        </w:rPr>
        <w:t xml:space="preserve"> stock </w:t>
      </w:r>
      <w:r w:rsidR="00F96148" w:rsidRPr="005F65AE">
        <w:rPr>
          <w:rFonts w:asciiTheme="majorBidi" w:hAnsiTheme="majorBidi" w:cstheme="majorBidi"/>
          <w:sz w:val="24"/>
          <w:szCs w:val="24"/>
          <w:lang w:val="en-US"/>
        </w:rPr>
        <w:t xml:space="preserve">movements,as well as, </w:t>
      </w:r>
      <w:r w:rsidR="005C3778">
        <w:rPr>
          <w:rFonts w:asciiTheme="majorBidi" w:hAnsiTheme="majorBidi" w:cstheme="majorBidi"/>
          <w:sz w:val="24"/>
          <w:szCs w:val="24"/>
          <w:lang w:val="en-US"/>
        </w:rPr>
        <w:t>TS</w:t>
      </w:r>
      <w:r w:rsidR="00F96148" w:rsidRPr="005F65AE">
        <w:rPr>
          <w:rFonts w:asciiTheme="majorBidi" w:hAnsiTheme="majorBidi" w:cstheme="majorBidi"/>
          <w:sz w:val="24"/>
          <w:szCs w:val="24"/>
          <w:lang w:val="en-US"/>
        </w:rPr>
        <w:t xml:space="preserve">shock </w:t>
      </w:r>
      <w:r w:rsidR="008B28CC" w:rsidRPr="005F65AE">
        <w:rPr>
          <w:rFonts w:asciiTheme="majorBidi" w:hAnsiTheme="majorBidi" w:cstheme="majorBidi"/>
          <w:sz w:val="24"/>
          <w:szCs w:val="24"/>
          <w:lang w:val="en-US"/>
        </w:rPr>
        <w:t>has a larger impact on</w:t>
      </w:r>
      <w:r w:rsidR="00F96148" w:rsidRPr="005F65AE">
        <w:rPr>
          <w:rFonts w:asciiTheme="majorBidi" w:hAnsiTheme="majorBidi" w:cstheme="majorBidi"/>
          <w:sz w:val="24"/>
          <w:szCs w:val="24"/>
          <w:lang w:val="en-US"/>
        </w:rPr>
        <w:t>clean energy</w:t>
      </w:r>
      <w:r w:rsidR="008B28CC" w:rsidRPr="005F65AE">
        <w:rPr>
          <w:rFonts w:asciiTheme="majorBidi" w:hAnsiTheme="majorBidi" w:cstheme="majorBidi"/>
          <w:sz w:val="24"/>
          <w:szCs w:val="24"/>
          <w:lang w:val="en-US"/>
        </w:rPr>
        <w:t xml:space="preserve"> stock</w:t>
      </w:r>
      <w:r w:rsidR="00287246">
        <w:rPr>
          <w:rFonts w:asciiTheme="majorBidi" w:hAnsiTheme="majorBidi" w:cstheme="majorBidi"/>
          <w:sz w:val="24"/>
          <w:szCs w:val="24"/>
          <w:lang w:val="en-US"/>
        </w:rPr>
        <w:t>s</w:t>
      </w:r>
      <w:r w:rsidR="008B28CC" w:rsidRPr="005F65AE">
        <w:rPr>
          <w:rFonts w:asciiTheme="majorBidi" w:hAnsiTheme="majorBidi" w:cstheme="majorBidi"/>
          <w:sz w:val="24"/>
          <w:szCs w:val="24"/>
          <w:lang w:val="en-US"/>
        </w:rPr>
        <w:t xml:space="preserve"> than </w:t>
      </w:r>
      <w:r w:rsidR="005C3778">
        <w:rPr>
          <w:rFonts w:asciiTheme="majorBidi" w:hAnsiTheme="majorBidi" w:cstheme="majorBidi"/>
          <w:sz w:val="24"/>
          <w:szCs w:val="24"/>
          <w:lang w:val="en-US"/>
        </w:rPr>
        <w:t>OP</w:t>
      </w:r>
      <w:r w:rsidR="00F96148" w:rsidRPr="005F65AE">
        <w:rPr>
          <w:rFonts w:asciiTheme="majorBidi" w:hAnsiTheme="majorBidi" w:cstheme="majorBidi"/>
          <w:sz w:val="24"/>
          <w:szCs w:val="24"/>
          <w:lang w:val="en-US"/>
        </w:rPr>
        <w:t xml:space="preserve"> shock</w:t>
      </w:r>
      <w:r w:rsidR="008B28CC" w:rsidRPr="005F65AE">
        <w:rPr>
          <w:rFonts w:asciiTheme="majorBidi" w:hAnsiTheme="majorBidi" w:cstheme="majorBidi"/>
          <w:sz w:val="24"/>
          <w:szCs w:val="24"/>
          <w:lang w:val="en-US"/>
        </w:rPr>
        <w:t>.</w:t>
      </w:r>
      <w:r w:rsidR="00EB10B2" w:rsidRPr="005F65AE">
        <w:rPr>
          <w:rFonts w:asciiTheme="majorBidi" w:hAnsiTheme="majorBidi" w:cstheme="majorBidi"/>
          <w:sz w:val="24"/>
          <w:szCs w:val="24"/>
          <w:lang w:val="en-US"/>
        </w:rPr>
        <w:t xml:space="preserve"> Following </w:t>
      </w:r>
      <w:r w:rsidR="00287246">
        <w:rPr>
          <w:rFonts w:asciiTheme="majorBidi" w:hAnsiTheme="majorBidi" w:cstheme="majorBidi"/>
          <w:sz w:val="24"/>
          <w:szCs w:val="24"/>
          <w:lang w:val="en-US"/>
        </w:rPr>
        <w:t xml:space="preserve">the </w:t>
      </w:r>
      <w:r w:rsidR="00EB10B2" w:rsidRPr="005F65AE">
        <w:rPr>
          <w:rFonts w:asciiTheme="majorBidi" w:hAnsiTheme="majorBidi" w:cstheme="majorBidi"/>
          <w:sz w:val="24"/>
          <w:szCs w:val="24"/>
          <w:lang w:val="en-US"/>
        </w:rPr>
        <w:t>same method</w:t>
      </w:r>
      <w:r w:rsidR="00287246">
        <w:rPr>
          <w:rFonts w:asciiTheme="majorBidi" w:hAnsiTheme="majorBidi" w:cstheme="majorBidi"/>
          <w:sz w:val="24"/>
          <w:szCs w:val="24"/>
          <w:lang w:val="en-US"/>
        </w:rPr>
        <w:t>,</w:t>
      </w:r>
      <w:r w:rsidR="007555CC" w:rsidRPr="005F65AE">
        <w:rPr>
          <w:rFonts w:asciiTheme="majorBidi" w:hAnsiTheme="majorBidi" w:cstheme="majorBidi"/>
          <w:sz w:val="24"/>
          <w:szCs w:val="24"/>
          <w:lang w:val="en-US"/>
        </w:rPr>
        <w:t xml:space="preserve">Kumar et al. (2012) test </w:t>
      </w:r>
      <w:r w:rsidR="00287246">
        <w:rPr>
          <w:rFonts w:asciiTheme="majorBidi" w:hAnsiTheme="majorBidi" w:cstheme="majorBidi"/>
          <w:sz w:val="24"/>
          <w:szCs w:val="24"/>
          <w:lang w:val="en-US"/>
        </w:rPr>
        <w:t>if</w:t>
      </w:r>
      <w:r w:rsidR="007555CC" w:rsidRPr="005F65AE">
        <w:rPr>
          <w:rFonts w:asciiTheme="majorBidi" w:hAnsiTheme="majorBidi" w:cstheme="majorBidi"/>
          <w:sz w:val="24"/>
          <w:szCs w:val="24"/>
          <w:lang w:val="en-US"/>
        </w:rPr>
        <w:t xml:space="preserve"> the rising inconventional energies prices will lead to more investment in </w:t>
      </w:r>
      <w:r w:rsidR="00553EF2" w:rsidRPr="00553EF2">
        <w:rPr>
          <w:rFonts w:asciiTheme="majorBidi" w:hAnsiTheme="majorBidi" w:cstheme="majorBidi"/>
          <w:sz w:val="24"/>
          <w:szCs w:val="24"/>
          <w:lang w:val="en-US"/>
        </w:rPr>
        <w:t>CEM</w:t>
      </w:r>
      <w:r w:rsidR="007555CC" w:rsidRPr="005F65AE">
        <w:rPr>
          <w:rFonts w:asciiTheme="majorBidi" w:hAnsiTheme="majorBidi" w:cstheme="majorBidi"/>
          <w:sz w:val="24"/>
          <w:szCs w:val="24"/>
          <w:lang w:val="en-US"/>
        </w:rPr>
        <w:t>,</w:t>
      </w:r>
      <w:r w:rsidR="00D01729" w:rsidRPr="005F65AE">
        <w:rPr>
          <w:rFonts w:asciiTheme="majorBidi" w:hAnsiTheme="majorBidi" w:cstheme="majorBidi"/>
          <w:sz w:val="24"/>
          <w:szCs w:val="24"/>
          <w:lang w:val="en-US"/>
        </w:rPr>
        <w:t xml:space="preserve"> using three clean energy indices,</w:t>
      </w:r>
      <w:r w:rsidR="00797D2E" w:rsidRPr="005F65AE">
        <w:rPr>
          <w:rFonts w:asciiTheme="majorBidi" w:hAnsiTheme="majorBidi" w:cstheme="majorBidi"/>
          <w:sz w:val="24"/>
          <w:szCs w:val="24"/>
          <w:lang w:val="en-US"/>
        </w:rPr>
        <w:t xml:space="preserve"> theyfound asignificant impact of </w:t>
      </w:r>
      <w:r w:rsidR="00553EF2">
        <w:rPr>
          <w:rFonts w:asciiTheme="majorBidi" w:hAnsiTheme="majorBidi" w:cstheme="majorBidi"/>
          <w:sz w:val="24"/>
          <w:szCs w:val="24"/>
          <w:lang w:val="en-US"/>
        </w:rPr>
        <w:t>OP</w:t>
      </w:r>
      <w:r w:rsidR="00D01729" w:rsidRPr="005F65AE">
        <w:rPr>
          <w:rFonts w:asciiTheme="majorBidi" w:hAnsiTheme="majorBidi" w:cstheme="majorBidi"/>
          <w:sz w:val="24"/>
          <w:szCs w:val="24"/>
          <w:lang w:val="en-US"/>
        </w:rPr>
        <w:t xml:space="preserve"> and </w:t>
      </w:r>
      <w:r w:rsidR="00553EF2">
        <w:rPr>
          <w:rFonts w:asciiTheme="majorBidi" w:hAnsiTheme="majorBidi" w:cstheme="majorBidi"/>
          <w:sz w:val="24"/>
          <w:szCs w:val="24"/>
          <w:lang w:val="en-US"/>
        </w:rPr>
        <w:t>TS</w:t>
      </w:r>
      <w:r w:rsidR="00797D2E" w:rsidRPr="005F65AE">
        <w:rPr>
          <w:rFonts w:asciiTheme="majorBidi" w:hAnsiTheme="majorBidi" w:cstheme="majorBidi"/>
          <w:sz w:val="24"/>
          <w:szCs w:val="24"/>
          <w:lang w:val="en-US"/>
        </w:rPr>
        <w:t>on</w:t>
      </w:r>
      <w:r w:rsidR="00553EF2" w:rsidRPr="00553EF2">
        <w:rPr>
          <w:rFonts w:asciiTheme="majorBidi" w:hAnsiTheme="majorBidi" w:cstheme="majorBidi"/>
          <w:sz w:val="24"/>
          <w:szCs w:val="24"/>
          <w:lang w:val="en-US"/>
        </w:rPr>
        <w:t>CEM</w:t>
      </w:r>
      <w:r w:rsidR="00797D2E" w:rsidRPr="005F65AE">
        <w:rPr>
          <w:rFonts w:asciiTheme="majorBidi" w:hAnsiTheme="majorBidi" w:cstheme="majorBidi"/>
          <w:sz w:val="24"/>
          <w:szCs w:val="24"/>
          <w:lang w:val="en-US"/>
        </w:rPr>
        <w:t>,while</w:t>
      </w:r>
      <w:r w:rsidR="00D01729" w:rsidRPr="005F65AE">
        <w:rPr>
          <w:rFonts w:asciiTheme="majorBidi" w:hAnsiTheme="majorBidi" w:cstheme="majorBidi"/>
          <w:sz w:val="24"/>
          <w:szCs w:val="24"/>
          <w:lang w:val="en-US"/>
        </w:rPr>
        <w:t xml:space="preserve">, </w:t>
      </w:r>
      <w:r w:rsidR="00797D2E" w:rsidRPr="005F65AE">
        <w:rPr>
          <w:rFonts w:asciiTheme="majorBidi" w:hAnsiTheme="majorBidi" w:cstheme="majorBidi"/>
          <w:sz w:val="24"/>
          <w:szCs w:val="24"/>
          <w:lang w:val="en-US"/>
        </w:rPr>
        <w:t xml:space="preserve">carbon prices doesn’thave </w:t>
      </w:r>
      <w:r w:rsidR="00D01729" w:rsidRPr="005F65AE">
        <w:rPr>
          <w:rFonts w:asciiTheme="majorBidi" w:hAnsiTheme="majorBidi" w:cstheme="majorBidi"/>
          <w:sz w:val="24"/>
          <w:szCs w:val="24"/>
          <w:lang w:val="en-US"/>
        </w:rPr>
        <w:t xml:space="preserve">any </w:t>
      </w:r>
      <w:r w:rsidR="00797D2E" w:rsidRPr="005F65AE">
        <w:rPr>
          <w:rFonts w:asciiTheme="majorBidi" w:hAnsiTheme="majorBidi" w:cstheme="majorBidi"/>
          <w:sz w:val="24"/>
          <w:szCs w:val="24"/>
          <w:lang w:val="en-US"/>
        </w:rPr>
        <w:t>impacton the market.</w:t>
      </w:r>
      <w:r w:rsidR="00553EF2">
        <w:rPr>
          <w:rFonts w:asciiTheme="majorBidi" w:hAnsiTheme="majorBidi" w:cstheme="majorBidi"/>
          <w:sz w:val="24"/>
          <w:szCs w:val="24"/>
          <w:lang w:val="en-US"/>
        </w:rPr>
        <w:t xml:space="preserve">Similarly, </w:t>
      </w:r>
      <w:r w:rsidR="00E74E1B" w:rsidRPr="005F65AE">
        <w:rPr>
          <w:rFonts w:asciiTheme="majorBidi" w:hAnsiTheme="majorBidi" w:cstheme="majorBidi"/>
          <w:sz w:val="24"/>
          <w:szCs w:val="24"/>
          <w:lang w:val="en-US"/>
        </w:rPr>
        <w:t xml:space="preserve">Managi and Okimoto (2013) </w:t>
      </w:r>
      <w:r w:rsidR="009F6D94" w:rsidRPr="005F65AE">
        <w:rPr>
          <w:rFonts w:asciiTheme="majorBidi" w:hAnsiTheme="majorBidi" w:cstheme="majorBidi"/>
          <w:sz w:val="24"/>
          <w:szCs w:val="24"/>
          <w:lang w:val="en-US"/>
        </w:rPr>
        <w:t>us</w:t>
      </w:r>
      <w:r w:rsidR="00553EF2">
        <w:rPr>
          <w:rFonts w:asciiTheme="majorBidi" w:hAnsiTheme="majorBidi" w:cstheme="majorBidi"/>
          <w:sz w:val="24"/>
          <w:szCs w:val="24"/>
          <w:lang w:val="en-US"/>
        </w:rPr>
        <w:t>e</w:t>
      </w:r>
      <w:r w:rsidR="009F6D94" w:rsidRPr="005F65AE">
        <w:rPr>
          <w:rFonts w:asciiTheme="majorBidi" w:hAnsiTheme="majorBidi" w:cstheme="majorBidi"/>
          <w:sz w:val="24"/>
          <w:szCs w:val="24"/>
          <w:lang w:val="en-US"/>
        </w:rPr>
        <w:t xml:space="preserve"> Markov-switching vector autoregressive models.The</w:t>
      </w:r>
      <w:r w:rsidR="00553EF2">
        <w:rPr>
          <w:rFonts w:asciiTheme="majorBidi" w:hAnsiTheme="majorBidi" w:cstheme="majorBidi"/>
          <w:sz w:val="24"/>
          <w:szCs w:val="24"/>
          <w:lang w:val="en-US"/>
        </w:rPr>
        <w:t>y</w:t>
      </w:r>
      <w:r w:rsidR="009F6D94" w:rsidRPr="005F65AE">
        <w:rPr>
          <w:rFonts w:asciiTheme="majorBidi" w:hAnsiTheme="majorBidi" w:cstheme="majorBidi"/>
          <w:sz w:val="24"/>
          <w:szCs w:val="24"/>
          <w:lang w:val="en-US"/>
        </w:rPr>
        <w:t xml:space="preserve"> findthat there was a major structural change in late 2007,which was a period of sharply rising </w:t>
      </w:r>
      <w:r w:rsidR="00553EF2" w:rsidRPr="00553EF2">
        <w:rPr>
          <w:rFonts w:asciiTheme="majorBidi" w:hAnsiTheme="majorBidi" w:cstheme="majorBidi"/>
          <w:sz w:val="24"/>
          <w:szCs w:val="24"/>
          <w:lang w:val="en-US"/>
        </w:rPr>
        <w:t>OP</w:t>
      </w:r>
      <w:r w:rsidR="009F6D94" w:rsidRPr="005F65AE">
        <w:rPr>
          <w:rFonts w:asciiTheme="majorBidi" w:hAnsiTheme="majorBidi" w:cstheme="majorBidi"/>
          <w:sz w:val="24"/>
          <w:szCs w:val="24"/>
          <w:lang w:val="en-US"/>
        </w:rPr>
        <w:t xml:space="preserve">, in addition to significant positive impact </w:t>
      </w:r>
      <w:r w:rsidR="00E30559" w:rsidRPr="005F65AE">
        <w:rPr>
          <w:rFonts w:asciiTheme="majorBidi" w:hAnsiTheme="majorBidi" w:cstheme="majorBidi"/>
          <w:sz w:val="24"/>
          <w:szCs w:val="24"/>
          <w:lang w:val="en-US"/>
        </w:rPr>
        <w:t xml:space="preserve">on </w:t>
      </w:r>
      <w:r w:rsidR="00553EF2" w:rsidRPr="00553EF2">
        <w:rPr>
          <w:rFonts w:asciiTheme="majorBidi" w:hAnsiTheme="majorBidi" w:cstheme="majorBidi"/>
          <w:sz w:val="24"/>
          <w:szCs w:val="24"/>
          <w:lang w:val="en-US"/>
        </w:rPr>
        <w:t>CEM</w:t>
      </w:r>
      <w:r w:rsidR="005C3778" w:rsidRPr="005C3778">
        <w:rPr>
          <w:rFonts w:asciiTheme="majorBidi" w:hAnsiTheme="majorBidi" w:cstheme="majorBidi"/>
          <w:sz w:val="24"/>
          <w:szCs w:val="24"/>
          <w:lang w:val="en-US"/>
        </w:rPr>
        <w:t xml:space="preserve">that follows structure </w:t>
      </w:r>
      <w:r w:rsidR="00E30559" w:rsidRPr="005F65AE">
        <w:rPr>
          <w:rFonts w:asciiTheme="majorBidi" w:hAnsiTheme="majorBidi" w:cstheme="majorBidi"/>
          <w:sz w:val="24"/>
          <w:szCs w:val="24"/>
          <w:lang w:val="en-US"/>
        </w:rPr>
        <w:t>breaks.Additionally</w:t>
      </w:r>
      <w:r w:rsidR="005C3778" w:rsidRPr="005C3778">
        <w:rPr>
          <w:rFonts w:asciiTheme="majorBidi" w:hAnsiTheme="majorBidi" w:cstheme="majorBidi"/>
          <w:sz w:val="24"/>
          <w:szCs w:val="24"/>
          <w:lang w:val="en-US"/>
        </w:rPr>
        <w:t xml:space="preserve">it appears that the market's response to the prices of renewable energy and </w:t>
      </w:r>
      <w:r w:rsidR="005C3778">
        <w:rPr>
          <w:rFonts w:asciiTheme="majorBidi" w:hAnsiTheme="majorBidi" w:cstheme="majorBidi"/>
          <w:sz w:val="24"/>
          <w:szCs w:val="24"/>
          <w:lang w:val="en-US"/>
        </w:rPr>
        <w:t>TS</w:t>
      </w:r>
      <w:r w:rsidR="005C3778" w:rsidRPr="005C3778">
        <w:rPr>
          <w:rFonts w:asciiTheme="majorBidi" w:hAnsiTheme="majorBidi" w:cstheme="majorBidi"/>
          <w:sz w:val="24"/>
          <w:szCs w:val="24"/>
          <w:lang w:val="en-US"/>
        </w:rPr>
        <w:t xml:space="preserve"> is similar</w:t>
      </w:r>
      <w:r w:rsidR="00E30559" w:rsidRPr="005F65AE">
        <w:rPr>
          <w:rFonts w:asciiTheme="majorBidi" w:hAnsiTheme="majorBidi" w:cstheme="majorBidi"/>
          <w:sz w:val="24"/>
          <w:szCs w:val="24"/>
          <w:lang w:val="en-US"/>
        </w:rPr>
        <w:t>.</w:t>
      </w:r>
      <w:r w:rsidR="000C550D" w:rsidRPr="005F65AE">
        <w:rPr>
          <w:rFonts w:asciiTheme="majorBidi" w:hAnsiTheme="majorBidi" w:cstheme="majorBidi"/>
          <w:sz w:val="24"/>
          <w:szCs w:val="24"/>
          <w:lang w:val="en-US"/>
        </w:rPr>
        <w:t xml:space="preserve">Reboredo (2015) used </w:t>
      </w:r>
      <w:r w:rsidR="00AB5B46" w:rsidRPr="005F65AE">
        <w:rPr>
          <w:rFonts w:asciiTheme="majorBidi" w:hAnsiTheme="majorBidi" w:cstheme="majorBidi"/>
          <w:sz w:val="24"/>
          <w:szCs w:val="24"/>
          <w:lang w:val="en-US"/>
        </w:rPr>
        <w:t xml:space="preserve">in his study </w:t>
      </w:r>
      <w:r w:rsidR="00AC6598" w:rsidRPr="005F65AE">
        <w:rPr>
          <w:rFonts w:asciiTheme="majorBidi" w:hAnsiTheme="majorBidi" w:cstheme="majorBidi"/>
          <w:sz w:val="24"/>
          <w:szCs w:val="24"/>
          <w:lang w:val="en-US"/>
        </w:rPr>
        <w:t xml:space="preserve">copulas model to determine the dependence structure and to estimate the conditional value-at-risk as a measure of systemic risk among </w:t>
      </w:r>
      <w:r w:rsidR="00553EF2" w:rsidRPr="00553EF2">
        <w:rPr>
          <w:rFonts w:asciiTheme="majorBidi" w:hAnsiTheme="majorBidi" w:cstheme="majorBidi"/>
          <w:sz w:val="24"/>
          <w:szCs w:val="24"/>
          <w:lang w:val="en-US"/>
        </w:rPr>
        <w:t>OP</w:t>
      </w:r>
      <w:r w:rsidR="00AC6598" w:rsidRPr="005F65AE">
        <w:rPr>
          <w:rFonts w:asciiTheme="majorBidi" w:hAnsiTheme="majorBidi" w:cstheme="majorBidi"/>
          <w:sz w:val="24"/>
          <w:szCs w:val="24"/>
          <w:lang w:val="en-US"/>
        </w:rPr>
        <w:t xml:space="preserve">and </w:t>
      </w:r>
      <w:r w:rsidR="00553EF2">
        <w:rPr>
          <w:rFonts w:asciiTheme="majorBidi" w:hAnsiTheme="majorBidi" w:cstheme="majorBidi"/>
          <w:sz w:val="24"/>
          <w:szCs w:val="24"/>
          <w:lang w:val="en-US"/>
        </w:rPr>
        <w:t>CEM</w:t>
      </w:r>
      <w:r w:rsidR="00AC6598" w:rsidRPr="005F65AE">
        <w:rPr>
          <w:rFonts w:asciiTheme="majorBidi" w:hAnsiTheme="majorBidi" w:cstheme="majorBidi"/>
          <w:sz w:val="24"/>
          <w:szCs w:val="24"/>
          <w:lang w:val="en-US"/>
        </w:rPr>
        <w:t xml:space="preserve">. The results reveal that </w:t>
      </w:r>
      <w:r w:rsidR="00553EF2">
        <w:rPr>
          <w:rFonts w:asciiTheme="majorBidi" w:hAnsiTheme="majorBidi" w:cstheme="majorBidi"/>
          <w:sz w:val="24"/>
          <w:szCs w:val="24"/>
          <w:lang w:val="en-US"/>
        </w:rPr>
        <w:t>OP</w:t>
      </w:r>
      <w:r w:rsidR="00AC6598" w:rsidRPr="005F65AE">
        <w:rPr>
          <w:rFonts w:asciiTheme="majorBidi" w:hAnsiTheme="majorBidi" w:cstheme="majorBidi"/>
          <w:sz w:val="24"/>
          <w:szCs w:val="24"/>
          <w:lang w:val="en-US"/>
        </w:rPr>
        <w:t xml:space="preserve"> and </w:t>
      </w:r>
      <w:r w:rsidR="00553EF2">
        <w:rPr>
          <w:rFonts w:asciiTheme="majorBidi" w:hAnsiTheme="majorBidi" w:cstheme="majorBidi"/>
          <w:sz w:val="24"/>
          <w:szCs w:val="24"/>
          <w:lang w:val="en-US"/>
        </w:rPr>
        <w:t>CEM</w:t>
      </w:r>
      <w:r w:rsidR="00AC6598" w:rsidRPr="005F65AE">
        <w:rPr>
          <w:rFonts w:asciiTheme="majorBidi" w:hAnsiTheme="majorBidi" w:cstheme="majorBidi"/>
          <w:sz w:val="24"/>
          <w:szCs w:val="24"/>
          <w:lang w:val="en-US"/>
        </w:rPr>
        <w:t xml:space="preserve"> are significantly time-varying average and symmetric tail dependent,</w:t>
      </w:r>
      <w:r w:rsidR="00AB5B46" w:rsidRPr="005F65AE">
        <w:rPr>
          <w:rFonts w:asciiTheme="majorBidi" w:hAnsiTheme="majorBidi" w:cstheme="majorBidi"/>
          <w:sz w:val="24"/>
          <w:szCs w:val="24"/>
          <w:lang w:val="en-US"/>
        </w:rPr>
        <w:t xml:space="preserve"> with 30% contribution of oil price dynamics to </w:t>
      </w:r>
      <w:bookmarkStart w:id="1" w:name="_Hlk141384051"/>
      <w:r w:rsidR="00AB5B46" w:rsidRPr="005F65AE">
        <w:rPr>
          <w:rFonts w:asciiTheme="majorBidi" w:hAnsiTheme="majorBidi" w:cstheme="majorBidi"/>
          <w:sz w:val="24"/>
          <w:szCs w:val="24"/>
          <w:lang w:val="en-US"/>
        </w:rPr>
        <w:t xml:space="preserve">clean energy </w:t>
      </w:r>
      <w:bookmarkEnd w:id="1"/>
      <w:r w:rsidR="00A01341" w:rsidRPr="005F65AE">
        <w:rPr>
          <w:rFonts w:asciiTheme="majorBidi" w:hAnsiTheme="majorBidi" w:cstheme="majorBidi"/>
          <w:sz w:val="24"/>
          <w:szCs w:val="24"/>
          <w:lang w:val="en-US"/>
        </w:rPr>
        <w:t>market ‘</w:t>
      </w:r>
      <w:r w:rsidR="00AB5B46" w:rsidRPr="005F65AE">
        <w:rPr>
          <w:rFonts w:asciiTheme="majorBidi" w:hAnsiTheme="majorBidi" w:cstheme="majorBidi"/>
          <w:sz w:val="24"/>
          <w:szCs w:val="24"/>
          <w:lang w:val="en-US"/>
        </w:rPr>
        <w:t>sdownside and upside risk.</w:t>
      </w:r>
    </w:p>
    <w:p w:rsidR="00E347A5" w:rsidRPr="005F65AE" w:rsidRDefault="0082720D" w:rsidP="00E347A5">
      <w:pPr>
        <w:spacing w:after="0"/>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t xml:space="preserve">Bondia et al (2016) </w:t>
      </w:r>
      <w:r w:rsidR="005C3778" w:rsidRPr="005C3778">
        <w:rPr>
          <w:rFonts w:asciiTheme="majorBidi" w:hAnsiTheme="majorBidi" w:cstheme="majorBidi"/>
          <w:sz w:val="24"/>
          <w:szCs w:val="24"/>
          <w:lang w:val="en-US"/>
        </w:rPr>
        <w:t>use the co-integration test to investigate the multivariate structure of the long-term interaction among OP and CEM</w:t>
      </w:r>
      <w:r w:rsidR="005F78C9" w:rsidRPr="005F65AE">
        <w:rPr>
          <w:rFonts w:asciiTheme="majorBidi" w:hAnsiTheme="majorBidi" w:cstheme="majorBidi"/>
          <w:sz w:val="24"/>
          <w:szCs w:val="24"/>
          <w:lang w:val="en-US"/>
        </w:rPr>
        <w:t xml:space="preserve">, </w:t>
      </w:r>
      <w:r w:rsidR="00972CBC" w:rsidRPr="005F65AE">
        <w:rPr>
          <w:rFonts w:asciiTheme="majorBidi" w:hAnsiTheme="majorBidi" w:cstheme="majorBidi"/>
          <w:sz w:val="24"/>
          <w:szCs w:val="24"/>
          <w:lang w:val="en-US"/>
        </w:rPr>
        <w:t>the findings show two endogenous structural breaks co-integration</w:t>
      </w:r>
      <w:r w:rsidR="00227D7C">
        <w:rPr>
          <w:rFonts w:asciiTheme="majorBidi" w:hAnsiTheme="majorBidi" w:cstheme="majorBidi"/>
          <w:sz w:val="24"/>
          <w:szCs w:val="24"/>
          <w:lang w:val="en-US"/>
        </w:rPr>
        <w:t>s</w:t>
      </w:r>
      <w:r w:rsidR="00972CBC" w:rsidRPr="005F65AE">
        <w:rPr>
          <w:rFonts w:asciiTheme="majorBidi" w:hAnsiTheme="majorBidi" w:cstheme="majorBidi"/>
          <w:sz w:val="24"/>
          <w:szCs w:val="24"/>
          <w:lang w:val="en-US"/>
        </w:rPr>
        <w:t xml:space="preserve"> among </w:t>
      </w:r>
      <w:r w:rsidR="008F4F27">
        <w:rPr>
          <w:rFonts w:asciiTheme="majorBidi" w:hAnsiTheme="majorBidi" w:cstheme="majorBidi"/>
          <w:sz w:val="24"/>
          <w:szCs w:val="24"/>
          <w:lang w:val="en-US"/>
        </w:rPr>
        <w:t>OP</w:t>
      </w:r>
      <w:r w:rsidR="00972CBC" w:rsidRPr="005F65AE">
        <w:rPr>
          <w:rFonts w:asciiTheme="majorBidi" w:hAnsiTheme="majorBidi" w:cstheme="majorBidi"/>
          <w:sz w:val="24"/>
          <w:szCs w:val="24"/>
          <w:lang w:val="en-US"/>
        </w:rPr>
        <w:t xml:space="preserve"> and </w:t>
      </w:r>
      <w:r w:rsidR="008F4F27" w:rsidRPr="008F4F27">
        <w:rPr>
          <w:rFonts w:asciiTheme="majorBidi" w:hAnsiTheme="majorBidi" w:cstheme="majorBidi"/>
          <w:sz w:val="24"/>
          <w:szCs w:val="24"/>
          <w:lang w:val="en-US"/>
        </w:rPr>
        <w:t>CEM</w:t>
      </w:r>
      <w:r w:rsidR="00972CBC" w:rsidRPr="005F65AE">
        <w:rPr>
          <w:rFonts w:asciiTheme="majorBidi" w:hAnsiTheme="majorBidi" w:cstheme="majorBidi"/>
          <w:sz w:val="24"/>
          <w:szCs w:val="24"/>
          <w:lang w:val="en-US"/>
        </w:rPr>
        <w:t xml:space="preserve">. although clean energy market </w:t>
      </w:r>
      <w:r w:rsidR="00DF6ADE" w:rsidRPr="005F65AE">
        <w:rPr>
          <w:rFonts w:asciiTheme="majorBidi" w:hAnsiTheme="majorBidi" w:cstheme="majorBidi"/>
          <w:sz w:val="24"/>
          <w:szCs w:val="24"/>
          <w:lang w:val="en-US"/>
        </w:rPr>
        <w:t>is</w:t>
      </w:r>
      <w:r w:rsidR="00972CBC" w:rsidRPr="005F65AE">
        <w:rPr>
          <w:rFonts w:asciiTheme="majorBidi" w:hAnsiTheme="majorBidi" w:cstheme="majorBidi"/>
          <w:sz w:val="24"/>
          <w:szCs w:val="24"/>
          <w:lang w:val="en-US"/>
        </w:rPr>
        <w:t xml:space="preserve"> caused by </w:t>
      </w:r>
      <w:r w:rsidR="008F4F27">
        <w:rPr>
          <w:rFonts w:asciiTheme="majorBidi" w:hAnsiTheme="majorBidi" w:cstheme="majorBidi"/>
          <w:sz w:val="24"/>
          <w:szCs w:val="24"/>
          <w:lang w:val="en-US"/>
        </w:rPr>
        <w:t>OP</w:t>
      </w:r>
      <w:r w:rsidR="00972CBC" w:rsidRPr="005F65AE">
        <w:rPr>
          <w:rFonts w:asciiTheme="majorBidi" w:hAnsiTheme="majorBidi" w:cstheme="majorBidi"/>
          <w:sz w:val="24"/>
          <w:szCs w:val="24"/>
          <w:lang w:val="en-US"/>
        </w:rPr>
        <w:t>, technology stock prices, and interest rates in the short run,</w:t>
      </w:r>
      <w:r w:rsidR="00DF6ADE" w:rsidRPr="005F65AE">
        <w:rPr>
          <w:rFonts w:asciiTheme="majorBidi" w:hAnsiTheme="majorBidi" w:cstheme="majorBidi"/>
          <w:sz w:val="24"/>
          <w:szCs w:val="24"/>
          <w:lang w:val="en-US"/>
        </w:rPr>
        <w:t>there is no long run. causal relationship running towards</w:t>
      </w:r>
      <w:r w:rsidR="008F4F27" w:rsidRPr="008F4F27">
        <w:rPr>
          <w:rFonts w:asciiTheme="majorBidi" w:hAnsiTheme="majorBidi" w:cstheme="majorBidi"/>
          <w:sz w:val="24"/>
          <w:szCs w:val="24"/>
          <w:lang w:val="en-US"/>
        </w:rPr>
        <w:t>CEM</w:t>
      </w:r>
      <w:r w:rsidR="00DF6ADE" w:rsidRPr="005F65AE">
        <w:rPr>
          <w:rFonts w:asciiTheme="majorBidi" w:hAnsiTheme="majorBidi" w:cstheme="majorBidi"/>
          <w:sz w:val="24"/>
          <w:szCs w:val="24"/>
          <w:lang w:val="en-US"/>
        </w:rPr>
        <w:t xml:space="preserve">. </w:t>
      </w:r>
      <w:r w:rsidR="0006511B" w:rsidRPr="005F65AE">
        <w:rPr>
          <w:rFonts w:asciiTheme="majorBidi" w:hAnsiTheme="majorBidi" w:cstheme="majorBidi"/>
          <w:sz w:val="24"/>
          <w:szCs w:val="24"/>
          <w:lang w:val="en-US"/>
        </w:rPr>
        <w:t xml:space="preserve">Reboredo et al. (2017) studied co-movement and causality between oil and clean energy indices, using wavelet coherence analysis and linear and non-linear wavelet-based Granger causality. </w:t>
      </w:r>
      <w:r w:rsidR="005E5342" w:rsidRPr="005F65AE">
        <w:rPr>
          <w:rFonts w:asciiTheme="majorBidi" w:hAnsiTheme="majorBidi" w:cstheme="majorBidi"/>
          <w:sz w:val="24"/>
          <w:szCs w:val="24"/>
          <w:lang w:val="en-US"/>
        </w:rPr>
        <w:t>The</w:t>
      </w:r>
      <w:r w:rsidR="005C3778">
        <w:rPr>
          <w:rFonts w:asciiTheme="majorBidi" w:hAnsiTheme="majorBidi" w:cstheme="majorBidi"/>
          <w:sz w:val="24"/>
          <w:szCs w:val="24"/>
          <w:lang w:val="en-US"/>
        </w:rPr>
        <w:t>yfind</w:t>
      </w:r>
      <w:r w:rsidR="005E5342" w:rsidRPr="005F65AE">
        <w:rPr>
          <w:rFonts w:asciiTheme="majorBidi" w:hAnsiTheme="majorBidi" w:cstheme="majorBidi"/>
          <w:sz w:val="24"/>
          <w:szCs w:val="24"/>
          <w:lang w:val="en-US"/>
        </w:rPr>
        <w:t xml:space="preserve"> that the co-movement between oil and clean energy indices was weak in the short-term, nevertheless gradually became stronger in the long-term</w:t>
      </w:r>
      <w:r w:rsidR="00AD0A42" w:rsidRPr="005F65AE">
        <w:rPr>
          <w:rFonts w:asciiTheme="majorBidi" w:hAnsiTheme="majorBidi" w:cstheme="majorBidi"/>
          <w:sz w:val="24"/>
          <w:szCs w:val="24"/>
          <w:lang w:val="en-US"/>
        </w:rPr>
        <w:t xml:space="preserve">. While causality tests show evidence in support of both unidirectional and bidirectional linear causality at lower frequencies and against linear causality at higher frequencies, moreover, there is a causal relationship between oil prices and clean energy indices, as well as, </w:t>
      </w:r>
      <w:r w:rsidR="00067990" w:rsidRPr="00067990">
        <w:rPr>
          <w:rFonts w:asciiTheme="majorBidi" w:hAnsiTheme="majorBidi" w:cstheme="majorBidi"/>
          <w:sz w:val="24"/>
          <w:szCs w:val="24"/>
          <w:lang w:val="en-US"/>
        </w:rPr>
        <w:t>over a range of time periods, there is consistent proof of non-linear causality between oil prices and clean energy indices</w:t>
      </w:r>
      <w:r w:rsidR="00AD0A42" w:rsidRPr="005F65AE">
        <w:rPr>
          <w:rFonts w:asciiTheme="majorBidi" w:hAnsiTheme="majorBidi" w:cstheme="majorBidi"/>
          <w:sz w:val="24"/>
          <w:szCs w:val="24"/>
          <w:lang w:val="en-US"/>
        </w:rPr>
        <w:t>.</w:t>
      </w:r>
      <w:r w:rsidR="00075BAC" w:rsidRPr="005F65AE">
        <w:rPr>
          <w:rFonts w:asciiTheme="majorBidi" w:hAnsiTheme="majorBidi" w:cstheme="majorBidi"/>
          <w:sz w:val="24"/>
          <w:szCs w:val="24"/>
          <w:lang w:val="en-US"/>
        </w:rPr>
        <w:t xml:space="preserve"> The study of Ferrer et al. (2018) analyze</w:t>
      </w:r>
      <w:r w:rsidR="00523FC3" w:rsidRPr="005F65AE">
        <w:rPr>
          <w:rFonts w:asciiTheme="majorBidi" w:hAnsiTheme="majorBidi" w:cstheme="majorBidi"/>
          <w:sz w:val="24"/>
          <w:szCs w:val="24"/>
          <w:lang w:val="en-US"/>
        </w:rPr>
        <w:t xml:space="preserve">d the time and frequency dynamics of relationships between the American </w:t>
      </w:r>
      <w:r w:rsidR="00067990" w:rsidRPr="00067990">
        <w:rPr>
          <w:rFonts w:asciiTheme="majorBidi" w:hAnsiTheme="majorBidi" w:cstheme="majorBidi"/>
          <w:sz w:val="24"/>
          <w:szCs w:val="24"/>
          <w:lang w:val="en-US"/>
        </w:rPr>
        <w:t>CEM</w:t>
      </w:r>
      <w:r w:rsidR="00523FC3" w:rsidRPr="005F65AE">
        <w:rPr>
          <w:rFonts w:asciiTheme="majorBidi" w:hAnsiTheme="majorBidi" w:cstheme="majorBidi"/>
          <w:sz w:val="24"/>
          <w:szCs w:val="24"/>
          <w:lang w:val="en-US"/>
        </w:rPr>
        <w:t xml:space="preserve">, </w:t>
      </w:r>
      <w:r w:rsidR="00067990">
        <w:rPr>
          <w:rFonts w:asciiTheme="majorBidi" w:hAnsiTheme="majorBidi" w:cstheme="majorBidi"/>
          <w:sz w:val="24"/>
          <w:szCs w:val="24"/>
          <w:lang w:val="en-US"/>
        </w:rPr>
        <w:t>OP</w:t>
      </w:r>
      <w:r w:rsidR="00523FC3" w:rsidRPr="005F65AE">
        <w:rPr>
          <w:rFonts w:asciiTheme="majorBidi" w:hAnsiTheme="majorBidi" w:cstheme="majorBidi"/>
          <w:sz w:val="24"/>
          <w:szCs w:val="24"/>
          <w:lang w:val="en-US"/>
        </w:rPr>
        <w:t xml:space="preserve"> and a variety of important financial</w:t>
      </w:r>
      <w:r w:rsidR="005E04F1">
        <w:rPr>
          <w:rFonts w:asciiTheme="majorBidi" w:hAnsiTheme="majorBidi" w:cstheme="majorBidi"/>
          <w:sz w:val="24"/>
          <w:szCs w:val="24"/>
          <w:lang w:val="en-US"/>
        </w:rPr>
        <w:t xml:space="preserve"> variables</w:t>
      </w:r>
      <w:r w:rsidR="00523FC3" w:rsidRPr="005F65AE">
        <w:rPr>
          <w:rFonts w:asciiTheme="majorBidi" w:hAnsiTheme="majorBidi" w:cstheme="majorBidi"/>
          <w:sz w:val="24"/>
          <w:szCs w:val="24"/>
          <w:lang w:val="en-US"/>
        </w:rPr>
        <w:t>.The findings indicate</w:t>
      </w:r>
      <w:r w:rsidR="00227D7C">
        <w:rPr>
          <w:rFonts w:asciiTheme="majorBidi" w:hAnsiTheme="majorBidi" w:cstheme="majorBidi"/>
          <w:sz w:val="24"/>
          <w:szCs w:val="24"/>
          <w:lang w:val="en-US"/>
        </w:rPr>
        <w:t xml:space="preserve"> that</w:t>
      </w:r>
      <w:r w:rsidR="003A4B44" w:rsidRPr="005F65AE">
        <w:rPr>
          <w:rFonts w:asciiTheme="majorBidi" w:hAnsiTheme="majorBidi" w:cstheme="majorBidi"/>
          <w:sz w:val="24"/>
          <w:szCs w:val="24"/>
          <w:lang w:val="en-US"/>
        </w:rPr>
        <w:t>the majority of these relationships are made in the very short time</w:t>
      </w:r>
      <w:r w:rsidR="00523FC3" w:rsidRPr="005F65AE">
        <w:rPr>
          <w:rFonts w:asciiTheme="majorBidi" w:hAnsiTheme="majorBidi" w:cstheme="majorBidi"/>
          <w:sz w:val="24"/>
          <w:szCs w:val="24"/>
          <w:lang w:val="en-US"/>
        </w:rPr>
        <w:t xml:space="preserve">, </w:t>
      </w:r>
      <w:r w:rsidR="00F8154E">
        <w:rPr>
          <w:rFonts w:asciiTheme="majorBidi" w:hAnsiTheme="majorBidi" w:cstheme="majorBidi"/>
          <w:sz w:val="24"/>
          <w:szCs w:val="24"/>
          <w:lang w:val="en-US"/>
        </w:rPr>
        <w:t>while</w:t>
      </w:r>
      <w:r w:rsidR="00523FC3" w:rsidRPr="005F65AE">
        <w:rPr>
          <w:rFonts w:asciiTheme="majorBidi" w:hAnsiTheme="majorBidi" w:cstheme="majorBidi"/>
          <w:sz w:val="24"/>
          <w:szCs w:val="24"/>
          <w:lang w:val="en-US"/>
        </w:rPr>
        <w:t xml:space="preserve"> the long-term playing just a modest impact. </w:t>
      </w:r>
      <w:r w:rsidR="005E04F1">
        <w:rPr>
          <w:rFonts w:asciiTheme="majorBidi" w:hAnsiTheme="majorBidi" w:cstheme="majorBidi"/>
          <w:sz w:val="24"/>
          <w:szCs w:val="24"/>
          <w:lang w:val="en-US"/>
        </w:rPr>
        <w:t>OP</w:t>
      </w:r>
      <w:r w:rsidR="003A4B44" w:rsidRPr="005F65AE">
        <w:rPr>
          <w:rFonts w:asciiTheme="majorBidi" w:hAnsiTheme="majorBidi" w:cstheme="majorBidi"/>
          <w:sz w:val="24"/>
          <w:szCs w:val="24"/>
          <w:lang w:val="en-US"/>
        </w:rPr>
        <w:t xml:space="preserve"> do not seem to be a significant factor </w:t>
      </w:r>
      <w:r w:rsidR="00F8154E">
        <w:rPr>
          <w:rFonts w:asciiTheme="majorBidi" w:hAnsiTheme="majorBidi" w:cstheme="majorBidi"/>
          <w:sz w:val="24"/>
          <w:szCs w:val="24"/>
          <w:lang w:val="en-US"/>
        </w:rPr>
        <w:t xml:space="preserve">onthe performanceof </w:t>
      </w:r>
      <w:r w:rsidR="005E04F1">
        <w:rPr>
          <w:rFonts w:asciiTheme="majorBidi" w:hAnsiTheme="majorBidi" w:cstheme="majorBidi"/>
          <w:sz w:val="24"/>
          <w:szCs w:val="24"/>
          <w:lang w:val="en-US"/>
        </w:rPr>
        <w:t>CEM</w:t>
      </w:r>
      <w:r w:rsidR="003A4B44" w:rsidRPr="005F65AE">
        <w:rPr>
          <w:rFonts w:asciiTheme="majorBidi" w:hAnsiTheme="majorBidi" w:cstheme="majorBidi"/>
          <w:sz w:val="24"/>
          <w:szCs w:val="24"/>
          <w:lang w:val="en-US"/>
        </w:rPr>
        <w:t xml:space="preserve"> for </w:t>
      </w:r>
      <w:r w:rsidR="00F06CDB" w:rsidRPr="005F65AE">
        <w:rPr>
          <w:rFonts w:asciiTheme="majorBidi" w:hAnsiTheme="majorBidi" w:cstheme="majorBidi"/>
          <w:sz w:val="24"/>
          <w:szCs w:val="24"/>
          <w:lang w:val="en-US"/>
        </w:rPr>
        <w:t>both short</w:t>
      </w:r>
      <w:r w:rsidR="003A4B44" w:rsidRPr="005F65AE">
        <w:rPr>
          <w:rFonts w:asciiTheme="majorBidi" w:hAnsiTheme="majorBidi" w:cstheme="majorBidi"/>
          <w:sz w:val="24"/>
          <w:szCs w:val="24"/>
          <w:lang w:val="en-US"/>
        </w:rPr>
        <w:t>-term and the long-term</w:t>
      </w:r>
      <w:r w:rsidR="00F06CDB" w:rsidRPr="005F65AE">
        <w:rPr>
          <w:rFonts w:asciiTheme="majorBidi" w:hAnsiTheme="majorBidi" w:cstheme="majorBidi"/>
          <w:sz w:val="24"/>
          <w:szCs w:val="24"/>
          <w:lang w:val="en-US"/>
        </w:rPr>
        <w:t xml:space="preserve">. Meanwhile, there is a strong bilateral relationship between </w:t>
      </w:r>
      <w:r w:rsidR="005E04F1">
        <w:rPr>
          <w:rFonts w:asciiTheme="majorBidi" w:hAnsiTheme="majorBidi" w:cstheme="majorBidi"/>
          <w:sz w:val="24"/>
          <w:szCs w:val="24"/>
          <w:lang w:val="en-US"/>
        </w:rPr>
        <w:t>CEM</w:t>
      </w:r>
      <w:r w:rsidR="00F06CDB" w:rsidRPr="005F65AE">
        <w:rPr>
          <w:rFonts w:asciiTheme="majorBidi" w:hAnsiTheme="majorBidi" w:cstheme="majorBidi"/>
          <w:sz w:val="24"/>
          <w:szCs w:val="24"/>
          <w:lang w:val="en-US"/>
        </w:rPr>
        <w:t xml:space="preserve"> and technology stock prices, particularly in the short term.</w:t>
      </w:r>
      <w:r w:rsidR="00B51E51" w:rsidRPr="005F65AE">
        <w:rPr>
          <w:rFonts w:asciiTheme="majorBidi" w:hAnsiTheme="majorBidi" w:cstheme="majorBidi"/>
          <w:sz w:val="24"/>
          <w:szCs w:val="24"/>
          <w:lang w:val="en-US"/>
        </w:rPr>
        <w:t xml:space="preserve">Maghyereh et al. (2019) study the co-movement between </w:t>
      </w:r>
      <w:r w:rsidR="008F4F27">
        <w:rPr>
          <w:rFonts w:asciiTheme="majorBidi" w:hAnsiTheme="majorBidi" w:cstheme="majorBidi"/>
          <w:sz w:val="24"/>
          <w:szCs w:val="24"/>
          <w:lang w:val="en-US"/>
        </w:rPr>
        <w:t>OP</w:t>
      </w:r>
      <w:r w:rsidR="00B51E51" w:rsidRPr="005F65AE">
        <w:rPr>
          <w:rFonts w:asciiTheme="majorBidi" w:hAnsiTheme="majorBidi" w:cstheme="majorBidi"/>
          <w:sz w:val="24"/>
          <w:szCs w:val="24"/>
          <w:lang w:val="en-US"/>
        </w:rPr>
        <w:t xml:space="preserve"> and clean energy indices using wavelet-based DCC-GARCH approach. They discover a major risk and return transfers from technology and </w:t>
      </w:r>
      <w:r w:rsidR="008F4F27">
        <w:rPr>
          <w:rFonts w:asciiTheme="majorBidi" w:hAnsiTheme="majorBidi" w:cstheme="majorBidi"/>
          <w:sz w:val="24"/>
          <w:szCs w:val="24"/>
          <w:lang w:val="en-US"/>
        </w:rPr>
        <w:t>OP</w:t>
      </w:r>
      <w:r w:rsidR="00B51E51" w:rsidRPr="005F65AE">
        <w:rPr>
          <w:rFonts w:asciiTheme="majorBidi" w:hAnsiTheme="majorBidi" w:cstheme="majorBidi"/>
          <w:sz w:val="24"/>
          <w:szCs w:val="24"/>
          <w:lang w:val="en-US"/>
        </w:rPr>
        <w:t xml:space="preserve"> to clean energy indices, where longer time horizons are proven to have stronger transmissions, which underline how crucial it is for the long-term expansion of renewable energy </w:t>
      </w:r>
      <w:r w:rsidR="00F8154E">
        <w:rPr>
          <w:rFonts w:asciiTheme="majorBidi" w:hAnsiTheme="majorBidi" w:cstheme="majorBidi"/>
          <w:sz w:val="24"/>
          <w:szCs w:val="24"/>
          <w:lang w:val="en-US"/>
        </w:rPr>
        <w:t>resulting</w:t>
      </w:r>
      <w:r w:rsidR="00B51E51" w:rsidRPr="005F65AE">
        <w:rPr>
          <w:rFonts w:asciiTheme="majorBidi" w:hAnsiTheme="majorBidi" w:cstheme="majorBidi"/>
          <w:sz w:val="24"/>
          <w:szCs w:val="24"/>
          <w:lang w:val="en-US"/>
        </w:rPr>
        <w:t xml:space="preserve"> predictability and stability in the </w:t>
      </w:r>
      <w:r w:rsidR="008F4F27">
        <w:rPr>
          <w:rFonts w:asciiTheme="majorBidi" w:hAnsiTheme="majorBidi" w:cstheme="majorBidi"/>
          <w:sz w:val="24"/>
          <w:szCs w:val="24"/>
          <w:lang w:val="en-US"/>
        </w:rPr>
        <w:t>OP</w:t>
      </w:r>
      <w:r w:rsidR="00B51E51" w:rsidRPr="005F65AE">
        <w:rPr>
          <w:rFonts w:asciiTheme="majorBidi" w:hAnsiTheme="majorBidi" w:cstheme="majorBidi"/>
          <w:sz w:val="24"/>
          <w:szCs w:val="24"/>
          <w:lang w:val="en-US"/>
        </w:rPr>
        <w:t xml:space="preserve"> and </w:t>
      </w:r>
      <w:r w:rsidR="008F4F27">
        <w:rPr>
          <w:rFonts w:asciiTheme="majorBidi" w:hAnsiTheme="majorBidi" w:cstheme="majorBidi"/>
          <w:sz w:val="24"/>
          <w:szCs w:val="24"/>
          <w:lang w:val="en-US"/>
        </w:rPr>
        <w:t>TS</w:t>
      </w:r>
      <w:r w:rsidR="00B51E51" w:rsidRPr="005F65AE">
        <w:rPr>
          <w:rFonts w:asciiTheme="majorBidi" w:hAnsiTheme="majorBidi" w:cstheme="majorBidi"/>
          <w:sz w:val="24"/>
          <w:szCs w:val="24"/>
          <w:lang w:val="en-US"/>
        </w:rPr>
        <w:t>.</w:t>
      </w:r>
      <w:r w:rsidR="009A6432" w:rsidRPr="005F65AE">
        <w:rPr>
          <w:rFonts w:asciiTheme="majorBidi" w:hAnsiTheme="majorBidi" w:cstheme="majorBidi"/>
          <w:sz w:val="24"/>
          <w:szCs w:val="24"/>
          <w:lang w:val="en-US"/>
        </w:rPr>
        <w:t xml:space="preserve">Kocaarslan and Soytas (2019) study dynamic conditional correlations (DCCs) between </w:t>
      </w:r>
      <w:r w:rsidR="008F4F27">
        <w:rPr>
          <w:rFonts w:asciiTheme="majorBidi" w:hAnsiTheme="majorBidi" w:cstheme="majorBidi"/>
          <w:sz w:val="24"/>
          <w:szCs w:val="24"/>
          <w:lang w:val="en-US"/>
        </w:rPr>
        <w:t>OP</w:t>
      </w:r>
      <w:r w:rsidR="009A6432" w:rsidRPr="005F65AE">
        <w:rPr>
          <w:rFonts w:asciiTheme="majorBidi" w:hAnsiTheme="majorBidi" w:cstheme="majorBidi"/>
          <w:sz w:val="24"/>
          <w:szCs w:val="24"/>
          <w:lang w:val="en-US"/>
        </w:rPr>
        <w:t xml:space="preserve"> and </w:t>
      </w:r>
      <w:r w:rsidR="008F4F27">
        <w:rPr>
          <w:rFonts w:asciiTheme="majorBidi" w:hAnsiTheme="majorBidi" w:cstheme="majorBidi"/>
          <w:sz w:val="24"/>
          <w:szCs w:val="24"/>
          <w:lang w:val="en-US"/>
        </w:rPr>
        <w:t>TS</w:t>
      </w:r>
      <w:r w:rsidR="009A6432" w:rsidRPr="005F65AE">
        <w:rPr>
          <w:rFonts w:asciiTheme="majorBidi" w:hAnsiTheme="majorBidi" w:cstheme="majorBidi"/>
          <w:sz w:val="24"/>
          <w:szCs w:val="24"/>
          <w:lang w:val="en-US"/>
        </w:rPr>
        <w:t xml:space="preserve"> and </w:t>
      </w:r>
      <w:r w:rsidR="008F4F27" w:rsidRPr="008F4F27">
        <w:rPr>
          <w:rFonts w:asciiTheme="majorBidi" w:hAnsiTheme="majorBidi" w:cstheme="majorBidi"/>
          <w:sz w:val="24"/>
          <w:szCs w:val="24"/>
          <w:lang w:val="en-US"/>
        </w:rPr>
        <w:t>CEM</w:t>
      </w:r>
      <w:r w:rsidR="009A6432" w:rsidRPr="005F65AE">
        <w:rPr>
          <w:rFonts w:asciiTheme="majorBidi" w:hAnsiTheme="majorBidi" w:cstheme="majorBidi"/>
          <w:sz w:val="24"/>
          <w:szCs w:val="24"/>
          <w:lang w:val="en-US"/>
        </w:rPr>
        <w:t xml:space="preserve">, also </w:t>
      </w:r>
      <w:r w:rsidR="005E04F1" w:rsidRPr="005E04F1">
        <w:rPr>
          <w:rFonts w:asciiTheme="majorBidi" w:hAnsiTheme="majorBidi" w:cstheme="majorBidi"/>
          <w:sz w:val="24"/>
          <w:szCs w:val="24"/>
          <w:lang w:val="en-US"/>
        </w:rPr>
        <w:t>how variations in the value of the reserve currency (the US dollar) affect DCCs</w:t>
      </w:r>
      <w:r w:rsidR="009A6432" w:rsidRPr="005F65AE">
        <w:rPr>
          <w:rFonts w:asciiTheme="majorBidi" w:hAnsiTheme="majorBidi" w:cstheme="majorBidi"/>
          <w:sz w:val="24"/>
          <w:szCs w:val="24"/>
          <w:lang w:val="en-US"/>
        </w:rPr>
        <w:t xml:space="preserve"> using   autoregressive distributed lag. </w:t>
      </w:r>
      <w:r w:rsidR="0032282A" w:rsidRPr="005F65AE">
        <w:rPr>
          <w:rFonts w:asciiTheme="majorBidi" w:hAnsiTheme="majorBidi" w:cstheme="majorBidi"/>
          <w:sz w:val="24"/>
          <w:szCs w:val="24"/>
          <w:lang w:val="en-US"/>
        </w:rPr>
        <w:t>The results reveal how the US dollar's rise has been the primary factor in boosting DCCs.</w:t>
      </w:r>
      <w:r w:rsidR="008F4F27">
        <w:rPr>
          <w:rFonts w:asciiTheme="majorBidi" w:hAnsiTheme="majorBidi" w:cstheme="majorBidi"/>
          <w:sz w:val="24"/>
          <w:szCs w:val="24"/>
          <w:lang w:val="en-US"/>
        </w:rPr>
        <w:t>U</w:t>
      </w:r>
      <w:r w:rsidR="00A76C91" w:rsidRPr="005F65AE">
        <w:rPr>
          <w:rFonts w:asciiTheme="majorBidi" w:hAnsiTheme="majorBidi" w:cstheme="majorBidi"/>
          <w:sz w:val="24"/>
          <w:szCs w:val="24"/>
          <w:lang w:val="en-US"/>
        </w:rPr>
        <w:t xml:space="preserve">sing Multivariate Generalised Auto-Regressive Conditional Heteroscedasticity models and wavelet coherency </w:t>
      </w:r>
      <w:r w:rsidR="00A76C91" w:rsidRPr="005F65AE">
        <w:rPr>
          <w:rFonts w:asciiTheme="majorBidi" w:hAnsiTheme="majorBidi" w:cstheme="majorBidi"/>
          <w:sz w:val="24"/>
          <w:szCs w:val="24"/>
          <w:lang w:val="en-US"/>
        </w:rPr>
        <w:lastRenderedPageBreak/>
        <w:t>analysis</w:t>
      </w:r>
      <w:r w:rsidR="00A76C91" w:rsidRPr="004B3423">
        <w:rPr>
          <w:rFonts w:asciiTheme="majorBidi" w:hAnsiTheme="majorBidi" w:cstheme="majorBidi"/>
          <w:sz w:val="24"/>
          <w:szCs w:val="24"/>
          <w:lang w:val="en-US"/>
        </w:rPr>
        <w:t>.</w:t>
      </w:r>
      <w:r w:rsidR="008F4F27">
        <w:rPr>
          <w:rFonts w:asciiTheme="majorBidi" w:hAnsiTheme="majorBidi" w:cstheme="majorBidi"/>
          <w:sz w:val="24"/>
          <w:szCs w:val="24"/>
          <w:lang w:val="en-US"/>
        </w:rPr>
        <w:t>,</w:t>
      </w:r>
      <w:r w:rsidR="008F4F27" w:rsidRPr="005F65AE">
        <w:rPr>
          <w:rFonts w:asciiTheme="majorBidi" w:hAnsiTheme="majorBidi" w:cstheme="majorBidi"/>
          <w:sz w:val="24"/>
          <w:szCs w:val="24"/>
          <w:lang w:val="en-US"/>
        </w:rPr>
        <w:t xml:space="preserve">Nasreen et al. (2020) </w:t>
      </w:r>
      <w:r w:rsidR="008F4F27">
        <w:rPr>
          <w:rFonts w:asciiTheme="majorBidi" w:hAnsiTheme="majorBidi" w:cstheme="majorBidi"/>
          <w:sz w:val="24"/>
          <w:szCs w:val="24"/>
          <w:lang w:val="en-US"/>
        </w:rPr>
        <w:t>fin</w:t>
      </w:r>
      <w:r w:rsidR="004B3423" w:rsidRPr="004B3423">
        <w:rPr>
          <w:rFonts w:asciiTheme="majorBidi" w:hAnsiTheme="majorBidi" w:cstheme="majorBidi"/>
          <w:sz w:val="24"/>
          <w:szCs w:val="24"/>
          <w:lang w:val="en-US"/>
        </w:rPr>
        <w:t xml:space="preserve">d </w:t>
      </w:r>
      <w:r w:rsidR="008F4F27">
        <w:rPr>
          <w:rFonts w:asciiTheme="majorBidi" w:hAnsiTheme="majorBidi" w:cstheme="majorBidi"/>
          <w:sz w:val="24"/>
          <w:szCs w:val="24"/>
          <w:lang w:val="en-US"/>
        </w:rPr>
        <w:t>a</w:t>
      </w:r>
      <w:r w:rsidR="008F4F27" w:rsidRPr="004B3423">
        <w:rPr>
          <w:rFonts w:asciiTheme="majorBidi" w:hAnsiTheme="majorBidi" w:cstheme="majorBidi"/>
          <w:sz w:val="24"/>
          <w:szCs w:val="24"/>
          <w:lang w:val="en-US"/>
        </w:rPr>
        <w:t xml:space="preserve"> minor correlation </w:t>
      </w:r>
      <w:r w:rsidR="005E3A08" w:rsidRPr="004B3423">
        <w:rPr>
          <w:rFonts w:asciiTheme="majorBidi" w:hAnsiTheme="majorBidi" w:cstheme="majorBidi"/>
          <w:sz w:val="24"/>
          <w:szCs w:val="24"/>
          <w:lang w:val="en-US"/>
        </w:rPr>
        <w:t xml:space="preserve">between </w:t>
      </w:r>
      <w:r w:rsidR="008F4F27">
        <w:rPr>
          <w:rFonts w:asciiTheme="majorBidi" w:hAnsiTheme="majorBidi" w:cstheme="majorBidi"/>
          <w:sz w:val="24"/>
          <w:szCs w:val="24"/>
          <w:lang w:val="en-US"/>
        </w:rPr>
        <w:t>OP</w:t>
      </w:r>
      <w:r w:rsidR="008E645F" w:rsidRPr="004B3423">
        <w:rPr>
          <w:rFonts w:asciiTheme="majorBidi" w:hAnsiTheme="majorBidi" w:cstheme="majorBidi"/>
          <w:sz w:val="24"/>
          <w:szCs w:val="24"/>
          <w:lang w:val="en-US"/>
        </w:rPr>
        <w:t xml:space="preserve">and </w:t>
      </w:r>
      <w:r w:rsidR="008F4F27">
        <w:rPr>
          <w:rFonts w:asciiTheme="majorBidi" w:hAnsiTheme="majorBidi" w:cstheme="majorBidi"/>
          <w:sz w:val="24"/>
          <w:szCs w:val="24"/>
          <w:lang w:val="en-US"/>
        </w:rPr>
        <w:t>CEM</w:t>
      </w:r>
      <w:r w:rsidR="005E3A08" w:rsidRPr="004B3423">
        <w:rPr>
          <w:rFonts w:asciiTheme="majorBidi" w:hAnsiTheme="majorBidi" w:cstheme="majorBidi"/>
          <w:sz w:val="24"/>
          <w:szCs w:val="24"/>
          <w:lang w:val="en-US"/>
        </w:rPr>
        <w:t xml:space="preserve">, as well as, </w:t>
      </w:r>
      <w:r w:rsidR="008F4F27">
        <w:rPr>
          <w:rFonts w:asciiTheme="majorBidi" w:hAnsiTheme="majorBidi" w:cstheme="majorBidi"/>
          <w:sz w:val="24"/>
          <w:szCs w:val="24"/>
          <w:lang w:val="en-US"/>
        </w:rPr>
        <w:t>a</w:t>
      </w:r>
      <w:r w:rsidR="005E3A08" w:rsidRPr="005F65AE">
        <w:rPr>
          <w:rFonts w:asciiTheme="majorBidi" w:hAnsiTheme="majorBidi" w:cstheme="majorBidi"/>
          <w:sz w:val="24"/>
          <w:szCs w:val="24"/>
          <w:lang w:val="en-US"/>
        </w:rPr>
        <w:t xml:space="preserve">ll series move in cycles, where </w:t>
      </w:r>
      <w:r w:rsidR="008F4F27" w:rsidRPr="008F4F27">
        <w:rPr>
          <w:rFonts w:asciiTheme="majorBidi" w:hAnsiTheme="majorBidi" w:cstheme="majorBidi"/>
          <w:sz w:val="24"/>
          <w:szCs w:val="24"/>
          <w:lang w:val="en-US"/>
        </w:rPr>
        <w:t>technology companies’ stocks</w:t>
      </w:r>
      <w:r w:rsidR="005E3A08" w:rsidRPr="005F65AE">
        <w:rPr>
          <w:rFonts w:asciiTheme="majorBidi" w:hAnsiTheme="majorBidi" w:cstheme="majorBidi"/>
          <w:sz w:val="24"/>
          <w:szCs w:val="24"/>
          <w:lang w:val="en-US"/>
        </w:rPr>
        <w:t xml:space="preserve"> lead </w:t>
      </w:r>
      <w:r w:rsidR="008F4F27">
        <w:rPr>
          <w:rFonts w:asciiTheme="majorBidi" w:hAnsiTheme="majorBidi" w:cstheme="majorBidi"/>
          <w:sz w:val="24"/>
          <w:szCs w:val="24"/>
          <w:lang w:val="en-US"/>
        </w:rPr>
        <w:t>OP</w:t>
      </w:r>
      <w:r w:rsidR="005E3A08" w:rsidRPr="005F65AE">
        <w:rPr>
          <w:rFonts w:asciiTheme="majorBidi" w:hAnsiTheme="majorBidi" w:cstheme="majorBidi"/>
          <w:sz w:val="24"/>
          <w:szCs w:val="24"/>
          <w:lang w:val="en-US"/>
        </w:rPr>
        <w:t xml:space="preserve"> and </w:t>
      </w:r>
      <w:r w:rsidR="008F4F27" w:rsidRPr="008F4F27">
        <w:rPr>
          <w:rFonts w:asciiTheme="majorBidi" w:hAnsiTheme="majorBidi" w:cstheme="majorBidi"/>
          <w:sz w:val="24"/>
          <w:szCs w:val="24"/>
          <w:lang w:val="en-US"/>
        </w:rPr>
        <w:t>CEM</w:t>
      </w:r>
      <w:r w:rsidR="005E3A08" w:rsidRPr="005F65AE">
        <w:rPr>
          <w:rFonts w:asciiTheme="majorBidi" w:hAnsiTheme="majorBidi" w:cstheme="majorBidi"/>
          <w:sz w:val="24"/>
          <w:szCs w:val="24"/>
          <w:lang w:val="en-US"/>
        </w:rPr>
        <w:t xml:space="preserve">. Moreover. </w:t>
      </w:r>
      <w:bookmarkStart w:id="2" w:name="_Hlk143968255"/>
      <w:r w:rsidR="005E3A08" w:rsidRPr="005F65AE">
        <w:rPr>
          <w:rFonts w:asciiTheme="majorBidi" w:hAnsiTheme="majorBidi" w:cstheme="majorBidi"/>
          <w:sz w:val="24"/>
          <w:szCs w:val="24"/>
          <w:lang w:val="en-US"/>
        </w:rPr>
        <w:t xml:space="preserve">technology </w:t>
      </w:r>
      <w:r w:rsidR="008E645F" w:rsidRPr="005F65AE">
        <w:rPr>
          <w:rFonts w:asciiTheme="majorBidi" w:hAnsiTheme="majorBidi" w:cstheme="majorBidi"/>
          <w:sz w:val="24"/>
          <w:szCs w:val="24"/>
          <w:lang w:val="en-US"/>
        </w:rPr>
        <w:t>companies’stocks</w:t>
      </w:r>
      <w:bookmarkEnd w:id="2"/>
      <w:r w:rsidR="005E3A08" w:rsidRPr="005F65AE">
        <w:rPr>
          <w:rFonts w:asciiTheme="majorBidi" w:hAnsiTheme="majorBidi" w:cstheme="majorBidi"/>
          <w:sz w:val="24"/>
          <w:szCs w:val="24"/>
          <w:lang w:val="en-US"/>
        </w:rPr>
        <w:t xml:space="preserve">are responsible for transmitting volatility across all frequencies and time periods to the </w:t>
      </w:r>
      <w:r w:rsidR="008F4F27">
        <w:rPr>
          <w:rFonts w:asciiTheme="majorBidi" w:hAnsiTheme="majorBidi" w:cstheme="majorBidi"/>
          <w:sz w:val="24"/>
          <w:szCs w:val="24"/>
          <w:lang w:val="en-US"/>
        </w:rPr>
        <w:t>other</w:t>
      </w:r>
      <w:r w:rsidR="005E3A08" w:rsidRPr="005F65AE">
        <w:rPr>
          <w:rFonts w:asciiTheme="majorBidi" w:hAnsiTheme="majorBidi" w:cstheme="majorBidi"/>
          <w:sz w:val="24"/>
          <w:szCs w:val="24"/>
          <w:lang w:val="en-US"/>
        </w:rPr>
        <w:t xml:space="preserve"> market</w:t>
      </w:r>
      <w:r w:rsidR="00320F76">
        <w:rPr>
          <w:rFonts w:asciiTheme="majorBidi" w:hAnsiTheme="majorBidi" w:cstheme="majorBidi"/>
          <w:sz w:val="24"/>
          <w:szCs w:val="24"/>
          <w:lang w:val="en-US"/>
        </w:rPr>
        <w:t>s</w:t>
      </w:r>
      <w:r w:rsidR="005E3A08" w:rsidRPr="005F65AE">
        <w:rPr>
          <w:rFonts w:asciiTheme="majorBidi" w:hAnsiTheme="majorBidi" w:cstheme="majorBidi"/>
          <w:sz w:val="24"/>
          <w:szCs w:val="24"/>
          <w:lang w:val="en-US"/>
        </w:rPr>
        <w:t>.</w:t>
      </w:r>
      <w:r w:rsidR="000C3344" w:rsidRPr="005F65AE">
        <w:rPr>
          <w:rFonts w:asciiTheme="majorBidi" w:hAnsiTheme="majorBidi" w:cstheme="majorBidi"/>
          <w:sz w:val="24"/>
          <w:szCs w:val="24"/>
          <w:lang w:val="en-US"/>
        </w:rPr>
        <w:t xml:space="preserve">Attarzadeh and Balcilar (2022) analyze the volatility spillover of </w:t>
      </w:r>
      <w:r w:rsidR="005E04F1">
        <w:rPr>
          <w:rFonts w:asciiTheme="majorBidi" w:hAnsiTheme="majorBidi" w:cstheme="majorBidi"/>
          <w:sz w:val="24"/>
          <w:szCs w:val="24"/>
          <w:lang w:val="en-US"/>
        </w:rPr>
        <w:t xml:space="preserve">sectors of </w:t>
      </w:r>
      <w:r w:rsidR="000C3344" w:rsidRPr="005F65AE">
        <w:rPr>
          <w:rFonts w:asciiTheme="majorBidi" w:hAnsiTheme="majorBidi" w:cstheme="majorBidi"/>
          <w:sz w:val="24"/>
          <w:szCs w:val="24"/>
          <w:lang w:val="en-US"/>
        </w:rPr>
        <w:t xml:space="preserve"> stock markets</w:t>
      </w:r>
      <w:r w:rsidR="00256670" w:rsidRPr="005F65AE">
        <w:rPr>
          <w:rFonts w:asciiTheme="majorBidi" w:hAnsiTheme="majorBidi" w:cstheme="majorBidi"/>
          <w:sz w:val="24"/>
          <w:szCs w:val="24"/>
          <w:lang w:val="en-US"/>
        </w:rPr>
        <w:t>. The study shows that the oil market is a net recipient of volatility, with spillover effects being larger during periods of severe positive and negative shock than during those of medium shock, and increasing during crisis periods.</w:t>
      </w:r>
      <w:r w:rsidR="0032282A" w:rsidRPr="005F65AE">
        <w:rPr>
          <w:rFonts w:asciiTheme="majorBidi" w:hAnsiTheme="majorBidi" w:cstheme="majorBidi"/>
          <w:sz w:val="24"/>
          <w:szCs w:val="24"/>
          <w:lang w:val="en-US"/>
        </w:rPr>
        <w:t xml:space="preserve">Bouoiyour et al (2023) examines the relationship between crude oil and different sectors of clean energy market by applying wavelet coherency and wavelet-based Granger causality. </w:t>
      </w:r>
      <w:r w:rsidR="00E37CE0" w:rsidRPr="005F65AE">
        <w:rPr>
          <w:rFonts w:asciiTheme="majorBidi" w:hAnsiTheme="majorBidi" w:cstheme="majorBidi"/>
          <w:sz w:val="24"/>
          <w:szCs w:val="24"/>
          <w:lang w:val="en-US"/>
        </w:rPr>
        <w:t xml:space="preserve">The findings indicate that there is a non-linear and somewhat multidimensional connection between crude oil and clean energy indices. Additionally, the relationship between wind and crude oil is less intense </w:t>
      </w:r>
      <w:r w:rsidR="004B3423" w:rsidRPr="004B3423">
        <w:rPr>
          <w:rFonts w:asciiTheme="majorBidi" w:hAnsiTheme="majorBidi" w:cstheme="majorBidi"/>
          <w:sz w:val="24"/>
          <w:szCs w:val="24"/>
          <w:lang w:val="en-US"/>
        </w:rPr>
        <w:t xml:space="preserve">comparing to </w:t>
      </w:r>
      <w:r w:rsidR="00E37CE0" w:rsidRPr="004B3423">
        <w:rPr>
          <w:rFonts w:asciiTheme="majorBidi" w:hAnsiTheme="majorBidi" w:cstheme="majorBidi"/>
          <w:sz w:val="24"/>
          <w:szCs w:val="24"/>
          <w:lang w:val="en-US"/>
        </w:rPr>
        <w:t xml:space="preserve">geothermal </w:t>
      </w:r>
      <w:r w:rsidR="004B3423" w:rsidRPr="004B3423">
        <w:rPr>
          <w:rFonts w:asciiTheme="majorBidi" w:hAnsiTheme="majorBidi" w:cstheme="majorBidi"/>
          <w:sz w:val="24"/>
          <w:szCs w:val="24"/>
          <w:lang w:val="en-US"/>
        </w:rPr>
        <w:t>and</w:t>
      </w:r>
      <w:r w:rsidR="00E37CE0" w:rsidRPr="004B3423">
        <w:rPr>
          <w:rFonts w:asciiTheme="majorBidi" w:hAnsiTheme="majorBidi" w:cstheme="majorBidi"/>
          <w:sz w:val="24"/>
          <w:szCs w:val="24"/>
          <w:lang w:val="en-US"/>
        </w:rPr>
        <w:t xml:space="preserve"> bio</w:t>
      </w:r>
      <w:r w:rsidR="004B3423" w:rsidRPr="004B3423">
        <w:rPr>
          <w:rFonts w:asciiTheme="majorBidi" w:hAnsiTheme="majorBidi" w:cstheme="majorBidi"/>
          <w:sz w:val="24"/>
          <w:szCs w:val="24"/>
          <w:lang w:val="en-US"/>
        </w:rPr>
        <w:t>fuel energies</w:t>
      </w:r>
      <w:r w:rsidR="00E37CE0" w:rsidRPr="005F65AE">
        <w:rPr>
          <w:rFonts w:asciiTheme="majorBidi" w:hAnsiTheme="majorBidi" w:cstheme="majorBidi"/>
          <w:sz w:val="24"/>
          <w:szCs w:val="24"/>
          <w:lang w:val="en-US"/>
        </w:rPr>
        <w:t xml:space="preserve">. where the COVID-19 pandemic appears to have increased this relationship, which varies across scales and is strong over the long term but weak over the short term. Furthermore, the </w:t>
      </w:r>
      <w:r w:rsidR="00E347A5" w:rsidRPr="005F65AE">
        <w:rPr>
          <w:rFonts w:asciiTheme="majorBidi" w:hAnsiTheme="majorBidi" w:cstheme="majorBidi"/>
          <w:sz w:val="24"/>
          <w:szCs w:val="24"/>
          <w:lang w:val="en-US"/>
        </w:rPr>
        <w:t xml:space="preserve">wavelet-based </w:t>
      </w:r>
      <w:r w:rsidR="00E37CE0" w:rsidRPr="005F65AE">
        <w:rPr>
          <w:rFonts w:asciiTheme="majorBidi" w:hAnsiTheme="majorBidi" w:cstheme="majorBidi"/>
          <w:sz w:val="24"/>
          <w:szCs w:val="24"/>
          <w:lang w:val="en-US"/>
        </w:rPr>
        <w:t xml:space="preserve">Granger causality test </w:t>
      </w:r>
      <w:r w:rsidR="00E347A5" w:rsidRPr="005F65AE">
        <w:rPr>
          <w:rFonts w:asciiTheme="majorBidi" w:hAnsiTheme="majorBidi" w:cstheme="majorBidi"/>
          <w:sz w:val="24"/>
          <w:szCs w:val="24"/>
          <w:lang w:val="en-US"/>
        </w:rPr>
        <w:t>confirmsthese findings</w:t>
      </w:r>
      <w:r w:rsidR="00E37CE0" w:rsidRPr="005F65AE">
        <w:rPr>
          <w:rFonts w:asciiTheme="majorBidi" w:hAnsiTheme="majorBidi" w:cstheme="majorBidi"/>
          <w:sz w:val="24"/>
          <w:szCs w:val="24"/>
          <w:lang w:val="en-US"/>
        </w:rPr>
        <w:t>.</w:t>
      </w:r>
    </w:p>
    <w:p w:rsidR="00224375" w:rsidRPr="005F65AE" w:rsidRDefault="00224375" w:rsidP="00224375">
      <w:pPr>
        <w:spacing w:after="0"/>
        <w:jc w:val="both"/>
        <w:rPr>
          <w:rFonts w:asciiTheme="majorBidi" w:hAnsiTheme="majorBidi" w:cstheme="majorBidi"/>
          <w:sz w:val="24"/>
          <w:szCs w:val="24"/>
          <w:lang w:val="en-US"/>
        </w:rPr>
      </w:pPr>
    </w:p>
    <w:p w:rsidR="00224375" w:rsidRPr="005F65AE" w:rsidRDefault="00224375" w:rsidP="00224375">
      <w:pPr>
        <w:jc w:val="both"/>
        <w:rPr>
          <w:rFonts w:asciiTheme="majorBidi" w:hAnsiTheme="majorBidi" w:cstheme="majorBidi"/>
          <w:b/>
          <w:bCs/>
          <w:sz w:val="24"/>
          <w:szCs w:val="24"/>
          <w:lang w:val="en-US"/>
        </w:rPr>
      </w:pPr>
      <w:r w:rsidRPr="005F65AE">
        <w:rPr>
          <w:rFonts w:asciiTheme="majorBidi" w:hAnsiTheme="majorBidi" w:cstheme="majorBidi"/>
          <w:b/>
          <w:bCs/>
          <w:sz w:val="24"/>
          <w:szCs w:val="24"/>
          <w:lang w:val="en-US"/>
        </w:rPr>
        <w:t xml:space="preserve">2.2. </w:t>
      </w:r>
      <w:r w:rsidR="00015101" w:rsidRPr="005F65AE">
        <w:rPr>
          <w:rFonts w:asciiTheme="majorBidi" w:hAnsiTheme="majorBidi" w:cstheme="majorBidi"/>
          <w:b/>
          <w:bCs/>
          <w:sz w:val="24"/>
          <w:szCs w:val="24"/>
          <w:lang w:val="en-US"/>
        </w:rPr>
        <w:t xml:space="preserve">Geopolitics risks </w:t>
      </w:r>
      <w:r w:rsidRPr="005F65AE">
        <w:rPr>
          <w:rFonts w:asciiTheme="majorBidi" w:hAnsiTheme="majorBidi" w:cstheme="majorBidi"/>
          <w:b/>
          <w:bCs/>
          <w:sz w:val="24"/>
          <w:szCs w:val="24"/>
          <w:lang w:val="en-US"/>
        </w:rPr>
        <w:t>and energy market</w:t>
      </w:r>
    </w:p>
    <w:p w:rsidR="00015101" w:rsidRPr="005F65AE" w:rsidRDefault="00224375" w:rsidP="00320F76">
      <w:pPr>
        <w:spacing w:after="0"/>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t xml:space="preserve">Numerous </w:t>
      </w:r>
      <w:r w:rsidR="001E6A99" w:rsidRPr="005F65AE">
        <w:rPr>
          <w:rFonts w:asciiTheme="majorBidi" w:hAnsiTheme="majorBidi" w:cstheme="majorBidi"/>
          <w:sz w:val="24"/>
          <w:szCs w:val="24"/>
          <w:lang w:val="en-US"/>
        </w:rPr>
        <w:t>studies</w:t>
      </w:r>
      <w:r w:rsidRPr="005F65AE">
        <w:rPr>
          <w:rFonts w:asciiTheme="majorBidi" w:hAnsiTheme="majorBidi" w:cstheme="majorBidi"/>
          <w:sz w:val="24"/>
          <w:szCs w:val="24"/>
          <w:lang w:val="en-US"/>
        </w:rPr>
        <w:t xml:space="preserve"> have looked into </w:t>
      </w:r>
      <w:r w:rsidR="001E6A99" w:rsidRPr="005F65AE">
        <w:rPr>
          <w:rFonts w:asciiTheme="majorBidi" w:hAnsiTheme="majorBidi" w:cstheme="majorBidi"/>
          <w:sz w:val="24"/>
          <w:szCs w:val="24"/>
          <w:lang w:val="en-US"/>
        </w:rPr>
        <w:t xml:space="preserve">the relationship </w:t>
      </w:r>
      <w:r w:rsidR="001E6A99" w:rsidRPr="00F8154E">
        <w:rPr>
          <w:rFonts w:asciiTheme="majorBidi" w:hAnsiTheme="majorBidi" w:cstheme="majorBidi"/>
          <w:sz w:val="24"/>
          <w:szCs w:val="24"/>
          <w:lang w:val="en-US"/>
        </w:rPr>
        <w:t>between</w:t>
      </w:r>
      <w:r w:rsidRPr="00F8154E">
        <w:rPr>
          <w:rFonts w:asciiTheme="majorBidi" w:hAnsiTheme="majorBidi" w:cstheme="majorBidi"/>
          <w:sz w:val="24"/>
          <w:szCs w:val="24"/>
          <w:lang w:val="en-US"/>
        </w:rPr>
        <w:t xml:space="preserve"> global uncertainty </w:t>
      </w:r>
      <w:r w:rsidR="00F8154E">
        <w:rPr>
          <w:rFonts w:asciiTheme="majorBidi" w:hAnsiTheme="majorBidi" w:cstheme="majorBidi"/>
          <w:sz w:val="24"/>
          <w:szCs w:val="24"/>
          <w:lang w:val="en-US"/>
        </w:rPr>
        <w:t>and</w:t>
      </w:r>
      <w:r w:rsidRPr="00F8154E">
        <w:rPr>
          <w:rFonts w:asciiTheme="majorBidi" w:hAnsiTheme="majorBidi" w:cstheme="majorBidi"/>
          <w:sz w:val="24"/>
          <w:szCs w:val="24"/>
          <w:lang w:val="en-US"/>
        </w:rPr>
        <w:t xml:space="preserve"> theenergy market</w:t>
      </w:r>
      <w:r w:rsidR="001E6A99" w:rsidRPr="005F65AE">
        <w:rPr>
          <w:rFonts w:asciiTheme="majorBidi" w:hAnsiTheme="majorBidi" w:cstheme="majorBidi"/>
          <w:sz w:val="24"/>
          <w:szCs w:val="24"/>
          <w:lang w:val="en-US"/>
        </w:rPr>
        <w:t xml:space="preserve">, where some show that large shocks in oil prices typically precede worldwide recessions (e.g., Park and Ratti, 2008;Kilian and Park, 2009; </w:t>
      </w:r>
      <w:r w:rsidR="006B48FF" w:rsidRPr="005F65AE">
        <w:rPr>
          <w:rFonts w:asciiTheme="majorBidi" w:hAnsiTheme="majorBidi" w:cstheme="majorBidi"/>
          <w:sz w:val="24"/>
          <w:szCs w:val="24"/>
          <w:lang w:val="en-US"/>
        </w:rPr>
        <w:t>Broadstock et al., 2012; Oliyide et al., 2021</w:t>
      </w:r>
      <w:r w:rsidR="001E6A99" w:rsidRPr="005F65AE">
        <w:rPr>
          <w:rFonts w:asciiTheme="majorBidi" w:hAnsiTheme="majorBidi" w:cstheme="majorBidi"/>
          <w:sz w:val="24"/>
          <w:szCs w:val="24"/>
          <w:lang w:val="en-US"/>
        </w:rPr>
        <w:t>).</w:t>
      </w:r>
      <w:r w:rsidR="00143ACB" w:rsidRPr="005F65AE">
        <w:rPr>
          <w:rFonts w:asciiTheme="majorBidi" w:hAnsiTheme="majorBidi" w:cstheme="majorBidi"/>
          <w:sz w:val="24"/>
          <w:szCs w:val="24"/>
          <w:lang w:val="en-US"/>
        </w:rPr>
        <w:t xml:space="preserve"> Where others proved the significant impact of </w:t>
      </w:r>
      <w:r w:rsidR="00320F76" w:rsidRPr="005F65AE">
        <w:rPr>
          <w:rFonts w:asciiTheme="majorBidi" w:hAnsiTheme="majorBidi" w:cstheme="majorBidi"/>
          <w:sz w:val="24"/>
          <w:szCs w:val="24"/>
          <w:lang w:val="en-US"/>
        </w:rPr>
        <w:t xml:space="preserve">geopolitical </w:t>
      </w:r>
      <w:r w:rsidR="00320F76">
        <w:rPr>
          <w:rFonts w:asciiTheme="majorBidi" w:hAnsiTheme="majorBidi" w:cstheme="majorBidi"/>
          <w:sz w:val="24"/>
          <w:szCs w:val="24"/>
          <w:lang w:val="en-US"/>
        </w:rPr>
        <w:t xml:space="preserve">risks (GPR) </w:t>
      </w:r>
      <w:r w:rsidR="00143ACB" w:rsidRPr="00320F76">
        <w:rPr>
          <w:rFonts w:asciiTheme="majorBidi" w:hAnsiTheme="majorBidi" w:cstheme="majorBidi"/>
          <w:sz w:val="24"/>
          <w:szCs w:val="24"/>
          <w:lang w:val="en-US"/>
        </w:rPr>
        <w:t>on energy market (e</w:t>
      </w:r>
      <w:r w:rsidR="006263DA" w:rsidRPr="00320F76">
        <w:rPr>
          <w:rFonts w:asciiTheme="majorBidi" w:hAnsiTheme="majorBidi" w:cstheme="majorBidi"/>
          <w:sz w:val="24"/>
          <w:szCs w:val="24"/>
          <w:lang w:val="en-US"/>
        </w:rPr>
        <w:t>.</w:t>
      </w:r>
      <w:r w:rsidR="00143ACB" w:rsidRPr="00320F76">
        <w:rPr>
          <w:rFonts w:asciiTheme="majorBidi" w:hAnsiTheme="majorBidi" w:cstheme="majorBidi"/>
          <w:sz w:val="24"/>
          <w:szCs w:val="24"/>
          <w:lang w:val="en-US"/>
        </w:rPr>
        <w:t xml:space="preserve">g., Qin et al., 2020; </w:t>
      </w:r>
      <w:r w:rsidR="006263DA" w:rsidRPr="00320F76">
        <w:rPr>
          <w:rFonts w:asciiTheme="majorBidi" w:hAnsiTheme="majorBidi" w:cstheme="majorBidi"/>
          <w:sz w:val="24"/>
          <w:szCs w:val="24"/>
          <w:lang w:val="en-US"/>
        </w:rPr>
        <w:t>Jin et al., 2023; Chishti et al., 2023).</w:t>
      </w:r>
      <w:r w:rsidR="00D46D1D" w:rsidRPr="005F65AE">
        <w:rPr>
          <w:rFonts w:asciiTheme="majorBidi" w:hAnsiTheme="majorBidi" w:cstheme="majorBidi"/>
          <w:sz w:val="24"/>
          <w:szCs w:val="24"/>
          <w:lang w:val="en-US"/>
        </w:rPr>
        <w:t xml:space="preserve">Furthermore,the study of Su et al. (2021)examines the relationship between global </w:t>
      </w:r>
      <w:r w:rsidR="00320F76">
        <w:rPr>
          <w:rFonts w:asciiTheme="majorBidi" w:hAnsiTheme="majorBidi" w:cstheme="majorBidi"/>
          <w:sz w:val="24"/>
          <w:szCs w:val="24"/>
          <w:lang w:val="en-US"/>
        </w:rPr>
        <w:t>GPR</w:t>
      </w:r>
      <w:r w:rsidR="00D46D1D" w:rsidRPr="005F65AE">
        <w:rPr>
          <w:rFonts w:asciiTheme="majorBidi" w:hAnsiTheme="majorBidi" w:cstheme="majorBidi"/>
          <w:sz w:val="24"/>
          <w:szCs w:val="24"/>
          <w:lang w:val="en-US"/>
        </w:rPr>
        <w:t xml:space="preserve"> and renewable energy using vector auto-regression </w:t>
      </w:r>
      <w:bookmarkStart w:id="3" w:name="_Hlk141549155"/>
      <w:r w:rsidR="00D46D1D" w:rsidRPr="005F65AE">
        <w:rPr>
          <w:rFonts w:asciiTheme="majorBidi" w:hAnsiTheme="majorBidi" w:cstheme="majorBidi"/>
          <w:sz w:val="24"/>
          <w:szCs w:val="24"/>
          <w:lang w:val="en-US"/>
        </w:rPr>
        <w:t xml:space="preserve">(VAR) model </w:t>
      </w:r>
      <w:bookmarkEnd w:id="3"/>
      <w:r w:rsidR="00D46D1D" w:rsidRPr="005F65AE">
        <w:rPr>
          <w:rFonts w:asciiTheme="majorBidi" w:hAnsiTheme="majorBidi" w:cstheme="majorBidi"/>
          <w:sz w:val="24"/>
          <w:szCs w:val="24"/>
          <w:lang w:val="en-US"/>
        </w:rPr>
        <w:t xml:space="preserve">and rolling window causality test. </w:t>
      </w:r>
      <w:r w:rsidR="003641E2" w:rsidRPr="005F65AE">
        <w:rPr>
          <w:rFonts w:asciiTheme="majorBidi" w:hAnsiTheme="majorBidi" w:cstheme="majorBidi"/>
          <w:sz w:val="24"/>
          <w:szCs w:val="24"/>
          <w:lang w:val="en-US"/>
        </w:rPr>
        <w:t>The findings demonstrate a two-way causality between geopolitical risks and renewable energy which is dispersed across different sub-samples. On the other hand, geopolitical concerns are significantly impacted by renewable energy, indicating that there is a reciprocal relationship between both of them.</w:t>
      </w:r>
      <w:r w:rsidR="00D965C1" w:rsidRPr="005F65AE">
        <w:rPr>
          <w:rFonts w:asciiTheme="majorBidi" w:hAnsiTheme="majorBidi" w:cstheme="majorBidi"/>
          <w:sz w:val="24"/>
          <w:szCs w:val="24"/>
          <w:lang w:val="en-US"/>
        </w:rPr>
        <w:t xml:space="preserve">Sweidan (2021) investigates </w:t>
      </w:r>
      <w:r w:rsidR="00F07739" w:rsidRPr="005F65AE">
        <w:rPr>
          <w:rFonts w:asciiTheme="majorBidi" w:hAnsiTheme="majorBidi" w:cstheme="majorBidi"/>
          <w:sz w:val="24"/>
          <w:szCs w:val="24"/>
          <w:lang w:val="en-US"/>
        </w:rPr>
        <w:t xml:space="preserve">whether the </w:t>
      </w:r>
      <w:r w:rsidR="00320F76">
        <w:rPr>
          <w:rFonts w:asciiTheme="majorBidi" w:hAnsiTheme="majorBidi" w:cstheme="majorBidi"/>
          <w:sz w:val="24"/>
          <w:szCs w:val="24"/>
          <w:lang w:val="en-US"/>
        </w:rPr>
        <w:t>GPR</w:t>
      </w:r>
      <w:r w:rsidR="00F07739" w:rsidRPr="005F65AE">
        <w:rPr>
          <w:rFonts w:asciiTheme="majorBidi" w:hAnsiTheme="majorBidi" w:cstheme="majorBidi"/>
          <w:sz w:val="24"/>
          <w:szCs w:val="24"/>
          <w:lang w:val="en-US"/>
        </w:rPr>
        <w:t xml:space="preserve"> leads to greener production and ecological sustainability or not, </w:t>
      </w:r>
      <w:r w:rsidR="00D965C1" w:rsidRPr="005F65AE">
        <w:rPr>
          <w:rFonts w:asciiTheme="majorBidi" w:hAnsiTheme="majorBidi" w:cstheme="majorBidi"/>
          <w:sz w:val="24"/>
          <w:szCs w:val="24"/>
          <w:lang w:val="en-US"/>
        </w:rPr>
        <w:t>thr</w:t>
      </w:r>
      <w:r w:rsidR="00356A9A">
        <w:rPr>
          <w:rFonts w:asciiTheme="majorBidi" w:hAnsiTheme="majorBidi" w:cstheme="majorBidi"/>
          <w:sz w:val="24"/>
          <w:szCs w:val="24"/>
          <w:lang w:val="en-US"/>
        </w:rPr>
        <w:t>ough</w:t>
      </w:r>
      <w:r w:rsidR="00D965C1" w:rsidRPr="005F65AE">
        <w:rPr>
          <w:rFonts w:asciiTheme="majorBidi" w:hAnsiTheme="majorBidi" w:cstheme="majorBidi"/>
          <w:sz w:val="24"/>
          <w:szCs w:val="24"/>
          <w:lang w:val="en-US"/>
        </w:rPr>
        <w:t xml:space="preserve"> autoregressive distributed lag model</w:t>
      </w:r>
      <w:r w:rsidR="00F07739" w:rsidRPr="005F65AE">
        <w:rPr>
          <w:rFonts w:asciiTheme="majorBidi" w:hAnsiTheme="majorBidi" w:cstheme="majorBidi"/>
          <w:sz w:val="24"/>
          <w:szCs w:val="24"/>
          <w:lang w:val="en-US"/>
        </w:rPr>
        <w:t xml:space="preserve">. He discovers that geopolitical risk has a significant positive impact on the adoption of renewable energy in the </w:t>
      </w:r>
      <w:r w:rsidR="005E04F1">
        <w:rPr>
          <w:rFonts w:asciiTheme="majorBidi" w:hAnsiTheme="majorBidi" w:cstheme="majorBidi"/>
          <w:sz w:val="24"/>
          <w:szCs w:val="24"/>
          <w:lang w:val="en-US"/>
        </w:rPr>
        <w:t>USA</w:t>
      </w:r>
      <w:r w:rsidR="00F07739" w:rsidRPr="005F65AE">
        <w:rPr>
          <w:rFonts w:asciiTheme="majorBidi" w:hAnsiTheme="majorBidi" w:cstheme="majorBidi"/>
          <w:sz w:val="24"/>
          <w:szCs w:val="24"/>
          <w:lang w:val="en-US"/>
        </w:rPr>
        <w:t xml:space="preserve">. Yang et al. (2021) investigates the risk spillovers from </w:t>
      </w:r>
      <w:r w:rsidR="00320F76">
        <w:rPr>
          <w:rFonts w:asciiTheme="majorBidi" w:hAnsiTheme="majorBidi" w:cstheme="majorBidi"/>
          <w:sz w:val="24"/>
          <w:szCs w:val="24"/>
          <w:lang w:val="en-US"/>
        </w:rPr>
        <w:t>GPR</w:t>
      </w:r>
      <w:r w:rsidR="00F07739" w:rsidRPr="005F65AE">
        <w:rPr>
          <w:rFonts w:asciiTheme="majorBidi" w:hAnsiTheme="majorBidi" w:cstheme="majorBidi"/>
          <w:sz w:val="24"/>
          <w:szCs w:val="24"/>
          <w:lang w:val="en-US"/>
        </w:rPr>
        <w:t xml:space="preserve"> to five </w:t>
      </w:r>
      <w:r w:rsidR="008943D9" w:rsidRPr="005F65AE">
        <w:rPr>
          <w:rFonts w:asciiTheme="majorBidi" w:hAnsiTheme="majorBidi" w:cstheme="majorBidi"/>
          <w:sz w:val="24"/>
          <w:szCs w:val="24"/>
          <w:lang w:val="en-US"/>
        </w:rPr>
        <w:t>clean</w:t>
      </w:r>
      <w:r w:rsidR="00F07739" w:rsidRPr="005F65AE">
        <w:rPr>
          <w:rFonts w:asciiTheme="majorBidi" w:hAnsiTheme="majorBidi" w:cstheme="majorBidi"/>
          <w:sz w:val="24"/>
          <w:szCs w:val="24"/>
          <w:lang w:val="en-US"/>
        </w:rPr>
        <w:t xml:space="preserve"> energy markets</w:t>
      </w:r>
      <w:r w:rsidR="00D74C59" w:rsidRPr="005F65AE">
        <w:rPr>
          <w:rFonts w:asciiTheme="majorBidi" w:hAnsiTheme="majorBidi" w:cstheme="majorBidi"/>
          <w:sz w:val="24"/>
          <w:szCs w:val="24"/>
          <w:lang w:val="en-US"/>
        </w:rPr>
        <w:t>. The findings show</w:t>
      </w:r>
      <w:r w:rsidR="00356A9A">
        <w:rPr>
          <w:rFonts w:asciiTheme="majorBidi" w:hAnsiTheme="majorBidi" w:cstheme="majorBidi"/>
          <w:sz w:val="24"/>
          <w:szCs w:val="24"/>
          <w:lang w:val="en-US"/>
        </w:rPr>
        <w:t xml:space="preserve"> a</w:t>
      </w:r>
      <w:r w:rsidR="00D74C59" w:rsidRPr="005F65AE">
        <w:rPr>
          <w:rFonts w:asciiTheme="majorBidi" w:hAnsiTheme="majorBidi" w:cstheme="majorBidi"/>
          <w:sz w:val="24"/>
          <w:szCs w:val="24"/>
          <w:lang w:val="en-US"/>
        </w:rPr>
        <w:t xml:space="preserve"> significant risks spillover from </w:t>
      </w:r>
      <w:r w:rsidR="00320F76">
        <w:rPr>
          <w:rFonts w:asciiTheme="majorBidi" w:hAnsiTheme="majorBidi" w:cstheme="majorBidi"/>
          <w:sz w:val="24"/>
          <w:szCs w:val="24"/>
          <w:lang w:val="en-US"/>
        </w:rPr>
        <w:t>GPR</w:t>
      </w:r>
      <w:r w:rsidR="00D74C59" w:rsidRPr="005F65AE">
        <w:rPr>
          <w:rFonts w:asciiTheme="majorBidi" w:hAnsiTheme="majorBidi" w:cstheme="majorBidi"/>
          <w:sz w:val="24"/>
          <w:szCs w:val="24"/>
          <w:lang w:val="en-US"/>
        </w:rPr>
        <w:t xml:space="preserve"> to </w:t>
      </w:r>
      <w:r w:rsidR="00320F76">
        <w:rPr>
          <w:rFonts w:asciiTheme="majorBidi" w:hAnsiTheme="majorBidi" w:cstheme="majorBidi"/>
          <w:sz w:val="24"/>
          <w:szCs w:val="24"/>
          <w:lang w:val="en-US"/>
        </w:rPr>
        <w:t>CEM</w:t>
      </w:r>
      <w:r w:rsidR="00D74C59" w:rsidRPr="005F65AE">
        <w:rPr>
          <w:rFonts w:asciiTheme="majorBidi" w:hAnsiTheme="majorBidi" w:cstheme="majorBidi"/>
          <w:sz w:val="24"/>
          <w:szCs w:val="24"/>
          <w:lang w:val="en-US"/>
        </w:rPr>
        <w:t xml:space="preserve">, while there is no discernible pattern to the risk spillovers' behavior. Dutta and Dutta (2022) </w:t>
      </w:r>
      <w:r w:rsidR="005E04F1" w:rsidRPr="005E04F1">
        <w:rPr>
          <w:rFonts w:asciiTheme="majorBidi" w:hAnsiTheme="majorBidi" w:cstheme="majorBidi"/>
          <w:sz w:val="24"/>
          <w:szCs w:val="24"/>
          <w:lang w:val="en-US"/>
        </w:rPr>
        <w:t>use a two-state Markov regime switching framework to examine how GPR affects the cost of renewable energy assets</w:t>
      </w:r>
      <w:r w:rsidR="00B4435B" w:rsidRPr="005F65AE">
        <w:rPr>
          <w:rFonts w:asciiTheme="majorBidi" w:hAnsiTheme="majorBidi" w:cstheme="majorBidi"/>
          <w:sz w:val="24"/>
          <w:szCs w:val="24"/>
          <w:lang w:val="en-US"/>
        </w:rPr>
        <w:t>.Th</w:t>
      </w:r>
      <w:r w:rsidR="008943D9" w:rsidRPr="005F65AE">
        <w:rPr>
          <w:rFonts w:asciiTheme="majorBidi" w:hAnsiTheme="majorBidi" w:cstheme="majorBidi"/>
          <w:sz w:val="24"/>
          <w:szCs w:val="24"/>
          <w:lang w:val="en-US"/>
        </w:rPr>
        <w:t>eresults</w:t>
      </w:r>
      <w:r w:rsidR="005E04F1" w:rsidRPr="005E04F1">
        <w:rPr>
          <w:rFonts w:asciiTheme="majorBidi" w:hAnsiTheme="majorBidi" w:cstheme="majorBidi"/>
          <w:sz w:val="24"/>
          <w:szCs w:val="24"/>
          <w:lang w:val="en-US"/>
        </w:rPr>
        <w:t xml:space="preserve"> imply that consumers of crude oil, who are more susceptible to GPR, frequently consider renewable energy as a substitute for traditional energy sources when the risk factor increases. As a result, the share prices of renewable energy companies increase, further reducing volatility.</w:t>
      </w:r>
      <w:r w:rsidR="008943D9" w:rsidRPr="005F65AE">
        <w:rPr>
          <w:rFonts w:asciiTheme="majorBidi" w:hAnsiTheme="majorBidi" w:cstheme="majorBidi"/>
          <w:sz w:val="24"/>
          <w:szCs w:val="24"/>
          <w:lang w:val="en-US"/>
        </w:rPr>
        <w:t xml:space="preserve">Flouros et al. (2022) used quantitative approach to examines how </w:t>
      </w:r>
      <w:r w:rsidR="0003189C" w:rsidRPr="005F65AE">
        <w:rPr>
          <w:rFonts w:asciiTheme="majorBidi" w:hAnsiTheme="majorBidi" w:cstheme="majorBidi"/>
          <w:sz w:val="24"/>
          <w:szCs w:val="24"/>
          <w:lang w:val="en-US"/>
        </w:rPr>
        <w:t>clean</w:t>
      </w:r>
      <w:r w:rsidR="008943D9" w:rsidRPr="005F65AE">
        <w:rPr>
          <w:rFonts w:asciiTheme="majorBidi" w:hAnsiTheme="majorBidi" w:cstheme="majorBidi"/>
          <w:sz w:val="24"/>
          <w:szCs w:val="24"/>
          <w:lang w:val="en-US"/>
        </w:rPr>
        <w:t xml:space="preserve"> energy could be impacted by </w:t>
      </w:r>
      <w:r w:rsidR="00320F76">
        <w:rPr>
          <w:rFonts w:asciiTheme="majorBidi" w:hAnsiTheme="majorBidi" w:cstheme="majorBidi"/>
          <w:sz w:val="24"/>
          <w:szCs w:val="24"/>
          <w:lang w:val="en-US"/>
        </w:rPr>
        <w:t>GPR</w:t>
      </w:r>
      <w:r w:rsidR="008943D9" w:rsidRPr="005F65AE">
        <w:rPr>
          <w:rFonts w:asciiTheme="majorBidi" w:hAnsiTheme="majorBidi" w:cstheme="majorBidi"/>
          <w:sz w:val="24"/>
          <w:szCs w:val="24"/>
          <w:lang w:val="en-US"/>
        </w:rPr>
        <w:t xml:space="preserve">. </w:t>
      </w:r>
      <w:r w:rsidR="0003189C" w:rsidRPr="005F65AE">
        <w:rPr>
          <w:rFonts w:asciiTheme="majorBidi" w:hAnsiTheme="majorBidi" w:cstheme="majorBidi"/>
          <w:sz w:val="24"/>
          <w:szCs w:val="24"/>
          <w:lang w:val="en-US"/>
        </w:rPr>
        <w:t xml:space="preserve">The study suggests that geopolitical risk has a significant short-term and long-term impact on boosting the clean energy investments. </w:t>
      </w:r>
      <w:r w:rsidR="004F5906" w:rsidRPr="00CE428B">
        <w:rPr>
          <w:rFonts w:asciiTheme="majorBidi" w:hAnsiTheme="majorBidi" w:cstheme="majorBidi"/>
          <w:sz w:val="24"/>
          <w:szCs w:val="24"/>
          <w:lang w:val="en-US"/>
        </w:rPr>
        <w:t>Ghosh</w:t>
      </w:r>
      <w:r w:rsidR="004F5906" w:rsidRPr="005F65AE">
        <w:rPr>
          <w:rFonts w:asciiTheme="majorBidi" w:hAnsiTheme="majorBidi" w:cstheme="majorBidi"/>
          <w:sz w:val="24"/>
          <w:szCs w:val="24"/>
          <w:lang w:val="en-US"/>
        </w:rPr>
        <w:t xml:space="preserve"> (2022) analyzes the </w:t>
      </w:r>
      <w:r w:rsidR="000F0E40" w:rsidRPr="005F65AE">
        <w:rPr>
          <w:rFonts w:asciiTheme="majorBidi" w:hAnsiTheme="majorBidi" w:cstheme="majorBidi"/>
          <w:sz w:val="24"/>
          <w:szCs w:val="24"/>
          <w:lang w:val="en-US"/>
        </w:rPr>
        <w:t>Covid-19 pandemi</w:t>
      </w:r>
      <w:r w:rsidR="000F0E40">
        <w:rPr>
          <w:rFonts w:asciiTheme="majorBidi" w:hAnsiTheme="majorBidi" w:cstheme="majorBidi"/>
          <w:sz w:val="24"/>
          <w:szCs w:val="24"/>
          <w:lang w:val="en-US"/>
        </w:rPr>
        <w:t>’s effect</w:t>
      </w:r>
      <w:r w:rsidR="004F5906" w:rsidRPr="005F65AE">
        <w:rPr>
          <w:rFonts w:asciiTheme="majorBidi" w:hAnsiTheme="majorBidi" w:cstheme="majorBidi"/>
          <w:sz w:val="24"/>
          <w:szCs w:val="24"/>
          <w:lang w:val="en-US"/>
        </w:rPr>
        <w:t xml:space="preserve"> on </w:t>
      </w:r>
      <w:r w:rsidR="000F0E40">
        <w:rPr>
          <w:rFonts w:asciiTheme="majorBidi" w:hAnsiTheme="majorBidi" w:cstheme="majorBidi"/>
          <w:sz w:val="24"/>
          <w:szCs w:val="24"/>
          <w:lang w:val="en-US"/>
        </w:rPr>
        <w:t>CEM</w:t>
      </w:r>
      <w:r w:rsidR="004F5906" w:rsidRPr="005F65AE">
        <w:rPr>
          <w:rFonts w:asciiTheme="majorBidi" w:hAnsiTheme="majorBidi" w:cstheme="majorBidi"/>
          <w:sz w:val="24"/>
          <w:szCs w:val="24"/>
          <w:lang w:val="en-US"/>
        </w:rPr>
        <w:t xml:space="preserve"> using quantile regression methods. The findings show that the Stocks of clean energy firms are effective diversifiers,</w:t>
      </w:r>
      <w:r w:rsidR="005612B5" w:rsidRPr="005F65AE">
        <w:rPr>
          <w:rFonts w:asciiTheme="majorBidi" w:hAnsiTheme="majorBidi" w:cstheme="majorBidi"/>
          <w:sz w:val="24"/>
          <w:szCs w:val="24"/>
          <w:lang w:val="en-US"/>
        </w:rPr>
        <w:t xml:space="preserve"> in addition, the pandemic has a significant negative effect on the volatility index among quantiles.</w:t>
      </w:r>
      <w:r w:rsidR="00230303" w:rsidRPr="005F65AE">
        <w:rPr>
          <w:rFonts w:asciiTheme="majorBidi" w:hAnsiTheme="majorBidi" w:cstheme="majorBidi"/>
          <w:sz w:val="24"/>
          <w:szCs w:val="24"/>
          <w:lang w:val="en-US"/>
        </w:rPr>
        <w:t xml:space="preserve"> Lin et al. (2022) </w:t>
      </w:r>
      <w:r w:rsidR="00A33B0D" w:rsidRPr="005F65AE">
        <w:rPr>
          <w:rFonts w:asciiTheme="majorBidi" w:hAnsiTheme="majorBidi" w:cstheme="majorBidi"/>
          <w:sz w:val="24"/>
          <w:szCs w:val="24"/>
          <w:lang w:val="en-US"/>
        </w:rPr>
        <w:t>examines</w:t>
      </w:r>
      <w:r w:rsidR="00CE428B" w:rsidRPr="004B3423">
        <w:rPr>
          <w:rFonts w:asciiTheme="majorBidi" w:hAnsiTheme="majorBidi" w:cstheme="majorBidi"/>
          <w:sz w:val="24"/>
          <w:szCs w:val="24"/>
          <w:lang w:val="en-US"/>
        </w:rPr>
        <w:t>if</w:t>
      </w:r>
      <w:r w:rsidR="00230303" w:rsidRPr="005F65AE">
        <w:rPr>
          <w:rFonts w:asciiTheme="majorBidi" w:hAnsiTheme="majorBidi" w:cstheme="majorBidi"/>
          <w:sz w:val="24"/>
          <w:szCs w:val="24"/>
          <w:lang w:val="en-US"/>
        </w:rPr>
        <w:t xml:space="preserve">sustainable </w:t>
      </w:r>
      <w:r w:rsidR="00A33B0D" w:rsidRPr="005F65AE">
        <w:rPr>
          <w:rFonts w:asciiTheme="majorBidi" w:hAnsiTheme="majorBidi" w:cstheme="majorBidi"/>
          <w:sz w:val="24"/>
          <w:szCs w:val="24"/>
          <w:lang w:val="en-US"/>
        </w:rPr>
        <w:t>finance</w:t>
      </w:r>
      <w:r w:rsidR="00A33B0D" w:rsidRPr="005F65AE">
        <w:rPr>
          <w:lang w:val="en-US"/>
        </w:rPr>
        <w:t>,</w:t>
      </w:r>
      <w:bookmarkStart w:id="4" w:name="_Hlk141528016"/>
      <w:r w:rsidR="00A33B0D" w:rsidRPr="005F65AE">
        <w:rPr>
          <w:rFonts w:asciiTheme="majorBidi" w:hAnsiTheme="majorBidi" w:cstheme="majorBidi"/>
          <w:sz w:val="24"/>
          <w:szCs w:val="24"/>
          <w:lang w:val="en-US"/>
        </w:rPr>
        <w:t>geopolitical risk</w:t>
      </w:r>
      <w:bookmarkEnd w:id="4"/>
      <w:r w:rsidR="00A33B0D" w:rsidRPr="005F65AE">
        <w:rPr>
          <w:rFonts w:asciiTheme="majorBidi" w:hAnsiTheme="majorBidi" w:cstheme="majorBidi"/>
          <w:sz w:val="24"/>
          <w:szCs w:val="24"/>
          <w:lang w:val="en-US"/>
        </w:rPr>
        <w:t xml:space="preserve"> and economic growth</w:t>
      </w:r>
      <w:r w:rsidR="00230303" w:rsidRPr="005F65AE">
        <w:rPr>
          <w:rFonts w:asciiTheme="majorBidi" w:hAnsiTheme="majorBidi" w:cstheme="majorBidi"/>
          <w:sz w:val="24"/>
          <w:szCs w:val="24"/>
          <w:lang w:val="en-US"/>
        </w:rPr>
        <w:t xml:space="preserve"> increase clean energy investments</w:t>
      </w:r>
      <w:r w:rsidR="00A33B0D" w:rsidRPr="005F65AE">
        <w:rPr>
          <w:rFonts w:asciiTheme="majorBidi" w:hAnsiTheme="majorBidi" w:cstheme="majorBidi"/>
          <w:sz w:val="24"/>
          <w:szCs w:val="24"/>
          <w:lang w:val="en-US"/>
        </w:rPr>
        <w:t xml:space="preserve"> in China. The</w:t>
      </w:r>
      <w:r w:rsidR="000F0E40">
        <w:rPr>
          <w:rFonts w:asciiTheme="majorBidi" w:hAnsiTheme="majorBidi" w:cstheme="majorBidi"/>
          <w:sz w:val="24"/>
          <w:szCs w:val="24"/>
          <w:lang w:val="en-US"/>
        </w:rPr>
        <w:t xml:space="preserve">y </w:t>
      </w:r>
      <w:r w:rsidR="00A33B0D" w:rsidRPr="005F65AE">
        <w:rPr>
          <w:rFonts w:asciiTheme="majorBidi" w:hAnsiTheme="majorBidi" w:cstheme="majorBidi"/>
          <w:sz w:val="24"/>
          <w:szCs w:val="24"/>
          <w:lang w:val="en-US"/>
        </w:rPr>
        <w:t xml:space="preserve">reveal that </w:t>
      </w:r>
      <w:r w:rsidR="000F0E40" w:rsidRPr="005F65AE">
        <w:rPr>
          <w:rFonts w:asciiTheme="majorBidi" w:hAnsiTheme="majorBidi" w:cstheme="majorBidi"/>
          <w:sz w:val="24"/>
          <w:szCs w:val="24"/>
          <w:lang w:val="en-US"/>
        </w:rPr>
        <w:t>clean energy investments</w:t>
      </w:r>
      <w:r w:rsidR="00A33B0D" w:rsidRPr="005F65AE">
        <w:rPr>
          <w:rFonts w:asciiTheme="majorBidi" w:hAnsiTheme="majorBidi" w:cstheme="majorBidi"/>
          <w:sz w:val="24"/>
          <w:szCs w:val="24"/>
          <w:lang w:val="en-US"/>
        </w:rPr>
        <w:t>negative</w:t>
      </w:r>
      <w:r w:rsidR="000F0E40">
        <w:rPr>
          <w:rFonts w:asciiTheme="majorBidi" w:hAnsiTheme="majorBidi" w:cstheme="majorBidi"/>
          <w:sz w:val="24"/>
          <w:szCs w:val="24"/>
          <w:lang w:val="en-US"/>
        </w:rPr>
        <w:t>ly impacted by</w:t>
      </w:r>
      <w:r w:rsidR="000F0E40" w:rsidRPr="00320F76">
        <w:rPr>
          <w:rFonts w:asciiTheme="majorBidi" w:hAnsiTheme="majorBidi" w:cstheme="majorBidi"/>
          <w:sz w:val="24"/>
          <w:szCs w:val="24"/>
          <w:lang w:val="en-US"/>
        </w:rPr>
        <w:t>GPR</w:t>
      </w:r>
      <w:r w:rsidR="00A33B0D" w:rsidRPr="005F65AE">
        <w:rPr>
          <w:rFonts w:asciiTheme="majorBidi" w:hAnsiTheme="majorBidi" w:cstheme="majorBidi"/>
          <w:sz w:val="24"/>
          <w:szCs w:val="24"/>
          <w:lang w:val="en-US"/>
        </w:rPr>
        <w:t>, meanwhile, sustainable finance and economic growth have a positive effect on it.</w:t>
      </w:r>
      <w:r w:rsidR="00F96C53" w:rsidRPr="005F65AE">
        <w:rPr>
          <w:rFonts w:asciiTheme="majorBidi" w:hAnsiTheme="majorBidi" w:cstheme="majorBidi"/>
          <w:sz w:val="24"/>
          <w:szCs w:val="24"/>
          <w:lang w:val="en-US"/>
        </w:rPr>
        <w:t xml:space="preserve"> Zhao et al. (2023) </w:t>
      </w:r>
      <w:r w:rsidR="00894572" w:rsidRPr="005F65AE">
        <w:rPr>
          <w:rFonts w:asciiTheme="majorBidi" w:hAnsiTheme="majorBidi" w:cstheme="majorBidi"/>
          <w:sz w:val="24"/>
          <w:szCs w:val="24"/>
          <w:lang w:val="en-US"/>
        </w:rPr>
        <w:t xml:space="preserve">study the impact of </w:t>
      </w:r>
      <w:r w:rsidR="00320F76" w:rsidRPr="00320F76">
        <w:rPr>
          <w:rFonts w:asciiTheme="majorBidi" w:hAnsiTheme="majorBidi" w:cstheme="majorBidi"/>
          <w:sz w:val="24"/>
          <w:szCs w:val="24"/>
          <w:lang w:val="en-US"/>
        </w:rPr>
        <w:t xml:space="preserve">GPR </w:t>
      </w:r>
      <w:r w:rsidR="00894572" w:rsidRPr="005F65AE">
        <w:rPr>
          <w:rFonts w:asciiTheme="majorBidi" w:hAnsiTheme="majorBidi" w:cstheme="majorBidi"/>
          <w:sz w:val="24"/>
          <w:szCs w:val="24"/>
          <w:lang w:val="en-US"/>
        </w:rPr>
        <w:t xml:space="preserve">on </w:t>
      </w:r>
      <w:bookmarkStart w:id="5" w:name="_Hlk141526209"/>
      <w:r w:rsidR="00666CE6" w:rsidRPr="005F65AE">
        <w:rPr>
          <w:rFonts w:asciiTheme="majorBidi" w:hAnsiTheme="majorBidi" w:cstheme="majorBidi"/>
          <w:sz w:val="24"/>
          <w:szCs w:val="24"/>
          <w:lang w:val="en-US"/>
        </w:rPr>
        <w:t>clean</w:t>
      </w:r>
      <w:r w:rsidR="00894572" w:rsidRPr="005F65AE">
        <w:rPr>
          <w:rFonts w:asciiTheme="majorBidi" w:hAnsiTheme="majorBidi" w:cstheme="majorBidi"/>
          <w:sz w:val="24"/>
          <w:szCs w:val="24"/>
          <w:lang w:val="en-US"/>
        </w:rPr>
        <w:t xml:space="preserve"> energy demand </w:t>
      </w:r>
      <w:bookmarkEnd w:id="5"/>
      <w:r w:rsidR="00894572" w:rsidRPr="005F65AE">
        <w:rPr>
          <w:rFonts w:asciiTheme="majorBidi" w:hAnsiTheme="majorBidi" w:cstheme="majorBidi"/>
          <w:sz w:val="24"/>
          <w:szCs w:val="24"/>
          <w:lang w:val="en-US"/>
        </w:rPr>
        <w:t xml:space="preserve">in 20 member countries in Economic Co-operation and Development, as well as, the impact of CO2 emissions, economic globalization, </w:t>
      </w:r>
      <w:bookmarkStart w:id="6" w:name="_Hlk141526130"/>
      <w:r w:rsidR="00894572" w:rsidRPr="005F65AE">
        <w:rPr>
          <w:rFonts w:asciiTheme="majorBidi" w:hAnsiTheme="majorBidi" w:cstheme="majorBidi"/>
          <w:sz w:val="24"/>
          <w:szCs w:val="24"/>
          <w:lang w:val="en-US"/>
        </w:rPr>
        <w:t xml:space="preserve">natural resources rents </w:t>
      </w:r>
      <w:bookmarkEnd w:id="6"/>
      <w:r w:rsidR="00894572" w:rsidRPr="005F65AE">
        <w:rPr>
          <w:rFonts w:asciiTheme="majorBidi" w:hAnsiTheme="majorBidi" w:cstheme="majorBidi"/>
          <w:sz w:val="24"/>
          <w:szCs w:val="24"/>
          <w:lang w:val="en-US"/>
        </w:rPr>
        <w:t>and GDP per capita</w:t>
      </w:r>
      <w:r w:rsidR="00666CE6" w:rsidRPr="005F65AE">
        <w:rPr>
          <w:rFonts w:asciiTheme="majorBidi" w:hAnsiTheme="majorBidi" w:cstheme="majorBidi"/>
          <w:sz w:val="24"/>
          <w:szCs w:val="24"/>
          <w:lang w:val="en-US"/>
        </w:rPr>
        <w:t xml:space="preserve"> </w:t>
      </w:r>
      <w:r w:rsidR="00666CE6" w:rsidRPr="005F65AE">
        <w:rPr>
          <w:rFonts w:asciiTheme="majorBidi" w:hAnsiTheme="majorBidi" w:cstheme="majorBidi"/>
          <w:sz w:val="24"/>
          <w:szCs w:val="24"/>
          <w:lang w:val="en-US"/>
        </w:rPr>
        <w:lastRenderedPageBreak/>
        <w:t xml:space="preserve">growth </w:t>
      </w:r>
      <w:r w:rsidR="00894572" w:rsidRPr="005F65AE">
        <w:rPr>
          <w:rFonts w:asciiTheme="majorBidi" w:hAnsiTheme="majorBidi" w:cstheme="majorBidi"/>
          <w:sz w:val="24"/>
          <w:szCs w:val="24"/>
          <w:lang w:val="en-US"/>
        </w:rPr>
        <w:t>thr</w:t>
      </w:r>
      <w:r w:rsidR="00CE428B">
        <w:rPr>
          <w:rFonts w:asciiTheme="majorBidi" w:hAnsiTheme="majorBidi" w:cstheme="majorBidi"/>
          <w:sz w:val="24"/>
          <w:szCs w:val="24"/>
          <w:lang w:val="en-US"/>
        </w:rPr>
        <w:t>ough</w:t>
      </w:r>
      <w:r w:rsidR="00894572" w:rsidRPr="005F65AE">
        <w:rPr>
          <w:rFonts w:asciiTheme="majorBidi" w:hAnsiTheme="majorBidi" w:cstheme="majorBidi"/>
          <w:sz w:val="24"/>
          <w:szCs w:val="24"/>
          <w:lang w:val="en-US"/>
        </w:rPr>
        <w:t xml:space="preserve"> panel system GMM analysis. </w:t>
      </w:r>
      <w:r w:rsidR="00320F76" w:rsidRPr="00320F76">
        <w:rPr>
          <w:rFonts w:asciiTheme="majorBidi" w:hAnsiTheme="majorBidi" w:cstheme="majorBidi"/>
          <w:sz w:val="24"/>
          <w:szCs w:val="24"/>
          <w:lang w:val="en-US"/>
        </w:rPr>
        <w:t xml:space="preserve">GPR </w:t>
      </w:r>
      <w:r w:rsidR="00894572" w:rsidRPr="005F65AE">
        <w:rPr>
          <w:rFonts w:asciiTheme="majorBidi" w:hAnsiTheme="majorBidi" w:cstheme="majorBidi"/>
          <w:sz w:val="24"/>
          <w:szCs w:val="24"/>
          <w:lang w:val="en-US"/>
        </w:rPr>
        <w:t xml:space="preserve">are proven to decrease the demand for </w:t>
      </w:r>
      <w:r w:rsidR="00666CE6" w:rsidRPr="005F65AE">
        <w:rPr>
          <w:rFonts w:asciiTheme="majorBidi" w:hAnsiTheme="majorBidi" w:cstheme="majorBidi"/>
          <w:sz w:val="24"/>
          <w:szCs w:val="24"/>
          <w:lang w:val="en-US"/>
        </w:rPr>
        <w:t xml:space="preserve">clean energydemand </w:t>
      </w:r>
      <w:r w:rsidR="00894572" w:rsidRPr="005F65AE">
        <w:rPr>
          <w:rFonts w:asciiTheme="majorBidi" w:hAnsiTheme="majorBidi" w:cstheme="majorBidi"/>
          <w:sz w:val="24"/>
          <w:szCs w:val="24"/>
          <w:lang w:val="en-US"/>
        </w:rPr>
        <w:t>and endanger climate change mitigation strategies</w:t>
      </w:r>
      <w:r w:rsidR="00666CE6" w:rsidRPr="005F65AE">
        <w:rPr>
          <w:rFonts w:asciiTheme="majorBidi" w:hAnsiTheme="majorBidi" w:cstheme="majorBidi"/>
          <w:sz w:val="24"/>
          <w:szCs w:val="24"/>
          <w:lang w:val="en-US"/>
        </w:rPr>
        <w:t xml:space="preserve">. Moreover, CO2 emissionsand natural resources rents have </w:t>
      </w:r>
      <w:r w:rsidR="00CE428B">
        <w:rPr>
          <w:rFonts w:asciiTheme="majorBidi" w:hAnsiTheme="majorBidi" w:cstheme="majorBidi"/>
          <w:sz w:val="24"/>
          <w:szCs w:val="24"/>
          <w:lang w:val="en-US"/>
        </w:rPr>
        <w:t xml:space="preserve">a </w:t>
      </w:r>
      <w:r w:rsidR="00666CE6" w:rsidRPr="005F65AE">
        <w:rPr>
          <w:rFonts w:asciiTheme="majorBidi" w:hAnsiTheme="majorBidi" w:cstheme="majorBidi"/>
          <w:sz w:val="24"/>
          <w:szCs w:val="24"/>
          <w:lang w:val="en-US"/>
        </w:rPr>
        <w:t>significant negative impact on clean energy demand, while economic globalization and GDP per capita growth have a positive impact.</w:t>
      </w:r>
      <w:r w:rsidR="00626AB9" w:rsidRPr="005F65AE">
        <w:rPr>
          <w:rFonts w:asciiTheme="majorBidi" w:hAnsiTheme="majorBidi" w:cstheme="majorBidi"/>
          <w:sz w:val="24"/>
          <w:szCs w:val="24"/>
          <w:lang w:val="en-US"/>
        </w:rPr>
        <w:t xml:space="preserve">Zhang et Al. (2023) examine the relationship among energy transition, </w:t>
      </w:r>
      <w:r w:rsidR="00320F76" w:rsidRPr="00320F76">
        <w:rPr>
          <w:rFonts w:asciiTheme="majorBidi" w:hAnsiTheme="majorBidi" w:cstheme="majorBidi"/>
          <w:sz w:val="24"/>
          <w:szCs w:val="24"/>
          <w:lang w:val="en-US"/>
        </w:rPr>
        <w:t xml:space="preserve">GPR </w:t>
      </w:r>
      <w:r w:rsidR="00626AB9" w:rsidRPr="005F65AE">
        <w:rPr>
          <w:rFonts w:asciiTheme="majorBidi" w:hAnsiTheme="majorBidi" w:cstheme="majorBidi"/>
          <w:sz w:val="24"/>
          <w:szCs w:val="24"/>
          <w:lang w:val="en-US"/>
        </w:rPr>
        <w:t xml:space="preserve">and natural resources extraction. they found </w:t>
      </w:r>
      <w:r w:rsidR="00CE428B">
        <w:rPr>
          <w:rFonts w:asciiTheme="majorBidi" w:hAnsiTheme="majorBidi" w:cstheme="majorBidi"/>
          <w:sz w:val="24"/>
          <w:szCs w:val="24"/>
          <w:lang w:val="en-US"/>
        </w:rPr>
        <w:t xml:space="preserve">that the </w:t>
      </w:r>
      <w:r w:rsidR="00320F76" w:rsidRPr="00320F76">
        <w:rPr>
          <w:rFonts w:asciiTheme="majorBidi" w:hAnsiTheme="majorBidi" w:cstheme="majorBidi"/>
          <w:sz w:val="24"/>
          <w:szCs w:val="24"/>
          <w:lang w:val="en-US"/>
        </w:rPr>
        <w:t xml:space="preserve">GPR </w:t>
      </w:r>
      <w:r w:rsidR="00626AB9" w:rsidRPr="005F65AE">
        <w:rPr>
          <w:rFonts w:asciiTheme="majorBidi" w:hAnsiTheme="majorBidi" w:cstheme="majorBidi"/>
          <w:sz w:val="24"/>
          <w:szCs w:val="24"/>
          <w:lang w:val="en-US"/>
        </w:rPr>
        <w:t xml:space="preserve">have </w:t>
      </w:r>
      <w:r w:rsidR="00CE428B">
        <w:rPr>
          <w:rFonts w:asciiTheme="majorBidi" w:hAnsiTheme="majorBidi" w:cstheme="majorBidi"/>
          <w:sz w:val="24"/>
          <w:szCs w:val="24"/>
          <w:lang w:val="en-US"/>
        </w:rPr>
        <w:t xml:space="preserve">a </w:t>
      </w:r>
      <w:r w:rsidR="00626AB9" w:rsidRPr="005F65AE">
        <w:rPr>
          <w:rFonts w:asciiTheme="majorBidi" w:hAnsiTheme="majorBidi" w:cstheme="majorBidi"/>
          <w:sz w:val="24"/>
          <w:szCs w:val="24"/>
          <w:lang w:val="en-US"/>
        </w:rPr>
        <w:t>significant negative impact on energy transition, additionally, coal and forest rents have a negative impact on the energy transition, in other hand, the mineral and oil rents have a positive impact on it.</w:t>
      </w:r>
    </w:p>
    <w:p w:rsidR="00D74C59" w:rsidRPr="005F65AE" w:rsidRDefault="000968D9" w:rsidP="00614A5F">
      <w:pPr>
        <w:spacing w:after="0"/>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t>Furthermore, Russia-Ukraine war</w:t>
      </w:r>
      <w:r w:rsidR="000F0E40">
        <w:rPr>
          <w:rFonts w:asciiTheme="majorBidi" w:hAnsiTheme="majorBidi" w:cstheme="majorBidi"/>
          <w:sz w:val="24"/>
          <w:szCs w:val="24"/>
          <w:lang w:val="en-US"/>
        </w:rPr>
        <w:t xml:space="preserve"> (RUW)</w:t>
      </w:r>
      <w:r w:rsidR="00D7443A">
        <w:rPr>
          <w:rFonts w:asciiTheme="majorBidi" w:hAnsiTheme="majorBidi" w:cstheme="majorBidi"/>
          <w:sz w:val="24"/>
          <w:szCs w:val="24"/>
          <w:lang w:val="en-US"/>
        </w:rPr>
        <w:t xml:space="preserve">is </w:t>
      </w:r>
      <w:r w:rsidRPr="005F65AE">
        <w:rPr>
          <w:rFonts w:asciiTheme="majorBidi" w:hAnsiTheme="majorBidi" w:cstheme="majorBidi"/>
          <w:sz w:val="24"/>
          <w:szCs w:val="24"/>
          <w:lang w:val="en-US"/>
        </w:rPr>
        <w:t xml:space="preserve">considered as the recent globalgeopolitical risk which led to massive disrupting on the global supply chains, rising the commodity prices and financial sanctions (Orhan 2022). </w:t>
      </w:r>
      <w:r w:rsidR="007622F9" w:rsidRPr="005F65AE">
        <w:rPr>
          <w:rFonts w:asciiTheme="majorBidi" w:hAnsiTheme="majorBidi" w:cstheme="majorBidi"/>
          <w:sz w:val="24"/>
          <w:szCs w:val="24"/>
          <w:lang w:val="en-US"/>
        </w:rPr>
        <w:t xml:space="preserve">Moreover, the war significantly impacts energy prices (Inacio et al., 2023; Chen et al., 2023). The study of   Aslam et al. (2023) investigates how the </w:t>
      </w:r>
      <w:r w:rsidR="000F0E40" w:rsidRPr="000F0E40">
        <w:rPr>
          <w:rFonts w:asciiTheme="majorBidi" w:hAnsiTheme="majorBidi" w:cstheme="majorBidi"/>
          <w:sz w:val="24"/>
          <w:szCs w:val="24"/>
          <w:lang w:val="en-US"/>
        </w:rPr>
        <w:t xml:space="preserve">RUW </w:t>
      </w:r>
      <w:r w:rsidR="007622F9" w:rsidRPr="005F65AE">
        <w:rPr>
          <w:rFonts w:asciiTheme="majorBidi" w:hAnsiTheme="majorBidi" w:cstheme="majorBidi"/>
          <w:sz w:val="24"/>
          <w:szCs w:val="24"/>
          <w:lang w:val="en-US"/>
        </w:rPr>
        <w:t xml:space="preserve">has affected the performance of the energy markets using multifractal detrended fluctuation analysis. </w:t>
      </w:r>
      <w:r w:rsidR="00284A05" w:rsidRPr="005F65AE">
        <w:rPr>
          <w:rFonts w:asciiTheme="majorBidi" w:hAnsiTheme="majorBidi" w:cstheme="majorBidi"/>
          <w:sz w:val="24"/>
          <w:szCs w:val="24"/>
          <w:lang w:val="en-US"/>
        </w:rPr>
        <w:t xml:space="preserve">Results show significant changes in multifractal strength as caused by the conflict, confirming the existence of multifractality in energy markets and showing a drop in intraday efficiency for oil markets.Nerlinger and Utz (2022) study the impact of the </w:t>
      </w:r>
      <w:r w:rsidR="000F0E40" w:rsidRPr="000F0E40">
        <w:rPr>
          <w:rFonts w:asciiTheme="majorBidi" w:hAnsiTheme="majorBidi" w:cstheme="majorBidi"/>
          <w:sz w:val="24"/>
          <w:szCs w:val="24"/>
          <w:lang w:val="en-US"/>
        </w:rPr>
        <w:t xml:space="preserve">RUW </w:t>
      </w:r>
      <w:r w:rsidR="00906608" w:rsidRPr="005F65AE">
        <w:rPr>
          <w:rFonts w:asciiTheme="majorBidi" w:hAnsiTheme="majorBidi" w:cstheme="majorBidi"/>
          <w:sz w:val="24"/>
          <w:szCs w:val="24"/>
          <w:lang w:val="en-US"/>
        </w:rPr>
        <w:t>on the</w:t>
      </w:r>
      <w:r w:rsidR="00284A05" w:rsidRPr="005F65AE">
        <w:rPr>
          <w:rFonts w:asciiTheme="majorBidi" w:hAnsiTheme="majorBidi" w:cstheme="majorBidi"/>
          <w:sz w:val="24"/>
          <w:szCs w:val="24"/>
          <w:lang w:val="en-US"/>
        </w:rPr>
        <w:t xml:space="preserve">stock prices of energy firms. </w:t>
      </w:r>
      <w:r w:rsidR="00906608" w:rsidRPr="005F65AE">
        <w:rPr>
          <w:rFonts w:asciiTheme="majorBidi" w:hAnsiTheme="majorBidi" w:cstheme="majorBidi"/>
          <w:sz w:val="24"/>
          <w:szCs w:val="24"/>
          <w:lang w:val="en-US"/>
        </w:rPr>
        <w:t xml:space="preserve">They discover that the stock prices of energy firm’s cumulative average abnormal returns were positive </w:t>
      </w:r>
      <w:r w:rsidR="00D7443A" w:rsidRPr="004B3423">
        <w:rPr>
          <w:rFonts w:asciiTheme="majorBidi" w:hAnsiTheme="majorBidi" w:cstheme="majorBidi"/>
          <w:sz w:val="24"/>
          <w:szCs w:val="24"/>
          <w:lang w:val="en-US"/>
        </w:rPr>
        <w:t>during</w:t>
      </w:r>
      <w:r w:rsidR="00906608" w:rsidRPr="004B3423">
        <w:rPr>
          <w:rFonts w:asciiTheme="majorBidi" w:hAnsiTheme="majorBidi" w:cstheme="majorBidi"/>
          <w:sz w:val="24"/>
          <w:szCs w:val="24"/>
          <w:lang w:val="en-US"/>
        </w:rPr>
        <w:t xml:space="preserve"> the time of the invasion, with energy companies outperforming the stock market. North</w:t>
      </w:r>
      <w:r w:rsidR="00906608" w:rsidRPr="005F65AE">
        <w:rPr>
          <w:rFonts w:asciiTheme="majorBidi" w:hAnsiTheme="majorBidi" w:cstheme="majorBidi"/>
          <w:sz w:val="24"/>
          <w:szCs w:val="24"/>
          <w:lang w:val="en-US"/>
        </w:rPr>
        <w:t xml:space="preserve"> American businesses outperform those in Europe and Asia more often.</w:t>
      </w:r>
      <w:r w:rsidR="005F22B9" w:rsidRPr="005F65AE">
        <w:rPr>
          <w:rFonts w:asciiTheme="majorBidi" w:hAnsiTheme="majorBidi" w:cstheme="majorBidi"/>
          <w:sz w:val="24"/>
          <w:szCs w:val="24"/>
          <w:lang w:val="en-US"/>
        </w:rPr>
        <w:t xml:space="preserve"> Liao (2023) analyzes how the </w:t>
      </w:r>
      <w:r w:rsidR="00F73658" w:rsidRPr="005F65AE">
        <w:rPr>
          <w:rFonts w:asciiTheme="majorBidi" w:hAnsiTheme="majorBidi" w:cstheme="majorBidi"/>
          <w:sz w:val="24"/>
          <w:szCs w:val="24"/>
          <w:lang w:val="en-US"/>
        </w:rPr>
        <w:t xml:space="preserve">European clean energy market responds to </w:t>
      </w:r>
      <w:r w:rsidR="000F0E40" w:rsidRPr="000F0E40">
        <w:rPr>
          <w:rFonts w:asciiTheme="majorBidi" w:hAnsiTheme="majorBidi" w:cstheme="majorBidi"/>
          <w:sz w:val="24"/>
          <w:szCs w:val="24"/>
          <w:lang w:val="en-US"/>
        </w:rPr>
        <w:t>RUW</w:t>
      </w:r>
      <w:r w:rsidR="00F73658" w:rsidRPr="005F65AE">
        <w:rPr>
          <w:rFonts w:asciiTheme="majorBidi" w:hAnsiTheme="majorBidi" w:cstheme="majorBidi"/>
          <w:sz w:val="24"/>
          <w:szCs w:val="24"/>
          <w:lang w:val="en-US"/>
        </w:rPr>
        <w:t xml:space="preserve">. The results reveal thatEuropean companies that create or buy more renewable energy ex-ante have smaller falling in stock returns during the war. Mohammed et al. (2023) </w:t>
      </w:r>
      <w:r w:rsidR="00BF77B9" w:rsidRPr="005F65AE">
        <w:rPr>
          <w:rFonts w:asciiTheme="majorBidi" w:hAnsiTheme="majorBidi" w:cstheme="majorBidi"/>
          <w:sz w:val="24"/>
          <w:szCs w:val="24"/>
          <w:lang w:val="en-US"/>
        </w:rPr>
        <w:t>examines</w:t>
      </w:r>
      <w:r w:rsidR="00F73658" w:rsidRPr="005F65AE">
        <w:rPr>
          <w:rFonts w:asciiTheme="majorBidi" w:hAnsiTheme="majorBidi" w:cstheme="majorBidi"/>
          <w:sz w:val="24"/>
          <w:szCs w:val="24"/>
          <w:lang w:val="en-US"/>
        </w:rPr>
        <w:t xml:space="preserve"> the reaction of different </w:t>
      </w:r>
      <w:r w:rsidR="000F0E40">
        <w:rPr>
          <w:rFonts w:asciiTheme="majorBidi" w:hAnsiTheme="majorBidi" w:cstheme="majorBidi"/>
          <w:sz w:val="24"/>
          <w:szCs w:val="24"/>
          <w:lang w:val="en-US"/>
        </w:rPr>
        <w:t>CEM</w:t>
      </w:r>
      <w:r w:rsidR="001F6BEE" w:rsidRPr="005F65AE">
        <w:rPr>
          <w:rFonts w:asciiTheme="majorBidi" w:hAnsiTheme="majorBidi" w:cstheme="majorBidi"/>
          <w:sz w:val="24"/>
          <w:szCs w:val="24"/>
          <w:lang w:val="en-US"/>
        </w:rPr>
        <w:t xml:space="preserve"> to the </w:t>
      </w:r>
      <w:r w:rsidR="000F0E40" w:rsidRPr="000F0E40">
        <w:rPr>
          <w:rFonts w:asciiTheme="majorBidi" w:hAnsiTheme="majorBidi" w:cstheme="majorBidi"/>
          <w:sz w:val="24"/>
          <w:szCs w:val="24"/>
          <w:lang w:val="en-US"/>
        </w:rPr>
        <w:t xml:space="preserve">RUW </w:t>
      </w:r>
      <w:r w:rsidR="001F6BEE" w:rsidRPr="005F65AE">
        <w:rPr>
          <w:rFonts w:asciiTheme="majorBidi" w:hAnsiTheme="majorBidi" w:cstheme="majorBidi"/>
          <w:sz w:val="24"/>
          <w:szCs w:val="24"/>
          <w:lang w:val="en-US"/>
        </w:rPr>
        <w:t>using (VAR) analysis. The</w:t>
      </w:r>
      <w:r w:rsidR="000F0E40">
        <w:rPr>
          <w:rFonts w:asciiTheme="majorBidi" w:hAnsiTheme="majorBidi" w:cstheme="majorBidi"/>
          <w:sz w:val="24"/>
          <w:szCs w:val="24"/>
          <w:lang w:val="en-US"/>
        </w:rPr>
        <w:t>y reveal</w:t>
      </w:r>
      <w:r w:rsidR="001F6BEE" w:rsidRPr="005F65AE">
        <w:rPr>
          <w:rFonts w:asciiTheme="majorBidi" w:hAnsiTheme="majorBidi" w:cstheme="majorBidi"/>
          <w:sz w:val="24"/>
          <w:szCs w:val="24"/>
          <w:lang w:val="en-US"/>
        </w:rPr>
        <w:t xml:space="preserve"> that whereas traditional energy markets were severely impacted in the post-war period, </w:t>
      </w:r>
      <w:r w:rsidR="000F0E40">
        <w:rPr>
          <w:rFonts w:asciiTheme="majorBidi" w:hAnsiTheme="majorBidi" w:cstheme="majorBidi"/>
          <w:sz w:val="24"/>
          <w:szCs w:val="24"/>
          <w:lang w:val="en-US"/>
        </w:rPr>
        <w:t xml:space="preserve">CEM </w:t>
      </w:r>
      <w:r w:rsidR="001F6BEE" w:rsidRPr="005F65AE">
        <w:rPr>
          <w:rFonts w:asciiTheme="majorBidi" w:hAnsiTheme="majorBidi" w:cstheme="majorBidi"/>
          <w:sz w:val="24"/>
          <w:szCs w:val="24"/>
          <w:lang w:val="en-US"/>
        </w:rPr>
        <w:t xml:space="preserve">had positive and large accumulated irregularities. Additionally, there is a greater pairwise return connectivity following the announcement event compared to both before and throughout </w:t>
      </w:r>
      <w:r w:rsidR="001F6BEE" w:rsidRPr="004B3423">
        <w:rPr>
          <w:rFonts w:asciiTheme="majorBidi" w:hAnsiTheme="majorBidi" w:cstheme="majorBidi"/>
          <w:sz w:val="24"/>
          <w:szCs w:val="24"/>
          <w:lang w:val="en-US"/>
        </w:rPr>
        <w:t xml:space="preserve">the </w:t>
      </w:r>
      <w:r w:rsidR="000F0E40">
        <w:rPr>
          <w:rFonts w:asciiTheme="majorBidi" w:hAnsiTheme="majorBidi" w:cstheme="majorBidi"/>
          <w:sz w:val="24"/>
          <w:szCs w:val="24"/>
          <w:lang w:val="en-US"/>
        </w:rPr>
        <w:t>RUW</w:t>
      </w:r>
      <w:r w:rsidR="001F6BEE" w:rsidRPr="004B3423">
        <w:rPr>
          <w:rFonts w:asciiTheme="majorBidi" w:hAnsiTheme="majorBidi" w:cstheme="majorBidi"/>
          <w:sz w:val="24"/>
          <w:szCs w:val="24"/>
          <w:lang w:val="en-US"/>
        </w:rPr>
        <w:t xml:space="preserve">. Where The markets for full cells and geothermal energy are the most reliable net information transmitters to </w:t>
      </w:r>
      <w:r w:rsidR="000F0E40">
        <w:rPr>
          <w:rFonts w:asciiTheme="majorBidi" w:hAnsiTheme="majorBidi" w:cstheme="majorBidi"/>
          <w:sz w:val="24"/>
          <w:szCs w:val="24"/>
          <w:lang w:val="en-US"/>
        </w:rPr>
        <w:t>CEM</w:t>
      </w:r>
      <w:r w:rsidR="001F6BEE" w:rsidRPr="004B3423">
        <w:rPr>
          <w:rFonts w:asciiTheme="majorBidi" w:hAnsiTheme="majorBidi" w:cstheme="majorBidi"/>
          <w:sz w:val="24"/>
          <w:szCs w:val="24"/>
          <w:lang w:val="en-US"/>
        </w:rPr>
        <w:t>’s sectors.</w:t>
      </w:r>
      <w:r w:rsidR="00614A5F" w:rsidRPr="004B3423">
        <w:rPr>
          <w:rFonts w:asciiTheme="majorBidi" w:hAnsiTheme="majorBidi" w:cstheme="majorBidi"/>
          <w:sz w:val="24"/>
          <w:szCs w:val="24"/>
          <w:lang w:val="en-US"/>
        </w:rPr>
        <w:t>Karkowska and Urjasz (2023) Study</w:t>
      </w:r>
      <w:r w:rsidR="00C1501D" w:rsidRPr="004B3423">
        <w:rPr>
          <w:rFonts w:asciiTheme="majorBidi" w:hAnsiTheme="majorBidi" w:cstheme="majorBidi"/>
          <w:sz w:val="24"/>
          <w:szCs w:val="24"/>
          <w:lang w:val="en-US"/>
        </w:rPr>
        <w:t xml:space="preserve"> on</w:t>
      </w:r>
      <w:r w:rsidR="00614A5F" w:rsidRPr="004B3423">
        <w:rPr>
          <w:rFonts w:asciiTheme="majorBidi" w:hAnsiTheme="majorBidi" w:cstheme="majorBidi"/>
          <w:sz w:val="24"/>
          <w:szCs w:val="24"/>
          <w:lang w:val="en-US"/>
        </w:rPr>
        <w:t xml:space="preserve"> how</w:t>
      </w:r>
      <w:r w:rsidR="00614A5F" w:rsidRPr="005F65AE">
        <w:rPr>
          <w:rFonts w:asciiTheme="majorBidi" w:hAnsiTheme="majorBidi" w:cstheme="majorBidi"/>
          <w:sz w:val="24"/>
          <w:szCs w:val="24"/>
          <w:lang w:val="en-US"/>
        </w:rPr>
        <w:t xml:space="preserve"> the </w:t>
      </w:r>
      <w:r w:rsidR="000F0E40">
        <w:rPr>
          <w:rFonts w:asciiTheme="majorBidi" w:hAnsiTheme="majorBidi" w:cstheme="majorBidi"/>
          <w:sz w:val="24"/>
          <w:szCs w:val="24"/>
          <w:lang w:val="en-US"/>
        </w:rPr>
        <w:t>RUWimpac</w:t>
      </w:r>
      <w:r w:rsidR="00614A5F" w:rsidRPr="005F65AE">
        <w:rPr>
          <w:rFonts w:asciiTheme="majorBidi" w:hAnsiTheme="majorBidi" w:cstheme="majorBidi"/>
          <w:sz w:val="24"/>
          <w:szCs w:val="24"/>
          <w:lang w:val="en-US"/>
        </w:rPr>
        <w:t>ted the volatilityspillovers of the clean and dirty energy markets on global stock indices. they f</w:t>
      </w:r>
      <w:r w:rsidR="00C1501D">
        <w:rPr>
          <w:rFonts w:asciiTheme="majorBidi" w:hAnsiTheme="majorBidi" w:cstheme="majorBidi"/>
          <w:sz w:val="24"/>
          <w:szCs w:val="24"/>
          <w:lang w:val="en-US"/>
        </w:rPr>
        <w:t>oun</w:t>
      </w:r>
      <w:r w:rsidR="00614A5F" w:rsidRPr="005F65AE">
        <w:rPr>
          <w:rFonts w:asciiTheme="majorBidi" w:hAnsiTheme="majorBidi" w:cstheme="majorBidi"/>
          <w:sz w:val="24"/>
          <w:szCs w:val="24"/>
          <w:lang w:val="en-US"/>
        </w:rPr>
        <w:t xml:space="preserve">nd that </w:t>
      </w:r>
      <w:r w:rsidR="002360F6" w:rsidRPr="005F65AE">
        <w:rPr>
          <w:rFonts w:asciiTheme="majorBidi" w:hAnsiTheme="majorBidi" w:cstheme="majorBidi"/>
          <w:sz w:val="24"/>
          <w:szCs w:val="24"/>
          <w:lang w:val="en-US"/>
        </w:rPr>
        <w:t>t</w:t>
      </w:r>
      <w:r w:rsidR="00614A5F" w:rsidRPr="005F65AE">
        <w:rPr>
          <w:rFonts w:asciiTheme="majorBidi" w:hAnsiTheme="majorBidi" w:cstheme="majorBidi"/>
          <w:sz w:val="24"/>
          <w:szCs w:val="24"/>
          <w:lang w:val="en-US"/>
        </w:rPr>
        <w:t xml:space="preserve">he cost of hedging in </w:t>
      </w:r>
      <w:r w:rsidR="00BF77B9">
        <w:rPr>
          <w:rFonts w:asciiTheme="majorBidi" w:hAnsiTheme="majorBidi" w:cstheme="majorBidi"/>
          <w:sz w:val="24"/>
          <w:szCs w:val="24"/>
          <w:lang w:val="en-US"/>
        </w:rPr>
        <w:t>CEM</w:t>
      </w:r>
      <w:r w:rsidR="00614A5F" w:rsidRPr="005F65AE">
        <w:rPr>
          <w:rFonts w:asciiTheme="majorBidi" w:hAnsiTheme="majorBidi" w:cstheme="majorBidi"/>
          <w:sz w:val="24"/>
          <w:szCs w:val="24"/>
          <w:lang w:val="en-US"/>
        </w:rPr>
        <w:t xml:space="preserve"> is greater compared to non-renewable energy indices, although clean energy indices usually exhibit lower risk than global stock markets. </w:t>
      </w:r>
    </w:p>
    <w:p w:rsidR="00BF77B9" w:rsidRPr="005F65AE" w:rsidRDefault="00BF77B9" w:rsidP="00940965">
      <w:pPr>
        <w:spacing w:after="0"/>
        <w:jc w:val="both"/>
        <w:rPr>
          <w:rFonts w:asciiTheme="majorBidi" w:hAnsiTheme="majorBidi" w:cstheme="majorBidi"/>
          <w:sz w:val="24"/>
          <w:szCs w:val="24"/>
          <w:lang w:val="en-US"/>
        </w:rPr>
      </w:pPr>
    </w:p>
    <w:p w:rsidR="0082720D" w:rsidRPr="005F65AE" w:rsidRDefault="009532BE" w:rsidP="0082720D">
      <w:pPr>
        <w:spacing w:after="0"/>
        <w:jc w:val="both"/>
        <w:rPr>
          <w:rFonts w:asciiTheme="majorBidi" w:hAnsiTheme="majorBidi" w:cstheme="majorBidi"/>
          <w:b/>
          <w:bCs/>
          <w:sz w:val="24"/>
          <w:szCs w:val="24"/>
          <w:lang w:val="en-US"/>
        </w:rPr>
      </w:pPr>
      <w:r w:rsidRPr="005F65AE">
        <w:rPr>
          <w:rFonts w:asciiTheme="majorBidi" w:hAnsiTheme="majorBidi" w:cstheme="majorBidi"/>
          <w:b/>
          <w:bCs/>
          <w:sz w:val="24"/>
          <w:szCs w:val="24"/>
          <w:lang w:val="en-US"/>
        </w:rPr>
        <w:t xml:space="preserve">3. </w:t>
      </w:r>
      <w:r w:rsidR="000804DC" w:rsidRPr="005F65AE">
        <w:rPr>
          <w:rFonts w:asciiTheme="majorBidi" w:hAnsiTheme="majorBidi" w:cstheme="majorBidi"/>
          <w:b/>
          <w:bCs/>
          <w:sz w:val="24"/>
          <w:szCs w:val="24"/>
          <w:lang w:val="en-US"/>
        </w:rPr>
        <w:t>M</w:t>
      </w:r>
      <w:r w:rsidRPr="005F65AE">
        <w:rPr>
          <w:rFonts w:asciiTheme="majorBidi" w:hAnsiTheme="majorBidi" w:cstheme="majorBidi"/>
          <w:b/>
          <w:bCs/>
          <w:sz w:val="24"/>
          <w:szCs w:val="24"/>
          <w:lang w:val="en-US"/>
        </w:rPr>
        <w:t>ethodology</w:t>
      </w:r>
    </w:p>
    <w:p w:rsidR="00E347A5" w:rsidRPr="005F65AE" w:rsidRDefault="009532BE" w:rsidP="00E347A5">
      <w:pPr>
        <w:spacing w:before="240" w:line="240" w:lineRule="auto"/>
        <w:jc w:val="both"/>
        <w:rPr>
          <w:rFonts w:asciiTheme="majorBidi" w:hAnsiTheme="majorBidi" w:cstheme="majorBidi"/>
          <w:b/>
          <w:bCs/>
          <w:sz w:val="24"/>
          <w:szCs w:val="24"/>
          <w:lang w:val="en-US"/>
        </w:rPr>
      </w:pPr>
      <w:r w:rsidRPr="005F65AE">
        <w:rPr>
          <w:rFonts w:asciiTheme="majorBidi" w:hAnsiTheme="majorBidi" w:cstheme="majorBidi"/>
          <w:b/>
          <w:bCs/>
          <w:sz w:val="24"/>
          <w:szCs w:val="24"/>
          <w:lang w:val="en-US"/>
        </w:rPr>
        <w:t>3.1 Data</w:t>
      </w:r>
    </w:p>
    <w:p w:rsidR="009532BE" w:rsidRPr="005F65AE" w:rsidRDefault="00D3452F" w:rsidP="00A31851">
      <w:pPr>
        <w:spacing w:after="0" w:line="240" w:lineRule="auto"/>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t>This study</w:t>
      </w:r>
      <w:r w:rsidR="009532BE" w:rsidRPr="005F65AE">
        <w:rPr>
          <w:rFonts w:asciiTheme="majorBidi" w:hAnsiTheme="majorBidi" w:cstheme="majorBidi"/>
          <w:sz w:val="24"/>
          <w:szCs w:val="24"/>
          <w:lang w:val="en-US"/>
        </w:rPr>
        <w:t xml:space="preserve"> used daily</w:t>
      </w:r>
      <w:r w:rsidRPr="005F65AE">
        <w:rPr>
          <w:rFonts w:asciiTheme="majorBidi" w:hAnsiTheme="majorBidi" w:cstheme="majorBidi"/>
          <w:sz w:val="24"/>
          <w:szCs w:val="24"/>
          <w:lang w:val="en-US"/>
        </w:rPr>
        <w:t xml:space="preserve"> closing prices</w:t>
      </w:r>
      <w:r w:rsidR="009532BE" w:rsidRPr="005F65AE">
        <w:rPr>
          <w:rFonts w:asciiTheme="majorBidi" w:hAnsiTheme="majorBidi" w:cstheme="majorBidi"/>
          <w:sz w:val="24"/>
          <w:szCs w:val="24"/>
          <w:lang w:val="en-US"/>
        </w:rPr>
        <w:t xml:space="preserve"> data </w:t>
      </w:r>
      <w:r w:rsidR="003F7631" w:rsidRPr="005F65AE">
        <w:rPr>
          <w:rFonts w:asciiTheme="majorBidi" w:hAnsiTheme="majorBidi" w:cstheme="majorBidi"/>
          <w:sz w:val="24"/>
          <w:szCs w:val="24"/>
          <w:lang w:val="en-US"/>
        </w:rPr>
        <w:t>of brent</w:t>
      </w:r>
      <w:r w:rsidRPr="005F65AE">
        <w:rPr>
          <w:rFonts w:asciiTheme="majorBidi" w:hAnsiTheme="majorBidi" w:cstheme="majorBidi"/>
          <w:sz w:val="24"/>
          <w:szCs w:val="24"/>
          <w:lang w:val="en-US"/>
        </w:rPr>
        <w:t xml:space="preserve"> oil futures</w:t>
      </w:r>
      <w:r w:rsidR="009404BA" w:rsidRPr="005F65AE">
        <w:rPr>
          <w:rFonts w:asciiTheme="majorBidi" w:hAnsiTheme="majorBidi" w:cstheme="majorBidi"/>
          <w:sz w:val="24"/>
          <w:szCs w:val="24"/>
          <w:lang w:val="en-US"/>
        </w:rPr>
        <w:t xml:space="preserve"> (OIL)</w:t>
      </w:r>
      <w:r w:rsidRPr="005F65AE">
        <w:rPr>
          <w:rFonts w:asciiTheme="majorBidi" w:hAnsiTheme="majorBidi" w:cstheme="majorBidi"/>
          <w:sz w:val="24"/>
          <w:szCs w:val="24"/>
          <w:lang w:val="en-US"/>
        </w:rPr>
        <w:t>, four clean energy market indexes:NASDAQ OMX Solar Index</w:t>
      </w:r>
      <w:r w:rsidR="009404BA" w:rsidRPr="005F65AE">
        <w:rPr>
          <w:rFonts w:asciiTheme="majorBidi" w:hAnsiTheme="majorBidi" w:cstheme="majorBidi"/>
          <w:sz w:val="24"/>
          <w:szCs w:val="24"/>
          <w:lang w:val="en-US"/>
        </w:rPr>
        <w:t xml:space="preserve"> (SLR)</w:t>
      </w:r>
      <w:r w:rsidRPr="005F65AE">
        <w:rPr>
          <w:rFonts w:asciiTheme="majorBidi" w:hAnsiTheme="majorBidi" w:cstheme="majorBidi"/>
          <w:sz w:val="24"/>
          <w:szCs w:val="24"/>
          <w:lang w:val="en-US"/>
        </w:rPr>
        <w:t>, NASDAQ OMX Wind Index</w:t>
      </w:r>
      <w:r w:rsidR="009404BA" w:rsidRPr="005F65AE">
        <w:rPr>
          <w:rFonts w:asciiTheme="majorBidi" w:hAnsiTheme="majorBidi" w:cstheme="majorBidi"/>
          <w:sz w:val="24"/>
          <w:szCs w:val="24"/>
          <w:lang w:val="en-US"/>
        </w:rPr>
        <w:t xml:space="preserve"> (WND)</w:t>
      </w:r>
      <w:r w:rsidRPr="005F65AE">
        <w:rPr>
          <w:rFonts w:asciiTheme="majorBidi" w:hAnsiTheme="majorBidi" w:cstheme="majorBidi"/>
          <w:sz w:val="24"/>
          <w:szCs w:val="24"/>
          <w:lang w:val="en-US"/>
        </w:rPr>
        <w:t xml:space="preserve">, NASDAQ OMX </w:t>
      </w:r>
      <w:r w:rsidR="00F8602F" w:rsidRPr="005F65AE">
        <w:rPr>
          <w:rFonts w:asciiTheme="majorBidi" w:hAnsiTheme="majorBidi" w:cstheme="majorBidi"/>
          <w:sz w:val="24"/>
          <w:szCs w:val="24"/>
          <w:lang w:val="en-US"/>
        </w:rPr>
        <w:t>Biofuels</w:t>
      </w:r>
      <w:r w:rsidRPr="005F65AE">
        <w:rPr>
          <w:rFonts w:asciiTheme="majorBidi" w:hAnsiTheme="majorBidi" w:cstheme="majorBidi"/>
          <w:sz w:val="24"/>
          <w:szCs w:val="24"/>
          <w:lang w:val="en-US"/>
        </w:rPr>
        <w:t xml:space="preserve"> Index </w:t>
      </w:r>
      <w:r w:rsidR="009404BA" w:rsidRPr="005F65AE">
        <w:rPr>
          <w:rFonts w:asciiTheme="majorBidi" w:hAnsiTheme="majorBidi" w:cstheme="majorBidi"/>
          <w:sz w:val="24"/>
          <w:szCs w:val="24"/>
          <w:lang w:val="en-US"/>
        </w:rPr>
        <w:t xml:space="preserve">(BFL) </w:t>
      </w:r>
      <w:r w:rsidR="00BC757E" w:rsidRPr="005F65AE">
        <w:rPr>
          <w:rFonts w:asciiTheme="majorBidi" w:hAnsiTheme="majorBidi" w:cstheme="majorBidi"/>
          <w:sz w:val="24"/>
          <w:szCs w:val="24"/>
          <w:lang w:val="en-US"/>
        </w:rPr>
        <w:t>and NASDAQ</w:t>
      </w:r>
      <w:r w:rsidRPr="005F65AE">
        <w:rPr>
          <w:rFonts w:asciiTheme="majorBidi" w:hAnsiTheme="majorBidi" w:cstheme="majorBidi"/>
          <w:sz w:val="24"/>
          <w:szCs w:val="24"/>
          <w:lang w:val="en-US"/>
        </w:rPr>
        <w:t xml:space="preserve"> OMX Geothermal Index</w:t>
      </w:r>
      <w:r w:rsidR="009404BA" w:rsidRPr="005F65AE">
        <w:rPr>
          <w:rFonts w:asciiTheme="majorBidi" w:hAnsiTheme="majorBidi" w:cstheme="majorBidi"/>
          <w:sz w:val="24"/>
          <w:szCs w:val="24"/>
          <w:lang w:val="en-US"/>
        </w:rPr>
        <w:t xml:space="preserve"> (GTM)</w:t>
      </w:r>
      <w:r w:rsidR="00BC757E" w:rsidRPr="005F65AE">
        <w:rPr>
          <w:rFonts w:asciiTheme="majorBidi" w:hAnsiTheme="majorBidi" w:cstheme="majorBidi"/>
          <w:sz w:val="24"/>
          <w:szCs w:val="24"/>
          <w:lang w:val="en-US"/>
        </w:rPr>
        <w:t xml:space="preserve">. All the data was collected frominvesting.com website, </w:t>
      </w:r>
      <w:r w:rsidR="00C16891" w:rsidRPr="005F65AE">
        <w:rPr>
          <w:rFonts w:asciiTheme="majorBidi" w:hAnsiTheme="majorBidi" w:cstheme="majorBidi"/>
          <w:sz w:val="24"/>
          <w:szCs w:val="24"/>
          <w:lang w:val="en-US"/>
        </w:rPr>
        <w:t xml:space="preserve">in the </w:t>
      </w:r>
      <w:r w:rsidR="009532BE" w:rsidRPr="005F65AE">
        <w:rPr>
          <w:rFonts w:asciiTheme="majorBidi" w:hAnsiTheme="majorBidi" w:cstheme="majorBidi"/>
          <w:sz w:val="24"/>
          <w:szCs w:val="24"/>
          <w:lang w:val="en-US"/>
        </w:rPr>
        <w:t xml:space="preserve">period </w:t>
      </w:r>
      <w:r w:rsidR="00C16891" w:rsidRPr="005F65AE">
        <w:rPr>
          <w:rFonts w:asciiTheme="majorBidi" w:hAnsiTheme="majorBidi" w:cstheme="majorBidi"/>
          <w:sz w:val="24"/>
          <w:szCs w:val="24"/>
          <w:lang w:val="en-US"/>
        </w:rPr>
        <w:t>from</w:t>
      </w:r>
      <w:r w:rsidR="009B16B5" w:rsidRPr="005F65AE">
        <w:rPr>
          <w:rFonts w:asciiTheme="majorBidi" w:hAnsiTheme="majorBidi" w:cstheme="majorBidi"/>
          <w:sz w:val="24"/>
          <w:szCs w:val="24"/>
          <w:lang w:val="en-US"/>
        </w:rPr>
        <w:t xml:space="preserve">02 </w:t>
      </w:r>
      <w:r w:rsidR="009532BE" w:rsidRPr="005F65AE">
        <w:rPr>
          <w:rFonts w:asciiTheme="majorBidi" w:hAnsiTheme="majorBidi" w:cstheme="majorBidi"/>
          <w:sz w:val="24"/>
          <w:szCs w:val="24"/>
          <w:lang w:val="en-US"/>
        </w:rPr>
        <w:t>January 20</w:t>
      </w:r>
      <w:r w:rsidR="00BC757E" w:rsidRPr="005F65AE">
        <w:rPr>
          <w:rFonts w:asciiTheme="majorBidi" w:hAnsiTheme="majorBidi" w:cstheme="majorBidi"/>
          <w:sz w:val="24"/>
          <w:szCs w:val="24"/>
          <w:lang w:val="en-US"/>
        </w:rPr>
        <w:t>13</w:t>
      </w:r>
      <w:r w:rsidR="00C16891" w:rsidRPr="005F65AE">
        <w:rPr>
          <w:rFonts w:asciiTheme="majorBidi" w:hAnsiTheme="majorBidi" w:cstheme="majorBidi"/>
          <w:sz w:val="24"/>
          <w:szCs w:val="24"/>
          <w:lang w:val="en-US"/>
        </w:rPr>
        <w:t>to</w:t>
      </w:r>
      <w:r w:rsidR="00BC757E" w:rsidRPr="005F65AE">
        <w:rPr>
          <w:rFonts w:asciiTheme="majorBidi" w:hAnsiTheme="majorBidi" w:cstheme="majorBidi"/>
          <w:sz w:val="24"/>
          <w:szCs w:val="24"/>
          <w:lang w:val="en-US"/>
        </w:rPr>
        <w:t>15</w:t>
      </w:r>
      <w:r w:rsidR="00887D8B" w:rsidRPr="005F65AE">
        <w:rPr>
          <w:rFonts w:asciiTheme="majorBidi" w:hAnsiTheme="majorBidi" w:cstheme="majorBidi"/>
          <w:sz w:val="24"/>
          <w:szCs w:val="24"/>
          <w:lang w:val="en-US"/>
        </w:rPr>
        <w:t>Ju</w:t>
      </w:r>
      <w:r w:rsidR="00BC757E" w:rsidRPr="005F65AE">
        <w:rPr>
          <w:rFonts w:asciiTheme="majorBidi" w:hAnsiTheme="majorBidi" w:cstheme="majorBidi"/>
          <w:sz w:val="24"/>
          <w:szCs w:val="24"/>
          <w:lang w:val="en-US"/>
        </w:rPr>
        <w:t>ly</w:t>
      </w:r>
      <w:r w:rsidR="009532BE" w:rsidRPr="005F65AE">
        <w:rPr>
          <w:rFonts w:asciiTheme="majorBidi" w:hAnsiTheme="majorBidi" w:cstheme="majorBidi"/>
          <w:sz w:val="24"/>
          <w:szCs w:val="24"/>
          <w:lang w:val="en-US"/>
        </w:rPr>
        <w:t xml:space="preserve"> 2023, as displayed in </w:t>
      </w:r>
      <w:r w:rsidR="00E94A39" w:rsidRPr="005F65AE">
        <w:rPr>
          <w:rFonts w:asciiTheme="majorBidi" w:hAnsiTheme="majorBidi" w:cstheme="majorBidi"/>
          <w:sz w:val="24"/>
          <w:szCs w:val="24"/>
          <w:lang w:val="en-US"/>
        </w:rPr>
        <w:t>Figure 01</w:t>
      </w:r>
      <w:r w:rsidR="00BC757E" w:rsidRPr="005F65AE">
        <w:rPr>
          <w:rFonts w:asciiTheme="majorBidi" w:hAnsiTheme="majorBidi" w:cstheme="majorBidi"/>
          <w:sz w:val="24"/>
          <w:szCs w:val="24"/>
          <w:lang w:val="en-US"/>
        </w:rPr>
        <w:t>.</w:t>
      </w:r>
    </w:p>
    <w:p w:rsidR="001C69CE" w:rsidRDefault="001C69CE" w:rsidP="00A31851">
      <w:pPr>
        <w:spacing w:after="0" w:line="240" w:lineRule="auto"/>
        <w:ind w:firstLine="284"/>
        <w:jc w:val="both"/>
        <w:rPr>
          <w:rFonts w:asciiTheme="majorBidi" w:hAnsiTheme="majorBidi" w:cstheme="majorBidi"/>
          <w:sz w:val="24"/>
          <w:szCs w:val="24"/>
          <w:lang w:val="en-US"/>
        </w:rPr>
      </w:pPr>
    </w:p>
    <w:p w:rsidR="00BF77B9" w:rsidRDefault="00BF77B9" w:rsidP="00A31851">
      <w:pPr>
        <w:spacing w:after="0" w:line="240" w:lineRule="auto"/>
        <w:ind w:firstLine="284"/>
        <w:jc w:val="both"/>
        <w:rPr>
          <w:rFonts w:asciiTheme="majorBidi" w:hAnsiTheme="majorBidi" w:cstheme="majorBidi"/>
          <w:sz w:val="24"/>
          <w:szCs w:val="24"/>
          <w:lang w:val="en-US"/>
        </w:rPr>
      </w:pPr>
    </w:p>
    <w:p w:rsidR="00BF77B9" w:rsidRDefault="00BF77B9" w:rsidP="00A31851">
      <w:pPr>
        <w:spacing w:after="0" w:line="240" w:lineRule="auto"/>
        <w:ind w:firstLine="284"/>
        <w:jc w:val="both"/>
        <w:rPr>
          <w:rFonts w:asciiTheme="majorBidi" w:hAnsiTheme="majorBidi" w:cstheme="majorBidi"/>
          <w:sz w:val="24"/>
          <w:szCs w:val="24"/>
          <w:lang w:val="en-US"/>
        </w:rPr>
      </w:pPr>
    </w:p>
    <w:p w:rsidR="00BF77B9" w:rsidRDefault="00BF77B9" w:rsidP="00A31851">
      <w:pPr>
        <w:spacing w:after="0" w:line="240" w:lineRule="auto"/>
        <w:ind w:firstLine="284"/>
        <w:jc w:val="both"/>
        <w:rPr>
          <w:rFonts w:asciiTheme="majorBidi" w:hAnsiTheme="majorBidi" w:cstheme="majorBidi"/>
          <w:sz w:val="24"/>
          <w:szCs w:val="24"/>
          <w:lang w:val="en-US"/>
        </w:rPr>
      </w:pPr>
    </w:p>
    <w:p w:rsidR="00BF77B9" w:rsidRDefault="00BF77B9" w:rsidP="00A31851">
      <w:pPr>
        <w:spacing w:after="0" w:line="240" w:lineRule="auto"/>
        <w:ind w:firstLine="284"/>
        <w:jc w:val="both"/>
        <w:rPr>
          <w:rFonts w:asciiTheme="majorBidi" w:hAnsiTheme="majorBidi" w:cstheme="majorBidi"/>
          <w:sz w:val="24"/>
          <w:szCs w:val="24"/>
          <w:lang w:val="en-US"/>
        </w:rPr>
      </w:pPr>
    </w:p>
    <w:p w:rsidR="00BF77B9" w:rsidRDefault="00BF77B9" w:rsidP="00A31851">
      <w:pPr>
        <w:spacing w:after="0" w:line="240" w:lineRule="auto"/>
        <w:ind w:firstLine="284"/>
        <w:jc w:val="both"/>
        <w:rPr>
          <w:rFonts w:asciiTheme="majorBidi" w:hAnsiTheme="majorBidi" w:cstheme="majorBidi"/>
          <w:sz w:val="24"/>
          <w:szCs w:val="24"/>
          <w:lang w:val="en-US"/>
        </w:rPr>
      </w:pPr>
    </w:p>
    <w:p w:rsidR="00BF77B9" w:rsidRDefault="00BF77B9" w:rsidP="00A31851">
      <w:pPr>
        <w:spacing w:after="0" w:line="240" w:lineRule="auto"/>
        <w:ind w:firstLine="284"/>
        <w:jc w:val="both"/>
        <w:rPr>
          <w:rFonts w:asciiTheme="majorBidi" w:hAnsiTheme="majorBidi" w:cstheme="majorBidi"/>
          <w:sz w:val="24"/>
          <w:szCs w:val="24"/>
          <w:lang w:val="en-US"/>
        </w:rPr>
      </w:pPr>
    </w:p>
    <w:p w:rsidR="00BF77B9" w:rsidRDefault="00BF77B9" w:rsidP="00A31851">
      <w:pPr>
        <w:spacing w:after="0" w:line="240" w:lineRule="auto"/>
        <w:ind w:firstLine="284"/>
        <w:jc w:val="both"/>
        <w:rPr>
          <w:rFonts w:asciiTheme="majorBidi" w:hAnsiTheme="majorBidi" w:cstheme="majorBidi"/>
          <w:sz w:val="24"/>
          <w:szCs w:val="24"/>
          <w:lang w:val="en-US"/>
        </w:rPr>
      </w:pPr>
    </w:p>
    <w:p w:rsidR="00BF77B9" w:rsidRDefault="00BF77B9" w:rsidP="00A31851">
      <w:pPr>
        <w:spacing w:after="0" w:line="240" w:lineRule="auto"/>
        <w:ind w:firstLine="284"/>
        <w:jc w:val="both"/>
        <w:rPr>
          <w:rFonts w:asciiTheme="majorBidi" w:hAnsiTheme="majorBidi" w:cstheme="majorBidi"/>
          <w:sz w:val="24"/>
          <w:szCs w:val="24"/>
          <w:lang w:val="en-US"/>
        </w:rPr>
      </w:pPr>
    </w:p>
    <w:p w:rsidR="00320F76" w:rsidRDefault="00320F76" w:rsidP="00A31851">
      <w:pPr>
        <w:spacing w:after="0" w:line="240" w:lineRule="auto"/>
        <w:ind w:firstLine="284"/>
        <w:jc w:val="both"/>
        <w:rPr>
          <w:rFonts w:asciiTheme="majorBidi" w:hAnsiTheme="majorBidi" w:cstheme="majorBidi"/>
          <w:sz w:val="24"/>
          <w:szCs w:val="24"/>
          <w:lang w:val="en-US"/>
        </w:rPr>
      </w:pPr>
    </w:p>
    <w:p w:rsidR="00320F76" w:rsidRPr="005F65AE" w:rsidRDefault="00320F76" w:rsidP="00A31851">
      <w:pPr>
        <w:spacing w:after="0" w:line="240" w:lineRule="auto"/>
        <w:ind w:firstLine="284"/>
        <w:jc w:val="both"/>
        <w:rPr>
          <w:rFonts w:asciiTheme="majorBidi" w:hAnsiTheme="majorBidi" w:cstheme="majorBidi"/>
          <w:sz w:val="24"/>
          <w:szCs w:val="24"/>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3"/>
        <w:gridCol w:w="2429"/>
        <w:gridCol w:w="2532"/>
        <w:gridCol w:w="2588"/>
      </w:tblGrid>
      <w:tr w:rsidR="005F65AE" w:rsidRPr="005F65AE" w:rsidTr="00336943">
        <w:trPr>
          <w:trHeight w:val="240"/>
        </w:trPr>
        <w:tc>
          <w:tcPr>
            <w:tcW w:w="2350" w:type="dxa"/>
          </w:tcPr>
          <w:p w:rsidR="00336943" w:rsidRPr="005F65AE" w:rsidRDefault="00336943" w:rsidP="00336943">
            <w:pPr>
              <w:jc w:val="center"/>
              <w:rPr>
                <w:b/>
                <w:bCs/>
                <w:sz w:val="18"/>
                <w:szCs w:val="18"/>
                <w:lang w:val="en-US"/>
              </w:rPr>
            </w:pPr>
          </w:p>
          <w:p w:rsidR="00336943" w:rsidRPr="005F65AE" w:rsidRDefault="00336943" w:rsidP="00336943">
            <w:pPr>
              <w:jc w:val="center"/>
              <w:rPr>
                <w:b/>
                <w:bCs/>
                <w:sz w:val="18"/>
                <w:szCs w:val="18"/>
                <w:lang w:val="en-US"/>
              </w:rPr>
            </w:pPr>
            <w:r w:rsidRPr="005F65AE">
              <w:rPr>
                <w:b/>
                <w:bCs/>
                <w:sz w:val="18"/>
                <w:szCs w:val="18"/>
                <w:lang w:val="en-US"/>
              </w:rPr>
              <w:t>Solar energy index</w:t>
            </w:r>
          </w:p>
        </w:tc>
        <w:tc>
          <w:tcPr>
            <w:tcW w:w="2393" w:type="dxa"/>
          </w:tcPr>
          <w:p w:rsidR="00336943" w:rsidRPr="005F65AE" w:rsidRDefault="00336943" w:rsidP="00336943">
            <w:pPr>
              <w:jc w:val="center"/>
              <w:rPr>
                <w:b/>
                <w:bCs/>
                <w:sz w:val="18"/>
                <w:szCs w:val="18"/>
                <w:lang w:val="en-US"/>
              </w:rPr>
            </w:pPr>
          </w:p>
          <w:p w:rsidR="00336943" w:rsidRPr="005F65AE" w:rsidRDefault="00336943" w:rsidP="00336943">
            <w:pPr>
              <w:jc w:val="center"/>
              <w:rPr>
                <w:b/>
                <w:bCs/>
                <w:sz w:val="18"/>
                <w:szCs w:val="18"/>
                <w:lang w:val="en-US"/>
              </w:rPr>
            </w:pPr>
            <w:r w:rsidRPr="005F65AE">
              <w:rPr>
                <w:b/>
                <w:bCs/>
                <w:sz w:val="18"/>
                <w:szCs w:val="18"/>
                <w:lang w:val="en-US"/>
              </w:rPr>
              <w:t>Wind energy index</w:t>
            </w:r>
          </w:p>
        </w:tc>
        <w:tc>
          <w:tcPr>
            <w:tcW w:w="2466" w:type="dxa"/>
          </w:tcPr>
          <w:p w:rsidR="00336943" w:rsidRPr="005F65AE" w:rsidRDefault="00336943" w:rsidP="00336943">
            <w:pPr>
              <w:jc w:val="center"/>
              <w:rPr>
                <w:b/>
                <w:bCs/>
                <w:sz w:val="18"/>
                <w:szCs w:val="18"/>
                <w:lang w:val="en-US"/>
              </w:rPr>
            </w:pPr>
          </w:p>
          <w:p w:rsidR="00336943" w:rsidRPr="005F65AE" w:rsidRDefault="00336943" w:rsidP="00336943">
            <w:pPr>
              <w:jc w:val="center"/>
              <w:rPr>
                <w:b/>
                <w:bCs/>
                <w:sz w:val="18"/>
                <w:szCs w:val="18"/>
                <w:lang w:val="en-US"/>
              </w:rPr>
            </w:pPr>
            <w:r w:rsidRPr="005F65AE">
              <w:rPr>
                <w:b/>
                <w:bCs/>
                <w:sz w:val="18"/>
                <w:szCs w:val="18"/>
                <w:lang w:val="en-US"/>
              </w:rPr>
              <w:t>Biofuels energy index</w:t>
            </w:r>
          </w:p>
        </w:tc>
        <w:tc>
          <w:tcPr>
            <w:tcW w:w="2537" w:type="dxa"/>
          </w:tcPr>
          <w:p w:rsidR="00336943" w:rsidRPr="005F65AE" w:rsidRDefault="00336943" w:rsidP="00336943">
            <w:pPr>
              <w:jc w:val="center"/>
              <w:rPr>
                <w:b/>
                <w:bCs/>
                <w:sz w:val="18"/>
                <w:szCs w:val="18"/>
                <w:lang w:val="en-US"/>
              </w:rPr>
            </w:pPr>
          </w:p>
          <w:p w:rsidR="00336943" w:rsidRPr="005F65AE" w:rsidRDefault="00336943" w:rsidP="00336943">
            <w:pPr>
              <w:jc w:val="center"/>
              <w:rPr>
                <w:b/>
                <w:bCs/>
                <w:sz w:val="18"/>
                <w:szCs w:val="18"/>
                <w:lang w:val="en-US"/>
              </w:rPr>
            </w:pPr>
            <w:r w:rsidRPr="005F65AE">
              <w:rPr>
                <w:b/>
                <w:bCs/>
                <w:sz w:val="18"/>
                <w:szCs w:val="18"/>
                <w:lang w:val="en-US"/>
              </w:rPr>
              <w:t>Geothermal energy index</w:t>
            </w:r>
          </w:p>
        </w:tc>
      </w:tr>
      <w:tr w:rsidR="005F65AE" w:rsidRPr="005F65AE" w:rsidTr="00336943">
        <w:trPr>
          <w:trHeight w:val="1323"/>
        </w:trPr>
        <w:tc>
          <w:tcPr>
            <w:tcW w:w="2350" w:type="dxa"/>
          </w:tcPr>
          <w:p w:rsidR="00336943" w:rsidRPr="005F65AE" w:rsidRDefault="00336943" w:rsidP="00336943">
            <w:pPr>
              <w:ind w:hanging="118"/>
              <w:jc w:val="both"/>
              <w:rPr>
                <w:b/>
                <w:bCs/>
                <w:sz w:val="18"/>
                <w:szCs w:val="18"/>
                <w:lang w:val="en-US"/>
              </w:rPr>
            </w:pPr>
            <w:r w:rsidRPr="005F65AE">
              <w:rPr>
                <w:sz w:val="24"/>
                <w:szCs w:val="24"/>
              </w:rPr>
              <w:object w:dxaOrig="7080" w:dyaOrig="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64.5pt" o:ole="">
                  <v:imagedata r:id="rId8" o:title=""/>
                </v:shape>
                <o:OLEObject Type="Embed" ProgID="PBrush" ShapeID="_x0000_i1025" DrawAspect="Content" ObjectID="_1755553532" r:id="rId9"/>
              </w:object>
            </w:r>
          </w:p>
        </w:tc>
        <w:tc>
          <w:tcPr>
            <w:tcW w:w="2393" w:type="dxa"/>
          </w:tcPr>
          <w:p w:rsidR="00336943" w:rsidRPr="005F65AE" w:rsidRDefault="00336943" w:rsidP="00336943">
            <w:pPr>
              <w:ind w:left="-112"/>
              <w:jc w:val="both"/>
              <w:rPr>
                <w:b/>
                <w:bCs/>
                <w:sz w:val="18"/>
                <w:szCs w:val="18"/>
                <w:lang w:val="en-US"/>
              </w:rPr>
            </w:pPr>
            <w:r w:rsidRPr="005F65AE">
              <w:rPr>
                <w:sz w:val="24"/>
                <w:szCs w:val="24"/>
              </w:rPr>
              <w:object w:dxaOrig="7095" w:dyaOrig="4005">
                <v:shape id="_x0000_i1026" type="#_x0000_t75" style="width:116.25pt;height:65.25pt" o:ole="">
                  <v:imagedata r:id="rId10" o:title=""/>
                </v:shape>
                <o:OLEObject Type="Embed" ProgID="PBrush" ShapeID="_x0000_i1026" DrawAspect="Content" ObjectID="_1755553533" r:id="rId11"/>
              </w:object>
            </w:r>
          </w:p>
        </w:tc>
        <w:tc>
          <w:tcPr>
            <w:tcW w:w="2466" w:type="dxa"/>
          </w:tcPr>
          <w:p w:rsidR="00336943" w:rsidRPr="005F65AE" w:rsidRDefault="00336943" w:rsidP="00336943">
            <w:pPr>
              <w:ind w:left="-98"/>
              <w:jc w:val="both"/>
              <w:rPr>
                <w:b/>
                <w:bCs/>
                <w:sz w:val="18"/>
                <w:szCs w:val="18"/>
                <w:lang w:val="en-US"/>
              </w:rPr>
            </w:pPr>
            <w:r w:rsidRPr="005F65AE">
              <w:rPr>
                <w:sz w:val="24"/>
                <w:szCs w:val="24"/>
              </w:rPr>
              <w:object w:dxaOrig="7065" w:dyaOrig="3945">
                <v:shape id="_x0000_i1027" type="#_x0000_t75" style="width:120.75pt;height:66.75pt" o:ole="">
                  <v:imagedata r:id="rId12" o:title=""/>
                </v:shape>
                <o:OLEObject Type="Embed" ProgID="PBrush" ShapeID="_x0000_i1027" DrawAspect="Content" ObjectID="_1755553534" r:id="rId13"/>
              </w:object>
            </w:r>
          </w:p>
        </w:tc>
        <w:tc>
          <w:tcPr>
            <w:tcW w:w="2537" w:type="dxa"/>
          </w:tcPr>
          <w:p w:rsidR="00336943" w:rsidRPr="005F65AE" w:rsidRDefault="00336943" w:rsidP="00336943">
            <w:pPr>
              <w:ind w:left="-86"/>
              <w:jc w:val="both"/>
              <w:rPr>
                <w:b/>
                <w:bCs/>
                <w:sz w:val="18"/>
                <w:szCs w:val="18"/>
                <w:lang w:val="en-US"/>
              </w:rPr>
            </w:pPr>
            <w:r w:rsidRPr="005F65AE">
              <w:rPr>
                <w:sz w:val="24"/>
                <w:szCs w:val="24"/>
              </w:rPr>
              <w:object w:dxaOrig="7050" w:dyaOrig="4050">
                <v:shape id="_x0000_i1028" type="#_x0000_t75" style="width:123pt;height:69.75pt" o:ole="">
                  <v:imagedata r:id="rId14" o:title=""/>
                </v:shape>
                <o:OLEObject Type="Embed" ProgID="PBrush" ShapeID="_x0000_i1028" DrawAspect="Content" ObjectID="_1755553535" r:id="rId15"/>
              </w:object>
            </w:r>
          </w:p>
        </w:tc>
      </w:tr>
      <w:tr w:rsidR="005F65AE" w:rsidRPr="005F65AE" w:rsidTr="00336943">
        <w:trPr>
          <w:gridAfter w:val="3"/>
          <w:wAfter w:w="7396" w:type="dxa"/>
          <w:trHeight w:val="240"/>
        </w:trPr>
        <w:tc>
          <w:tcPr>
            <w:tcW w:w="2350" w:type="dxa"/>
          </w:tcPr>
          <w:p w:rsidR="00336943" w:rsidRPr="005F65AE" w:rsidRDefault="00336943" w:rsidP="00336943">
            <w:pPr>
              <w:jc w:val="center"/>
              <w:rPr>
                <w:b/>
                <w:bCs/>
                <w:sz w:val="18"/>
                <w:szCs w:val="18"/>
                <w:lang w:val="en-US"/>
              </w:rPr>
            </w:pPr>
          </w:p>
          <w:p w:rsidR="00336943" w:rsidRPr="005F65AE" w:rsidRDefault="00336943" w:rsidP="00336943">
            <w:pPr>
              <w:jc w:val="center"/>
              <w:rPr>
                <w:b/>
                <w:bCs/>
                <w:sz w:val="18"/>
                <w:szCs w:val="18"/>
                <w:lang w:val="en-US"/>
              </w:rPr>
            </w:pPr>
            <w:r w:rsidRPr="005F65AE">
              <w:rPr>
                <w:b/>
                <w:bCs/>
                <w:sz w:val="18"/>
                <w:szCs w:val="18"/>
                <w:lang w:val="en-US"/>
              </w:rPr>
              <w:t>Brent oil futures</w:t>
            </w:r>
          </w:p>
        </w:tc>
      </w:tr>
      <w:tr w:rsidR="005F65AE" w:rsidRPr="005F65AE" w:rsidTr="00336943">
        <w:trPr>
          <w:gridAfter w:val="3"/>
          <w:wAfter w:w="7396" w:type="dxa"/>
          <w:trHeight w:val="1443"/>
        </w:trPr>
        <w:tc>
          <w:tcPr>
            <w:tcW w:w="2350" w:type="dxa"/>
          </w:tcPr>
          <w:p w:rsidR="00336943" w:rsidRPr="005F65AE" w:rsidRDefault="00336943" w:rsidP="00336943">
            <w:pPr>
              <w:ind w:left="-107"/>
              <w:jc w:val="both"/>
              <w:rPr>
                <w:b/>
                <w:bCs/>
                <w:sz w:val="24"/>
                <w:szCs w:val="24"/>
                <w:lang w:val="en-US"/>
              </w:rPr>
            </w:pPr>
            <w:r w:rsidRPr="005F65AE">
              <w:rPr>
                <w:sz w:val="18"/>
                <w:szCs w:val="18"/>
              </w:rPr>
              <w:object w:dxaOrig="7035" w:dyaOrig="4140">
                <v:shape id="_x0000_i1029" type="#_x0000_t75" style="width:115.5pt;height:66.75pt" o:ole="">
                  <v:imagedata r:id="rId16" o:title=""/>
                </v:shape>
                <o:OLEObject Type="Embed" ProgID="PBrush" ShapeID="_x0000_i1029" DrawAspect="Content" ObjectID="_1755553536" r:id="rId17"/>
              </w:object>
            </w:r>
          </w:p>
        </w:tc>
      </w:tr>
    </w:tbl>
    <w:p w:rsidR="001C69CE" w:rsidRPr="005F65AE" w:rsidRDefault="001870CC" w:rsidP="001870CC">
      <w:pPr>
        <w:spacing w:after="0" w:line="240" w:lineRule="auto"/>
        <w:rPr>
          <w:rFonts w:asciiTheme="majorBidi" w:hAnsiTheme="majorBidi" w:cstheme="majorBidi"/>
          <w:sz w:val="24"/>
          <w:szCs w:val="24"/>
          <w:lang w:val="en-US"/>
        </w:rPr>
      </w:pPr>
      <w:r w:rsidRPr="005F65AE">
        <w:rPr>
          <w:rFonts w:asciiTheme="majorBidi" w:hAnsiTheme="majorBidi" w:cstheme="majorBidi"/>
          <w:b/>
          <w:bCs/>
          <w:lang w:val="en-US"/>
        </w:rPr>
        <w:t>Figure 01:</w:t>
      </w:r>
      <w:r w:rsidRPr="005F65AE">
        <w:rPr>
          <w:rFonts w:asciiTheme="majorBidi" w:hAnsiTheme="majorBidi" w:cstheme="majorBidi"/>
          <w:lang w:val="en-US"/>
        </w:rPr>
        <w:t xml:space="preserve"> Evolution of energy market’s prices</w:t>
      </w:r>
    </w:p>
    <w:p w:rsidR="00C82C8A" w:rsidRPr="005F65AE" w:rsidRDefault="00C82C8A" w:rsidP="00A31851">
      <w:pPr>
        <w:spacing w:after="0" w:line="240" w:lineRule="auto"/>
        <w:ind w:firstLine="284"/>
        <w:jc w:val="both"/>
        <w:rPr>
          <w:rFonts w:asciiTheme="majorBidi" w:hAnsiTheme="majorBidi" w:cstheme="majorBidi"/>
          <w:sz w:val="24"/>
          <w:szCs w:val="24"/>
          <w:lang w:val="en-US"/>
        </w:rPr>
      </w:pPr>
    </w:p>
    <w:p w:rsidR="00FF5F5E" w:rsidRPr="005F65AE" w:rsidRDefault="0060174B" w:rsidP="00940965">
      <w:pPr>
        <w:spacing w:line="240" w:lineRule="auto"/>
        <w:jc w:val="both"/>
        <w:rPr>
          <w:rFonts w:asciiTheme="majorBidi" w:hAnsiTheme="majorBidi" w:cstheme="majorBidi"/>
          <w:b/>
          <w:bCs/>
          <w:sz w:val="24"/>
          <w:szCs w:val="24"/>
          <w:lang w:val="en-US"/>
        </w:rPr>
      </w:pPr>
      <w:r w:rsidRPr="005F65AE">
        <w:rPr>
          <w:rFonts w:asciiTheme="majorBidi" w:hAnsiTheme="majorBidi" w:cstheme="majorBidi"/>
          <w:b/>
          <w:bCs/>
          <w:sz w:val="24"/>
          <w:szCs w:val="24"/>
          <w:lang w:val="en-US"/>
        </w:rPr>
        <w:t xml:space="preserve">3.2. </w:t>
      </w:r>
      <w:r w:rsidR="00C82C8A" w:rsidRPr="005F65AE">
        <w:rPr>
          <w:rFonts w:asciiTheme="majorBidi" w:hAnsiTheme="majorBidi" w:cstheme="majorBidi"/>
          <w:b/>
          <w:bCs/>
          <w:sz w:val="24"/>
          <w:szCs w:val="24"/>
          <w:lang w:val="en-US"/>
        </w:rPr>
        <w:t>Empirical</w:t>
      </w:r>
      <w:r w:rsidR="0055300F" w:rsidRPr="005F65AE">
        <w:rPr>
          <w:rFonts w:asciiTheme="majorBidi" w:hAnsiTheme="majorBidi" w:cstheme="majorBidi"/>
          <w:b/>
          <w:bCs/>
          <w:sz w:val="24"/>
          <w:szCs w:val="24"/>
          <w:lang w:val="en-US"/>
        </w:rPr>
        <w:t xml:space="preserve"> method</w:t>
      </w:r>
    </w:p>
    <w:p w:rsidR="005652D0" w:rsidRPr="005F65AE" w:rsidRDefault="008F52F5" w:rsidP="000A296E">
      <w:pPr>
        <w:spacing w:after="0" w:line="240" w:lineRule="auto"/>
        <w:ind w:firstLine="284"/>
        <w:jc w:val="both"/>
        <w:rPr>
          <w:rFonts w:asciiTheme="majorBidi" w:hAnsiTheme="majorBidi" w:cstheme="majorBidi"/>
          <w:iCs/>
          <w:sz w:val="24"/>
          <w:szCs w:val="24"/>
          <w:lang w:val="en-US"/>
        </w:rPr>
      </w:pPr>
      <w:r w:rsidRPr="005F65AE">
        <w:rPr>
          <w:rFonts w:asciiTheme="majorBidi" w:hAnsiTheme="majorBidi" w:cstheme="majorBidi"/>
          <w:sz w:val="24"/>
          <w:szCs w:val="24"/>
          <w:lang w:val="en-US"/>
        </w:rPr>
        <w:t>The</w:t>
      </w:r>
      <w:r w:rsidR="00BF6205" w:rsidRPr="005F65AE">
        <w:rPr>
          <w:rFonts w:asciiTheme="majorBidi" w:hAnsiTheme="majorBidi" w:cstheme="majorBidi"/>
          <w:sz w:val="24"/>
          <w:szCs w:val="24"/>
          <w:lang w:val="en-US"/>
        </w:rPr>
        <w:t xml:space="preserve"> study </w:t>
      </w:r>
      <w:r w:rsidR="008545DF" w:rsidRPr="005F65AE">
        <w:rPr>
          <w:rFonts w:asciiTheme="majorBidi" w:hAnsiTheme="majorBidi" w:cstheme="majorBidi"/>
          <w:sz w:val="24"/>
          <w:szCs w:val="24"/>
          <w:lang w:val="en-US"/>
        </w:rPr>
        <w:t xml:space="preserve">applies causal impact inference model </w:t>
      </w:r>
      <w:r w:rsidR="00FD425C">
        <w:rPr>
          <w:rFonts w:asciiTheme="majorBidi" w:hAnsiTheme="majorBidi" w:cstheme="majorBidi"/>
          <w:sz w:val="24"/>
          <w:szCs w:val="24"/>
          <w:lang w:val="en-US"/>
        </w:rPr>
        <w:t xml:space="preserve">that </w:t>
      </w:r>
      <w:r w:rsidR="008545DF" w:rsidRPr="005F65AE">
        <w:rPr>
          <w:rFonts w:asciiTheme="majorBidi" w:hAnsiTheme="majorBidi" w:cstheme="majorBidi"/>
          <w:sz w:val="24"/>
          <w:szCs w:val="24"/>
          <w:lang w:val="en-US"/>
        </w:rPr>
        <w:t>identify the statistical significance of the</w:t>
      </w:r>
      <w:r w:rsidR="000A296E" w:rsidRPr="005F65AE">
        <w:rPr>
          <w:rFonts w:asciiTheme="majorBidi" w:hAnsiTheme="majorBidi" w:cstheme="majorBidi"/>
          <w:sz w:val="24"/>
          <w:szCs w:val="24"/>
          <w:lang w:val="en-US"/>
        </w:rPr>
        <w:t xml:space="preserve"> interventions of </w:t>
      </w:r>
      <w:r w:rsidR="00320F76">
        <w:rPr>
          <w:rFonts w:asciiTheme="majorBidi" w:hAnsiTheme="majorBidi" w:cstheme="majorBidi"/>
          <w:sz w:val="24"/>
          <w:szCs w:val="24"/>
          <w:lang w:val="en-US"/>
        </w:rPr>
        <w:t xml:space="preserve">RUW </w:t>
      </w:r>
      <w:r w:rsidR="000A296E" w:rsidRPr="005F65AE">
        <w:rPr>
          <w:rFonts w:asciiTheme="majorBidi" w:hAnsiTheme="majorBidi" w:cstheme="majorBidi"/>
          <w:sz w:val="24"/>
          <w:szCs w:val="24"/>
          <w:lang w:val="en-US"/>
        </w:rPr>
        <w:t xml:space="preserve">on </w:t>
      </w:r>
      <w:r w:rsidR="00320F76">
        <w:rPr>
          <w:rFonts w:asciiTheme="majorBidi" w:hAnsiTheme="majorBidi" w:cstheme="majorBidi"/>
          <w:sz w:val="24"/>
          <w:szCs w:val="24"/>
          <w:lang w:val="en-US"/>
        </w:rPr>
        <w:t>OP</w:t>
      </w:r>
      <w:r w:rsidR="000A296E" w:rsidRPr="005F65AE">
        <w:rPr>
          <w:rFonts w:asciiTheme="majorBidi" w:hAnsiTheme="majorBidi" w:cstheme="majorBidi"/>
          <w:sz w:val="24"/>
          <w:szCs w:val="24"/>
          <w:lang w:val="en-US"/>
        </w:rPr>
        <w:t xml:space="preserve">and </w:t>
      </w:r>
      <w:r w:rsidR="00320F76">
        <w:rPr>
          <w:rFonts w:asciiTheme="majorBidi" w:hAnsiTheme="majorBidi" w:cstheme="majorBidi"/>
          <w:sz w:val="24"/>
          <w:szCs w:val="24"/>
          <w:lang w:val="en-US"/>
        </w:rPr>
        <w:t>CEM</w:t>
      </w:r>
      <w:r w:rsidR="000A296E" w:rsidRPr="005F65AE">
        <w:rPr>
          <w:rFonts w:asciiTheme="majorBidi" w:hAnsiTheme="majorBidi" w:cstheme="majorBidi"/>
          <w:sz w:val="24"/>
          <w:szCs w:val="24"/>
          <w:lang w:val="en-US"/>
        </w:rPr>
        <w:t>. This model enables estimation of the pointwise discrepancy between the predicted and actual values</w:t>
      </w:r>
      <w:r w:rsidR="00417F47" w:rsidRPr="005F65AE">
        <w:rPr>
          <w:rFonts w:asciiTheme="majorBidi" w:hAnsiTheme="majorBidi" w:cstheme="majorBidi"/>
          <w:sz w:val="24"/>
          <w:szCs w:val="24"/>
          <w:lang w:val="en-US"/>
        </w:rPr>
        <w:t>, as well as,analyze the differences between a specific shock's before and after stages, a</w:t>
      </w:r>
      <w:r w:rsidR="000A296E" w:rsidRPr="005F65AE">
        <w:rPr>
          <w:rFonts w:asciiTheme="majorBidi" w:hAnsiTheme="majorBidi" w:cstheme="majorBidi"/>
          <w:sz w:val="24"/>
          <w:szCs w:val="24"/>
          <w:lang w:val="en-US"/>
        </w:rPr>
        <w:t xml:space="preserve">s </w:t>
      </w:r>
      <w:r w:rsidR="00417F47" w:rsidRPr="005F65AE">
        <w:rPr>
          <w:rFonts w:asciiTheme="majorBidi" w:hAnsiTheme="majorBidi" w:cstheme="majorBidi"/>
          <w:sz w:val="24"/>
          <w:szCs w:val="24"/>
          <w:lang w:val="en-US"/>
        </w:rPr>
        <w:t>other alternative models such as difference-indifference (DID) and impulse-response function models.However,interventions of the Russia-Ukraine conflict depended on complicated responses resulting from a variety of factors, instead of consistent level shifts over the wholeperiod before and after the outbreak of the invasion.</w:t>
      </w:r>
      <w:r w:rsidR="00C91D82" w:rsidRPr="005F65AE">
        <w:rPr>
          <w:rFonts w:asciiTheme="majorBidi" w:hAnsiTheme="majorBidi" w:cstheme="majorBidi"/>
          <w:iCs/>
          <w:sz w:val="24"/>
          <w:szCs w:val="24"/>
          <w:lang w:val="en-US"/>
        </w:rPr>
        <w:t xml:space="preserve"> Unlikethe traditional models.Causal impact inference mode allowed to estimate the pointwise daily differenceoil prices and clean energy market</w:t>
      </w:r>
      <w:r w:rsidR="00B875DA" w:rsidRPr="005F65AE">
        <w:rPr>
          <w:rFonts w:asciiTheme="majorBidi" w:hAnsiTheme="majorBidi" w:cstheme="majorBidi"/>
          <w:iCs/>
          <w:sz w:val="24"/>
          <w:szCs w:val="24"/>
          <w:lang w:val="en-US"/>
        </w:rPr>
        <w:t xml:space="preserve"> indices during the </w:t>
      </w:r>
      <w:r w:rsidR="00B875DA" w:rsidRPr="004B3423">
        <w:rPr>
          <w:rFonts w:asciiTheme="majorBidi" w:hAnsiTheme="majorBidi" w:cstheme="majorBidi"/>
          <w:iCs/>
          <w:sz w:val="24"/>
          <w:szCs w:val="24"/>
          <w:lang w:val="en-US"/>
        </w:rPr>
        <w:t>war</w:t>
      </w:r>
      <w:r w:rsidR="004B3423" w:rsidRPr="004B3423">
        <w:rPr>
          <w:rFonts w:asciiTheme="majorBidi" w:hAnsiTheme="majorBidi" w:cstheme="majorBidi"/>
          <w:iCs/>
          <w:sz w:val="24"/>
          <w:szCs w:val="24"/>
          <w:lang w:val="en-US"/>
        </w:rPr>
        <w:t>(</w:t>
      </w:r>
      <w:r w:rsidR="00C57438" w:rsidRPr="004B3423">
        <w:rPr>
          <w:rFonts w:asciiTheme="majorBidi" w:hAnsiTheme="majorBidi" w:cstheme="majorBidi"/>
          <w:iCs/>
          <w:sz w:val="24"/>
          <w:szCs w:val="24"/>
          <w:lang w:val="en-US"/>
        </w:rPr>
        <w:t>Sung</w:t>
      </w:r>
      <w:r w:rsidR="004B3423" w:rsidRPr="004B3423">
        <w:rPr>
          <w:rFonts w:asciiTheme="majorBidi" w:hAnsiTheme="majorBidi" w:cstheme="majorBidi"/>
          <w:iCs/>
          <w:sz w:val="24"/>
          <w:szCs w:val="24"/>
          <w:lang w:val="en-US"/>
        </w:rPr>
        <w:t xml:space="preserve">, </w:t>
      </w:r>
      <w:r w:rsidR="00C57438" w:rsidRPr="004B3423">
        <w:rPr>
          <w:rFonts w:asciiTheme="majorBidi" w:hAnsiTheme="majorBidi" w:cstheme="majorBidi"/>
          <w:iCs/>
          <w:sz w:val="24"/>
          <w:szCs w:val="24"/>
          <w:lang w:val="en-US"/>
        </w:rPr>
        <w:t>2023)</w:t>
      </w:r>
      <w:r w:rsidR="00B875DA" w:rsidRPr="004B3423">
        <w:rPr>
          <w:rFonts w:asciiTheme="majorBidi" w:hAnsiTheme="majorBidi" w:cstheme="majorBidi"/>
          <w:iCs/>
          <w:sz w:val="24"/>
          <w:szCs w:val="24"/>
          <w:lang w:val="en-US"/>
        </w:rPr>
        <w:t>.</w:t>
      </w:r>
    </w:p>
    <w:p w:rsidR="00B875DA" w:rsidRPr="005F65AE" w:rsidRDefault="00B875DA" w:rsidP="000A296E">
      <w:pPr>
        <w:spacing w:after="0" w:line="240" w:lineRule="auto"/>
        <w:ind w:firstLine="284"/>
        <w:jc w:val="both"/>
        <w:rPr>
          <w:rFonts w:asciiTheme="majorBidi" w:hAnsiTheme="majorBidi" w:cstheme="majorBidi"/>
          <w:sz w:val="24"/>
          <w:szCs w:val="24"/>
          <w:lang w:val="en-US"/>
        </w:rPr>
      </w:pPr>
    </w:p>
    <w:p w:rsidR="00E47A92" w:rsidRPr="005F65AE" w:rsidRDefault="00EE4DCA" w:rsidP="00940965">
      <w:pPr>
        <w:spacing w:line="240" w:lineRule="auto"/>
        <w:jc w:val="both"/>
        <w:rPr>
          <w:rFonts w:asciiTheme="majorBidi" w:hAnsiTheme="majorBidi" w:cstheme="majorBidi"/>
          <w:b/>
          <w:bCs/>
          <w:sz w:val="24"/>
          <w:szCs w:val="24"/>
          <w:lang w:val="en-US"/>
        </w:rPr>
      </w:pPr>
      <w:r w:rsidRPr="005F65AE">
        <w:rPr>
          <w:rFonts w:asciiTheme="majorBidi" w:hAnsiTheme="majorBidi" w:cstheme="majorBidi"/>
          <w:b/>
          <w:bCs/>
          <w:sz w:val="28"/>
          <w:szCs w:val="28"/>
          <w:lang w:val="en-US"/>
        </w:rPr>
        <w:t>4</w:t>
      </w:r>
      <w:r w:rsidRPr="005F65AE">
        <w:rPr>
          <w:rFonts w:asciiTheme="majorBidi" w:hAnsiTheme="majorBidi" w:cstheme="majorBidi"/>
          <w:b/>
          <w:bCs/>
          <w:sz w:val="24"/>
          <w:szCs w:val="24"/>
          <w:lang w:val="en-US"/>
        </w:rPr>
        <w:t>. Results and discussion:</w:t>
      </w:r>
    </w:p>
    <w:p w:rsidR="00320F76" w:rsidRDefault="004A00FF" w:rsidP="004A00FF">
      <w:pPr>
        <w:spacing w:after="0" w:line="240" w:lineRule="auto"/>
        <w:ind w:firstLine="284"/>
        <w:jc w:val="both"/>
        <w:rPr>
          <w:rFonts w:asciiTheme="majorBidi" w:hAnsiTheme="majorBidi" w:cstheme="majorBidi"/>
          <w:bCs/>
          <w:sz w:val="24"/>
          <w:szCs w:val="24"/>
          <w:lang w:val="en-US"/>
        </w:rPr>
      </w:pPr>
      <w:r w:rsidRPr="005F65AE">
        <w:rPr>
          <w:rFonts w:asciiTheme="majorBidi" w:hAnsiTheme="majorBidi" w:cstheme="majorBidi"/>
          <w:bCs/>
          <w:sz w:val="24"/>
          <w:szCs w:val="24"/>
          <w:lang w:val="en-US"/>
        </w:rPr>
        <w:t xml:space="preserve">Table.1 presents the results of the customized causal impact of </w:t>
      </w:r>
      <w:r w:rsidR="00320F76">
        <w:rPr>
          <w:rFonts w:asciiTheme="majorBidi" w:hAnsiTheme="majorBidi" w:cstheme="majorBidi"/>
          <w:bCs/>
          <w:sz w:val="24"/>
          <w:szCs w:val="24"/>
          <w:lang w:val="en-US"/>
        </w:rPr>
        <w:t>RUW</w:t>
      </w:r>
      <w:r w:rsidRPr="005F65AE">
        <w:rPr>
          <w:rFonts w:asciiTheme="majorBidi" w:hAnsiTheme="majorBidi" w:cstheme="majorBidi"/>
          <w:bCs/>
          <w:sz w:val="24"/>
          <w:szCs w:val="24"/>
          <w:lang w:val="en-US"/>
        </w:rPr>
        <w:t xml:space="preserve"> on </w:t>
      </w:r>
      <w:r w:rsidR="00320F76">
        <w:rPr>
          <w:rFonts w:asciiTheme="majorBidi" w:hAnsiTheme="majorBidi" w:cstheme="majorBidi"/>
          <w:bCs/>
          <w:sz w:val="24"/>
          <w:szCs w:val="24"/>
          <w:lang w:val="en-US"/>
        </w:rPr>
        <w:t>OP</w:t>
      </w:r>
      <w:r w:rsidRPr="005F65AE">
        <w:rPr>
          <w:rFonts w:asciiTheme="majorBidi" w:hAnsiTheme="majorBidi" w:cstheme="majorBidi"/>
          <w:bCs/>
          <w:sz w:val="24"/>
          <w:szCs w:val="24"/>
          <w:lang w:val="en-US"/>
        </w:rPr>
        <w:t xml:space="preserve"> and clean energy market indices. The actual number of </w:t>
      </w:r>
      <w:r w:rsidR="00320F76">
        <w:rPr>
          <w:rFonts w:asciiTheme="majorBidi" w:hAnsiTheme="majorBidi" w:cstheme="majorBidi"/>
          <w:bCs/>
          <w:sz w:val="24"/>
          <w:szCs w:val="24"/>
          <w:lang w:val="en-US"/>
        </w:rPr>
        <w:t>OP</w:t>
      </w:r>
      <w:r w:rsidRPr="005F65AE">
        <w:rPr>
          <w:rFonts w:asciiTheme="majorBidi" w:hAnsiTheme="majorBidi" w:cstheme="majorBidi"/>
          <w:bCs/>
          <w:sz w:val="24"/>
          <w:szCs w:val="24"/>
          <w:lang w:val="en-US"/>
        </w:rPr>
        <w:t xml:space="preserve"> and </w:t>
      </w:r>
      <w:r w:rsidR="00320F76">
        <w:rPr>
          <w:rFonts w:asciiTheme="majorBidi" w:hAnsiTheme="majorBidi" w:cstheme="majorBidi"/>
          <w:bCs/>
          <w:sz w:val="24"/>
          <w:szCs w:val="24"/>
          <w:lang w:val="en-US"/>
        </w:rPr>
        <w:t>CEM</w:t>
      </w:r>
      <w:r w:rsidRPr="005F65AE">
        <w:rPr>
          <w:rFonts w:asciiTheme="majorBidi" w:hAnsiTheme="majorBidi" w:cstheme="majorBidi"/>
          <w:bCs/>
          <w:sz w:val="24"/>
          <w:szCs w:val="24"/>
          <w:lang w:val="en-US"/>
        </w:rPr>
        <w:t xml:space="preserve"> was, on average, approximately 1.6B. Without the intervention of the war, the average number of all energy market was expected to be 1.67B. The total cumulative ridership during the war was 2e</w:t>
      </w:r>
      <w:r w:rsidRPr="005F65AE">
        <w:rPr>
          <w:rFonts w:asciiTheme="majorBidi" w:hAnsiTheme="majorBidi" w:cstheme="majorBidi"/>
          <w:bCs/>
          <w:sz w:val="24"/>
          <w:szCs w:val="24"/>
          <w:vertAlign w:val="superscript"/>
          <w:lang w:val="en-US"/>
        </w:rPr>
        <w:t>11</w:t>
      </w:r>
      <w:r w:rsidRPr="005F65AE">
        <w:rPr>
          <w:rFonts w:asciiTheme="majorBidi" w:hAnsiTheme="majorBidi" w:cstheme="majorBidi"/>
          <w:bCs/>
          <w:sz w:val="24"/>
          <w:szCs w:val="24"/>
          <w:lang w:val="en-US"/>
        </w:rPr>
        <w:t>, same as how would have been predicted. As a result, the average daily the energy market prices increased by 8.5e</w:t>
      </w:r>
      <w:r w:rsidRPr="005F65AE">
        <w:rPr>
          <w:rFonts w:asciiTheme="majorBidi" w:hAnsiTheme="majorBidi" w:cstheme="majorBidi"/>
          <w:bCs/>
          <w:sz w:val="24"/>
          <w:szCs w:val="24"/>
          <w:vertAlign w:val="superscript"/>
          <w:lang w:val="en-US"/>
        </w:rPr>
        <w:t>06</w:t>
      </w:r>
      <w:r w:rsidRPr="005F65AE">
        <w:rPr>
          <w:rFonts w:asciiTheme="majorBidi" w:hAnsiTheme="majorBidi" w:cstheme="majorBidi"/>
          <w:bCs/>
          <w:sz w:val="24"/>
          <w:szCs w:val="24"/>
          <w:lang w:val="en-US"/>
        </w:rPr>
        <w:t xml:space="preserve"> due to the appearance of the war, and its cumulative total number is expected to increase by 1.0e</w:t>
      </w:r>
      <w:r w:rsidRPr="005F65AE">
        <w:rPr>
          <w:rFonts w:asciiTheme="majorBidi" w:hAnsiTheme="majorBidi" w:cstheme="majorBidi"/>
          <w:bCs/>
          <w:sz w:val="24"/>
          <w:szCs w:val="24"/>
          <w:vertAlign w:val="superscript"/>
          <w:lang w:val="en-US"/>
        </w:rPr>
        <w:t>9</w:t>
      </w:r>
      <w:r w:rsidRPr="005F65AE">
        <w:rPr>
          <w:rFonts w:asciiTheme="majorBidi" w:hAnsiTheme="majorBidi" w:cstheme="majorBidi"/>
          <w:bCs/>
          <w:sz w:val="24"/>
          <w:szCs w:val="24"/>
          <w:lang w:val="en-US"/>
        </w:rPr>
        <w:t xml:space="preserve">. These results indicate </w:t>
      </w:r>
      <w:r w:rsidR="00320F76">
        <w:rPr>
          <w:rFonts w:asciiTheme="majorBidi" w:hAnsiTheme="majorBidi" w:cstheme="majorBidi"/>
          <w:bCs/>
          <w:sz w:val="24"/>
          <w:szCs w:val="24"/>
          <w:lang w:val="en-US"/>
        </w:rPr>
        <w:t>RUW</w:t>
      </w:r>
      <w:r w:rsidRPr="005F65AE">
        <w:rPr>
          <w:rFonts w:asciiTheme="majorBidi" w:hAnsiTheme="majorBidi" w:cstheme="majorBidi"/>
          <w:bCs/>
          <w:sz w:val="24"/>
          <w:szCs w:val="24"/>
          <w:lang w:val="en-US"/>
        </w:rPr>
        <w:t xml:space="preserve"> had an average significant positive impact of 0.51% on </w:t>
      </w:r>
      <w:r w:rsidRPr="004B3423">
        <w:rPr>
          <w:rFonts w:asciiTheme="majorBidi" w:hAnsiTheme="majorBidi" w:cstheme="majorBidi"/>
          <w:bCs/>
          <w:sz w:val="24"/>
          <w:szCs w:val="24"/>
          <w:lang w:val="en-US"/>
        </w:rPr>
        <w:t>the energy market</w:t>
      </w:r>
      <w:r w:rsidR="004B3423">
        <w:rPr>
          <w:rFonts w:asciiTheme="majorBidi" w:hAnsiTheme="majorBidi" w:cstheme="majorBidi"/>
          <w:bCs/>
          <w:sz w:val="24"/>
          <w:szCs w:val="24"/>
          <w:lang w:val="en-US"/>
        </w:rPr>
        <w:t>s</w:t>
      </w:r>
      <w:r w:rsidRPr="004B3423">
        <w:rPr>
          <w:rFonts w:asciiTheme="majorBidi" w:hAnsiTheme="majorBidi" w:cstheme="majorBidi"/>
          <w:bCs/>
          <w:sz w:val="24"/>
          <w:szCs w:val="24"/>
          <w:lang w:val="en-US"/>
        </w:rPr>
        <w:t xml:space="preserve"> prices. The probability of obtainingthis impact by chance of</w:t>
      </w:r>
      <w:r w:rsidRPr="005F65AE">
        <w:rPr>
          <w:rFonts w:asciiTheme="majorBidi" w:hAnsiTheme="majorBidi" w:cstheme="majorBidi"/>
          <w:bCs/>
          <w:sz w:val="24"/>
          <w:szCs w:val="24"/>
          <w:lang w:val="en-US"/>
        </w:rPr>
        <w:t xml:space="preserve"> oil prices, solar energy, wind energy,biofuels energy and geothermal energy market was 0.0062, 0.00834, 0.00626, 0.00938 and 0.00938 respectively. </w:t>
      </w:r>
    </w:p>
    <w:p w:rsidR="004A00FF" w:rsidRPr="005F65AE" w:rsidRDefault="00320F76" w:rsidP="004A00FF">
      <w:pPr>
        <w:spacing w:after="0" w:line="240" w:lineRule="auto"/>
        <w:ind w:firstLine="284"/>
        <w:jc w:val="both"/>
        <w:rPr>
          <w:rFonts w:asciiTheme="majorBidi" w:hAnsiTheme="majorBidi" w:cstheme="majorBidi"/>
          <w:bCs/>
          <w:sz w:val="24"/>
          <w:szCs w:val="24"/>
          <w:lang w:val="en-US"/>
        </w:rPr>
      </w:pPr>
      <w:r w:rsidRPr="00320F76">
        <w:rPr>
          <w:rFonts w:asciiTheme="majorBidi" w:hAnsiTheme="majorBidi" w:cstheme="majorBidi"/>
          <w:bCs/>
          <w:sz w:val="24"/>
          <w:szCs w:val="24"/>
          <w:lang w:val="en-US"/>
        </w:rPr>
        <w:t>Figure. 1 summarizes the distribution of daily observations (black) and daily predicted values (blue). The pointwise graph shows the daily pointwise difference between these values, and the light blue section shows the 95% confidence interval. Moreover, it reveals that the Russia-Ukraine war's impacts on energy market prices was significant due the increase that remains inside the 95% confidence interval.</w:t>
      </w:r>
    </w:p>
    <w:p w:rsidR="004A00FF" w:rsidRPr="005F65AE" w:rsidRDefault="004A00FF" w:rsidP="00940965">
      <w:pPr>
        <w:spacing w:line="240" w:lineRule="auto"/>
        <w:jc w:val="both"/>
        <w:rPr>
          <w:rFonts w:asciiTheme="majorBidi" w:hAnsiTheme="majorBidi" w:cstheme="majorBidi"/>
          <w:b/>
          <w:bCs/>
          <w:sz w:val="24"/>
          <w:szCs w:val="24"/>
          <w:lang w:val="en-US"/>
        </w:rPr>
      </w:pPr>
    </w:p>
    <w:p w:rsidR="004A00FF" w:rsidRDefault="004A00FF" w:rsidP="00940965">
      <w:pPr>
        <w:spacing w:line="240" w:lineRule="auto"/>
        <w:jc w:val="both"/>
        <w:rPr>
          <w:rFonts w:asciiTheme="majorBidi" w:hAnsiTheme="majorBidi" w:cstheme="majorBidi"/>
          <w:b/>
          <w:bCs/>
          <w:sz w:val="24"/>
          <w:szCs w:val="24"/>
          <w:lang w:val="en-US"/>
        </w:rPr>
      </w:pPr>
    </w:p>
    <w:p w:rsidR="00320F76" w:rsidRDefault="00320F76" w:rsidP="00940965">
      <w:pPr>
        <w:spacing w:line="240" w:lineRule="auto"/>
        <w:jc w:val="both"/>
        <w:rPr>
          <w:rFonts w:asciiTheme="majorBidi" w:hAnsiTheme="majorBidi" w:cstheme="majorBidi"/>
          <w:b/>
          <w:bCs/>
          <w:sz w:val="24"/>
          <w:szCs w:val="24"/>
          <w:lang w:val="en-US"/>
        </w:rPr>
      </w:pPr>
    </w:p>
    <w:p w:rsidR="00320F76" w:rsidRDefault="00320F76" w:rsidP="00940965">
      <w:pPr>
        <w:spacing w:line="240" w:lineRule="auto"/>
        <w:jc w:val="both"/>
        <w:rPr>
          <w:rFonts w:asciiTheme="majorBidi" w:hAnsiTheme="majorBidi" w:cstheme="majorBidi"/>
          <w:b/>
          <w:bCs/>
          <w:sz w:val="24"/>
          <w:szCs w:val="24"/>
          <w:lang w:val="en-US"/>
        </w:rPr>
      </w:pPr>
    </w:p>
    <w:p w:rsidR="00320F76" w:rsidRPr="005F65AE" w:rsidRDefault="00320F76" w:rsidP="00940965">
      <w:pPr>
        <w:spacing w:line="240" w:lineRule="auto"/>
        <w:jc w:val="both"/>
        <w:rPr>
          <w:rFonts w:asciiTheme="majorBidi" w:hAnsiTheme="majorBidi" w:cstheme="majorBidi"/>
          <w:b/>
          <w:bCs/>
          <w:sz w:val="24"/>
          <w:szCs w:val="24"/>
          <w:lang w:val="en-US"/>
        </w:rPr>
      </w:pPr>
    </w:p>
    <w:p w:rsidR="008545DF" w:rsidRPr="005F65AE" w:rsidRDefault="008545DF" w:rsidP="008545DF">
      <w:pPr>
        <w:spacing w:after="0" w:line="240" w:lineRule="auto"/>
        <w:rPr>
          <w:b/>
          <w:bCs/>
          <w:sz w:val="24"/>
          <w:szCs w:val="24"/>
          <w:lang w:val="en-US"/>
        </w:rPr>
      </w:pPr>
      <w:r w:rsidRPr="005F65AE">
        <w:rPr>
          <w:b/>
          <w:bCs/>
          <w:sz w:val="24"/>
          <w:szCs w:val="24"/>
          <w:lang w:val="en-US"/>
        </w:rPr>
        <w:t>Table.1</w:t>
      </w:r>
    </w:p>
    <w:p w:rsidR="00925259" w:rsidRPr="005F65AE" w:rsidRDefault="008545DF" w:rsidP="008545DF">
      <w:pPr>
        <w:spacing w:after="0" w:line="240" w:lineRule="auto"/>
        <w:rPr>
          <w:sz w:val="24"/>
          <w:szCs w:val="24"/>
          <w:lang w:val="en-US"/>
        </w:rPr>
      </w:pPr>
      <w:r w:rsidRPr="005F65AE">
        <w:rPr>
          <w:sz w:val="24"/>
          <w:szCs w:val="24"/>
          <w:lang w:val="en-US"/>
        </w:rPr>
        <w:t xml:space="preserve"> posterior inference of the causal impact of Russia-Ukraine war</w:t>
      </w:r>
    </w:p>
    <w:tbl>
      <w:tblPr>
        <w:tblStyle w:val="Grilledutableau"/>
        <w:tblW w:w="9768" w:type="dxa"/>
        <w:tblLook w:val="04A0"/>
      </w:tblPr>
      <w:tblGrid>
        <w:gridCol w:w="1129"/>
        <w:gridCol w:w="816"/>
        <w:gridCol w:w="876"/>
        <w:gridCol w:w="876"/>
        <w:gridCol w:w="876"/>
        <w:gridCol w:w="876"/>
        <w:gridCol w:w="815"/>
        <w:gridCol w:w="876"/>
        <w:gridCol w:w="876"/>
        <w:gridCol w:w="876"/>
        <w:gridCol w:w="876"/>
      </w:tblGrid>
      <w:tr w:rsidR="005F65AE" w:rsidRPr="005F65AE" w:rsidTr="00BF77B9">
        <w:tc>
          <w:tcPr>
            <w:tcW w:w="1244" w:type="dxa"/>
            <w:tcBorders>
              <w:top w:val="nil"/>
              <w:left w:val="nil"/>
              <w:bottom w:val="nil"/>
              <w:right w:val="nil"/>
            </w:tcBorders>
          </w:tcPr>
          <w:p w:rsidR="0069131A" w:rsidRPr="005F65AE" w:rsidRDefault="0069131A" w:rsidP="00940965">
            <w:pPr>
              <w:jc w:val="both"/>
              <w:rPr>
                <w:rFonts w:asciiTheme="majorBidi" w:hAnsiTheme="majorBidi" w:cstheme="majorBidi"/>
                <w:sz w:val="16"/>
                <w:szCs w:val="16"/>
                <w:lang w:val="en-US"/>
              </w:rPr>
            </w:pPr>
          </w:p>
        </w:tc>
        <w:tc>
          <w:tcPr>
            <w:tcW w:w="4327" w:type="dxa"/>
            <w:gridSpan w:val="5"/>
            <w:tcBorders>
              <w:top w:val="single" w:sz="4" w:space="0" w:color="auto"/>
              <w:left w:val="nil"/>
              <w:bottom w:val="single" w:sz="4" w:space="0" w:color="auto"/>
              <w:right w:val="nil"/>
            </w:tcBorders>
          </w:tcPr>
          <w:p w:rsidR="0069131A" w:rsidRPr="005F65AE" w:rsidRDefault="00AF3B11" w:rsidP="00AF3B11">
            <w:pPr>
              <w:jc w:val="center"/>
              <w:rPr>
                <w:rFonts w:asciiTheme="majorBidi" w:hAnsiTheme="majorBidi" w:cstheme="majorBidi"/>
                <w:b/>
                <w:bCs/>
                <w:sz w:val="16"/>
                <w:szCs w:val="16"/>
                <w:lang w:val="en-US"/>
              </w:rPr>
            </w:pPr>
            <w:r w:rsidRPr="005F65AE">
              <w:rPr>
                <w:rFonts w:asciiTheme="majorBidi" w:hAnsiTheme="majorBidi" w:cstheme="majorBidi"/>
                <w:b/>
                <w:bCs/>
                <w:sz w:val="16"/>
                <w:szCs w:val="16"/>
                <w:lang w:val="en-US"/>
              </w:rPr>
              <w:t>Average</w:t>
            </w:r>
          </w:p>
        </w:tc>
        <w:tc>
          <w:tcPr>
            <w:tcW w:w="4197" w:type="dxa"/>
            <w:gridSpan w:val="5"/>
            <w:tcBorders>
              <w:top w:val="single" w:sz="4" w:space="0" w:color="auto"/>
              <w:left w:val="nil"/>
              <w:bottom w:val="single" w:sz="4" w:space="0" w:color="auto"/>
              <w:right w:val="nil"/>
            </w:tcBorders>
          </w:tcPr>
          <w:p w:rsidR="0069131A" w:rsidRPr="005F65AE" w:rsidRDefault="00AF3B11" w:rsidP="00AF3B11">
            <w:pPr>
              <w:jc w:val="center"/>
              <w:rPr>
                <w:rFonts w:asciiTheme="majorBidi" w:hAnsiTheme="majorBidi" w:cstheme="majorBidi"/>
                <w:b/>
                <w:bCs/>
                <w:sz w:val="16"/>
                <w:szCs w:val="16"/>
                <w:lang w:val="en-US"/>
              </w:rPr>
            </w:pPr>
            <w:r w:rsidRPr="005F65AE">
              <w:rPr>
                <w:rFonts w:asciiTheme="majorBidi" w:hAnsiTheme="majorBidi" w:cstheme="majorBidi"/>
                <w:b/>
                <w:bCs/>
                <w:sz w:val="16"/>
                <w:szCs w:val="16"/>
                <w:lang w:val="en-US"/>
              </w:rPr>
              <w:t>Cumulative</w:t>
            </w:r>
          </w:p>
        </w:tc>
      </w:tr>
      <w:tr w:rsidR="005F65AE" w:rsidRPr="005F65AE" w:rsidTr="00BF77B9">
        <w:tc>
          <w:tcPr>
            <w:tcW w:w="1244" w:type="dxa"/>
            <w:tcBorders>
              <w:top w:val="nil"/>
              <w:left w:val="nil"/>
              <w:bottom w:val="single" w:sz="4" w:space="0" w:color="auto"/>
              <w:right w:val="nil"/>
            </w:tcBorders>
          </w:tcPr>
          <w:p w:rsidR="009404BA" w:rsidRPr="005F65AE" w:rsidRDefault="009404BA" w:rsidP="009404BA">
            <w:pPr>
              <w:jc w:val="both"/>
              <w:rPr>
                <w:rFonts w:asciiTheme="majorBidi" w:hAnsiTheme="majorBidi" w:cstheme="majorBidi"/>
                <w:sz w:val="16"/>
                <w:szCs w:val="16"/>
                <w:lang w:val="en-US"/>
              </w:rPr>
            </w:pPr>
          </w:p>
        </w:tc>
        <w:tc>
          <w:tcPr>
            <w:tcW w:w="823" w:type="dxa"/>
            <w:tcBorders>
              <w:top w:val="single" w:sz="4" w:space="0" w:color="auto"/>
              <w:left w:val="nil"/>
              <w:bottom w:val="single" w:sz="4" w:space="0" w:color="auto"/>
              <w:right w:val="nil"/>
            </w:tcBorders>
          </w:tcPr>
          <w:p w:rsidR="009404BA" w:rsidRPr="005F65AE" w:rsidRDefault="009404BA" w:rsidP="009404BA">
            <w:pPr>
              <w:jc w:val="both"/>
              <w:rPr>
                <w:rFonts w:asciiTheme="majorBidi" w:hAnsiTheme="majorBidi" w:cstheme="majorBidi"/>
                <w:b/>
                <w:bCs/>
                <w:sz w:val="14"/>
                <w:szCs w:val="14"/>
                <w:lang w:val="en-US"/>
              </w:rPr>
            </w:pPr>
            <w:r w:rsidRPr="005F65AE">
              <w:rPr>
                <w:rFonts w:asciiTheme="majorBidi" w:hAnsiTheme="majorBidi" w:cstheme="majorBidi"/>
                <w:b/>
                <w:bCs/>
                <w:sz w:val="14"/>
                <w:szCs w:val="14"/>
                <w:lang w:val="en-US"/>
              </w:rPr>
              <w:t>OIL</w:t>
            </w:r>
          </w:p>
        </w:tc>
        <w:tc>
          <w:tcPr>
            <w:tcW w:w="876" w:type="dxa"/>
            <w:tcBorders>
              <w:top w:val="single" w:sz="4" w:space="0" w:color="auto"/>
              <w:left w:val="nil"/>
              <w:bottom w:val="single" w:sz="4" w:space="0" w:color="auto"/>
              <w:right w:val="nil"/>
            </w:tcBorders>
          </w:tcPr>
          <w:p w:rsidR="009404BA" w:rsidRPr="005F65AE" w:rsidRDefault="009404BA" w:rsidP="009404BA">
            <w:pPr>
              <w:jc w:val="both"/>
              <w:rPr>
                <w:rFonts w:asciiTheme="majorBidi" w:hAnsiTheme="majorBidi" w:cstheme="majorBidi"/>
                <w:b/>
                <w:bCs/>
                <w:sz w:val="14"/>
                <w:szCs w:val="14"/>
                <w:lang w:val="en-US"/>
              </w:rPr>
            </w:pPr>
            <w:r w:rsidRPr="005F65AE">
              <w:rPr>
                <w:rFonts w:asciiTheme="majorBidi" w:hAnsiTheme="majorBidi" w:cstheme="majorBidi"/>
                <w:b/>
                <w:bCs/>
                <w:sz w:val="14"/>
                <w:szCs w:val="14"/>
                <w:lang w:val="en-US"/>
              </w:rPr>
              <w:t>SLR</w:t>
            </w:r>
          </w:p>
        </w:tc>
        <w:tc>
          <w:tcPr>
            <w:tcW w:w="876" w:type="dxa"/>
            <w:tcBorders>
              <w:top w:val="single" w:sz="4" w:space="0" w:color="auto"/>
              <w:left w:val="nil"/>
              <w:bottom w:val="single" w:sz="4" w:space="0" w:color="auto"/>
              <w:right w:val="nil"/>
            </w:tcBorders>
          </w:tcPr>
          <w:p w:rsidR="009404BA" w:rsidRPr="005F65AE" w:rsidRDefault="009404BA" w:rsidP="009404BA">
            <w:pPr>
              <w:jc w:val="both"/>
              <w:rPr>
                <w:rFonts w:asciiTheme="majorBidi" w:hAnsiTheme="majorBidi" w:cstheme="majorBidi"/>
                <w:b/>
                <w:bCs/>
                <w:sz w:val="14"/>
                <w:szCs w:val="14"/>
                <w:lang w:val="en-US"/>
              </w:rPr>
            </w:pPr>
            <w:r w:rsidRPr="005F65AE">
              <w:rPr>
                <w:rFonts w:asciiTheme="majorBidi" w:hAnsiTheme="majorBidi" w:cstheme="majorBidi"/>
                <w:b/>
                <w:bCs/>
                <w:sz w:val="14"/>
                <w:szCs w:val="14"/>
                <w:lang w:val="en-US"/>
              </w:rPr>
              <w:t>WND</w:t>
            </w:r>
          </w:p>
        </w:tc>
        <w:tc>
          <w:tcPr>
            <w:tcW w:w="876" w:type="dxa"/>
            <w:tcBorders>
              <w:top w:val="single" w:sz="4" w:space="0" w:color="auto"/>
              <w:left w:val="nil"/>
              <w:bottom w:val="single" w:sz="4" w:space="0" w:color="auto"/>
              <w:right w:val="nil"/>
            </w:tcBorders>
          </w:tcPr>
          <w:p w:rsidR="009404BA" w:rsidRPr="005F65AE" w:rsidRDefault="009404BA" w:rsidP="009404BA">
            <w:pPr>
              <w:jc w:val="both"/>
              <w:rPr>
                <w:rFonts w:asciiTheme="majorBidi" w:hAnsiTheme="majorBidi" w:cstheme="majorBidi"/>
                <w:b/>
                <w:bCs/>
                <w:sz w:val="14"/>
                <w:szCs w:val="14"/>
                <w:lang w:val="en-US"/>
              </w:rPr>
            </w:pPr>
            <w:r w:rsidRPr="005F65AE">
              <w:rPr>
                <w:rFonts w:asciiTheme="majorBidi" w:hAnsiTheme="majorBidi" w:cstheme="majorBidi"/>
                <w:b/>
                <w:bCs/>
                <w:sz w:val="14"/>
                <w:szCs w:val="14"/>
                <w:lang w:val="en-US"/>
              </w:rPr>
              <w:t>BFL</w:t>
            </w:r>
          </w:p>
        </w:tc>
        <w:tc>
          <w:tcPr>
            <w:tcW w:w="876" w:type="dxa"/>
            <w:tcBorders>
              <w:top w:val="single" w:sz="4" w:space="0" w:color="auto"/>
              <w:left w:val="nil"/>
              <w:bottom w:val="single" w:sz="4" w:space="0" w:color="auto"/>
              <w:right w:val="nil"/>
            </w:tcBorders>
          </w:tcPr>
          <w:p w:rsidR="009404BA" w:rsidRPr="005F65AE" w:rsidRDefault="009404BA" w:rsidP="009404BA">
            <w:pPr>
              <w:jc w:val="both"/>
              <w:rPr>
                <w:rFonts w:asciiTheme="majorBidi" w:hAnsiTheme="majorBidi" w:cstheme="majorBidi"/>
                <w:b/>
                <w:bCs/>
                <w:sz w:val="14"/>
                <w:szCs w:val="14"/>
                <w:lang w:val="en-US"/>
              </w:rPr>
            </w:pPr>
            <w:r w:rsidRPr="005F65AE">
              <w:rPr>
                <w:rFonts w:asciiTheme="majorBidi" w:hAnsiTheme="majorBidi" w:cstheme="majorBidi"/>
                <w:b/>
                <w:bCs/>
                <w:sz w:val="14"/>
                <w:szCs w:val="14"/>
                <w:lang w:val="en-US"/>
              </w:rPr>
              <w:t>GTM</w:t>
            </w:r>
          </w:p>
        </w:tc>
        <w:tc>
          <w:tcPr>
            <w:tcW w:w="821" w:type="dxa"/>
            <w:tcBorders>
              <w:top w:val="single" w:sz="4" w:space="0" w:color="auto"/>
              <w:left w:val="nil"/>
              <w:bottom w:val="single" w:sz="4" w:space="0" w:color="auto"/>
              <w:right w:val="nil"/>
            </w:tcBorders>
          </w:tcPr>
          <w:p w:rsidR="009404BA" w:rsidRPr="005F65AE" w:rsidRDefault="009404BA" w:rsidP="009404BA">
            <w:pPr>
              <w:jc w:val="both"/>
              <w:rPr>
                <w:rFonts w:asciiTheme="majorBidi" w:hAnsiTheme="majorBidi" w:cstheme="majorBidi"/>
                <w:b/>
                <w:bCs/>
                <w:sz w:val="14"/>
                <w:szCs w:val="14"/>
                <w:lang w:val="en-US"/>
              </w:rPr>
            </w:pPr>
            <w:r w:rsidRPr="005F65AE">
              <w:rPr>
                <w:rFonts w:asciiTheme="majorBidi" w:hAnsiTheme="majorBidi" w:cstheme="majorBidi"/>
                <w:b/>
                <w:bCs/>
                <w:sz w:val="14"/>
                <w:szCs w:val="14"/>
                <w:lang w:val="en-US"/>
              </w:rPr>
              <w:t>OIL</w:t>
            </w:r>
          </w:p>
        </w:tc>
        <w:tc>
          <w:tcPr>
            <w:tcW w:w="844" w:type="dxa"/>
            <w:tcBorders>
              <w:top w:val="single" w:sz="4" w:space="0" w:color="auto"/>
              <w:left w:val="nil"/>
              <w:bottom w:val="single" w:sz="4" w:space="0" w:color="auto"/>
              <w:right w:val="nil"/>
            </w:tcBorders>
          </w:tcPr>
          <w:p w:rsidR="009404BA" w:rsidRPr="005F65AE" w:rsidRDefault="009404BA" w:rsidP="009404BA">
            <w:pPr>
              <w:jc w:val="both"/>
              <w:rPr>
                <w:rFonts w:asciiTheme="majorBidi" w:hAnsiTheme="majorBidi" w:cstheme="majorBidi"/>
                <w:b/>
                <w:bCs/>
                <w:sz w:val="14"/>
                <w:szCs w:val="14"/>
                <w:lang w:val="en-US"/>
              </w:rPr>
            </w:pPr>
            <w:r w:rsidRPr="005F65AE">
              <w:rPr>
                <w:rFonts w:asciiTheme="majorBidi" w:hAnsiTheme="majorBidi" w:cstheme="majorBidi"/>
                <w:b/>
                <w:bCs/>
                <w:sz w:val="14"/>
                <w:szCs w:val="14"/>
                <w:lang w:val="en-US"/>
              </w:rPr>
              <w:t>SLR</w:t>
            </w:r>
          </w:p>
        </w:tc>
        <w:tc>
          <w:tcPr>
            <w:tcW w:w="844" w:type="dxa"/>
            <w:tcBorders>
              <w:top w:val="single" w:sz="4" w:space="0" w:color="auto"/>
              <w:left w:val="nil"/>
              <w:bottom w:val="single" w:sz="4" w:space="0" w:color="auto"/>
              <w:right w:val="nil"/>
            </w:tcBorders>
          </w:tcPr>
          <w:p w:rsidR="009404BA" w:rsidRPr="005F65AE" w:rsidRDefault="009404BA" w:rsidP="009404BA">
            <w:pPr>
              <w:jc w:val="both"/>
              <w:rPr>
                <w:rFonts w:asciiTheme="majorBidi" w:hAnsiTheme="majorBidi" w:cstheme="majorBidi"/>
                <w:b/>
                <w:bCs/>
                <w:sz w:val="14"/>
                <w:szCs w:val="14"/>
                <w:lang w:val="en-US"/>
              </w:rPr>
            </w:pPr>
            <w:r w:rsidRPr="005F65AE">
              <w:rPr>
                <w:rFonts w:asciiTheme="majorBidi" w:hAnsiTheme="majorBidi" w:cstheme="majorBidi"/>
                <w:b/>
                <w:bCs/>
                <w:sz w:val="14"/>
                <w:szCs w:val="14"/>
                <w:lang w:val="en-US"/>
              </w:rPr>
              <w:t>WND</w:t>
            </w:r>
          </w:p>
        </w:tc>
        <w:tc>
          <w:tcPr>
            <w:tcW w:w="844" w:type="dxa"/>
            <w:tcBorders>
              <w:top w:val="single" w:sz="4" w:space="0" w:color="auto"/>
              <w:left w:val="nil"/>
              <w:bottom w:val="single" w:sz="4" w:space="0" w:color="auto"/>
              <w:right w:val="nil"/>
            </w:tcBorders>
          </w:tcPr>
          <w:p w:rsidR="009404BA" w:rsidRPr="005F65AE" w:rsidRDefault="009404BA" w:rsidP="009404BA">
            <w:pPr>
              <w:jc w:val="both"/>
              <w:rPr>
                <w:rFonts w:asciiTheme="majorBidi" w:hAnsiTheme="majorBidi" w:cstheme="majorBidi"/>
                <w:b/>
                <w:bCs/>
                <w:sz w:val="14"/>
                <w:szCs w:val="14"/>
                <w:lang w:val="en-US"/>
              </w:rPr>
            </w:pPr>
            <w:r w:rsidRPr="005F65AE">
              <w:rPr>
                <w:rFonts w:asciiTheme="majorBidi" w:hAnsiTheme="majorBidi" w:cstheme="majorBidi"/>
                <w:b/>
                <w:bCs/>
                <w:sz w:val="14"/>
                <w:szCs w:val="14"/>
                <w:lang w:val="en-US"/>
              </w:rPr>
              <w:t>BFL</w:t>
            </w:r>
          </w:p>
        </w:tc>
        <w:tc>
          <w:tcPr>
            <w:tcW w:w="844" w:type="dxa"/>
            <w:tcBorders>
              <w:top w:val="single" w:sz="4" w:space="0" w:color="auto"/>
              <w:left w:val="nil"/>
              <w:bottom w:val="single" w:sz="4" w:space="0" w:color="auto"/>
              <w:right w:val="nil"/>
            </w:tcBorders>
          </w:tcPr>
          <w:p w:rsidR="009404BA" w:rsidRPr="005F65AE" w:rsidRDefault="009404BA" w:rsidP="009404BA">
            <w:pPr>
              <w:jc w:val="both"/>
              <w:rPr>
                <w:rFonts w:asciiTheme="majorBidi" w:hAnsiTheme="majorBidi" w:cstheme="majorBidi"/>
                <w:b/>
                <w:bCs/>
                <w:sz w:val="14"/>
                <w:szCs w:val="14"/>
                <w:lang w:val="en-US"/>
              </w:rPr>
            </w:pPr>
            <w:r w:rsidRPr="005F65AE">
              <w:rPr>
                <w:rFonts w:asciiTheme="majorBidi" w:hAnsiTheme="majorBidi" w:cstheme="majorBidi"/>
                <w:b/>
                <w:bCs/>
                <w:sz w:val="14"/>
                <w:szCs w:val="14"/>
                <w:lang w:val="en-US"/>
              </w:rPr>
              <w:t>GTM</w:t>
            </w:r>
          </w:p>
        </w:tc>
      </w:tr>
      <w:tr w:rsidR="00BF77B9" w:rsidRPr="005F65AE" w:rsidTr="00BF77B9">
        <w:tc>
          <w:tcPr>
            <w:tcW w:w="1244" w:type="dxa"/>
            <w:tcBorders>
              <w:top w:val="single" w:sz="4" w:space="0" w:color="auto"/>
              <w:left w:val="nil"/>
              <w:bottom w:val="nil"/>
              <w:right w:val="nil"/>
            </w:tcBorders>
          </w:tcPr>
          <w:p w:rsidR="00BF77B9" w:rsidRPr="005F65AE" w:rsidRDefault="00BF77B9" w:rsidP="00BF77B9">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Actual</w:t>
            </w:r>
          </w:p>
          <w:p w:rsidR="00BF77B9" w:rsidRPr="005F65AE" w:rsidRDefault="00BF77B9" w:rsidP="00BF77B9">
            <w:pPr>
              <w:jc w:val="both"/>
              <w:rPr>
                <w:rFonts w:asciiTheme="majorBidi" w:hAnsiTheme="majorBidi" w:cstheme="majorBidi"/>
                <w:sz w:val="6"/>
                <w:szCs w:val="6"/>
                <w:lang w:val="en-US"/>
              </w:rPr>
            </w:pPr>
          </w:p>
        </w:tc>
        <w:tc>
          <w:tcPr>
            <w:tcW w:w="823" w:type="dxa"/>
            <w:tcBorders>
              <w:top w:val="single" w:sz="4" w:space="0" w:color="auto"/>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1.7e</w:t>
            </w:r>
            <w:r w:rsidRPr="00BF77B9">
              <w:rPr>
                <w:rFonts w:asciiTheme="majorBidi" w:hAnsiTheme="majorBidi" w:cstheme="majorBidi"/>
                <w:sz w:val="18"/>
                <w:szCs w:val="18"/>
                <w:vertAlign w:val="superscript"/>
                <w:lang w:val="en-US"/>
              </w:rPr>
              <w:t xml:space="preserve">09 </w:t>
            </w:r>
          </w:p>
        </w:tc>
        <w:tc>
          <w:tcPr>
            <w:tcW w:w="876" w:type="dxa"/>
            <w:tcBorders>
              <w:top w:val="single" w:sz="4" w:space="0" w:color="auto"/>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1.7e</w:t>
            </w:r>
            <w:r w:rsidRPr="00BF77B9">
              <w:rPr>
                <w:rFonts w:asciiTheme="majorBidi" w:hAnsiTheme="majorBidi" w:cstheme="majorBidi"/>
                <w:sz w:val="18"/>
                <w:szCs w:val="18"/>
                <w:vertAlign w:val="superscript"/>
                <w:lang w:val="en-US"/>
              </w:rPr>
              <w:t xml:space="preserve">09 </w:t>
            </w:r>
          </w:p>
        </w:tc>
        <w:tc>
          <w:tcPr>
            <w:tcW w:w="876" w:type="dxa"/>
            <w:tcBorders>
              <w:top w:val="single" w:sz="4" w:space="0" w:color="auto"/>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1.7e</w:t>
            </w:r>
            <w:r w:rsidRPr="00BF77B9">
              <w:rPr>
                <w:rFonts w:asciiTheme="majorBidi" w:hAnsiTheme="majorBidi" w:cstheme="majorBidi"/>
                <w:sz w:val="18"/>
                <w:szCs w:val="18"/>
                <w:vertAlign w:val="superscript"/>
                <w:lang w:val="en-US"/>
              </w:rPr>
              <w:t xml:space="preserve">09 </w:t>
            </w:r>
          </w:p>
        </w:tc>
        <w:tc>
          <w:tcPr>
            <w:tcW w:w="876" w:type="dxa"/>
            <w:tcBorders>
              <w:top w:val="single" w:sz="4" w:space="0" w:color="auto"/>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1.7e</w:t>
            </w:r>
            <w:r w:rsidRPr="00BF77B9">
              <w:rPr>
                <w:rFonts w:asciiTheme="majorBidi" w:hAnsiTheme="majorBidi" w:cstheme="majorBidi"/>
                <w:sz w:val="18"/>
                <w:szCs w:val="18"/>
                <w:vertAlign w:val="superscript"/>
                <w:lang w:val="en-US"/>
              </w:rPr>
              <w:t xml:space="preserve">09 </w:t>
            </w:r>
          </w:p>
        </w:tc>
        <w:tc>
          <w:tcPr>
            <w:tcW w:w="876" w:type="dxa"/>
            <w:tcBorders>
              <w:top w:val="single" w:sz="4" w:space="0" w:color="auto"/>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1.7e</w:t>
            </w:r>
            <w:r w:rsidRPr="00BF77B9">
              <w:rPr>
                <w:rFonts w:asciiTheme="majorBidi" w:hAnsiTheme="majorBidi" w:cstheme="majorBidi"/>
                <w:sz w:val="18"/>
                <w:szCs w:val="18"/>
                <w:vertAlign w:val="superscript"/>
                <w:lang w:val="en-US"/>
              </w:rPr>
              <w:t xml:space="preserve">09 </w:t>
            </w:r>
          </w:p>
        </w:tc>
        <w:tc>
          <w:tcPr>
            <w:tcW w:w="821" w:type="dxa"/>
            <w:tcBorders>
              <w:top w:val="single" w:sz="4" w:space="0" w:color="auto"/>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2.0e</w:t>
            </w:r>
            <w:r w:rsidRPr="00BF77B9">
              <w:rPr>
                <w:rFonts w:asciiTheme="majorBidi" w:hAnsiTheme="majorBidi" w:cstheme="majorBidi"/>
                <w:sz w:val="18"/>
                <w:szCs w:val="18"/>
                <w:vertAlign w:val="superscript"/>
                <w:lang w:val="en-US"/>
              </w:rPr>
              <w:t>11</w:t>
            </w:r>
          </w:p>
        </w:tc>
        <w:tc>
          <w:tcPr>
            <w:tcW w:w="844" w:type="dxa"/>
            <w:tcBorders>
              <w:top w:val="single" w:sz="4" w:space="0" w:color="auto"/>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2.0e</w:t>
            </w:r>
            <w:r w:rsidRPr="00BF77B9">
              <w:rPr>
                <w:rFonts w:asciiTheme="majorBidi" w:hAnsiTheme="majorBidi" w:cstheme="majorBidi"/>
                <w:sz w:val="18"/>
                <w:szCs w:val="18"/>
                <w:vertAlign w:val="superscript"/>
                <w:lang w:val="en-US"/>
              </w:rPr>
              <w:t>11</w:t>
            </w:r>
          </w:p>
        </w:tc>
        <w:tc>
          <w:tcPr>
            <w:tcW w:w="844" w:type="dxa"/>
            <w:tcBorders>
              <w:top w:val="single" w:sz="4" w:space="0" w:color="auto"/>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2.0e</w:t>
            </w:r>
            <w:r w:rsidRPr="00BF77B9">
              <w:rPr>
                <w:rFonts w:asciiTheme="majorBidi" w:hAnsiTheme="majorBidi" w:cstheme="majorBidi"/>
                <w:sz w:val="18"/>
                <w:szCs w:val="18"/>
                <w:vertAlign w:val="superscript"/>
                <w:lang w:val="en-US"/>
              </w:rPr>
              <w:t>11</w:t>
            </w:r>
          </w:p>
        </w:tc>
        <w:tc>
          <w:tcPr>
            <w:tcW w:w="844" w:type="dxa"/>
            <w:tcBorders>
              <w:top w:val="single" w:sz="4" w:space="0" w:color="auto"/>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2.0e</w:t>
            </w:r>
            <w:r w:rsidRPr="00BF77B9">
              <w:rPr>
                <w:rFonts w:asciiTheme="majorBidi" w:hAnsiTheme="majorBidi" w:cstheme="majorBidi"/>
                <w:sz w:val="18"/>
                <w:szCs w:val="18"/>
                <w:vertAlign w:val="superscript"/>
                <w:lang w:val="en-US"/>
              </w:rPr>
              <w:t>11</w:t>
            </w:r>
          </w:p>
        </w:tc>
        <w:tc>
          <w:tcPr>
            <w:tcW w:w="844" w:type="dxa"/>
            <w:tcBorders>
              <w:top w:val="single" w:sz="4" w:space="0" w:color="auto"/>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2.0e</w:t>
            </w:r>
            <w:r w:rsidRPr="00BF77B9">
              <w:rPr>
                <w:rFonts w:asciiTheme="majorBidi" w:hAnsiTheme="majorBidi" w:cstheme="majorBidi"/>
                <w:sz w:val="18"/>
                <w:szCs w:val="18"/>
                <w:vertAlign w:val="superscript"/>
                <w:lang w:val="en-US"/>
              </w:rPr>
              <w:t>11</w:t>
            </w:r>
          </w:p>
        </w:tc>
      </w:tr>
      <w:tr w:rsidR="00BF77B9" w:rsidRPr="005F65AE" w:rsidTr="00BF77B9">
        <w:tc>
          <w:tcPr>
            <w:tcW w:w="1244" w:type="dxa"/>
            <w:tcBorders>
              <w:top w:val="nil"/>
              <w:left w:val="nil"/>
              <w:bottom w:val="nil"/>
              <w:right w:val="nil"/>
            </w:tcBorders>
          </w:tcPr>
          <w:p w:rsidR="00BF77B9" w:rsidRPr="005F65AE" w:rsidRDefault="00BF77B9" w:rsidP="00BF77B9">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Prediction (std)</w:t>
            </w:r>
          </w:p>
          <w:p w:rsidR="00BF77B9" w:rsidRPr="005F65AE" w:rsidRDefault="00BF77B9" w:rsidP="00BF77B9">
            <w:pPr>
              <w:jc w:val="both"/>
              <w:rPr>
                <w:rFonts w:asciiTheme="majorBidi" w:hAnsiTheme="majorBidi" w:cstheme="majorBidi"/>
                <w:sz w:val="16"/>
                <w:szCs w:val="16"/>
                <w:lang w:val="en-US"/>
              </w:rPr>
            </w:pPr>
          </w:p>
          <w:p w:rsidR="00BF77B9" w:rsidRPr="005F65AE" w:rsidRDefault="00BF77B9" w:rsidP="00BF77B9">
            <w:pPr>
              <w:jc w:val="both"/>
              <w:rPr>
                <w:rFonts w:asciiTheme="majorBidi" w:hAnsiTheme="majorBidi" w:cstheme="majorBidi"/>
                <w:sz w:val="2"/>
                <w:szCs w:val="2"/>
                <w:lang w:val="en-US"/>
              </w:rPr>
            </w:pPr>
          </w:p>
          <w:p w:rsidR="00BF77B9" w:rsidRPr="005F65AE" w:rsidRDefault="00BF77B9" w:rsidP="00BF77B9">
            <w:pPr>
              <w:jc w:val="both"/>
              <w:rPr>
                <w:rFonts w:asciiTheme="majorBidi" w:hAnsiTheme="majorBidi" w:cstheme="majorBidi"/>
                <w:sz w:val="4"/>
                <w:szCs w:val="4"/>
                <w:lang w:val="en-US"/>
              </w:rPr>
            </w:pPr>
          </w:p>
        </w:tc>
        <w:tc>
          <w:tcPr>
            <w:tcW w:w="823"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1.7e</w:t>
            </w:r>
            <w:r w:rsidRPr="00BF77B9">
              <w:rPr>
                <w:rFonts w:asciiTheme="majorBidi" w:hAnsiTheme="majorBidi" w:cstheme="majorBidi"/>
                <w:sz w:val="18"/>
                <w:szCs w:val="18"/>
                <w:vertAlign w:val="superscript"/>
                <w:lang w:val="en-US"/>
              </w:rPr>
              <w:t xml:space="preserve">09 </w:t>
            </w:r>
            <w:r w:rsidRPr="00BF77B9">
              <w:rPr>
                <w:rFonts w:asciiTheme="majorBidi" w:hAnsiTheme="majorBidi" w:cstheme="majorBidi"/>
                <w:sz w:val="18"/>
                <w:szCs w:val="18"/>
                <w:lang w:val="en-US"/>
              </w:rPr>
              <w:t>(3.8e</w:t>
            </w:r>
            <w:r w:rsidRPr="00BF77B9">
              <w:rPr>
                <w:rFonts w:asciiTheme="majorBidi" w:hAnsiTheme="majorBidi" w:cstheme="majorBidi"/>
                <w:sz w:val="18"/>
                <w:szCs w:val="18"/>
                <w:vertAlign w:val="superscript"/>
                <w:lang w:val="en-US"/>
              </w:rPr>
              <w:t>06</w:t>
            </w:r>
            <w:r w:rsidRPr="00BF77B9">
              <w:rPr>
                <w:rFonts w:asciiTheme="majorBidi" w:hAnsiTheme="majorBidi" w:cstheme="majorBidi"/>
                <w:sz w:val="18"/>
                <w:szCs w:val="18"/>
                <w:lang w:val="en-US"/>
              </w:rPr>
              <w:t xml:space="preserve">)    </w:t>
            </w:r>
          </w:p>
        </w:tc>
        <w:tc>
          <w:tcPr>
            <w:tcW w:w="876"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1.7e</w:t>
            </w:r>
            <w:r w:rsidRPr="00BF77B9">
              <w:rPr>
                <w:rFonts w:asciiTheme="majorBidi" w:hAnsiTheme="majorBidi" w:cstheme="majorBidi"/>
                <w:sz w:val="18"/>
                <w:szCs w:val="18"/>
                <w:vertAlign w:val="superscript"/>
                <w:lang w:val="en-US"/>
              </w:rPr>
              <w:t xml:space="preserve">09 </w:t>
            </w:r>
            <w:r w:rsidRPr="00BF77B9">
              <w:rPr>
                <w:rFonts w:asciiTheme="majorBidi" w:hAnsiTheme="majorBidi" w:cstheme="majorBidi"/>
                <w:sz w:val="18"/>
                <w:szCs w:val="18"/>
                <w:lang w:val="en-US"/>
              </w:rPr>
              <w:t>(3.8e</w:t>
            </w:r>
            <w:r w:rsidRPr="00BF77B9">
              <w:rPr>
                <w:rFonts w:asciiTheme="majorBidi" w:hAnsiTheme="majorBidi" w:cstheme="majorBidi"/>
                <w:sz w:val="18"/>
                <w:szCs w:val="18"/>
                <w:vertAlign w:val="superscript"/>
                <w:lang w:val="en-US"/>
              </w:rPr>
              <w:t>06</w:t>
            </w:r>
            <w:r w:rsidRPr="00BF77B9">
              <w:rPr>
                <w:rFonts w:asciiTheme="majorBidi" w:hAnsiTheme="majorBidi" w:cstheme="majorBidi"/>
                <w:sz w:val="18"/>
                <w:szCs w:val="18"/>
                <w:lang w:val="en-US"/>
              </w:rPr>
              <w:t xml:space="preserve">)    </w:t>
            </w:r>
          </w:p>
        </w:tc>
        <w:tc>
          <w:tcPr>
            <w:tcW w:w="876"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1.7e</w:t>
            </w:r>
            <w:r w:rsidRPr="00BF77B9">
              <w:rPr>
                <w:rFonts w:asciiTheme="majorBidi" w:hAnsiTheme="majorBidi" w:cstheme="majorBidi"/>
                <w:sz w:val="18"/>
                <w:szCs w:val="18"/>
                <w:vertAlign w:val="superscript"/>
                <w:lang w:val="en-US"/>
              </w:rPr>
              <w:t xml:space="preserve">09 </w:t>
            </w:r>
            <w:r w:rsidRPr="00BF77B9">
              <w:rPr>
                <w:rFonts w:asciiTheme="majorBidi" w:hAnsiTheme="majorBidi" w:cstheme="majorBidi"/>
                <w:sz w:val="18"/>
                <w:szCs w:val="18"/>
                <w:lang w:val="en-US"/>
              </w:rPr>
              <w:t>(3.8e</w:t>
            </w:r>
            <w:r w:rsidRPr="00BF77B9">
              <w:rPr>
                <w:rFonts w:asciiTheme="majorBidi" w:hAnsiTheme="majorBidi" w:cstheme="majorBidi"/>
                <w:sz w:val="18"/>
                <w:szCs w:val="18"/>
                <w:vertAlign w:val="superscript"/>
                <w:lang w:val="en-US"/>
              </w:rPr>
              <w:t>06</w:t>
            </w:r>
            <w:r w:rsidRPr="00BF77B9">
              <w:rPr>
                <w:rFonts w:asciiTheme="majorBidi" w:hAnsiTheme="majorBidi" w:cstheme="majorBidi"/>
                <w:sz w:val="18"/>
                <w:szCs w:val="18"/>
                <w:lang w:val="en-US"/>
              </w:rPr>
              <w:t xml:space="preserve">)    </w:t>
            </w:r>
          </w:p>
        </w:tc>
        <w:tc>
          <w:tcPr>
            <w:tcW w:w="876"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1.7e</w:t>
            </w:r>
            <w:r w:rsidRPr="00BF77B9">
              <w:rPr>
                <w:rFonts w:asciiTheme="majorBidi" w:hAnsiTheme="majorBidi" w:cstheme="majorBidi"/>
                <w:sz w:val="18"/>
                <w:szCs w:val="18"/>
                <w:vertAlign w:val="superscript"/>
                <w:lang w:val="en-US"/>
              </w:rPr>
              <w:t xml:space="preserve">09 </w:t>
            </w:r>
            <w:r w:rsidRPr="00BF77B9">
              <w:rPr>
                <w:rFonts w:asciiTheme="majorBidi" w:hAnsiTheme="majorBidi" w:cstheme="majorBidi"/>
                <w:sz w:val="18"/>
                <w:szCs w:val="18"/>
                <w:lang w:val="en-US"/>
              </w:rPr>
              <w:t>(3.8e</w:t>
            </w:r>
            <w:r w:rsidRPr="00BF77B9">
              <w:rPr>
                <w:rFonts w:asciiTheme="majorBidi" w:hAnsiTheme="majorBidi" w:cstheme="majorBidi"/>
                <w:sz w:val="18"/>
                <w:szCs w:val="18"/>
                <w:vertAlign w:val="superscript"/>
                <w:lang w:val="en-US"/>
              </w:rPr>
              <w:t>06</w:t>
            </w:r>
            <w:r w:rsidRPr="00BF77B9">
              <w:rPr>
                <w:rFonts w:asciiTheme="majorBidi" w:hAnsiTheme="majorBidi" w:cstheme="majorBidi"/>
                <w:sz w:val="18"/>
                <w:szCs w:val="18"/>
                <w:lang w:val="en-US"/>
              </w:rPr>
              <w:t xml:space="preserve">)    </w:t>
            </w:r>
          </w:p>
        </w:tc>
        <w:tc>
          <w:tcPr>
            <w:tcW w:w="876"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1.7e</w:t>
            </w:r>
            <w:r w:rsidRPr="00BF77B9">
              <w:rPr>
                <w:rFonts w:asciiTheme="majorBidi" w:hAnsiTheme="majorBidi" w:cstheme="majorBidi"/>
                <w:sz w:val="18"/>
                <w:szCs w:val="18"/>
                <w:vertAlign w:val="superscript"/>
                <w:lang w:val="en-US"/>
              </w:rPr>
              <w:t xml:space="preserve">09 </w:t>
            </w:r>
            <w:r w:rsidRPr="00BF77B9">
              <w:rPr>
                <w:rFonts w:asciiTheme="majorBidi" w:hAnsiTheme="majorBidi" w:cstheme="majorBidi"/>
                <w:sz w:val="18"/>
                <w:szCs w:val="18"/>
                <w:lang w:val="en-US"/>
              </w:rPr>
              <w:t>(3.8e</w:t>
            </w:r>
            <w:r w:rsidRPr="00BF77B9">
              <w:rPr>
                <w:rFonts w:asciiTheme="majorBidi" w:hAnsiTheme="majorBidi" w:cstheme="majorBidi"/>
                <w:sz w:val="18"/>
                <w:szCs w:val="18"/>
                <w:vertAlign w:val="superscript"/>
                <w:lang w:val="en-US"/>
              </w:rPr>
              <w:t>06</w:t>
            </w:r>
            <w:r w:rsidRPr="00BF77B9">
              <w:rPr>
                <w:rFonts w:asciiTheme="majorBidi" w:hAnsiTheme="majorBidi" w:cstheme="majorBidi"/>
                <w:sz w:val="18"/>
                <w:szCs w:val="18"/>
                <w:lang w:val="en-US"/>
              </w:rPr>
              <w:t xml:space="preserve">)    </w:t>
            </w:r>
          </w:p>
        </w:tc>
        <w:tc>
          <w:tcPr>
            <w:tcW w:w="821"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2.0e</w:t>
            </w:r>
            <w:r w:rsidRPr="00BF77B9">
              <w:rPr>
                <w:rFonts w:asciiTheme="majorBidi" w:hAnsiTheme="majorBidi" w:cstheme="majorBidi"/>
                <w:sz w:val="18"/>
                <w:szCs w:val="18"/>
                <w:vertAlign w:val="superscript"/>
                <w:lang w:val="en-US"/>
              </w:rPr>
              <w:t>11</w:t>
            </w:r>
            <w:r w:rsidRPr="00BF77B9">
              <w:rPr>
                <w:rFonts w:asciiTheme="majorBidi" w:hAnsiTheme="majorBidi" w:cstheme="majorBidi"/>
                <w:sz w:val="18"/>
                <w:szCs w:val="18"/>
                <w:lang w:val="en-US"/>
              </w:rPr>
              <w:t xml:space="preserve"> (4.6e</w:t>
            </w:r>
            <w:r w:rsidRPr="00BF77B9">
              <w:rPr>
                <w:rFonts w:asciiTheme="majorBidi" w:hAnsiTheme="majorBidi" w:cstheme="majorBidi"/>
                <w:sz w:val="18"/>
                <w:szCs w:val="18"/>
                <w:vertAlign w:val="superscript"/>
                <w:lang w:val="en-US"/>
              </w:rPr>
              <w:t>08</w:t>
            </w:r>
            <w:r w:rsidRPr="00BF77B9">
              <w:rPr>
                <w:rFonts w:asciiTheme="majorBidi" w:hAnsiTheme="majorBidi" w:cstheme="majorBidi"/>
                <w:sz w:val="18"/>
                <w:szCs w:val="18"/>
                <w:lang w:val="en-US"/>
              </w:rPr>
              <w:t>)</w:t>
            </w:r>
          </w:p>
        </w:tc>
        <w:tc>
          <w:tcPr>
            <w:tcW w:w="844"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2.0e</w:t>
            </w:r>
            <w:r w:rsidRPr="00BF77B9">
              <w:rPr>
                <w:rFonts w:asciiTheme="majorBidi" w:hAnsiTheme="majorBidi" w:cstheme="majorBidi"/>
                <w:sz w:val="18"/>
                <w:szCs w:val="18"/>
                <w:vertAlign w:val="superscript"/>
                <w:lang w:val="en-US"/>
              </w:rPr>
              <w:t>11</w:t>
            </w:r>
            <w:r w:rsidRPr="00BF77B9">
              <w:rPr>
                <w:rFonts w:asciiTheme="majorBidi" w:hAnsiTheme="majorBidi" w:cstheme="majorBidi"/>
                <w:sz w:val="18"/>
                <w:szCs w:val="18"/>
                <w:lang w:val="en-US"/>
              </w:rPr>
              <w:t xml:space="preserve"> (4.6e</w:t>
            </w:r>
            <w:r w:rsidRPr="00BF77B9">
              <w:rPr>
                <w:rFonts w:asciiTheme="majorBidi" w:hAnsiTheme="majorBidi" w:cstheme="majorBidi"/>
                <w:sz w:val="18"/>
                <w:szCs w:val="18"/>
                <w:vertAlign w:val="superscript"/>
                <w:lang w:val="en-US"/>
              </w:rPr>
              <w:t>08</w:t>
            </w:r>
            <w:r w:rsidRPr="00BF77B9">
              <w:rPr>
                <w:rFonts w:asciiTheme="majorBidi" w:hAnsiTheme="majorBidi" w:cstheme="majorBidi"/>
                <w:sz w:val="18"/>
                <w:szCs w:val="18"/>
                <w:lang w:val="en-US"/>
              </w:rPr>
              <w:t>)</w:t>
            </w:r>
          </w:p>
        </w:tc>
        <w:tc>
          <w:tcPr>
            <w:tcW w:w="844"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2.0e</w:t>
            </w:r>
            <w:r w:rsidRPr="00BF77B9">
              <w:rPr>
                <w:rFonts w:asciiTheme="majorBidi" w:hAnsiTheme="majorBidi" w:cstheme="majorBidi"/>
                <w:sz w:val="18"/>
                <w:szCs w:val="18"/>
                <w:vertAlign w:val="superscript"/>
                <w:lang w:val="en-US"/>
              </w:rPr>
              <w:t>11</w:t>
            </w:r>
            <w:r w:rsidRPr="00BF77B9">
              <w:rPr>
                <w:rFonts w:asciiTheme="majorBidi" w:hAnsiTheme="majorBidi" w:cstheme="majorBidi"/>
                <w:sz w:val="18"/>
                <w:szCs w:val="18"/>
                <w:lang w:val="en-US"/>
              </w:rPr>
              <w:t xml:space="preserve"> (4.6e</w:t>
            </w:r>
            <w:r w:rsidRPr="00BF77B9">
              <w:rPr>
                <w:rFonts w:asciiTheme="majorBidi" w:hAnsiTheme="majorBidi" w:cstheme="majorBidi"/>
                <w:sz w:val="18"/>
                <w:szCs w:val="18"/>
                <w:vertAlign w:val="superscript"/>
                <w:lang w:val="en-US"/>
              </w:rPr>
              <w:t>08</w:t>
            </w:r>
            <w:r w:rsidRPr="00BF77B9">
              <w:rPr>
                <w:rFonts w:asciiTheme="majorBidi" w:hAnsiTheme="majorBidi" w:cstheme="majorBidi"/>
                <w:sz w:val="18"/>
                <w:szCs w:val="18"/>
                <w:lang w:val="en-US"/>
              </w:rPr>
              <w:t>)</w:t>
            </w:r>
          </w:p>
        </w:tc>
        <w:tc>
          <w:tcPr>
            <w:tcW w:w="844"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2.0e</w:t>
            </w:r>
            <w:r w:rsidRPr="00BF77B9">
              <w:rPr>
                <w:rFonts w:asciiTheme="majorBidi" w:hAnsiTheme="majorBidi" w:cstheme="majorBidi"/>
                <w:sz w:val="18"/>
                <w:szCs w:val="18"/>
                <w:vertAlign w:val="superscript"/>
                <w:lang w:val="en-US"/>
              </w:rPr>
              <w:t>11</w:t>
            </w:r>
            <w:r w:rsidRPr="00BF77B9">
              <w:rPr>
                <w:rFonts w:asciiTheme="majorBidi" w:hAnsiTheme="majorBidi" w:cstheme="majorBidi"/>
                <w:sz w:val="18"/>
                <w:szCs w:val="18"/>
                <w:lang w:val="en-US"/>
              </w:rPr>
              <w:t xml:space="preserve"> (4.6e</w:t>
            </w:r>
            <w:r w:rsidRPr="00BF77B9">
              <w:rPr>
                <w:rFonts w:asciiTheme="majorBidi" w:hAnsiTheme="majorBidi" w:cstheme="majorBidi"/>
                <w:sz w:val="18"/>
                <w:szCs w:val="18"/>
                <w:vertAlign w:val="superscript"/>
                <w:lang w:val="en-US"/>
              </w:rPr>
              <w:t>08</w:t>
            </w:r>
            <w:r w:rsidRPr="00BF77B9">
              <w:rPr>
                <w:rFonts w:asciiTheme="majorBidi" w:hAnsiTheme="majorBidi" w:cstheme="majorBidi"/>
                <w:sz w:val="18"/>
                <w:szCs w:val="18"/>
                <w:lang w:val="en-US"/>
              </w:rPr>
              <w:t>)</w:t>
            </w:r>
          </w:p>
        </w:tc>
        <w:tc>
          <w:tcPr>
            <w:tcW w:w="844"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2.0e</w:t>
            </w:r>
            <w:r w:rsidRPr="00BF77B9">
              <w:rPr>
                <w:rFonts w:asciiTheme="majorBidi" w:hAnsiTheme="majorBidi" w:cstheme="majorBidi"/>
                <w:sz w:val="18"/>
                <w:szCs w:val="18"/>
                <w:vertAlign w:val="superscript"/>
                <w:lang w:val="en-US"/>
              </w:rPr>
              <w:t>11</w:t>
            </w:r>
            <w:r w:rsidRPr="00BF77B9">
              <w:rPr>
                <w:rFonts w:asciiTheme="majorBidi" w:hAnsiTheme="majorBidi" w:cstheme="majorBidi"/>
                <w:sz w:val="18"/>
                <w:szCs w:val="18"/>
                <w:lang w:val="en-US"/>
              </w:rPr>
              <w:t xml:space="preserve"> (4.6e</w:t>
            </w:r>
            <w:r w:rsidRPr="00BF77B9">
              <w:rPr>
                <w:rFonts w:asciiTheme="majorBidi" w:hAnsiTheme="majorBidi" w:cstheme="majorBidi"/>
                <w:sz w:val="18"/>
                <w:szCs w:val="18"/>
                <w:vertAlign w:val="superscript"/>
                <w:lang w:val="en-US"/>
              </w:rPr>
              <w:t>08</w:t>
            </w:r>
            <w:r w:rsidRPr="00BF77B9">
              <w:rPr>
                <w:rFonts w:asciiTheme="majorBidi" w:hAnsiTheme="majorBidi" w:cstheme="majorBidi"/>
                <w:sz w:val="18"/>
                <w:szCs w:val="18"/>
                <w:lang w:val="en-US"/>
              </w:rPr>
              <w:t>)</w:t>
            </w:r>
          </w:p>
        </w:tc>
      </w:tr>
      <w:tr w:rsidR="00BF77B9" w:rsidRPr="005F65AE" w:rsidTr="00BF77B9">
        <w:tc>
          <w:tcPr>
            <w:tcW w:w="1244" w:type="dxa"/>
            <w:tcBorders>
              <w:top w:val="nil"/>
              <w:left w:val="nil"/>
              <w:bottom w:val="nil"/>
              <w:right w:val="nil"/>
            </w:tcBorders>
          </w:tcPr>
          <w:p w:rsidR="00BF77B9" w:rsidRPr="005F65AE" w:rsidRDefault="00BF77B9" w:rsidP="00BF77B9">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95% CI</w:t>
            </w:r>
          </w:p>
          <w:p w:rsidR="00BF77B9" w:rsidRPr="005F65AE" w:rsidRDefault="00BF77B9" w:rsidP="00BF77B9">
            <w:pPr>
              <w:jc w:val="both"/>
              <w:rPr>
                <w:rFonts w:asciiTheme="majorBidi" w:hAnsiTheme="majorBidi" w:cstheme="majorBidi"/>
                <w:sz w:val="6"/>
                <w:szCs w:val="6"/>
                <w:lang w:val="en-US"/>
              </w:rPr>
            </w:pPr>
          </w:p>
          <w:p w:rsidR="00BF77B9" w:rsidRPr="005F65AE" w:rsidRDefault="00BF77B9" w:rsidP="00BF77B9">
            <w:pPr>
              <w:jc w:val="both"/>
              <w:rPr>
                <w:rFonts w:asciiTheme="majorBidi" w:hAnsiTheme="majorBidi" w:cstheme="majorBidi"/>
                <w:sz w:val="16"/>
                <w:szCs w:val="16"/>
                <w:lang w:val="en-US"/>
              </w:rPr>
            </w:pPr>
          </w:p>
        </w:tc>
        <w:tc>
          <w:tcPr>
            <w:tcW w:w="823"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[1.7e</w:t>
            </w:r>
            <w:r w:rsidRPr="00BF77B9">
              <w:rPr>
                <w:rFonts w:asciiTheme="majorBidi" w:hAnsiTheme="majorBidi" w:cstheme="majorBidi"/>
                <w:sz w:val="18"/>
                <w:szCs w:val="18"/>
                <w:vertAlign w:val="superscript"/>
                <w:lang w:val="en-US"/>
              </w:rPr>
              <w:t>09</w:t>
            </w:r>
            <w:r w:rsidRPr="00BF77B9">
              <w:rPr>
                <w:rFonts w:asciiTheme="majorBidi" w:hAnsiTheme="majorBidi" w:cstheme="majorBidi"/>
                <w:sz w:val="18"/>
                <w:szCs w:val="18"/>
                <w:lang w:val="en-US"/>
              </w:rPr>
              <w:t>, 1.7e</w:t>
            </w:r>
            <w:r w:rsidRPr="00BF77B9">
              <w:rPr>
                <w:rFonts w:asciiTheme="majorBidi" w:hAnsiTheme="majorBidi" w:cstheme="majorBidi"/>
                <w:sz w:val="18"/>
                <w:szCs w:val="18"/>
                <w:vertAlign w:val="superscript"/>
                <w:lang w:val="en-US"/>
              </w:rPr>
              <w:t>09</w:t>
            </w:r>
            <w:r w:rsidRPr="00BF77B9">
              <w:rPr>
                <w:rFonts w:asciiTheme="majorBidi" w:hAnsiTheme="majorBidi" w:cstheme="majorBidi"/>
                <w:sz w:val="18"/>
                <w:szCs w:val="18"/>
                <w:lang w:val="en-US"/>
              </w:rPr>
              <w:t xml:space="preserve">]   </w:t>
            </w:r>
          </w:p>
        </w:tc>
        <w:tc>
          <w:tcPr>
            <w:tcW w:w="876"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[1.7e</w:t>
            </w:r>
            <w:r w:rsidRPr="00BF77B9">
              <w:rPr>
                <w:rFonts w:asciiTheme="majorBidi" w:hAnsiTheme="majorBidi" w:cstheme="majorBidi"/>
                <w:sz w:val="18"/>
                <w:szCs w:val="18"/>
                <w:vertAlign w:val="superscript"/>
                <w:lang w:val="en-US"/>
              </w:rPr>
              <w:t>09</w:t>
            </w:r>
            <w:r w:rsidRPr="00BF77B9">
              <w:rPr>
                <w:rFonts w:asciiTheme="majorBidi" w:hAnsiTheme="majorBidi" w:cstheme="majorBidi"/>
                <w:sz w:val="18"/>
                <w:szCs w:val="18"/>
                <w:lang w:val="en-US"/>
              </w:rPr>
              <w:t>, 1.7e</w:t>
            </w:r>
            <w:r w:rsidRPr="00BF77B9">
              <w:rPr>
                <w:rFonts w:asciiTheme="majorBidi" w:hAnsiTheme="majorBidi" w:cstheme="majorBidi"/>
                <w:sz w:val="18"/>
                <w:szCs w:val="18"/>
                <w:vertAlign w:val="superscript"/>
                <w:lang w:val="en-US"/>
              </w:rPr>
              <w:t>09</w:t>
            </w:r>
            <w:r w:rsidRPr="00BF77B9">
              <w:rPr>
                <w:rFonts w:asciiTheme="majorBidi" w:hAnsiTheme="majorBidi" w:cstheme="majorBidi"/>
                <w:sz w:val="18"/>
                <w:szCs w:val="18"/>
                <w:lang w:val="en-US"/>
              </w:rPr>
              <w:t xml:space="preserve">]   </w:t>
            </w:r>
          </w:p>
        </w:tc>
        <w:tc>
          <w:tcPr>
            <w:tcW w:w="876"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[1.7e</w:t>
            </w:r>
            <w:r w:rsidRPr="00BF77B9">
              <w:rPr>
                <w:rFonts w:asciiTheme="majorBidi" w:hAnsiTheme="majorBidi" w:cstheme="majorBidi"/>
                <w:sz w:val="18"/>
                <w:szCs w:val="18"/>
                <w:vertAlign w:val="superscript"/>
                <w:lang w:val="en-US"/>
              </w:rPr>
              <w:t>09</w:t>
            </w:r>
            <w:r w:rsidRPr="00BF77B9">
              <w:rPr>
                <w:rFonts w:asciiTheme="majorBidi" w:hAnsiTheme="majorBidi" w:cstheme="majorBidi"/>
                <w:sz w:val="18"/>
                <w:szCs w:val="18"/>
                <w:lang w:val="en-US"/>
              </w:rPr>
              <w:t>, 1.7e</w:t>
            </w:r>
            <w:r w:rsidRPr="00BF77B9">
              <w:rPr>
                <w:rFonts w:asciiTheme="majorBidi" w:hAnsiTheme="majorBidi" w:cstheme="majorBidi"/>
                <w:sz w:val="18"/>
                <w:szCs w:val="18"/>
                <w:vertAlign w:val="superscript"/>
                <w:lang w:val="en-US"/>
              </w:rPr>
              <w:t>09</w:t>
            </w:r>
            <w:r w:rsidRPr="00BF77B9">
              <w:rPr>
                <w:rFonts w:asciiTheme="majorBidi" w:hAnsiTheme="majorBidi" w:cstheme="majorBidi"/>
                <w:sz w:val="18"/>
                <w:szCs w:val="18"/>
                <w:lang w:val="en-US"/>
              </w:rPr>
              <w:t xml:space="preserve">]   </w:t>
            </w:r>
          </w:p>
        </w:tc>
        <w:tc>
          <w:tcPr>
            <w:tcW w:w="876"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[1.7e</w:t>
            </w:r>
            <w:r w:rsidRPr="00BF77B9">
              <w:rPr>
                <w:rFonts w:asciiTheme="majorBidi" w:hAnsiTheme="majorBidi" w:cstheme="majorBidi"/>
                <w:sz w:val="18"/>
                <w:szCs w:val="18"/>
                <w:vertAlign w:val="superscript"/>
                <w:lang w:val="en-US"/>
              </w:rPr>
              <w:t>09</w:t>
            </w:r>
            <w:r w:rsidRPr="00BF77B9">
              <w:rPr>
                <w:rFonts w:asciiTheme="majorBidi" w:hAnsiTheme="majorBidi" w:cstheme="majorBidi"/>
                <w:sz w:val="18"/>
                <w:szCs w:val="18"/>
                <w:lang w:val="en-US"/>
              </w:rPr>
              <w:t>, 1.7e</w:t>
            </w:r>
            <w:r w:rsidRPr="00BF77B9">
              <w:rPr>
                <w:rFonts w:asciiTheme="majorBidi" w:hAnsiTheme="majorBidi" w:cstheme="majorBidi"/>
                <w:sz w:val="18"/>
                <w:szCs w:val="18"/>
                <w:vertAlign w:val="superscript"/>
                <w:lang w:val="en-US"/>
              </w:rPr>
              <w:t>09</w:t>
            </w:r>
            <w:r w:rsidRPr="00BF77B9">
              <w:rPr>
                <w:rFonts w:asciiTheme="majorBidi" w:hAnsiTheme="majorBidi" w:cstheme="majorBidi"/>
                <w:sz w:val="18"/>
                <w:szCs w:val="18"/>
                <w:lang w:val="en-US"/>
              </w:rPr>
              <w:t xml:space="preserve">]   </w:t>
            </w:r>
          </w:p>
        </w:tc>
        <w:tc>
          <w:tcPr>
            <w:tcW w:w="876"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[1.7e</w:t>
            </w:r>
            <w:r w:rsidRPr="00BF77B9">
              <w:rPr>
                <w:rFonts w:asciiTheme="majorBidi" w:hAnsiTheme="majorBidi" w:cstheme="majorBidi"/>
                <w:sz w:val="18"/>
                <w:szCs w:val="18"/>
                <w:vertAlign w:val="superscript"/>
                <w:lang w:val="en-US"/>
              </w:rPr>
              <w:t>09</w:t>
            </w:r>
            <w:r w:rsidRPr="00BF77B9">
              <w:rPr>
                <w:rFonts w:asciiTheme="majorBidi" w:hAnsiTheme="majorBidi" w:cstheme="majorBidi"/>
                <w:sz w:val="18"/>
                <w:szCs w:val="18"/>
                <w:lang w:val="en-US"/>
              </w:rPr>
              <w:t>, 1.7e</w:t>
            </w:r>
            <w:r w:rsidRPr="00BF77B9">
              <w:rPr>
                <w:rFonts w:asciiTheme="majorBidi" w:hAnsiTheme="majorBidi" w:cstheme="majorBidi"/>
                <w:sz w:val="18"/>
                <w:szCs w:val="18"/>
                <w:vertAlign w:val="superscript"/>
                <w:lang w:val="en-US"/>
              </w:rPr>
              <w:t>09</w:t>
            </w:r>
            <w:r w:rsidRPr="00BF77B9">
              <w:rPr>
                <w:rFonts w:asciiTheme="majorBidi" w:hAnsiTheme="majorBidi" w:cstheme="majorBidi"/>
                <w:sz w:val="18"/>
                <w:szCs w:val="18"/>
                <w:lang w:val="en-US"/>
              </w:rPr>
              <w:t xml:space="preserve">]   </w:t>
            </w:r>
          </w:p>
        </w:tc>
        <w:tc>
          <w:tcPr>
            <w:tcW w:w="821"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[2.0e</w:t>
            </w:r>
            <w:r w:rsidRPr="00BF77B9">
              <w:rPr>
                <w:rFonts w:asciiTheme="majorBidi" w:hAnsiTheme="majorBidi" w:cstheme="majorBidi"/>
                <w:sz w:val="18"/>
                <w:szCs w:val="18"/>
                <w:vertAlign w:val="superscript"/>
                <w:lang w:val="en-US"/>
              </w:rPr>
              <w:t>11</w:t>
            </w:r>
            <w:r w:rsidRPr="00BF77B9">
              <w:rPr>
                <w:rFonts w:asciiTheme="majorBidi" w:hAnsiTheme="majorBidi" w:cstheme="majorBidi"/>
                <w:sz w:val="18"/>
                <w:szCs w:val="18"/>
                <w:lang w:val="en-US"/>
              </w:rPr>
              <w:t>, 2.0e</w:t>
            </w:r>
            <w:r w:rsidRPr="00BF77B9">
              <w:rPr>
                <w:rFonts w:asciiTheme="majorBidi" w:hAnsiTheme="majorBidi" w:cstheme="majorBidi"/>
                <w:sz w:val="18"/>
                <w:szCs w:val="18"/>
                <w:vertAlign w:val="superscript"/>
                <w:lang w:val="en-US"/>
              </w:rPr>
              <w:t>11</w:t>
            </w:r>
            <w:r w:rsidRPr="00BF77B9">
              <w:rPr>
                <w:rFonts w:asciiTheme="majorBidi" w:hAnsiTheme="majorBidi" w:cstheme="majorBidi"/>
                <w:sz w:val="18"/>
                <w:szCs w:val="18"/>
                <w:lang w:val="en-US"/>
              </w:rPr>
              <w:t>]</w:t>
            </w:r>
          </w:p>
        </w:tc>
        <w:tc>
          <w:tcPr>
            <w:tcW w:w="844"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[2.0e</w:t>
            </w:r>
            <w:r w:rsidRPr="00BF77B9">
              <w:rPr>
                <w:rFonts w:asciiTheme="majorBidi" w:hAnsiTheme="majorBidi" w:cstheme="majorBidi"/>
                <w:sz w:val="18"/>
                <w:szCs w:val="18"/>
                <w:vertAlign w:val="superscript"/>
                <w:lang w:val="en-US"/>
              </w:rPr>
              <w:t>11</w:t>
            </w:r>
            <w:r w:rsidRPr="00BF77B9">
              <w:rPr>
                <w:rFonts w:asciiTheme="majorBidi" w:hAnsiTheme="majorBidi" w:cstheme="majorBidi"/>
                <w:sz w:val="18"/>
                <w:szCs w:val="18"/>
                <w:lang w:val="en-US"/>
              </w:rPr>
              <w:t>, 2.0e</w:t>
            </w:r>
            <w:r w:rsidRPr="00BF77B9">
              <w:rPr>
                <w:rFonts w:asciiTheme="majorBidi" w:hAnsiTheme="majorBidi" w:cstheme="majorBidi"/>
                <w:sz w:val="18"/>
                <w:szCs w:val="18"/>
                <w:vertAlign w:val="superscript"/>
                <w:lang w:val="en-US"/>
              </w:rPr>
              <w:t>11</w:t>
            </w:r>
            <w:r w:rsidRPr="00BF77B9">
              <w:rPr>
                <w:rFonts w:asciiTheme="majorBidi" w:hAnsiTheme="majorBidi" w:cstheme="majorBidi"/>
                <w:sz w:val="18"/>
                <w:szCs w:val="18"/>
                <w:lang w:val="en-US"/>
              </w:rPr>
              <w:t>]</w:t>
            </w:r>
          </w:p>
        </w:tc>
        <w:tc>
          <w:tcPr>
            <w:tcW w:w="844"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[2.0e</w:t>
            </w:r>
            <w:r w:rsidRPr="00BF77B9">
              <w:rPr>
                <w:rFonts w:asciiTheme="majorBidi" w:hAnsiTheme="majorBidi" w:cstheme="majorBidi"/>
                <w:sz w:val="18"/>
                <w:szCs w:val="18"/>
                <w:vertAlign w:val="superscript"/>
                <w:lang w:val="en-US"/>
              </w:rPr>
              <w:t>11</w:t>
            </w:r>
            <w:r w:rsidRPr="00BF77B9">
              <w:rPr>
                <w:rFonts w:asciiTheme="majorBidi" w:hAnsiTheme="majorBidi" w:cstheme="majorBidi"/>
                <w:sz w:val="18"/>
                <w:szCs w:val="18"/>
                <w:lang w:val="en-US"/>
              </w:rPr>
              <w:t>, 2.0e</w:t>
            </w:r>
            <w:r w:rsidRPr="00BF77B9">
              <w:rPr>
                <w:rFonts w:asciiTheme="majorBidi" w:hAnsiTheme="majorBidi" w:cstheme="majorBidi"/>
                <w:sz w:val="18"/>
                <w:szCs w:val="18"/>
                <w:vertAlign w:val="superscript"/>
                <w:lang w:val="en-US"/>
              </w:rPr>
              <w:t>11</w:t>
            </w:r>
            <w:r w:rsidRPr="00BF77B9">
              <w:rPr>
                <w:rFonts w:asciiTheme="majorBidi" w:hAnsiTheme="majorBidi" w:cstheme="majorBidi"/>
                <w:sz w:val="18"/>
                <w:szCs w:val="18"/>
                <w:lang w:val="en-US"/>
              </w:rPr>
              <w:t>]</w:t>
            </w:r>
          </w:p>
        </w:tc>
        <w:tc>
          <w:tcPr>
            <w:tcW w:w="844"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[2.0e</w:t>
            </w:r>
            <w:r w:rsidRPr="00BF77B9">
              <w:rPr>
                <w:rFonts w:asciiTheme="majorBidi" w:hAnsiTheme="majorBidi" w:cstheme="majorBidi"/>
                <w:sz w:val="18"/>
                <w:szCs w:val="18"/>
                <w:vertAlign w:val="superscript"/>
                <w:lang w:val="en-US"/>
              </w:rPr>
              <w:t>11</w:t>
            </w:r>
            <w:r w:rsidRPr="00BF77B9">
              <w:rPr>
                <w:rFonts w:asciiTheme="majorBidi" w:hAnsiTheme="majorBidi" w:cstheme="majorBidi"/>
                <w:sz w:val="18"/>
                <w:szCs w:val="18"/>
                <w:lang w:val="en-US"/>
              </w:rPr>
              <w:t>, 2.0e</w:t>
            </w:r>
            <w:r w:rsidRPr="00BF77B9">
              <w:rPr>
                <w:rFonts w:asciiTheme="majorBidi" w:hAnsiTheme="majorBidi" w:cstheme="majorBidi"/>
                <w:sz w:val="18"/>
                <w:szCs w:val="18"/>
                <w:vertAlign w:val="superscript"/>
                <w:lang w:val="en-US"/>
              </w:rPr>
              <w:t>11</w:t>
            </w:r>
            <w:r w:rsidRPr="00BF77B9">
              <w:rPr>
                <w:rFonts w:asciiTheme="majorBidi" w:hAnsiTheme="majorBidi" w:cstheme="majorBidi"/>
                <w:sz w:val="18"/>
                <w:szCs w:val="18"/>
                <w:lang w:val="en-US"/>
              </w:rPr>
              <w:t>]</w:t>
            </w:r>
          </w:p>
        </w:tc>
        <w:tc>
          <w:tcPr>
            <w:tcW w:w="844"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[2.0e</w:t>
            </w:r>
            <w:r w:rsidRPr="00BF77B9">
              <w:rPr>
                <w:rFonts w:asciiTheme="majorBidi" w:hAnsiTheme="majorBidi" w:cstheme="majorBidi"/>
                <w:sz w:val="18"/>
                <w:szCs w:val="18"/>
                <w:vertAlign w:val="superscript"/>
                <w:lang w:val="en-US"/>
              </w:rPr>
              <w:t>11</w:t>
            </w:r>
            <w:r w:rsidRPr="00BF77B9">
              <w:rPr>
                <w:rFonts w:asciiTheme="majorBidi" w:hAnsiTheme="majorBidi" w:cstheme="majorBidi"/>
                <w:sz w:val="18"/>
                <w:szCs w:val="18"/>
                <w:lang w:val="en-US"/>
              </w:rPr>
              <w:t>, 2.0e</w:t>
            </w:r>
            <w:r w:rsidRPr="00BF77B9">
              <w:rPr>
                <w:rFonts w:asciiTheme="majorBidi" w:hAnsiTheme="majorBidi" w:cstheme="majorBidi"/>
                <w:sz w:val="18"/>
                <w:szCs w:val="18"/>
                <w:vertAlign w:val="superscript"/>
                <w:lang w:val="en-US"/>
              </w:rPr>
              <w:t>11</w:t>
            </w:r>
            <w:r w:rsidRPr="00BF77B9">
              <w:rPr>
                <w:rFonts w:asciiTheme="majorBidi" w:hAnsiTheme="majorBidi" w:cstheme="majorBidi"/>
                <w:sz w:val="18"/>
                <w:szCs w:val="18"/>
                <w:lang w:val="en-US"/>
              </w:rPr>
              <w:t>]</w:t>
            </w:r>
          </w:p>
        </w:tc>
      </w:tr>
      <w:tr w:rsidR="00BF77B9" w:rsidRPr="005F65AE" w:rsidTr="00BF77B9">
        <w:tc>
          <w:tcPr>
            <w:tcW w:w="1244" w:type="dxa"/>
            <w:tcBorders>
              <w:top w:val="nil"/>
              <w:left w:val="nil"/>
              <w:bottom w:val="nil"/>
              <w:right w:val="nil"/>
            </w:tcBorders>
          </w:tcPr>
          <w:p w:rsidR="00BF77B9" w:rsidRPr="005F65AE" w:rsidRDefault="00BF77B9" w:rsidP="00BF77B9">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Absolute effect (std)</w:t>
            </w:r>
          </w:p>
          <w:p w:rsidR="00BF77B9" w:rsidRPr="005F65AE" w:rsidRDefault="00BF77B9" w:rsidP="00BF77B9">
            <w:pPr>
              <w:jc w:val="both"/>
              <w:rPr>
                <w:rFonts w:asciiTheme="majorBidi" w:hAnsiTheme="majorBidi" w:cstheme="majorBidi"/>
                <w:sz w:val="4"/>
                <w:szCs w:val="4"/>
                <w:lang w:val="en-US"/>
              </w:rPr>
            </w:pPr>
          </w:p>
        </w:tc>
        <w:tc>
          <w:tcPr>
            <w:tcW w:w="823"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8.5e</w:t>
            </w:r>
            <w:r w:rsidRPr="00BF77B9">
              <w:rPr>
                <w:rFonts w:asciiTheme="majorBidi" w:hAnsiTheme="majorBidi" w:cstheme="majorBidi"/>
                <w:sz w:val="18"/>
                <w:szCs w:val="18"/>
                <w:vertAlign w:val="superscript"/>
                <w:lang w:val="en-US"/>
              </w:rPr>
              <w:t>06</w:t>
            </w:r>
            <w:r w:rsidRPr="00BF77B9">
              <w:rPr>
                <w:rFonts w:asciiTheme="majorBidi" w:hAnsiTheme="majorBidi" w:cstheme="majorBidi"/>
                <w:sz w:val="18"/>
                <w:szCs w:val="18"/>
                <w:lang w:val="en-US"/>
              </w:rPr>
              <w:t xml:space="preserve"> (3.8e</w:t>
            </w:r>
            <w:r w:rsidRPr="00BF77B9">
              <w:rPr>
                <w:rFonts w:asciiTheme="majorBidi" w:hAnsiTheme="majorBidi" w:cstheme="majorBidi"/>
                <w:sz w:val="18"/>
                <w:szCs w:val="18"/>
                <w:vertAlign w:val="superscript"/>
                <w:lang w:val="en-US"/>
              </w:rPr>
              <w:t>06</w:t>
            </w:r>
            <w:r w:rsidRPr="00BF77B9">
              <w:rPr>
                <w:rFonts w:asciiTheme="majorBidi" w:hAnsiTheme="majorBidi" w:cstheme="majorBidi"/>
                <w:sz w:val="18"/>
                <w:szCs w:val="18"/>
                <w:lang w:val="en-US"/>
              </w:rPr>
              <w:t xml:space="preserve">)    </w:t>
            </w:r>
          </w:p>
        </w:tc>
        <w:tc>
          <w:tcPr>
            <w:tcW w:w="876"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8.5e</w:t>
            </w:r>
            <w:r w:rsidRPr="00BF77B9">
              <w:rPr>
                <w:rFonts w:asciiTheme="majorBidi" w:hAnsiTheme="majorBidi" w:cstheme="majorBidi"/>
                <w:sz w:val="18"/>
                <w:szCs w:val="18"/>
                <w:vertAlign w:val="superscript"/>
                <w:lang w:val="en-US"/>
              </w:rPr>
              <w:t>06</w:t>
            </w:r>
            <w:r w:rsidRPr="00BF77B9">
              <w:rPr>
                <w:rFonts w:asciiTheme="majorBidi" w:hAnsiTheme="majorBidi" w:cstheme="majorBidi"/>
                <w:sz w:val="18"/>
                <w:szCs w:val="18"/>
                <w:lang w:val="en-US"/>
              </w:rPr>
              <w:t xml:space="preserve"> (3.8e</w:t>
            </w:r>
            <w:r w:rsidRPr="00BF77B9">
              <w:rPr>
                <w:rFonts w:asciiTheme="majorBidi" w:hAnsiTheme="majorBidi" w:cstheme="majorBidi"/>
                <w:sz w:val="18"/>
                <w:szCs w:val="18"/>
                <w:vertAlign w:val="superscript"/>
                <w:lang w:val="en-US"/>
              </w:rPr>
              <w:t>06</w:t>
            </w:r>
            <w:r w:rsidRPr="00BF77B9">
              <w:rPr>
                <w:rFonts w:asciiTheme="majorBidi" w:hAnsiTheme="majorBidi" w:cstheme="majorBidi"/>
                <w:sz w:val="18"/>
                <w:szCs w:val="18"/>
                <w:lang w:val="en-US"/>
              </w:rPr>
              <w:t xml:space="preserve">)    </w:t>
            </w:r>
          </w:p>
        </w:tc>
        <w:tc>
          <w:tcPr>
            <w:tcW w:w="876"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8.5e</w:t>
            </w:r>
            <w:r w:rsidRPr="00BF77B9">
              <w:rPr>
                <w:rFonts w:asciiTheme="majorBidi" w:hAnsiTheme="majorBidi" w:cstheme="majorBidi"/>
                <w:sz w:val="18"/>
                <w:szCs w:val="18"/>
                <w:vertAlign w:val="superscript"/>
                <w:lang w:val="en-US"/>
              </w:rPr>
              <w:t>06</w:t>
            </w:r>
            <w:r w:rsidRPr="00BF77B9">
              <w:rPr>
                <w:rFonts w:asciiTheme="majorBidi" w:hAnsiTheme="majorBidi" w:cstheme="majorBidi"/>
                <w:sz w:val="18"/>
                <w:szCs w:val="18"/>
                <w:lang w:val="en-US"/>
              </w:rPr>
              <w:t xml:space="preserve"> (3.8e</w:t>
            </w:r>
            <w:r w:rsidRPr="00BF77B9">
              <w:rPr>
                <w:rFonts w:asciiTheme="majorBidi" w:hAnsiTheme="majorBidi" w:cstheme="majorBidi"/>
                <w:sz w:val="18"/>
                <w:szCs w:val="18"/>
                <w:vertAlign w:val="superscript"/>
                <w:lang w:val="en-US"/>
              </w:rPr>
              <w:t>06</w:t>
            </w:r>
            <w:r w:rsidRPr="00BF77B9">
              <w:rPr>
                <w:rFonts w:asciiTheme="majorBidi" w:hAnsiTheme="majorBidi" w:cstheme="majorBidi"/>
                <w:sz w:val="18"/>
                <w:szCs w:val="18"/>
                <w:lang w:val="en-US"/>
              </w:rPr>
              <w:t xml:space="preserve">)    </w:t>
            </w:r>
          </w:p>
        </w:tc>
        <w:tc>
          <w:tcPr>
            <w:tcW w:w="876"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8.5e</w:t>
            </w:r>
            <w:r w:rsidRPr="00BF77B9">
              <w:rPr>
                <w:rFonts w:asciiTheme="majorBidi" w:hAnsiTheme="majorBidi" w:cstheme="majorBidi"/>
                <w:sz w:val="18"/>
                <w:szCs w:val="18"/>
                <w:vertAlign w:val="superscript"/>
                <w:lang w:val="en-US"/>
              </w:rPr>
              <w:t>06</w:t>
            </w:r>
            <w:r w:rsidRPr="00BF77B9">
              <w:rPr>
                <w:rFonts w:asciiTheme="majorBidi" w:hAnsiTheme="majorBidi" w:cstheme="majorBidi"/>
                <w:sz w:val="18"/>
                <w:szCs w:val="18"/>
                <w:lang w:val="en-US"/>
              </w:rPr>
              <w:t xml:space="preserve"> (3.8e</w:t>
            </w:r>
            <w:r w:rsidRPr="00BF77B9">
              <w:rPr>
                <w:rFonts w:asciiTheme="majorBidi" w:hAnsiTheme="majorBidi" w:cstheme="majorBidi"/>
                <w:sz w:val="18"/>
                <w:szCs w:val="18"/>
                <w:vertAlign w:val="superscript"/>
                <w:lang w:val="en-US"/>
              </w:rPr>
              <w:t>06</w:t>
            </w:r>
            <w:r w:rsidRPr="00BF77B9">
              <w:rPr>
                <w:rFonts w:asciiTheme="majorBidi" w:hAnsiTheme="majorBidi" w:cstheme="majorBidi"/>
                <w:sz w:val="18"/>
                <w:szCs w:val="18"/>
                <w:lang w:val="en-US"/>
              </w:rPr>
              <w:t xml:space="preserve">)    </w:t>
            </w:r>
          </w:p>
        </w:tc>
        <w:tc>
          <w:tcPr>
            <w:tcW w:w="876"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8.5e</w:t>
            </w:r>
            <w:r w:rsidRPr="00BF77B9">
              <w:rPr>
                <w:rFonts w:asciiTheme="majorBidi" w:hAnsiTheme="majorBidi" w:cstheme="majorBidi"/>
                <w:sz w:val="18"/>
                <w:szCs w:val="18"/>
                <w:vertAlign w:val="superscript"/>
                <w:lang w:val="en-US"/>
              </w:rPr>
              <w:t>06</w:t>
            </w:r>
            <w:r w:rsidRPr="00BF77B9">
              <w:rPr>
                <w:rFonts w:asciiTheme="majorBidi" w:hAnsiTheme="majorBidi" w:cstheme="majorBidi"/>
                <w:sz w:val="18"/>
                <w:szCs w:val="18"/>
                <w:lang w:val="en-US"/>
              </w:rPr>
              <w:t xml:space="preserve"> (3.8e</w:t>
            </w:r>
            <w:r w:rsidRPr="00BF77B9">
              <w:rPr>
                <w:rFonts w:asciiTheme="majorBidi" w:hAnsiTheme="majorBidi" w:cstheme="majorBidi"/>
                <w:sz w:val="18"/>
                <w:szCs w:val="18"/>
                <w:vertAlign w:val="superscript"/>
                <w:lang w:val="en-US"/>
              </w:rPr>
              <w:t>06</w:t>
            </w:r>
            <w:r w:rsidRPr="00BF77B9">
              <w:rPr>
                <w:rFonts w:asciiTheme="majorBidi" w:hAnsiTheme="majorBidi" w:cstheme="majorBidi"/>
                <w:sz w:val="18"/>
                <w:szCs w:val="18"/>
                <w:lang w:val="en-US"/>
              </w:rPr>
              <w:t xml:space="preserve">)    </w:t>
            </w:r>
          </w:p>
        </w:tc>
        <w:tc>
          <w:tcPr>
            <w:tcW w:w="821"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1.0e</w:t>
            </w:r>
            <w:r w:rsidRPr="00BF77B9">
              <w:rPr>
                <w:rFonts w:asciiTheme="majorBidi" w:hAnsiTheme="majorBidi" w:cstheme="majorBidi"/>
                <w:sz w:val="18"/>
                <w:szCs w:val="18"/>
                <w:vertAlign w:val="superscript"/>
                <w:lang w:val="en-US"/>
              </w:rPr>
              <w:t>09</w:t>
            </w:r>
            <w:r w:rsidRPr="00BF77B9">
              <w:rPr>
                <w:rFonts w:asciiTheme="majorBidi" w:hAnsiTheme="majorBidi" w:cstheme="majorBidi"/>
                <w:sz w:val="18"/>
                <w:szCs w:val="18"/>
                <w:lang w:val="en-US"/>
              </w:rPr>
              <w:t xml:space="preserve"> (4.6e</w:t>
            </w:r>
            <w:r w:rsidRPr="00BF77B9">
              <w:rPr>
                <w:rFonts w:asciiTheme="majorBidi" w:hAnsiTheme="majorBidi" w:cstheme="majorBidi"/>
                <w:sz w:val="18"/>
                <w:szCs w:val="18"/>
                <w:vertAlign w:val="superscript"/>
                <w:lang w:val="en-US"/>
              </w:rPr>
              <w:t>08</w:t>
            </w:r>
            <w:r w:rsidRPr="00BF77B9">
              <w:rPr>
                <w:rFonts w:asciiTheme="majorBidi" w:hAnsiTheme="majorBidi" w:cstheme="majorBidi"/>
                <w:sz w:val="18"/>
                <w:szCs w:val="18"/>
                <w:lang w:val="en-US"/>
              </w:rPr>
              <w:t>)</w:t>
            </w:r>
          </w:p>
        </w:tc>
        <w:tc>
          <w:tcPr>
            <w:tcW w:w="844"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1.0e</w:t>
            </w:r>
            <w:r w:rsidRPr="00BF77B9">
              <w:rPr>
                <w:rFonts w:asciiTheme="majorBidi" w:hAnsiTheme="majorBidi" w:cstheme="majorBidi"/>
                <w:sz w:val="18"/>
                <w:szCs w:val="18"/>
                <w:vertAlign w:val="superscript"/>
                <w:lang w:val="en-US"/>
              </w:rPr>
              <w:t>09</w:t>
            </w:r>
            <w:r w:rsidRPr="00BF77B9">
              <w:rPr>
                <w:rFonts w:asciiTheme="majorBidi" w:hAnsiTheme="majorBidi" w:cstheme="majorBidi"/>
                <w:sz w:val="18"/>
                <w:szCs w:val="18"/>
                <w:lang w:val="en-US"/>
              </w:rPr>
              <w:t xml:space="preserve"> (4.6e</w:t>
            </w:r>
            <w:r w:rsidRPr="00BF77B9">
              <w:rPr>
                <w:rFonts w:asciiTheme="majorBidi" w:hAnsiTheme="majorBidi" w:cstheme="majorBidi"/>
                <w:sz w:val="18"/>
                <w:szCs w:val="18"/>
                <w:vertAlign w:val="superscript"/>
                <w:lang w:val="en-US"/>
              </w:rPr>
              <w:t>08</w:t>
            </w:r>
            <w:r w:rsidRPr="00BF77B9">
              <w:rPr>
                <w:rFonts w:asciiTheme="majorBidi" w:hAnsiTheme="majorBidi" w:cstheme="majorBidi"/>
                <w:sz w:val="18"/>
                <w:szCs w:val="18"/>
                <w:lang w:val="en-US"/>
              </w:rPr>
              <w:t>)</w:t>
            </w:r>
          </w:p>
        </w:tc>
        <w:tc>
          <w:tcPr>
            <w:tcW w:w="844"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1.0e</w:t>
            </w:r>
            <w:r w:rsidRPr="00BF77B9">
              <w:rPr>
                <w:rFonts w:asciiTheme="majorBidi" w:hAnsiTheme="majorBidi" w:cstheme="majorBidi"/>
                <w:sz w:val="18"/>
                <w:szCs w:val="18"/>
                <w:vertAlign w:val="superscript"/>
                <w:lang w:val="en-US"/>
              </w:rPr>
              <w:t>09</w:t>
            </w:r>
            <w:r w:rsidRPr="00BF77B9">
              <w:rPr>
                <w:rFonts w:asciiTheme="majorBidi" w:hAnsiTheme="majorBidi" w:cstheme="majorBidi"/>
                <w:sz w:val="18"/>
                <w:szCs w:val="18"/>
                <w:lang w:val="en-US"/>
              </w:rPr>
              <w:t xml:space="preserve"> (4.6e</w:t>
            </w:r>
            <w:r w:rsidRPr="00BF77B9">
              <w:rPr>
                <w:rFonts w:asciiTheme="majorBidi" w:hAnsiTheme="majorBidi" w:cstheme="majorBidi"/>
                <w:sz w:val="18"/>
                <w:szCs w:val="18"/>
                <w:vertAlign w:val="superscript"/>
                <w:lang w:val="en-US"/>
              </w:rPr>
              <w:t>08</w:t>
            </w:r>
            <w:r w:rsidRPr="00BF77B9">
              <w:rPr>
                <w:rFonts w:asciiTheme="majorBidi" w:hAnsiTheme="majorBidi" w:cstheme="majorBidi"/>
                <w:sz w:val="18"/>
                <w:szCs w:val="18"/>
                <w:lang w:val="en-US"/>
              </w:rPr>
              <w:t>)</w:t>
            </w:r>
          </w:p>
        </w:tc>
        <w:tc>
          <w:tcPr>
            <w:tcW w:w="844"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1.0e</w:t>
            </w:r>
            <w:r w:rsidRPr="00BF77B9">
              <w:rPr>
                <w:rFonts w:asciiTheme="majorBidi" w:hAnsiTheme="majorBidi" w:cstheme="majorBidi"/>
                <w:sz w:val="18"/>
                <w:szCs w:val="18"/>
                <w:vertAlign w:val="superscript"/>
                <w:lang w:val="en-US"/>
              </w:rPr>
              <w:t>09</w:t>
            </w:r>
            <w:r w:rsidRPr="00BF77B9">
              <w:rPr>
                <w:rFonts w:asciiTheme="majorBidi" w:hAnsiTheme="majorBidi" w:cstheme="majorBidi"/>
                <w:sz w:val="18"/>
                <w:szCs w:val="18"/>
                <w:lang w:val="en-US"/>
              </w:rPr>
              <w:t xml:space="preserve"> (4.6e</w:t>
            </w:r>
            <w:r w:rsidRPr="00BF77B9">
              <w:rPr>
                <w:rFonts w:asciiTheme="majorBidi" w:hAnsiTheme="majorBidi" w:cstheme="majorBidi"/>
                <w:sz w:val="18"/>
                <w:szCs w:val="18"/>
                <w:vertAlign w:val="superscript"/>
                <w:lang w:val="en-US"/>
              </w:rPr>
              <w:t>08</w:t>
            </w:r>
            <w:r w:rsidRPr="00BF77B9">
              <w:rPr>
                <w:rFonts w:asciiTheme="majorBidi" w:hAnsiTheme="majorBidi" w:cstheme="majorBidi"/>
                <w:sz w:val="18"/>
                <w:szCs w:val="18"/>
                <w:lang w:val="en-US"/>
              </w:rPr>
              <w:t>)</w:t>
            </w:r>
          </w:p>
        </w:tc>
        <w:tc>
          <w:tcPr>
            <w:tcW w:w="844"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1.0e</w:t>
            </w:r>
            <w:r w:rsidRPr="00BF77B9">
              <w:rPr>
                <w:rFonts w:asciiTheme="majorBidi" w:hAnsiTheme="majorBidi" w:cstheme="majorBidi"/>
                <w:sz w:val="18"/>
                <w:szCs w:val="18"/>
                <w:vertAlign w:val="superscript"/>
                <w:lang w:val="en-US"/>
              </w:rPr>
              <w:t>09</w:t>
            </w:r>
            <w:r w:rsidRPr="00BF77B9">
              <w:rPr>
                <w:rFonts w:asciiTheme="majorBidi" w:hAnsiTheme="majorBidi" w:cstheme="majorBidi"/>
                <w:sz w:val="18"/>
                <w:szCs w:val="18"/>
                <w:lang w:val="en-US"/>
              </w:rPr>
              <w:t xml:space="preserve"> (4.6e</w:t>
            </w:r>
            <w:r w:rsidRPr="00BF77B9">
              <w:rPr>
                <w:rFonts w:asciiTheme="majorBidi" w:hAnsiTheme="majorBidi" w:cstheme="majorBidi"/>
                <w:sz w:val="18"/>
                <w:szCs w:val="18"/>
                <w:vertAlign w:val="superscript"/>
                <w:lang w:val="en-US"/>
              </w:rPr>
              <w:t>08</w:t>
            </w:r>
            <w:r w:rsidRPr="00BF77B9">
              <w:rPr>
                <w:rFonts w:asciiTheme="majorBidi" w:hAnsiTheme="majorBidi" w:cstheme="majorBidi"/>
                <w:sz w:val="18"/>
                <w:szCs w:val="18"/>
                <w:lang w:val="en-US"/>
              </w:rPr>
              <w:t>)</w:t>
            </w:r>
          </w:p>
        </w:tc>
      </w:tr>
      <w:tr w:rsidR="00BF77B9" w:rsidRPr="005F65AE" w:rsidTr="00BF77B9">
        <w:tc>
          <w:tcPr>
            <w:tcW w:w="1244" w:type="dxa"/>
            <w:tcBorders>
              <w:top w:val="nil"/>
              <w:left w:val="nil"/>
              <w:bottom w:val="nil"/>
              <w:right w:val="nil"/>
            </w:tcBorders>
          </w:tcPr>
          <w:p w:rsidR="00BF77B9" w:rsidRPr="005F65AE" w:rsidRDefault="00BF77B9" w:rsidP="00BF77B9">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95% CI</w:t>
            </w:r>
          </w:p>
          <w:p w:rsidR="00BF77B9" w:rsidRPr="005F65AE" w:rsidRDefault="00BF77B9" w:rsidP="00BF77B9">
            <w:pPr>
              <w:jc w:val="both"/>
              <w:rPr>
                <w:rFonts w:asciiTheme="majorBidi" w:hAnsiTheme="majorBidi" w:cstheme="majorBidi"/>
                <w:sz w:val="16"/>
                <w:szCs w:val="16"/>
                <w:lang w:val="en-US"/>
              </w:rPr>
            </w:pPr>
          </w:p>
          <w:p w:rsidR="00BF77B9" w:rsidRPr="005F65AE" w:rsidRDefault="00BF77B9" w:rsidP="00BF77B9">
            <w:pPr>
              <w:jc w:val="both"/>
              <w:rPr>
                <w:rFonts w:asciiTheme="majorBidi" w:hAnsiTheme="majorBidi" w:cstheme="majorBidi"/>
                <w:sz w:val="6"/>
                <w:szCs w:val="6"/>
                <w:lang w:val="en-US"/>
              </w:rPr>
            </w:pPr>
          </w:p>
        </w:tc>
        <w:tc>
          <w:tcPr>
            <w:tcW w:w="823"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[1.7e</w:t>
            </w:r>
            <w:r w:rsidRPr="00BF77B9">
              <w:rPr>
                <w:rFonts w:asciiTheme="majorBidi" w:hAnsiTheme="majorBidi" w:cstheme="majorBidi"/>
                <w:sz w:val="18"/>
                <w:szCs w:val="18"/>
                <w:vertAlign w:val="superscript"/>
                <w:lang w:val="en-US"/>
              </w:rPr>
              <w:t>06</w:t>
            </w:r>
            <w:r w:rsidRPr="00BF77B9">
              <w:rPr>
                <w:rFonts w:asciiTheme="majorBidi" w:hAnsiTheme="majorBidi" w:cstheme="majorBidi"/>
                <w:sz w:val="18"/>
                <w:szCs w:val="18"/>
                <w:lang w:val="en-US"/>
              </w:rPr>
              <w:t>, 1.6e</w:t>
            </w:r>
            <w:r w:rsidRPr="00BF77B9">
              <w:rPr>
                <w:rFonts w:asciiTheme="majorBidi" w:hAnsiTheme="majorBidi" w:cstheme="majorBidi"/>
                <w:sz w:val="18"/>
                <w:szCs w:val="18"/>
                <w:vertAlign w:val="superscript"/>
                <w:lang w:val="en-US"/>
              </w:rPr>
              <w:t>07</w:t>
            </w:r>
            <w:r w:rsidRPr="00BF77B9">
              <w:rPr>
                <w:rFonts w:asciiTheme="majorBidi" w:hAnsiTheme="majorBidi" w:cstheme="majorBidi"/>
                <w:sz w:val="18"/>
                <w:szCs w:val="18"/>
                <w:lang w:val="en-US"/>
              </w:rPr>
              <w:t xml:space="preserve">]   </w:t>
            </w:r>
          </w:p>
        </w:tc>
        <w:tc>
          <w:tcPr>
            <w:tcW w:w="876"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[1.7e</w:t>
            </w:r>
            <w:r w:rsidRPr="00BF77B9">
              <w:rPr>
                <w:rFonts w:asciiTheme="majorBidi" w:hAnsiTheme="majorBidi" w:cstheme="majorBidi"/>
                <w:sz w:val="18"/>
                <w:szCs w:val="18"/>
                <w:vertAlign w:val="superscript"/>
                <w:lang w:val="en-US"/>
              </w:rPr>
              <w:t>06</w:t>
            </w:r>
            <w:r w:rsidRPr="00BF77B9">
              <w:rPr>
                <w:rFonts w:asciiTheme="majorBidi" w:hAnsiTheme="majorBidi" w:cstheme="majorBidi"/>
                <w:sz w:val="18"/>
                <w:szCs w:val="18"/>
                <w:lang w:val="en-US"/>
              </w:rPr>
              <w:t>, 1.6e</w:t>
            </w:r>
            <w:r w:rsidRPr="00BF77B9">
              <w:rPr>
                <w:rFonts w:asciiTheme="majorBidi" w:hAnsiTheme="majorBidi" w:cstheme="majorBidi"/>
                <w:sz w:val="18"/>
                <w:szCs w:val="18"/>
                <w:vertAlign w:val="superscript"/>
                <w:lang w:val="en-US"/>
              </w:rPr>
              <w:t>07</w:t>
            </w:r>
            <w:r w:rsidRPr="00BF77B9">
              <w:rPr>
                <w:rFonts w:asciiTheme="majorBidi" w:hAnsiTheme="majorBidi" w:cstheme="majorBidi"/>
                <w:sz w:val="18"/>
                <w:szCs w:val="18"/>
                <w:lang w:val="en-US"/>
              </w:rPr>
              <w:t xml:space="preserve">]   </w:t>
            </w:r>
          </w:p>
        </w:tc>
        <w:tc>
          <w:tcPr>
            <w:tcW w:w="876"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[1.7e</w:t>
            </w:r>
            <w:r w:rsidRPr="00BF77B9">
              <w:rPr>
                <w:rFonts w:asciiTheme="majorBidi" w:hAnsiTheme="majorBidi" w:cstheme="majorBidi"/>
                <w:sz w:val="18"/>
                <w:szCs w:val="18"/>
                <w:vertAlign w:val="superscript"/>
                <w:lang w:val="en-US"/>
              </w:rPr>
              <w:t>06</w:t>
            </w:r>
            <w:r w:rsidRPr="00BF77B9">
              <w:rPr>
                <w:rFonts w:asciiTheme="majorBidi" w:hAnsiTheme="majorBidi" w:cstheme="majorBidi"/>
                <w:sz w:val="18"/>
                <w:szCs w:val="18"/>
                <w:lang w:val="en-US"/>
              </w:rPr>
              <w:t>, 1.6e</w:t>
            </w:r>
            <w:r w:rsidRPr="00BF77B9">
              <w:rPr>
                <w:rFonts w:asciiTheme="majorBidi" w:hAnsiTheme="majorBidi" w:cstheme="majorBidi"/>
                <w:sz w:val="18"/>
                <w:szCs w:val="18"/>
                <w:vertAlign w:val="superscript"/>
                <w:lang w:val="en-US"/>
              </w:rPr>
              <w:t>07</w:t>
            </w:r>
            <w:r w:rsidRPr="00BF77B9">
              <w:rPr>
                <w:rFonts w:asciiTheme="majorBidi" w:hAnsiTheme="majorBidi" w:cstheme="majorBidi"/>
                <w:sz w:val="18"/>
                <w:szCs w:val="18"/>
                <w:lang w:val="en-US"/>
              </w:rPr>
              <w:t xml:space="preserve">]   </w:t>
            </w:r>
          </w:p>
        </w:tc>
        <w:tc>
          <w:tcPr>
            <w:tcW w:w="876"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[1.7e</w:t>
            </w:r>
            <w:r w:rsidRPr="00BF77B9">
              <w:rPr>
                <w:rFonts w:asciiTheme="majorBidi" w:hAnsiTheme="majorBidi" w:cstheme="majorBidi"/>
                <w:sz w:val="18"/>
                <w:szCs w:val="18"/>
                <w:vertAlign w:val="superscript"/>
                <w:lang w:val="en-US"/>
              </w:rPr>
              <w:t>06</w:t>
            </w:r>
            <w:r w:rsidRPr="00BF77B9">
              <w:rPr>
                <w:rFonts w:asciiTheme="majorBidi" w:hAnsiTheme="majorBidi" w:cstheme="majorBidi"/>
                <w:sz w:val="18"/>
                <w:szCs w:val="18"/>
                <w:lang w:val="en-US"/>
              </w:rPr>
              <w:t>, 1.6e</w:t>
            </w:r>
            <w:r w:rsidRPr="00BF77B9">
              <w:rPr>
                <w:rFonts w:asciiTheme="majorBidi" w:hAnsiTheme="majorBidi" w:cstheme="majorBidi"/>
                <w:sz w:val="18"/>
                <w:szCs w:val="18"/>
                <w:vertAlign w:val="superscript"/>
                <w:lang w:val="en-US"/>
              </w:rPr>
              <w:t>07</w:t>
            </w:r>
            <w:r w:rsidRPr="00BF77B9">
              <w:rPr>
                <w:rFonts w:asciiTheme="majorBidi" w:hAnsiTheme="majorBidi" w:cstheme="majorBidi"/>
                <w:sz w:val="18"/>
                <w:szCs w:val="18"/>
                <w:lang w:val="en-US"/>
              </w:rPr>
              <w:t xml:space="preserve">]   </w:t>
            </w:r>
          </w:p>
        </w:tc>
        <w:tc>
          <w:tcPr>
            <w:tcW w:w="876"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[1.7e</w:t>
            </w:r>
            <w:r w:rsidRPr="00BF77B9">
              <w:rPr>
                <w:rFonts w:asciiTheme="majorBidi" w:hAnsiTheme="majorBidi" w:cstheme="majorBidi"/>
                <w:sz w:val="18"/>
                <w:szCs w:val="18"/>
                <w:vertAlign w:val="superscript"/>
                <w:lang w:val="en-US"/>
              </w:rPr>
              <w:t>06</w:t>
            </w:r>
            <w:r w:rsidRPr="00BF77B9">
              <w:rPr>
                <w:rFonts w:asciiTheme="majorBidi" w:hAnsiTheme="majorBidi" w:cstheme="majorBidi"/>
                <w:sz w:val="18"/>
                <w:szCs w:val="18"/>
                <w:lang w:val="en-US"/>
              </w:rPr>
              <w:t>, 1.6e</w:t>
            </w:r>
            <w:r w:rsidRPr="00BF77B9">
              <w:rPr>
                <w:rFonts w:asciiTheme="majorBidi" w:hAnsiTheme="majorBidi" w:cstheme="majorBidi"/>
                <w:sz w:val="18"/>
                <w:szCs w:val="18"/>
                <w:vertAlign w:val="superscript"/>
                <w:lang w:val="en-US"/>
              </w:rPr>
              <w:t>07</w:t>
            </w:r>
            <w:r w:rsidRPr="00BF77B9">
              <w:rPr>
                <w:rFonts w:asciiTheme="majorBidi" w:hAnsiTheme="majorBidi" w:cstheme="majorBidi"/>
                <w:sz w:val="18"/>
                <w:szCs w:val="18"/>
                <w:lang w:val="en-US"/>
              </w:rPr>
              <w:t xml:space="preserve">]   </w:t>
            </w:r>
          </w:p>
        </w:tc>
        <w:tc>
          <w:tcPr>
            <w:tcW w:w="821"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[2.1e</w:t>
            </w:r>
            <w:r w:rsidRPr="00BF77B9">
              <w:rPr>
                <w:rFonts w:asciiTheme="majorBidi" w:hAnsiTheme="majorBidi" w:cstheme="majorBidi"/>
                <w:sz w:val="18"/>
                <w:szCs w:val="18"/>
                <w:vertAlign w:val="superscript"/>
                <w:lang w:val="en-US"/>
              </w:rPr>
              <w:t>08</w:t>
            </w:r>
            <w:r w:rsidRPr="00BF77B9">
              <w:rPr>
                <w:rFonts w:asciiTheme="majorBidi" w:hAnsiTheme="majorBidi" w:cstheme="majorBidi"/>
                <w:sz w:val="18"/>
                <w:szCs w:val="18"/>
                <w:lang w:val="en-US"/>
              </w:rPr>
              <w:t>, 2.0e</w:t>
            </w:r>
            <w:r w:rsidRPr="00BF77B9">
              <w:rPr>
                <w:rFonts w:asciiTheme="majorBidi" w:hAnsiTheme="majorBidi" w:cstheme="majorBidi"/>
                <w:sz w:val="18"/>
                <w:szCs w:val="18"/>
                <w:vertAlign w:val="superscript"/>
                <w:lang w:val="en-US"/>
              </w:rPr>
              <w:t>09</w:t>
            </w:r>
            <w:r w:rsidRPr="00BF77B9">
              <w:rPr>
                <w:rFonts w:asciiTheme="majorBidi" w:hAnsiTheme="majorBidi" w:cstheme="majorBidi"/>
                <w:sz w:val="18"/>
                <w:szCs w:val="18"/>
                <w:lang w:val="en-US"/>
              </w:rPr>
              <w:t>]</w:t>
            </w:r>
          </w:p>
        </w:tc>
        <w:tc>
          <w:tcPr>
            <w:tcW w:w="844"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[2.1e</w:t>
            </w:r>
            <w:r w:rsidRPr="00BF77B9">
              <w:rPr>
                <w:rFonts w:asciiTheme="majorBidi" w:hAnsiTheme="majorBidi" w:cstheme="majorBidi"/>
                <w:sz w:val="18"/>
                <w:szCs w:val="18"/>
                <w:vertAlign w:val="superscript"/>
                <w:lang w:val="en-US"/>
              </w:rPr>
              <w:t>08</w:t>
            </w:r>
            <w:r w:rsidRPr="00BF77B9">
              <w:rPr>
                <w:rFonts w:asciiTheme="majorBidi" w:hAnsiTheme="majorBidi" w:cstheme="majorBidi"/>
                <w:sz w:val="18"/>
                <w:szCs w:val="18"/>
                <w:lang w:val="en-US"/>
              </w:rPr>
              <w:t>, 2.0e</w:t>
            </w:r>
            <w:r w:rsidRPr="00BF77B9">
              <w:rPr>
                <w:rFonts w:asciiTheme="majorBidi" w:hAnsiTheme="majorBidi" w:cstheme="majorBidi"/>
                <w:sz w:val="18"/>
                <w:szCs w:val="18"/>
                <w:vertAlign w:val="superscript"/>
                <w:lang w:val="en-US"/>
              </w:rPr>
              <w:t>09</w:t>
            </w:r>
            <w:r w:rsidRPr="00BF77B9">
              <w:rPr>
                <w:rFonts w:asciiTheme="majorBidi" w:hAnsiTheme="majorBidi" w:cstheme="majorBidi"/>
                <w:sz w:val="18"/>
                <w:szCs w:val="18"/>
                <w:lang w:val="en-US"/>
              </w:rPr>
              <w:t>]</w:t>
            </w:r>
          </w:p>
        </w:tc>
        <w:tc>
          <w:tcPr>
            <w:tcW w:w="844"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[2.1e</w:t>
            </w:r>
            <w:r w:rsidRPr="00BF77B9">
              <w:rPr>
                <w:rFonts w:asciiTheme="majorBidi" w:hAnsiTheme="majorBidi" w:cstheme="majorBidi"/>
                <w:sz w:val="18"/>
                <w:szCs w:val="18"/>
                <w:vertAlign w:val="superscript"/>
                <w:lang w:val="en-US"/>
              </w:rPr>
              <w:t>08</w:t>
            </w:r>
            <w:r w:rsidRPr="00BF77B9">
              <w:rPr>
                <w:rFonts w:asciiTheme="majorBidi" w:hAnsiTheme="majorBidi" w:cstheme="majorBidi"/>
                <w:sz w:val="18"/>
                <w:szCs w:val="18"/>
                <w:lang w:val="en-US"/>
              </w:rPr>
              <w:t>, 2.0e</w:t>
            </w:r>
            <w:r w:rsidRPr="00BF77B9">
              <w:rPr>
                <w:rFonts w:asciiTheme="majorBidi" w:hAnsiTheme="majorBidi" w:cstheme="majorBidi"/>
                <w:sz w:val="18"/>
                <w:szCs w:val="18"/>
                <w:vertAlign w:val="superscript"/>
                <w:lang w:val="en-US"/>
              </w:rPr>
              <w:t>09</w:t>
            </w:r>
            <w:r w:rsidRPr="00BF77B9">
              <w:rPr>
                <w:rFonts w:asciiTheme="majorBidi" w:hAnsiTheme="majorBidi" w:cstheme="majorBidi"/>
                <w:sz w:val="18"/>
                <w:szCs w:val="18"/>
                <w:lang w:val="en-US"/>
              </w:rPr>
              <w:t>]</w:t>
            </w:r>
          </w:p>
        </w:tc>
        <w:tc>
          <w:tcPr>
            <w:tcW w:w="844"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[2.1e</w:t>
            </w:r>
            <w:r w:rsidRPr="00BF77B9">
              <w:rPr>
                <w:rFonts w:asciiTheme="majorBidi" w:hAnsiTheme="majorBidi" w:cstheme="majorBidi"/>
                <w:sz w:val="18"/>
                <w:szCs w:val="18"/>
                <w:vertAlign w:val="superscript"/>
                <w:lang w:val="en-US"/>
              </w:rPr>
              <w:t>08</w:t>
            </w:r>
            <w:r w:rsidRPr="00BF77B9">
              <w:rPr>
                <w:rFonts w:asciiTheme="majorBidi" w:hAnsiTheme="majorBidi" w:cstheme="majorBidi"/>
                <w:sz w:val="18"/>
                <w:szCs w:val="18"/>
                <w:lang w:val="en-US"/>
              </w:rPr>
              <w:t>, 2.0e</w:t>
            </w:r>
            <w:r w:rsidRPr="00BF77B9">
              <w:rPr>
                <w:rFonts w:asciiTheme="majorBidi" w:hAnsiTheme="majorBidi" w:cstheme="majorBidi"/>
                <w:sz w:val="18"/>
                <w:szCs w:val="18"/>
                <w:vertAlign w:val="superscript"/>
                <w:lang w:val="en-US"/>
              </w:rPr>
              <w:t>09</w:t>
            </w:r>
            <w:r w:rsidRPr="00BF77B9">
              <w:rPr>
                <w:rFonts w:asciiTheme="majorBidi" w:hAnsiTheme="majorBidi" w:cstheme="majorBidi"/>
                <w:sz w:val="18"/>
                <w:szCs w:val="18"/>
                <w:lang w:val="en-US"/>
              </w:rPr>
              <w:t>]</w:t>
            </w:r>
          </w:p>
        </w:tc>
        <w:tc>
          <w:tcPr>
            <w:tcW w:w="844" w:type="dxa"/>
            <w:tcBorders>
              <w:top w:val="nil"/>
              <w:left w:val="nil"/>
              <w:bottom w:val="nil"/>
              <w:right w:val="nil"/>
            </w:tcBorders>
          </w:tcPr>
          <w:p w:rsidR="00BF77B9" w:rsidRPr="00BF77B9" w:rsidRDefault="00BF77B9" w:rsidP="00BF77B9">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[2.1e</w:t>
            </w:r>
            <w:r w:rsidRPr="00BF77B9">
              <w:rPr>
                <w:rFonts w:asciiTheme="majorBidi" w:hAnsiTheme="majorBidi" w:cstheme="majorBidi"/>
                <w:sz w:val="18"/>
                <w:szCs w:val="18"/>
                <w:vertAlign w:val="superscript"/>
                <w:lang w:val="en-US"/>
              </w:rPr>
              <w:t>08</w:t>
            </w:r>
            <w:r w:rsidRPr="00BF77B9">
              <w:rPr>
                <w:rFonts w:asciiTheme="majorBidi" w:hAnsiTheme="majorBidi" w:cstheme="majorBidi"/>
                <w:sz w:val="18"/>
                <w:szCs w:val="18"/>
                <w:lang w:val="en-US"/>
              </w:rPr>
              <w:t>, 2.0e</w:t>
            </w:r>
            <w:r w:rsidRPr="00BF77B9">
              <w:rPr>
                <w:rFonts w:asciiTheme="majorBidi" w:hAnsiTheme="majorBidi" w:cstheme="majorBidi"/>
                <w:sz w:val="18"/>
                <w:szCs w:val="18"/>
                <w:vertAlign w:val="superscript"/>
                <w:lang w:val="en-US"/>
              </w:rPr>
              <w:t>09</w:t>
            </w:r>
            <w:r w:rsidRPr="00BF77B9">
              <w:rPr>
                <w:rFonts w:asciiTheme="majorBidi" w:hAnsiTheme="majorBidi" w:cstheme="majorBidi"/>
                <w:sz w:val="18"/>
                <w:szCs w:val="18"/>
                <w:lang w:val="en-US"/>
              </w:rPr>
              <w:t>]</w:t>
            </w:r>
          </w:p>
        </w:tc>
      </w:tr>
      <w:tr w:rsidR="005F65AE" w:rsidRPr="005F65AE" w:rsidTr="00BF77B9">
        <w:tc>
          <w:tcPr>
            <w:tcW w:w="1244"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Relative effect (std)</w:t>
            </w:r>
          </w:p>
          <w:p w:rsidR="00E021CA" w:rsidRPr="005F65AE" w:rsidRDefault="00E021CA" w:rsidP="00E021CA">
            <w:pPr>
              <w:jc w:val="both"/>
              <w:rPr>
                <w:rFonts w:asciiTheme="majorBidi" w:hAnsiTheme="majorBidi" w:cstheme="majorBidi"/>
                <w:sz w:val="6"/>
                <w:szCs w:val="6"/>
                <w:lang w:val="en-US"/>
              </w:rPr>
            </w:pPr>
          </w:p>
        </w:tc>
        <w:tc>
          <w:tcPr>
            <w:tcW w:w="823" w:type="dxa"/>
            <w:tcBorders>
              <w:top w:val="nil"/>
              <w:left w:val="nil"/>
              <w:bottom w:val="nil"/>
              <w:right w:val="nil"/>
            </w:tcBorders>
          </w:tcPr>
          <w:p w:rsidR="00E021CA" w:rsidRPr="00BF77B9" w:rsidRDefault="00E021CA" w:rsidP="00E021CA">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 xml:space="preserve">0.51% (0.23%)        </w:t>
            </w:r>
          </w:p>
        </w:tc>
        <w:tc>
          <w:tcPr>
            <w:tcW w:w="876" w:type="dxa"/>
            <w:tcBorders>
              <w:top w:val="nil"/>
              <w:left w:val="nil"/>
              <w:bottom w:val="nil"/>
              <w:right w:val="nil"/>
            </w:tcBorders>
          </w:tcPr>
          <w:p w:rsidR="00E021CA" w:rsidRPr="00BF77B9" w:rsidRDefault="00E021CA" w:rsidP="00E021CA">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 xml:space="preserve">0.51% (0.23%)        </w:t>
            </w:r>
          </w:p>
        </w:tc>
        <w:tc>
          <w:tcPr>
            <w:tcW w:w="876" w:type="dxa"/>
            <w:tcBorders>
              <w:top w:val="nil"/>
              <w:left w:val="nil"/>
              <w:bottom w:val="nil"/>
              <w:right w:val="nil"/>
            </w:tcBorders>
          </w:tcPr>
          <w:p w:rsidR="00E021CA" w:rsidRPr="00BF77B9" w:rsidRDefault="00E021CA" w:rsidP="00E021CA">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 xml:space="preserve">0.51% (0.23%)        </w:t>
            </w:r>
          </w:p>
        </w:tc>
        <w:tc>
          <w:tcPr>
            <w:tcW w:w="876" w:type="dxa"/>
            <w:tcBorders>
              <w:top w:val="nil"/>
              <w:left w:val="nil"/>
              <w:bottom w:val="nil"/>
              <w:right w:val="nil"/>
            </w:tcBorders>
          </w:tcPr>
          <w:p w:rsidR="00E021CA" w:rsidRPr="00BF77B9" w:rsidRDefault="00E021CA" w:rsidP="00E021CA">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 xml:space="preserve">0.51% (0.23%)        </w:t>
            </w:r>
          </w:p>
        </w:tc>
        <w:tc>
          <w:tcPr>
            <w:tcW w:w="876" w:type="dxa"/>
            <w:tcBorders>
              <w:top w:val="nil"/>
              <w:left w:val="nil"/>
              <w:bottom w:val="nil"/>
              <w:right w:val="nil"/>
            </w:tcBorders>
          </w:tcPr>
          <w:p w:rsidR="00E021CA" w:rsidRPr="00BF77B9" w:rsidRDefault="00E021CA" w:rsidP="00E021CA">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 xml:space="preserve">0.51% (0.23%)        </w:t>
            </w:r>
          </w:p>
        </w:tc>
        <w:tc>
          <w:tcPr>
            <w:tcW w:w="821" w:type="dxa"/>
            <w:tcBorders>
              <w:top w:val="nil"/>
              <w:left w:val="nil"/>
              <w:bottom w:val="nil"/>
              <w:right w:val="nil"/>
            </w:tcBorders>
          </w:tcPr>
          <w:p w:rsidR="00E021CA" w:rsidRPr="00BF77B9" w:rsidRDefault="00E021CA" w:rsidP="00E021CA">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 xml:space="preserve">0.51% (0.23%)     </w:t>
            </w:r>
          </w:p>
        </w:tc>
        <w:tc>
          <w:tcPr>
            <w:tcW w:w="844" w:type="dxa"/>
            <w:tcBorders>
              <w:top w:val="nil"/>
              <w:left w:val="nil"/>
              <w:bottom w:val="nil"/>
              <w:right w:val="nil"/>
            </w:tcBorders>
          </w:tcPr>
          <w:p w:rsidR="00E021CA" w:rsidRPr="00BF77B9" w:rsidRDefault="00E021CA" w:rsidP="00E021CA">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 xml:space="preserve">0.51% (0.23%)     </w:t>
            </w:r>
          </w:p>
        </w:tc>
        <w:tc>
          <w:tcPr>
            <w:tcW w:w="844" w:type="dxa"/>
            <w:tcBorders>
              <w:top w:val="nil"/>
              <w:left w:val="nil"/>
              <w:bottom w:val="nil"/>
              <w:right w:val="nil"/>
            </w:tcBorders>
          </w:tcPr>
          <w:p w:rsidR="00E021CA" w:rsidRPr="00BF77B9" w:rsidRDefault="00E021CA" w:rsidP="00E021CA">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 xml:space="preserve">0.51% (0.23%)     </w:t>
            </w:r>
          </w:p>
        </w:tc>
        <w:tc>
          <w:tcPr>
            <w:tcW w:w="844" w:type="dxa"/>
            <w:tcBorders>
              <w:top w:val="nil"/>
              <w:left w:val="nil"/>
              <w:bottom w:val="nil"/>
              <w:right w:val="nil"/>
            </w:tcBorders>
          </w:tcPr>
          <w:p w:rsidR="00E021CA" w:rsidRPr="00BF77B9" w:rsidRDefault="00E021CA" w:rsidP="00E021CA">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 xml:space="preserve">0.51% (0.23%)     </w:t>
            </w:r>
          </w:p>
        </w:tc>
        <w:tc>
          <w:tcPr>
            <w:tcW w:w="844" w:type="dxa"/>
            <w:tcBorders>
              <w:top w:val="nil"/>
              <w:left w:val="nil"/>
              <w:bottom w:val="nil"/>
              <w:right w:val="nil"/>
            </w:tcBorders>
          </w:tcPr>
          <w:p w:rsidR="00E021CA" w:rsidRPr="00BF77B9" w:rsidRDefault="00E021CA" w:rsidP="00E021CA">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 xml:space="preserve">0.51% (0.23%)     </w:t>
            </w:r>
          </w:p>
        </w:tc>
      </w:tr>
      <w:tr w:rsidR="005F65AE" w:rsidRPr="005F65AE" w:rsidTr="00BF77B9">
        <w:tc>
          <w:tcPr>
            <w:tcW w:w="1244" w:type="dxa"/>
            <w:tcBorders>
              <w:top w:val="nil"/>
              <w:left w:val="nil"/>
              <w:bottom w:val="single" w:sz="4" w:space="0" w:color="auto"/>
              <w:right w:val="nil"/>
            </w:tcBorders>
          </w:tcPr>
          <w:p w:rsidR="00E021CA" w:rsidRPr="005F65AE" w:rsidRDefault="00E021CA" w:rsidP="00E021CA">
            <w:pPr>
              <w:ind w:left="33" w:hanging="33"/>
              <w:jc w:val="both"/>
              <w:rPr>
                <w:rFonts w:asciiTheme="majorBidi" w:hAnsiTheme="majorBidi" w:cstheme="majorBidi"/>
                <w:sz w:val="16"/>
                <w:szCs w:val="16"/>
                <w:lang w:val="en-US"/>
              </w:rPr>
            </w:pPr>
            <w:r w:rsidRPr="005F65AE">
              <w:rPr>
                <w:rFonts w:asciiTheme="majorBidi" w:hAnsiTheme="majorBidi" w:cstheme="majorBidi"/>
                <w:sz w:val="16"/>
                <w:szCs w:val="16"/>
                <w:lang w:val="en-US"/>
              </w:rPr>
              <w:t>95% CI</w:t>
            </w:r>
          </w:p>
          <w:p w:rsidR="00E021CA" w:rsidRPr="005F65AE" w:rsidRDefault="00E021CA" w:rsidP="00E021CA">
            <w:pPr>
              <w:ind w:left="33" w:hanging="33"/>
              <w:jc w:val="both"/>
              <w:rPr>
                <w:rFonts w:asciiTheme="majorBidi" w:hAnsiTheme="majorBidi" w:cstheme="majorBidi"/>
                <w:sz w:val="16"/>
                <w:szCs w:val="16"/>
                <w:lang w:val="en-US"/>
              </w:rPr>
            </w:pPr>
          </w:p>
          <w:p w:rsidR="00F8784F" w:rsidRPr="005F65AE" w:rsidRDefault="00F8784F" w:rsidP="00E021CA">
            <w:pPr>
              <w:ind w:left="33" w:hanging="33"/>
              <w:jc w:val="both"/>
              <w:rPr>
                <w:rFonts w:asciiTheme="majorBidi" w:hAnsiTheme="majorBidi" w:cstheme="majorBidi"/>
                <w:sz w:val="6"/>
                <w:szCs w:val="6"/>
                <w:lang w:val="en-US"/>
              </w:rPr>
            </w:pPr>
          </w:p>
        </w:tc>
        <w:tc>
          <w:tcPr>
            <w:tcW w:w="823" w:type="dxa"/>
            <w:tcBorders>
              <w:top w:val="nil"/>
              <w:left w:val="nil"/>
              <w:bottom w:val="single" w:sz="4" w:space="0" w:color="auto"/>
              <w:right w:val="nil"/>
            </w:tcBorders>
          </w:tcPr>
          <w:p w:rsidR="00E021CA" w:rsidRPr="00BF77B9" w:rsidRDefault="00E021CA" w:rsidP="00E021CA">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 xml:space="preserve">[0.1%, 0.96%]        </w:t>
            </w:r>
          </w:p>
        </w:tc>
        <w:tc>
          <w:tcPr>
            <w:tcW w:w="876" w:type="dxa"/>
            <w:tcBorders>
              <w:top w:val="nil"/>
              <w:left w:val="nil"/>
              <w:bottom w:val="single" w:sz="4" w:space="0" w:color="auto"/>
              <w:right w:val="nil"/>
            </w:tcBorders>
          </w:tcPr>
          <w:p w:rsidR="00E021CA" w:rsidRPr="00BF77B9" w:rsidRDefault="003850D9" w:rsidP="00E021CA">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[0.082%, 0.97%]</w:t>
            </w:r>
          </w:p>
        </w:tc>
        <w:tc>
          <w:tcPr>
            <w:tcW w:w="876" w:type="dxa"/>
            <w:tcBorders>
              <w:top w:val="nil"/>
              <w:left w:val="nil"/>
              <w:bottom w:val="single" w:sz="4" w:space="0" w:color="auto"/>
              <w:right w:val="nil"/>
            </w:tcBorders>
          </w:tcPr>
          <w:p w:rsidR="00E021CA" w:rsidRPr="00BF77B9" w:rsidRDefault="003850D9" w:rsidP="00E021CA">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 xml:space="preserve">[0.088%, 0.97%]      </w:t>
            </w:r>
          </w:p>
        </w:tc>
        <w:tc>
          <w:tcPr>
            <w:tcW w:w="876" w:type="dxa"/>
            <w:tcBorders>
              <w:top w:val="nil"/>
              <w:left w:val="nil"/>
              <w:bottom w:val="single" w:sz="4" w:space="0" w:color="auto"/>
              <w:right w:val="nil"/>
            </w:tcBorders>
          </w:tcPr>
          <w:p w:rsidR="00E021CA" w:rsidRPr="00BF77B9" w:rsidRDefault="003850D9" w:rsidP="00E021CA">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 xml:space="preserve">[0.073%, 0.96%]      </w:t>
            </w:r>
          </w:p>
        </w:tc>
        <w:tc>
          <w:tcPr>
            <w:tcW w:w="876" w:type="dxa"/>
            <w:tcBorders>
              <w:top w:val="nil"/>
              <w:left w:val="nil"/>
              <w:bottom w:val="single" w:sz="4" w:space="0" w:color="auto"/>
              <w:right w:val="nil"/>
            </w:tcBorders>
          </w:tcPr>
          <w:p w:rsidR="00E021CA" w:rsidRPr="00BF77B9" w:rsidRDefault="003850D9" w:rsidP="00E021CA">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 xml:space="preserve">[0.086%, 0.96%]      </w:t>
            </w:r>
          </w:p>
        </w:tc>
        <w:tc>
          <w:tcPr>
            <w:tcW w:w="821" w:type="dxa"/>
            <w:tcBorders>
              <w:top w:val="nil"/>
              <w:left w:val="nil"/>
              <w:bottom w:val="single" w:sz="4" w:space="0" w:color="auto"/>
              <w:right w:val="nil"/>
            </w:tcBorders>
          </w:tcPr>
          <w:p w:rsidR="00E021CA" w:rsidRPr="00BF77B9" w:rsidRDefault="00E021CA" w:rsidP="00E021CA">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 xml:space="preserve">[0.1%, 0.96%]     </w:t>
            </w:r>
          </w:p>
        </w:tc>
        <w:tc>
          <w:tcPr>
            <w:tcW w:w="844" w:type="dxa"/>
            <w:tcBorders>
              <w:top w:val="nil"/>
              <w:left w:val="nil"/>
              <w:bottom w:val="single" w:sz="4" w:space="0" w:color="auto"/>
              <w:right w:val="nil"/>
            </w:tcBorders>
          </w:tcPr>
          <w:p w:rsidR="00E021CA" w:rsidRPr="00BF77B9" w:rsidRDefault="003850D9" w:rsidP="00E021CA">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[0.082%, 0.97%]</w:t>
            </w:r>
          </w:p>
        </w:tc>
        <w:tc>
          <w:tcPr>
            <w:tcW w:w="844" w:type="dxa"/>
            <w:tcBorders>
              <w:top w:val="nil"/>
              <w:left w:val="nil"/>
              <w:bottom w:val="single" w:sz="4" w:space="0" w:color="auto"/>
              <w:right w:val="nil"/>
            </w:tcBorders>
          </w:tcPr>
          <w:p w:rsidR="00E021CA" w:rsidRPr="00BF77B9" w:rsidRDefault="003850D9" w:rsidP="00E021CA">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 xml:space="preserve">[0.088%, 0.97%]      </w:t>
            </w:r>
          </w:p>
        </w:tc>
        <w:tc>
          <w:tcPr>
            <w:tcW w:w="844" w:type="dxa"/>
            <w:tcBorders>
              <w:top w:val="nil"/>
              <w:left w:val="nil"/>
              <w:bottom w:val="single" w:sz="4" w:space="0" w:color="auto"/>
              <w:right w:val="nil"/>
            </w:tcBorders>
          </w:tcPr>
          <w:p w:rsidR="00E021CA" w:rsidRPr="00BF77B9" w:rsidRDefault="003850D9" w:rsidP="00E021CA">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 xml:space="preserve">[0.073%, 0.96%]      </w:t>
            </w:r>
          </w:p>
        </w:tc>
        <w:tc>
          <w:tcPr>
            <w:tcW w:w="844" w:type="dxa"/>
            <w:tcBorders>
              <w:top w:val="nil"/>
              <w:left w:val="nil"/>
              <w:bottom w:val="single" w:sz="4" w:space="0" w:color="auto"/>
              <w:right w:val="nil"/>
            </w:tcBorders>
          </w:tcPr>
          <w:p w:rsidR="00E021CA" w:rsidRPr="00BF77B9" w:rsidRDefault="003850D9" w:rsidP="00E021CA">
            <w:pPr>
              <w:jc w:val="both"/>
              <w:rPr>
                <w:rFonts w:asciiTheme="majorBidi" w:hAnsiTheme="majorBidi" w:cstheme="majorBidi"/>
                <w:sz w:val="18"/>
                <w:szCs w:val="18"/>
                <w:lang w:val="en-US"/>
              </w:rPr>
            </w:pPr>
            <w:r w:rsidRPr="00BF77B9">
              <w:rPr>
                <w:rFonts w:asciiTheme="majorBidi" w:hAnsiTheme="majorBidi" w:cstheme="majorBidi"/>
                <w:sz w:val="18"/>
                <w:szCs w:val="18"/>
                <w:lang w:val="en-US"/>
              </w:rPr>
              <w:t xml:space="preserve">[0.086%, 0.96%]      </w:t>
            </w:r>
          </w:p>
        </w:tc>
      </w:tr>
      <w:tr w:rsidR="005F65AE" w:rsidRPr="005F65AE" w:rsidTr="00BF77B9">
        <w:tc>
          <w:tcPr>
            <w:tcW w:w="1244" w:type="dxa"/>
            <w:tcBorders>
              <w:top w:val="single" w:sz="4" w:space="0" w:color="auto"/>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Posterior tail-area prob  </w:t>
            </w:r>
          </w:p>
        </w:tc>
        <w:tc>
          <w:tcPr>
            <w:tcW w:w="823" w:type="dxa"/>
            <w:tcBorders>
              <w:top w:val="single" w:sz="4" w:space="0" w:color="auto"/>
              <w:left w:val="nil"/>
              <w:bottom w:val="nil"/>
              <w:right w:val="nil"/>
            </w:tcBorders>
          </w:tcPr>
          <w:p w:rsidR="00E021CA" w:rsidRPr="00F8790F" w:rsidRDefault="00E021CA" w:rsidP="00E021CA">
            <w:pPr>
              <w:jc w:val="both"/>
              <w:rPr>
                <w:rFonts w:asciiTheme="majorBidi" w:hAnsiTheme="majorBidi" w:cstheme="majorBidi"/>
                <w:sz w:val="18"/>
                <w:szCs w:val="18"/>
                <w:lang w:val="en-US"/>
              </w:rPr>
            </w:pPr>
            <w:r w:rsidRPr="00F8790F">
              <w:rPr>
                <w:rFonts w:asciiTheme="majorBidi" w:hAnsiTheme="majorBidi" w:cstheme="majorBidi"/>
                <w:sz w:val="18"/>
                <w:szCs w:val="18"/>
                <w:lang w:val="en-US"/>
              </w:rPr>
              <w:t>0.00626</w:t>
            </w:r>
          </w:p>
        </w:tc>
        <w:tc>
          <w:tcPr>
            <w:tcW w:w="876" w:type="dxa"/>
            <w:tcBorders>
              <w:top w:val="single" w:sz="4" w:space="0" w:color="auto"/>
              <w:left w:val="nil"/>
              <w:bottom w:val="nil"/>
              <w:right w:val="nil"/>
            </w:tcBorders>
          </w:tcPr>
          <w:p w:rsidR="00E021CA" w:rsidRPr="00F8790F" w:rsidRDefault="003850D9" w:rsidP="00E021CA">
            <w:pPr>
              <w:jc w:val="both"/>
              <w:rPr>
                <w:rFonts w:asciiTheme="majorBidi" w:hAnsiTheme="majorBidi" w:cstheme="majorBidi"/>
                <w:sz w:val="18"/>
                <w:szCs w:val="18"/>
                <w:lang w:val="en-US"/>
              </w:rPr>
            </w:pPr>
            <w:r w:rsidRPr="00F8790F">
              <w:rPr>
                <w:rFonts w:asciiTheme="majorBidi" w:hAnsiTheme="majorBidi" w:cstheme="majorBidi"/>
                <w:sz w:val="18"/>
                <w:szCs w:val="18"/>
                <w:lang w:val="en-US"/>
              </w:rPr>
              <w:t>0.00834</w:t>
            </w:r>
          </w:p>
        </w:tc>
        <w:tc>
          <w:tcPr>
            <w:tcW w:w="876" w:type="dxa"/>
            <w:tcBorders>
              <w:top w:val="single" w:sz="4" w:space="0" w:color="auto"/>
              <w:left w:val="nil"/>
              <w:bottom w:val="nil"/>
              <w:right w:val="nil"/>
            </w:tcBorders>
          </w:tcPr>
          <w:p w:rsidR="00E021CA" w:rsidRPr="00F8790F" w:rsidRDefault="003850D9" w:rsidP="00E021CA">
            <w:pPr>
              <w:jc w:val="both"/>
              <w:rPr>
                <w:rFonts w:asciiTheme="majorBidi" w:hAnsiTheme="majorBidi" w:cstheme="majorBidi"/>
                <w:sz w:val="18"/>
                <w:szCs w:val="18"/>
                <w:lang w:val="en-US"/>
              </w:rPr>
            </w:pPr>
            <w:r w:rsidRPr="00F8790F">
              <w:rPr>
                <w:rFonts w:asciiTheme="majorBidi" w:hAnsiTheme="majorBidi" w:cstheme="majorBidi"/>
                <w:sz w:val="18"/>
                <w:szCs w:val="18"/>
                <w:lang w:val="en-US"/>
              </w:rPr>
              <w:t>0.00626</w:t>
            </w:r>
          </w:p>
        </w:tc>
        <w:tc>
          <w:tcPr>
            <w:tcW w:w="876" w:type="dxa"/>
            <w:tcBorders>
              <w:top w:val="single" w:sz="4" w:space="0" w:color="auto"/>
              <w:left w:val="nil"/>
              <w:bottom w:val="nil"/>
              <w:right w:val="nil"/>
            </w:tcBorders>
          </w:tcPr>
          <w:p w:rsidR="00E021CA" w:rsidRPr="00F8790F" w:rsidRDefault="003850D9" w:rsidP="00E021CA">
            <w:pPr>
              <w:jc w:val="both"/>
              <w:rPr>
                <w:rFonts w:asciiTheme="majorBidi" w:hAnsiTheme="majorBidi" w:cstheme="majorBidi"/>
                <w:sz w:val="18"/>
                <w:szCs w:val="18"/>
                <w:lang w:val="en-US"/>
              </w:rPr>
            </w:pPr>
            <w:r w:rsidRPr="00F8790F">
              <w:rPr>
                <w:rFonts w:asciiTheme="majorBidi" w:hAnsiTheme="majorBidi" w:cstheme="majorBidi"/>
                <w:sz w:val="18"/>
                <w:szCs w:val="18"/>
                <w:lang w:val="en-US"/>
              </w:rPr>
              <w:t>0.00938</w:t>
            </w:r>
          </w:p>
        </w:tc>
        <w:tc>
          <w:tcPr>
            <w:tcW w:w="876" w:type="dxa"/>
            <w:tcBorders>
              <w:top w:val="single" w:sz="4" w:space="0" w:color="auto"/>
              <w:left w:val="nil"/>
              <w:bottom w:val="nil"/>
              <w:right w:val="nil"/>
            </w:tcBorders>
          </w:tcPr>
          <w:p w:rsidR="00E021CA" w:rsidRPr="00F8790F" w:rsidRDefault="003850D9" w:rsidP="00E021CA">
            <w:pPr>
              <w:jc w:val="both"/>
              <w:rPr>
                <w:rFonts w:asciiTheme="majorBidi" w:hAnsiTheme="majorBidi" w:cstheme="majorBidi"/>
                <w:sz w:val="18"/>
                <w:szCs w:val="18"/>
                <w:lang w:val="en-US"/>
              </w:rPr>
            </w:pPr>
            <w:r w:rsidRPr="00F8790F">
              <w:rPr>
                <w:rFonts w:asciiTheme="majorBidi" w:hAnsiTheme="majorBidi" w:cstheme="majorBidi"/>
                <w:sz w:val="18"/>
                <w:szCs w:val="18"/>
                <w:lang w:val="en-US"/>
              </w:rPr>
              <w:t>0.00938</w:t>
            </w:r>
          </w:p>
        </w:tc>
        <w:tc>
          <w:tcPr>
            <w:tcW w:w="4197" w:type="dxa"/>
            <w:gridSpan w:val="5"/>
            <w:vMerge w:val="restart"/>
            <w:tcBorders>
              <w:top w:val="single" w:sz="4" w:space="0" w:color="auto"/>
              <w:left w:val="nil"/>
              <w:bottom w:val="nil"/>
              <w:right w:val="nil"/>
            </w:tcBorders>
          </w:tcPr>
          <w:p w:rsidR="00E021CA" w:rsidRPr="005F65AE" w:rsidRDefault="00E021CA" w:rsidP="00E021CA">
            <w:pPr>
              <w:jc w:val="both"/>
              <w:rPr>
                <w:rFonts w:asciiTheme="majorBidi" w:hAnsiTheme="majorBidi" w:cstheme="majorBidi"/>
                <w:sz w:val="14"/>
                <w:szCs w:val="14"/>
                <w:lang w:val="en-US"/>
              </w:rPr>
            </w:pPr>
          </w:p>
        </w:tc>
      </w:tr>
      <w:tr w:rsidR="003850D9" w:rsidRPr="005F65AE" w:rsidTr="00BF77B9">
        <w:tc>
          <w:tcPr>
            <w:tcW w:w="1244" w:type="dxa"/>
            <w:tcBorders>
              <w:top w:val="nil"/>
              <w:left w:val="nil"/>
              <w:bottom w:val="single" w:sz="4" w:space="0" w:color="auto"/>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Posterior prob </w:t>
            </w:r>
          </w:p>
        </w:tc>
        <w:tc>
          <w:tcPr>
            <w:tcW w:w="823" w:type="dxa"/>
            <w:tcBorders>
              <w:top w:val="nil"/>
              <w:left w:val="nil"/>
              <w:bottom w:val="single" w:sz="4" w:space="0" w:color="auto"/>
              <w:right w:val="nil"/>
            </w:tcBorders>
          </w:tcPr>
          <w:p w:rsidR="00E021CA" w:rsidRPr="00F8790F" w:rsidRDefault="00E021CA" w:rsidP="00E021CA">
            <w:pPr>
              <w:jc w:val="both"/>
              <w:rPr>
                <w:rFonts w:asciiTheme="majorBidi" w:hAnsiTheme="majorBidi" w:cstheme="majorBidi"/>
                <w:sz w:val="18"/>
                <w:szCs w:val="18"/>
                <w:lang w:val="en-US"/>
              </w:rPr>
            </w:pPr>
            <w:r w:rsidRPr="00F8790F">
              <w:rPr>
                <w:rFonts w:asciiTheme="majorBidi" w:hAnsiTheme="majorBidi" w:cstheme="majorBidi"/>
                <w:sz w:val="18"/>
                <w:szCs w:val="18"/>
                <w:lang w:val="en-US"/>
              </w:rPr>
              <w:t>99.37%</w:t>
            </w:r>
          </w:p>
        </w:tc>
        <w:tc>
          <w:tcPr>
            <w:tcW w:w="876" w:type="dxa"/>
            <w:tcBorders>
              <w:top w:val="nil"/>
              <w:left w:val="nil"/>
              <w:bottom w:val="single" w:sz="4" w:space="0" w:color="auto"/>
              <w:right w:val="nil"/>
            </w:tcBorders>
          </w:tcPr>
          <w:p w:rsidR="00E021CA" w:rsidRPr="00F8790F" w:rsidRDefault="003850D9" w:rsidP="00E021CA">
            <w:pPr>
              <w:jc w:val="both"/>
              <w:rPr>
                <w:rFonts w:asciiTheme="majorBidi" w:hAnsiTheme="majorBidi" w:cstheme="majorBidi"/>
                <w:sz w:val="18"/>
                <w:szCs w:val="18"/>
                <w:lang w:val="en-US"/>
              </w:rPr>
            </w:pPr>
            <w:r w:rsidRPr="00F8790F">
              <w:rPr>
                <w:rFonts w:asciiTheme="majorBidi" w:hAnsiTheme="majorBidi" w:cstheme="majorBidi"/>
                <w:sz w:val="18"/>
                <w:szCs w:val="18"/>
                <w:lang w:val="en-US"/>
              </w:rPr>
              <w:t>99.16%</w:t>
            </w:r>
          </w:p>
        </w:tc>
        <w:tc>
          <w:tcPr>
            <w:tcW w:w="876" w:type="dxa"/>
            <w:tcBorders>
              <w:top w:val="nil"/>
              <w:left w:val="nil"/>
              <w:bottom w:val="single" w:sz="4" w:space="0" w:color="auto"/>
              <w:right w:val="nil"/>
            </w:tcBorders>
          </w:tcPr>
          <w:p w:rsidR="00E021CA" w:rsidRPr="00F8790F" w:rsidRDefault="003850D9" w:rsidP="00E021CA">
            <w:pPr>
              <w:jc w:val="both"/>
              <w:rPr>
                <w:rFonts w:asciiTheme="majorBidi" w:hAnsiTheme="majorBidi" w:cstheme="majorBidi"/>
                <w:sz w:val="18"/>
                <w:szCs w:val="18"/>
                <w:lang w:val="en-US"/>
              </w:rPr>
            </w:pPr>
            <w:r w:rsidRPr="00F8790F">
              <w:rPr>
                <w:rFonts w:asciiTheme="majorBidi" w:hAnsiTheme="majorBidi" w:cstheme="majorBidi"/>
                <w:sz w:val="18"/>
                <w:szCs w:val="18"/>
                <w:lang w:val="en-US"/>
              </w:rPr>
              <w:t>99.37%</w:t>
            </w:r>
          </w:p>
        </w:tc>
        <w:tc>
          <w:tcPr>
            <w:tcW w:w="876" w:type="dxa"/>
            <w:tcBorders>
              <w:top w:val="nil"/>
              <w:left w:val="nil"/>
              <w:bottom w:val="single" w:sz="4" w:space="0" w:color="auto"/>
              <w:right w:val="nil"/>
            </w:tcBorders>
          </w:tcPr>
          <w:p w:rsidR="00E021CA" w:rsidRPr="00F8790F" w:rsidRDefault="003850D9" w:rsidP="00E021CA">
            <w:pPr>
              <w:jc w:val="both"/>
              <w:rPr>
                <w:rFonts w:asciiTheme="majorBidi" w:hAnsiTheme="majorBidi" w:cstheme="majorBidi"/>
                <w:sz w:val="18"/>
                <w:szCs w:val="18"/>
                <w:lang w:val="en-US"/>
              </w:rPr>
            </w:pPr>
            <w:r w:rsidRPr="00F8790F">
              <w:rPr>
                <w:rFonts w:asciiTheme="majorBidi" w:hAnsiTheme="majorBidi" w:cstheme="majorBidi"/>
                <w:sz w:val="18"/>
                <w:szCs w:val="18"/>
                <w:lang w:val="en-US"/>
              </w:rPr>
              <w:t>99.06%</w:t>
            </w:r>
          </w:p>
        </w:tc>
        <w:tc>
          <w:tcPr>
            <w:tcW w:w="876" w:type="dxa"/>
            <w:tcBorders>
              <w:top w:val="nil"/>
              <w:left w:val="nil"/>
              <w:bottom w:val="single" w:sz="4" w:space="0" w:color="auto"/>
              <w:right w:val="nil"/>
            </w:tcBorders>
          </w:tcPr>
          <w:p w:rsidR="00E021CA" w:rsidRPr="00F8790F" w:rsidRDefault="003850D9" w:rsidP="00E021CA">
            <w:pPr>
              <w:jc w:val="both"/>
              <w:rPr>
                <w:rFonts w:asciiTheme="majorBidi" w:hAnsiTheme="majorBidi" w:cstheme="majorBidi"/>
                <w:sz w:val="18"/>
                <w:szCs w:val="18"/>
                <w:lang w:val="en-US"/>
              </w:rPr>
            </w:pPr>
            <w:r w:rsidRPr="00F8790F">
              <w:rPr>
                <w:rFonts w:asciiTheme="majorBidi" w:hAnsiTheme="majorBidi" w:cstheme="majorBidi"/>
                <w:sz w:val="18"/>
                <w:szCs w:val="18"/>
                <w:lang w:val="en-US"/>
              </w:rPr>
              <w:t>99.06%</w:t>
            </w:r>
          </w:p>
        </w:tc>
        <w:tc>
          <w:tcPr>
            <w:tcW w:w="4197" w:type="dxa"/>
            <w:gridSpan w:val="5"/>
            <w:vMerge/>
            <w:tcBorders>
              <w:left w:val="nil"/>
              <w:bottom w:val="nil"/>
              <w:right w:val="nil"/>
            </w:tcBorders>
          </w:tcPr>
          <w:p w:rsidR="00E021CA" w:rsidRPr="005F65AE" w:rsidRDefault="00E021CA" w:rsidP="00E021CA">
            <w:pPr>
              <w:jc w:val="both"/>
              <w:rPr>
                <w:rFonts w:asciiTheme="majorBidi" w:hAnsiTheme="majorBidi" w:cstheme="majorBidi"/>
                <w:sz w:val="14"/>
                <w:szCs w:val="14"/>
                <w:lang w:val="en-US"/>
              </w:rPr>
            </w:pPr>
          </w:p>
        </w:tc>
      </w:tr>
    </w:tbl>
    <w:p w:rsidR="00940965" w:rsidRPr="005F65AE" w:rsidRDefault="00940965" w:rsidP="00940965">
      <w:pPr>
        <w:spacing w:after="0" w:line="240" w:lineRule="auto"/>
        <w:jc w:val="both"/>
        <w:rPr>
          <w:rFonts w:asciiTheme="majorBidi" w:hAnsiTheme="majorBidi" w:cstheme="majorBidi"/>
          <w:lang w:val="en-US"/>
        </w:rPr>
      </w:pPr>
    </w:p>
    <w:p w:rsidR="000925CD" w:rsidRPr="005F65AE" w:rsidRDefault="000925CD" w:rsidP="000925CD">
      <w:pPr>
        <w:spacing w:after="0" w:line="240" w:lineRule="auto"/>
        <w:ind w:firstLine="284"/>
        <w:jc w:val="both"/>
        <w:rPr>
          <w:rFonts w:asciiTheme="majorBidi" w:hAnsiTheme="majorBidi" w:cstheme="majorBidi"/>
          <w:bCs/>
          <w:sz w:val="24"/>
          <w:szCs w:val="24"/>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8"/>
        <w:gridCol w:w="2467"/>
        <w:gridCol w:w="2497"/>
        <w:gridCol w:w="2557"/>
      </w:tblGrid>
      <w:tr w:rsidR="005F65AE" w:rsidRPr="005F65AE" w:rsidTr="000925CD">
        <w:tc>
          <w:tcPr>
            <w:tcW w:w="2372" w:type="dxa"/>
          </w:tcPr>
          <w:p w:rsidR="000925CD" w:rsidRPr="005F65AE" w:rsidRDefault="000925CD" w:rsidP="000925CD">
            <w:pPr>
              <w:jc w:val="center"/>
              <w:rPr>
                <w:rFonts w:asciiTheme="majorBidi" w:hAnsiTheme="majorBidi" w:cstheme="majorBidi"/>
                <w:b/>
                <w:bCs/>
                <w:sz w:val="18"/>
                <w:szCs w:val="18"/>
                <w:lang w:val="en-US"/>
              </w:rPr>
            </w:pPr>
          </w:p>
          <w:p w:rsidR="000925CD" w:rsidRPr="005F65AE" w:rsidRDefault="000925CD" w:rsidP="000925CD">
            <w:pPr>
              <w:jc w:val="center"/>
              <w:rPr>
                <w:rFonts w:asciiTheme="majorBidi" w:hAnsiTheme="majorBidi" w:cstheme="majorBidi"/>
                <w:b/>
                <w:bCs/>
                <w:sz w:val="18"/>
                <w:szCs w:val="18"/>
                <w:lang w:val="en-US"/>
              </w:rPr>
            </w:pPr>
            <w:r w:rsidRPr="005F65AE">
              <w:rPr>
                <w:rFonts w:asciiTheme="majorBidi" w:hAnsiTheme="majorBidi" w:cstheme="majorBidi"/>
                <w:b/>
                <w:bCs/>
                <w:sz w:val="18"/>
                <w:szCs w:val="18"/>
                <w:lang w:val="en-US"/>
              </w:rPr>
              <w:t>Solar energy index</w:t>
            </w:r>
          </w:p>
          <w:p w:rsidR="000925CD" w:rsidRPr="005F65AE" w:rsidRDefault="000925CD" w:rsidP="000925CD">
            <w:pPr>
              <w:jc w:val="center"/>
              <w:rPr>
                <w:rFonts w:asciiTheme="majorBidi" w:hAnsiTheme="majorBidi" w:cstheme="majorBidi"/>
                <w:b/>
                <w:bCs/>
                <w:sz w:val="18"/>
                <w:szCs w:val="18"/>
                <w:lang w:val="en-US"/>
              </w:rPr>
            </w:pPr>
          </w:p>
        </w:tc>
        <w:tc>
          <w:tcPr>
            <w:tcW w:w="2419" w:type="dxa"/>
          </w:tcPr>
          <w:p w:rsidR="000925CD" w:rsidRPr="005F65AE" w:rsidRDefault="000925CD" w:rsidP="000925CD">
            <w:pPr>
              <w:jc w:val="center"/>
              <w:rPr>
                <w:rFonts w:asciiTheme="majorBidi" w:hAnsiTheme="majorBidi" w:cstheme="majorBidi"/>
                <w:b/>
                <w:bCs/>
                <w:sz w:val="18"/>
                <w:szCs w:val="18"/>
                <w:lang w:val="en-US"/>
              </w:rPr>
            </w:pPr>
          </w:p>
          <w:p w:rsidR="000925CD" w:rsidRPr="005F65AE" w:rsidRDefault="000925CD" w:rsidP="000925CD">
            <w:pPr>
              <w:jc w:val="center"/>
              <w:rPr>
                <w:rFonts w:asciiTheme="majorBidi" w:hAnsiTheme="majorBidi" w:cstheme="majorBidi"/>
                <w:bCs/>
                <w:sz w:val="18"/>
                <w:szCs w:val="18"/>
                <w:lang w:val="en-US"/>
              </w:rPr>
            </w:pPr>
            <w:r w:rsidRPr="005F65AE">
              <w:rPr>
                <w:rFonts w:asciiTheme="majorBidi" w:hAnsiTheme="majorBidi" w:cstheme="majorBidi"/>
                <w:b/>
                <w:bCs/>
                <w:sz w:val="18"/>
                <w:szCs w:val="18"/>
                <w:lang w:val="en-US"/>
              </w:rPr>
              <w:t>Wind energy index</w:t>
            </w:r>
          </w:p>
        </w:tc>
        <w:tc>
          <w:tcPr>
            <w:tcW w:w="2448" w:type="dxa"/>
          </w:tcPr>
          <w:p w:rsidR="000925CD" w:rsidRPr="005F65AE" w:rsidRDefault="000925CD" w:rsidP="000925CD">
            <w:pPr>
              <w:jc w:val="center"/>
              <w:rPr>
                <w:rFonts w:asciiTheme="majorBidi" w:hAnsiTheme="majorBidi" w:cstheme="majorBidi"/>
                <w:b/>
                <w:bCs/>
                <w:sz w:val="18"/>
                <w:szCs w:val="18"/>
                <w:lang w:val="en-US"/>
              </w:rPr>
            </w:pPr>
          </w:p>
          <w:p w:rsidR="000925CD" w:rsidRPr="005F65AE" w:rsidRDefault="000925CD" w:rsidP="000925CD">
            <w:pPr>
              <w:jc w:val="center"/>
              <w:rPr>
                <w:rFonts w:asciiTheme="majorBidi" w:hAnsiTheme="majorBidi" w:cstheme="majorBidi"/>
                <w:bCs/>
                <w:sz w:val="18"/>
                <w:szCs w:val="18"/>
                <w:lang w:val="en-US"/>
              </w:rPr>
            </w:pPr>
            <w:r w:rsidRPr="005F65AE">
              <w:rPr>
                <w:rFonts w:asciiTheme="majorBidi" w:hAnsiTheme="majorBidi" w:cstheme="majorBidi"/>
                <w:b/>
                <w:bCs/>
                <w:sz w:val="18"/>
                <w:szCs w:val="18"/>
                <w:lang w:val="en-US"/>
              </w:rPr>
              <w:t>Biofuels energy index</w:t>
            </w:r>
          </w:p>
        </w:tc>
        <w:tc>
          <w:tcPr>
            <w:tcW w:w="2507" w:type="dxa"/>
          </w:tcPr>
          <w:p w:rsidR="000925CD" w:rsidRPr="005F65AE" w:rsidRDefault="000925CD" w:rsidP="000925CD">
            <w:pPr>
              <w:jc w:val="center"/>
              <w:rPr>
                <w:rFonts w:asciiTheme="majorBidi" w:hAnsiTheme="majorBidi" w:cstheme="majorBidi"/>
                <w:b/>
                <w:bCs/>
                <w:sz w:val="18"/>
                <w:szCs w:val="18"/>
                <w:lang w:val="en-US"/>
              </w:rPr>
            </w:pPr>
          </w:p>
          <w:p w:rsidR="000925CD" w:rsidRPr="005F65AE" w:rsidRDefault="000925CD" w:rsidP="000925CD">
            <w:pPr>
              <w:jc w:val="center"/>
              <w:rPr>
                <w:rFonts w:asciiTheme="majorBidi" w:hAnsiTheme="majorBidi" w:cstheme="majorBidi"/>
                <w:bCs/>
                <w:sz w:val="18"/>
                <w:szCs w:val="18"/>
                <w:lang w:val="en-US"/>
              </w:rPr>
            </w:pPr>
            <w:r w:rsidRPr="005F65AE">
              <w:rPr>
                <w:rFonts w:asciiTheme="majorBidi" w:hAnsiTheme="majorBidi" w:cstheme="majorBidi"/>
                <w:b/>
                <w:bCs/>
                <w:sz w:val="18"/>
                <w:szCs w:val="18"/>
                <w:lang w:val="en-US"/>
              </w:rPr>
              <w:t>Geothermal energy index</w:t>
            </w:r>
          </w:p>
        </w:tc>
      </w:tr>
      <w:tr w:rsidR="005F65AE" w:rsidRPr="005F65AE" w:rsidTr="000925CD">
        <w:tc>
          <w:tcPr>
            <w:tcW w:w="2372" w:type="dxa"/>
          </w:tcPr>
          <w:p w:rsidR="000925CD" w:rsidRPr="005F65AE" w:rsidRDefault="000925CD" w:rsidP="000925CD">
            <w:pPr>
              <w:rPr>
                <w:rFonts w:asciiTheme="majorBidi" w:hAnsiTheme="majorBidi" w:cstheme="majorBidi"/>
                <w:bCs/>
                <w:sz w:val="24"/>
                <w:szCs w:val="24"/>
                <w:lang w:val="en-US"/>
              </w:rPr>
            </w:pPr>
            <w:r w:rsidRPr="005F65AE">
              <w:rPr>
                <w:rFonts w:asciiTheme="majorBidi" w:hAnsiTheme="majorBidi" w:cstheme="majorBidi"/>
                <w:bCs/>
                <w:noProof/>
                <w:sz w:val="24"/>
                <w:szCs w:val="24"/>
                <w:lang w:eastAsia="fr-FR"/>
              </w:rPr>
              <w:drawing>
                <wp:inline distT="0" distB="0" distL="0" distR="0">
                  <wp:extent cx="1397977" cy="998745"/>
                  <wp:effectExtent l="0" t="0" r="0" b="0"/>
                  <wp:docPr id="7238252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8650" cy="1006370"/>
                          </a:xfrm>
                          <a:prstGeom prst="rect">
                            <a:avLst/>
                          </a:prstGeom>
                          <a:noFill/>
                        </pic:spPr>
                      </pic:pic>
                    </a:graphicData>
                  </a:graphic>
                </wp:inline>
              </w:drawing>
            </w:r>
          </w:p>
        </w:tc>
        <w:tc>
          <w:tcPr>
            <w:tcW w:w="2419" w:type="dxa"/>
          </w:tcPr>
          <w:p w:rsidR="000925CD" w:rsidRPr="005F65AE" w:rsidRDefault="000925CD" w:rsidP="000925CD">
            <w:pPr>
              <w:rPr>
                <w:rFonts w:asciiTheme="majorBidi" w:hAnsiTheme="majorBidi" w:cstheme="majorBidi"/>
                <w:bCs/>
                <w:sz w:val="24"/>
                <w:szCs w:val="24"/>
                <w:lang w:val="en-US"/>
              </w:rPr>
            </w:pPr>
            <w:r w:rsidRPr="005F65AE">
              <w:rPr>
                <w:rFonts w:asciiTheme="majorBidi" w:hAnsiTheme="majorBidi" w:cstheme="majorBidi"/>
                <w:bCs/>
                <w:noProof/>
                <w:sz w:val="24"/>
                <w:szCs w:val="24"/>
                <w:lang w:eastAsia="fr-FR"/>
              </w:rPr>
              <w:drawing>
                <wp:inline distT="0" distB="0" distL="0" distR="0">
                  <wp:extent cx="1424353" cy="1019750"/>
                  <wp:effectExtent l="0" t="0" r="4445" b="9525"/>
                  <wp:docPr id="5790547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7522" cy="1029178"/>
                          </a:xfrm>
                          <a:prstGeom prst="rect">
                            <a:avLst/>
                          </a:prstGeom>
                          <a:noFill/>
                        </pic:spPr>
                      </pic:pic>
                    </a:graphicData>
                  </a:graphic>
                </wp:inline>
              </w:drawing>
            </w:r>
          </w:p>
        </w:tc>
        <w:tc>
          <w:tcPr>
            <w:tcW w:w="2448" w:type="dxa"/>
          </w:tcPr>
          <w:p w:rsidR="000925CD" w:rsidRPr="005F65AE" w:rsidRDefault="000925CD" w:rsidP="000925CD">
            <w:pPr>
              <w:rPr>
                <w:rFonts w:asciiTheme="majorBidi" w:hAnsiTheme="majorBidi" w:cstheme="majorBidi"/>
                <w:bCs/>
                <w:sz w:val="24"/>
                <w:szCs w:val="24"/>
                <w:lang w:val="en-US"/>
              </w:rPr>
            </w:pPr>
            <w:r w:rsidRPr="005F65AE">
              <w:rPr>
                <w:rFonts w:asciiTheme="majorBidi" w:hAnsiTheme="majorBidi" w:cstheme="majorBidi"/>
                <w:bCs/>
                <w:noProof/>
                <w:sz w:val="24"/>
                <w:szCs w:val="24"/>
                <w:lang w:eastAsia="fr-FR"/>
              </w:rPr>
              <w:drawing>
                <wp:inline distT="0" distB="0" distL="0" distR="0">
                  <wp:extent cx="1447917" cy="998220"/>
                  <wp:effectExtent l="0" t="0" r="0" b="0"/>
                  <wp:docPr id="161838177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3099" cy="1015581"/>
                          </a:xfrm>
                          <a:prstGeom prst="rect">
                            <a:avLst/>
                          </a:prstGeom>
                          <a:noFill/>
                        </pic:spPr>
                      </pic:pic>
                    </a:graphicData>
                  </a:graphic>
                </wp:inline>
              </w:drawing>
            </w:r>
          </w:p>
        </w:tc>
        <w:tc>
          <w:tcPr>
            <w:tcW w:w="2507" w:type="dxa"/>
          </w:tcPr>
          <w:p w:rsidR="000925CD" w:rsidRPr="005F65AE" w:rsidRDefault="000925CD" w:rsidP="000925CD">
            <w:pPr>
              <w:rPr>
                <w:rFonts w:asciiTheme="majorBidi" w:hAnsiTheme="majorBidi" w:cstheme="majorBidi"/>
                <w:bCs/>
                <w:sz w:val="24"/>
                <w:szCs w:val="24"/>
                <w:lang w:val="en-US"/>
              </w:rPr>
            </w:pPr>
            <w:r w:rsidRPr="005F65AE">
              <w:rPr>
                <w:rFonts w:asciiTheme="majorBidi" w:hAnsiTheme="majorBidi" w:cstheme="majorBidi"/>
                <w:bCs/>
                <w:noProof/>
                <w:sz w:val="24"/>
                <w:szCs w:val="24"/>
                <w:lang w:eastAsia="fr-FR"/>
              </w:rPr>
              <w:drawing>
                <wp:inline distT="0" distB="0" distL="0" distR="0">
                  <wp:extent cx="1478564" cy="1019175"/>
                  <wp:effectExtent l="0" t="0" r="7620" b="0"/>
                  <wp:docPr id="98794489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5197" cy="1030640"/>
                          </a:xfrm>
                          <a:prstGeom prst="rect">
                            <a:avLst/>
                          </a:prstGeom>
                          <a:noFill/>
                        </pic:spPr>
                      </pic:pic>
                    </a:graphicData>
                  </a:graphic>
                </wp:inline>
              </w:drawing>
            </w:r>
          </w:p>
        </w:tc>
      </w:tr>
      <w:tr w:rsidR="005F65AE" w:rsidRPr="005F65AE" w:rsidTr="000925CD">
        <w:tc>
          <w:tcPr>
            <w:tcW w:w="2372" w:type="dxa"/>
          </w:tcPr>
          <w:p w:rsidR="000925CD" w:rsidRPr="005F65AE" w:rsidRDefault="000925CD" w:rsidP="000925CD">
            <w:pPr>
              <w:jc w:val="center"/>
              <w:rPr>
                <w:rFonts w:asciiTheme="majorBidi" w:hAnsiTheme="majorBidi" w:cstheme="majorBidi"/>
                <w:b/>
                <w:sz w:val="8"/>
                <w:szCs w:val="8"/>
                <w:lang w:val="en-US"/>
              </w:rPr>
            </w:pPr>
          </w:p>
          <w:p w:rsidR="000925CD" w:rsidRPr="005F65AE" w:rsidRDefault="000925CD" w:rsidP="000925CD">
            <w:pPr>
              <w:jc w:val="center"/>
              <w:rPr>
                <w:rFonts w:asciiTheme="majorBidi" w:hAnsiTheme="majorBidi" w:cstheme="majorBidi"/>
                <w:b/>
                <w:sz w:val="18"/>
                <w:szCs w:val="18"/>
                <w:lang w:val="en-US"/>
              </w:rPr>
            </w:pPr>
            <w:r w:rsidRPr="005F65AE">
              <w:rPr>
                <w:rFonts w:asciiTheme="majorBidi" w:hAnsiTheme="majorBidi" w:cstheme="majorBidi"/>
                <w:b/>
                <w:sz w:val="18"/>
                <w:szCs w:val="18"/>
                <w:lang w:val="en-US"/>
              </w:rPr>
              <w:t>Brent oil futures</w:t>
            </w:r>
          </w:p>
          <w:p w:rsidR="000925CD" w:rsidRPr="005F65AE" w:rsidRDefault="000925CD" w:rsidP="000925CD">
            <w:pPr>
              <w:jc w:val="center"/>
              <w:rPr>
                <w:rFonts w:asciiTheme="majorBidi" w:hAnsiTheme="majorBidi" w:cstheme="majorBidi"/>
                <w:b/>
                <w:sz w:val="10"/>
                <w:szCs w:val="10"/>
                <w:lang w:val="en-US"/>
              </w:rPr>
            </w:pPr>
          </w:p>
        </w:tc>
        <w:tc>
          <w:tcPr>
            <w:tcW w:w="2419" w:type="dxa"/>
          </w:tcPr>
          <w:p w:rsidR="000925CD" w:rsidRPr="005F65AE" w:rsidRDefault="000925CD" w:rsidP="000925CD">
            <w:pPr>
              <w:rPr>
                <w:rFonts w:asciiTheme="majorBidi" w:hAnsiTheme="majorBidi" w:cstheme="majorBidi"/>
                <w:bCs/>
                <w:sz w:val="24"/>
                <w:szCs w:val="24"/>
                <w:lang w:val="en-US"/>
              </w:rPr>
            </w:pPr>
          </w:p>
        </w:tc>
        <w:tc>
          <w:tcPr>
            <w:tcW w:w="2448" w:type="dxa"/>
          </w:tcPr>
          <w:p w:rsidR="000925CD" w:rsidRPr="005F65AE" w:rsidRDefault="000925CD" w:rsidP="000925CD">
            <w:pPr>
              <w:rPr>
                <w:rFonts w:asciiTheme="majorBidi" w:hAnsiTheme="majorBidi" w:cstheme="majorBidi"/>
                <w:bCs/>
                <w:sz w:val="24"/>
                <w:szCs w:val="24"/>
                <w:lang w:val="en-US"/>
              </w:rPr>
            </w:pPr>
          </w:p>
        </w:tc>
        <w:tc>
          <w:tcPr>
            <w:tcW w:w="2507" w:type="dxa"/>
          </w:tcPr>
          <w:p w:rsidR="000925CD" w:rsidRPr="005F65AE" w:rsidRDefault="000925CD" w:rsidP="000925CD">
            <w:pPr>
              <w:rPr>
                <w:rFonts w:asciiTheme="majorBidi" w:hAnsiTheme="majorBidi" w:cstheme="majorBidi"/>
                <w:bCs/>
                <w:sz w:val="24"/>
                <w:szCs w:val="24"/>
                <w:lang w:val="en-US"/>
              </w:rPr>
            </w:pPr>
          </w:p>
        </w:tc>
      </w:tr>
      <w:tr w:rsidR="000925CD" w:rsidRPr="005F65AE" w:rsidTr="000925CD">
        <w:tc>
          <w:tcPr>
            <w:tcW w:w="2372" w:type="dxa"/>
          </w:tcPr>
          <w:p w:rsidR="000925CD" w:rsidRPr="005F65AE" w:rsidRDefault="000925CD" w:rsidP="000925CD">
            <w:pPr>
              <w:rPr>
                <w:rFonts w:asciiTheme="majorBidi" w:hAnsiTheme="majorBidi" w:cstheme="majorBidi"/>
                <w:bCs/>
                <w:sz w:val="24"/>
                <w:szCs w:val="24"/>
                <w:lang w:val="en-US"/>
              </w:rPr>
            </w:pPr>
            <w:r w:rsidRPr="005F65AE">
              <w:rPr>
                <w:rFonts w:asciiTheme="majorBidi" w:hAnsiTheme="majorBidi" w:cstheme="majorBidi"/>
                <w:bCs/>
                <w:noProof/>
                <w:sz w:val="24"/>
                <w:szCs w:val="24"/>
                <w:lang w:eastAsia="fr-FR"/>
              </w:rPr>
              <w:drawing>
                <wp:inline distT="0" distB="0" distL="0" distR="0">
                  <wp:extent cx="1376855" cy="986055"/>
                  <wp:effectExtent l="0" t="0" r="0" b="5080"/>
                  <wp:docPr id="211371409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6756" cy="1000308"/>
                          </a:xfrm>
                          <a:prstGeom prst="rect">
                            <a:avLst/>
                          </a:prstGeom>
                          <a:noFill/>
                        </pic:spPr>
                      </pic:pic>
                    </a:graphicData>
                  </a:graphic>
                </wp:inline>
              </w:drawing>
            </w:r>
          </w:p>
        </w:tc>
        <w:tc>
          <w:tcPr>
            <w:tcW w:w="2419" w:type="dxa"/>
          </w:tcPr>
          <w:p w:rsidR="000925CD" w:rsidRPr="005F65AE" w:rsidRDefault="000925CD" w:rsidP="000925CD">
            <w:pPr>
              <w:rPr>
                <w:rFonts w:asciiTheme="majorBidi" w:hAnsiTheme="majorBidi" w:cstheme="majorBidi"/>
                <w:bCs/>
                <w:sz w:val="24"/>
                <w:szCs w:val="24"/>
                <w:lang w:val="en-US"/>
              </w:rPr>
            </w:pPr>
          </w:p>
        </w:tc>
        <w:tc>
          <w:tcPr>
            <w:tcW w:w="2448" w:type="dxa"/>
          </w:tcPr>
          <w:p w:rsidR="000925CD" w:rsidRPr="005F65AE" w:rsidRDefault="000925CD" w:rsidP="000925CD">
            <w:pPr>
              <w:rPr>
                <w:rFonts w:asciiTheme="majorBidi" w:hAnsiTheme="majorBidi" w:cstheme="majorBidi"/>
                <w:bCs/>
                <w:sz w:val="24"/>
                <w:szCs w:val="24"/>
                <w:lang w:val="en-US"/>
              </w:rPr>
            </w:pPr>
          </w:p>
        </w:tc>
        <w:tc>
          <w:tcPr>
            <w:tcW w:w="2507" w:type="dxa"/>
          </w:tcPr>
          <w:p w:rsidR="000925CD" w:rsidRPr="005F65AE" w:rsidRDefault="000925CD" w:rsidP="000925CD">
            <w:pPr>
              <w:rPr>
                <w:rFonts w:asciiTheme="majorBidi" w:hAnsiTheme="majorBidi" w:cstheme="majorBidi"/>
                <w:bCs/>
                <w:sz w:val="24"/>
                <w:szCs w:val="24"/>
                <w:lang w:val="en-US"/>
              </w:rPr>
            </w:pPr>
          </w:p>
        </w:tc>
      </w:tr>
    </w:tbl>
    <w:p w:rsidR="000925CD" w:rsidRPr="005F65AE" w:rsidRDefault="000925CD" w:rsidP="00747BAB">
      <w:pPr>
        <w:spacing w:line="240" w:lineRule="auto"/>
        <w:rPr>
          <w:rFonts w:asciiTheme="majorBidi" w:hAnsiTheme="majorBidi" w:cstheme="majorBidi"/>
          <w:bCs/>
          <w:sz w:val="8"/>
          <w:szCs w:val="8"/>
          <w:lang w:val="en-US"/>
        </w:rPr>
      </w:pPr>
    </w:p>
    <w:p w:rsidR="00D96ADA" w:rsidRDefault="000925CD" w:rsidP="00D96ADA">
      <w:pPr>
        <w:spacing w:line="240" w:lineRule="auto"/>
        <w:rPr>
          <w:rFonts w:asciiTheme="majorBidi" w:hAnsiTheme="majorBidi" w:cstheme="majorBidi"/>
          <w:bCs/>
          <w:sz w:val="20"/>
          <w:szCs w:val="20"/>
          <w:lang w:val="en-US"/>
        </w:rPr>
      </w:pPr>
      <w:r w:rsidRPr="005F65AE">
        <w:rPr>
          <w:rFonts w:asciiTheme="majorBidi" w:hAnsiTheme="majorBidi" w:cstheme="majorBidi"/>
          <w:b/>
          <w:sz w:val="20"/>
          <w:szCs w:val="20"/>
          <w:lang w:val="en-US"/>
        </w:rPr>
        <w:t>Figure. 1.</w:t>
      </w:r>
      <w:r w:rsidRPr="005F65AE">
        <w:rPr>
          <w:rFonts w:asciiTheme="majorBidi" w:hAnsiTheme="majorBidi" w:cstheme="majorBidi"/>
          <w:bCs/>
          <w:sz w:val="20"/>
          <w:szCs w:val="20"/>
          <w:lang w:val="en-US"/>
        </w:rPr>
        <w:t xml:space="preserve"> Pointwise prediction and difference in daily ridership of.oil prices and clean energy market indices</w:t>
      </w:r>
    </w:p>
    <w:p w:rsidR="00320F76" w:rsidRPr="005F65AE" w:rsidRDefault="00320F76" w:rsidP="00D96ADA">
      <w:pPr>
        <w:spacing w:line="240" w:lineRule="auto"/>
        <w:rPr>
          <w:rFonts w:asciiTheme="majorBidi" w:hAnsiTheme="majorBidi" w:cstheme="majorBidi"/>
          <w:bCs/>
          <w:sz w:val="20"/>
          <w:szCs w:val="20"/>
          <w:lang w:val="en-US"/>
        </w:rPr>
      </w:pPr>
    </w:p>
    <w:p w:rsidR="00DB0A87" w:rsidRPr="005F65AE" w:rsidRDefault="00DB0A87" w:rsidP="00D96ADA">
      <w:pPr>
        <w:spacing w:before="240" w:line="240" w:lineRule="auto"/>
        <w:jc w:val="both"/>
        <w:rPr>
          <w:rFonts w:asciiTheme="majorBidi" w:hAnsiTheme="majorBidi" w:cstheme="majorBidi"/>
          <w:sz w:val="24"/>
          <w:szCs w:val="24"/>
          <w:lang w:val="en-US"/>
        </w:rPr>
      </w:pPr>
      <w:r w:rsidRPr="005F65AE">
        <w:rPr>
          <w:rFonts w:asciiTheme="majorBidi" w:hAnsiTheme="majorBidi" w:cstheme="majorBidi"/>
          <w:b/>
          <w:sz w:val="24"/>
          <w:szCs w:val="24"/>
          <w:lang w:val="en-US"/>
        </w:rPr>
        <w:t>5. Conclusions</w:t>
      </w:r>
    </w:p>
    <w:p w:rsidR="00F31957" w:rsidRPr="005F65AE" w:rsidRDefault="00F8784F" w:rsidP="00F8784F">
      <w:pPr>
        <w:spacing w:after="0" w:line="240" w:lineRule="auto"/>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t>In order to understand the causal impact of Russia-Ukraine war on oil prices and clean energy markets, t</w:t>
      </w:r>
      <w:r w:rsidR="00A80424" w:rsidRPr="005F65AE">
        <w:rPr>
          <w:rFonts w:asciiTheme="majorBidi" w:hAnsiTheme="majorBidi" w:cstheme="majorBidi"/>
          <w:sz w:val="24"/>
          <w:szCs w:val="24"/>
          <w:lang w:val="en-US"/>
        </w:rPr>
        <w:t xml:space="preserve">his study </w:t>
      </w:r>
      <w:r w:rsidRPr="005F65AE">
        <w:rPr>
          <w:rFonts w:asciiTheme="majorBidi" w:hAnsiTheme="majorBidi" w:cstheme="majorBidi"/>
          <w:sz w:val="24"/>
          <w:szCs w:val="24"/>
          <w:lang w:val="en-US"/>
        </w:rPr>
        <w:t>usepre-post period analysis by applying causal impact inference modelto determine the effect</w:t>
      </w:r>
      <w:r w:rsidR="00D96ADA" w:rsidRPr="005F65AE">
        <w:rPr>
          <w:rFonts w:asciiTheme="majorBidi" w:hAnsiTheme="majorBidi" w:cstheme="majorBidi"/>
          <w:sz w:val="24"/>
          <w:szCs w:val="24"/>
          <w:lang w:val="en-US"/>
        </w:rPr>
        <w:t xml:space="preserve"> of the</w:t>
      </w:r>
      <w:r w:rsidRPr="005F65AE">
        <w:rPr>
          <w:rFonts w:asciiTheme="majorBidi" w:hAnsiTheme="majorBidi" w:cstheme="majorBidi"/>
          <w:sz w:val="24"/>
          <w:szCs w:val="24"/>
          <w:lang w:val="en-US"/>
        </w:rPr>
        <w:t xml:space="preserve"> war</w:t>
      </w:r>
      <w:r w:rsidR="00D96ADA" w:rsidRPr="005F65AE">
        <w:rPr>
          <w:rFonts w:asciiTheme="majorBidi" w:hAnsiTheme="majorBidi" w:cstheme="majorBidi"/>
          <w:sz w:val="24"/>
          <w:szCs w:val="24"/>
          <w:lang w:val="en-US"/>
        </w:rPr>
        <w:t xml:space="preserve">’sinterventions </w:t>
      </w:r>
      <w:r w:rsidRPr="005F65AE">
        <w:rPr>
          <w:rFonts w:asciiTheme="majorBidi" w:hAnsiTheme="majorBidi" w:cstheme="majorBidi"/>
          <w:sz w:val="24"/>
          <w:szCs w:val="24"/>
          <w:lang w:val="en-US"/>
        </w:rPr>
        <w:t xml:space="preserve">on oil prices and four clean energy market sectors (solar, wind, biofuels and Geothermal) for the time period 2013-2023. </w:t>
      </w:r>
    </w:p>
    <w:p w:rsidR="00F8784F" w:rsidRPr="005F65AE" w:rsidRDefault="00D96ADA" w:rsidP="00F8784F">
      <w:pPr>
        <w:spacing w:after="0" w:line="240" w:lineRule="auto"/>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lastRenderedPageBreak/>
        <w:t xml:space="preserve">The results show that Russia-Ukraine war had an average significant positive impact of 0.51% on oil prices and clean energy markets, where </w:t>
      </w:r>
      <w:r w:rsidR="00FD425C">
        <w:rPr>
          <w:rFonts w:asciiTheme="majorBidi" w:hAnsiTheme="majorBidi" w:cstheme="majorBidi"/>
          <w:sz w:val="24"/>
          <w:szCs w:val="24"/>
          <w:lang w:val="en-US"/>
        </w:rPr>
        <w:t xml:space="preserve">the </w:t>
      </w:r>
      <w:r w:rsidRPr="005F65AE">
        <w:rPr>
          <w:rFonts w:asciiTheme="majorBidi" w:hAnsiTheme="majorBidi" w:cstheme="majorBidi"/>
          <w:sz w:val="24"/>
          <w:szCs w:val="24"/>
          <w:lang w:val="en-US"/>
        </w:rPr>
        <w:t>increase of the energy market remains inside the 95% confidence interval during the war</w:t>
      </w:r>
      <w:r w:rsidR="00FD425C">
        <w:rPr>
          <w:rFonts w:asciiTheme="majorBidi" w:hAnsiTheme="majorBidi" w:cstheme="majorBidi"/>
          <w:sz w:val="24"/>
          <w:szCs w:val="24"/>
          <w:lang w:val="en-US"/>
        </w:rPr>
        <w:t>.</w:t>
      </w:r>
    </w:p>
    <w:p w:rsidR="00D96ADA" w:rsidRPr="00320F76" w:rsidRDefault="00D96ADA" w:rsidP="00320F76">
      <w:pPr>
        <w:spacing w:after="0" w:line="240" w:lineRule="auto"/>
        <w:ind w:firstLine="284"/>
        <w:jc w:val="both"/>
        <w:rPr>
          <w:rFonts w:asciiTheme="majorBidi" w:hAnsiTheme="majorBidi" w:cstheme="majorBidi"/>
          <w:lang w:val="en-US"/>
        </w:rPr>
      </w:pPr>
      <w:r w:rsidRPr="005F65AE">
        <w:rPr>
          <w:rFonts w:asciiTheme="majorBidi" w:hAnsiTheme="majorBidi" w:cstheme="majorBidi"/>
          <w:sz w:val="24"/>
          <w:szCs w:val="24"/>
          <w:lang w:val="en-US"/>
        </w:rPr>
        <w:t>These findings provide insights for policymakers to handle global geopolitical risk’s impact on energy markets and the issues ofenergy transition, as well as, giving investors a better knowledge of the energy markets.</w:t>
      </w:r>
    </w:p>
    <w:p w:rsidR="00D96ADA" w:rsidRPr="00DB0A87" w:rsidRDefault="00D96ADA" w:rsidP="00E71A3E">
      <w:pPr>
        <w:spacing w:after="0" w:line="240" w:lineRule="auto"/>
        <w:ind w:firstLine="284"/>
        <w:jc w:val="both"/>
        <w:rPr>
          <w:rFonts w:ascii="Times New Roman" w:eastAsia="Times New Roman" w:hAnsi="Times New Roman" w:cs="Times New Roman"/>
          <w:kern w:val="0"/>
          <w:lang w:val="en-US" w:eastAsia="ru-RU"/>
        </w:rPr>
      </w:pPr>
    </w:p>
    <w:p w:rsidR="009E19FD" w:rsidRPr="00FB7D50" w:rsidRDefault="00DB0A87" w:rsidP="00FB7D50">
      <w:pPr>
        <w:spacing w:after="0" w:line="240" w:lineRule="auto"/>
        <w:jc w:val="both"/>
        <w:rPr>
          <w:rFonts w:ascii="Times New Roman" w:eastAsia="Times New Roman" w:hAnsi="Times New Roman" w:cs="Times New Roman"/>
          <w:b/>
          <w:kern w:val="0"/>
          <w:lang w:val="en-US" w:eastAsia="ru-RU"/>
        </w:rPr>
      </w:pPr>
      <w:bookmarkStart w:id="7" w:name="_Hlk137991685"/>
      <w:r w:rsidRPr="00DB0A87">
        <w:rPr>
          <w:rFonts w:ascii="Times New Roman" w:eastAsia="Times New Roman" w:hAnsi="Times New Roman" w:cs="Times New Roman"/>
          <w:b/>
          <w:kern w:val="0"/>
          <w:lang w:val="en-US" w:eastAsia="ru-RU"/>
        </w:rPr>
        <w:t>REFERENCES</w:t>
      </w:r>
      <w:bookmarkEnd w:id="7"/>
    </w:p>
    <w:p w:rsidR="00940965" w:rsidRPr="001870CC" w:rsidRDefault="00940965" w:rsidP="00EB0096">
      <w:pPr>
        <w:spacing w:after="0" w:line="240" w:lineRule="auto"/>
        <w:ind w:left="709" w:hanging="709"/>
        <w:jc w:val="both"/>
        <w:rPr>
          <w:lang w:val="en-US"/>
        </w:rPr>
      </w:pPr>
      <w:bookmarkStart w:id="8" w:name="_Hlk137993449"/>
    </w:p>
    <w:p w:rsidR="00940965" w:rsidRDefault="00940965" w:rsidP="001870CC">
      <w:pPr>
        <w:spacing w:after="0" w:line="240" w:lineRule="auto"/>
        <w:ind w:left="709" w:hanging="709"/>
        <w:jc w:val="both"/>
        <w:rPr>
          <w:lang w:val="en-US"/>
        </w:rPr>
      </w:pPr>
      <w:r w:rsidRPr="00284A05">
        <w:rPr>
          <w:lang w:val="en-US"/>
        </w:rPr>
        <w:t>Aslam, F., Slim, S., Osman, M., &amp; Tabche, I. (2023). The footprints of Russia–Ukraine war on the intraday (in) efficiency of energy markets: a multifractal analysis. The Journal of Risk Finance, 24(1), 89-104.</w:t>
      </w:r>
    </w:p>
    <w:p w:rsidR="00940965" w:rsidRDefault="00940965" w:rsidP="001870CC">
      <w:pPr>
        <w:spacing w:after="0" w:line="240" w:lineRule="auto"/>
        <w:ind w:left="709" w:hanging="709"/>
        <w:jc w:val="both"/>
        <w:rPr>
          <w:lang w:val="en-US"/>
        </w:rPr>
      </w:pPr>
      <w:r w:rsidRPr="00256670">
        <w:rPr>
          <w:lang w:val="en-US"/>
        </w:rPr>
        <w:t>Attarzadeh, A., &amp; Balcilar, M. (2022). On the dynamic connectedness of the stock, oil, clean energy, and technology markets. Energies, 15(5), 1893.</w:t>
      </w:r>
    </w:p>
    <w:p w:rsidR="00940965" w:rsidRDefault="00940965" w:rsidP="001870CC">
      <w:pPr>
        <w:spacing w:after="0" w:line="240" w:lineRule="auto"/>
        <w:ind w:left="709" w:hanging="709"/>
        <w:jc w:val="both"/>
        <w:rPr>
          <w:lang w:val="en-US"/>
        </w:rPr>
      </w:pPr>
      <w:r w:rsidRPr="005F78C9">
        <w:rPr>
          <w:lang w:val="en-US"/>
        </w:rPr>
        <w:t>Bondia, R., Ghosh, S., &amp; Kanjilal, K. (2016). International crude oil prices and the stock prices of clean energy and technology companies: Evidence from non-linear cointegration tests with unknown structural breaks. Energy, 101, 558-565.</w:t>
      </w:r>
    </w:p>
    <w:p w:rsidR="00940965" w:rsidRDefault="00940965" w:rsidP="001870CC">
      <w:pPr>
        <w:spacing w:after="0" w:line="240" w:lineRule="auto"/>
        <w:ind w:left="709" w:hanging="709"/>
        <w:jc w:val="both"/>
        <w:rPr>
          <w:lang w:val="en-US"/>
        </w:rPr>
      </w:pPr>
      <w:r w:rsidRPr="0032282A">
        <w:rPr>
          <w:lang w:val="en-US"/>
        </w:rPr>
        <w:t>Bouoiyour, J., Gauthier, M., &amp; Bouri, E. (2023). Which is leading: Renewable or brown energy assets?. Energy Economics, 117, 106339.</w:t>
      </w:r>
    </w:p>
    <w:p w:rsidR="00940965" w:rsidRDefault="00940965" w:rsidP="001870CC">
      <w:pPr>
        <w:spacing w:after="0" w:line="240" w:lineRule="auto"/>
        <w:ind w:left="709" w:hanging="709"/>
        <w:jc w:val="both"/>
        <w:rPr>
          <w:lang w:val="en-US"/>
        </w:rPr>
      </w:pPr>
      <w:r w:rsidRPr="006B48FF">
        <w:rPr>
          <w:lang w:val="en-US"/>
        </w:rPr>
        <w:t>Broadstock, D. C., Cao, H., &amp; Zhang, D. (2012). Oil shocks and their impact on energy related stocks in China. Energy Economics, 34(6), 1888-1895.</w:t>
      </w:r>
    </w:p>
    <w:p w:rsidR="00940965" w:rsidRDefault="00940965" w:rsidP="001870CC">
      <w:pPr>
        <w:spacing w:after="0" w:line="240" w:lineRule="auto"/>
        <w:ind w:left="709" w:hanging="709"/>
        <w:jc w:val="both"/>
        <w:rPr>
          <w:lang w:val="en-US"/>
        </w:rPr>
      </w:pPr>
      <w:r w:rsidRPr="007622F9">
        <w:rPr>
          <w:lang w:val="en-US"/>
        </w:rPr>
        <w:t>Chen, S., Bouteska, A., Sharif, T., &amp; Abedin, M. Z. (2023). The Russia–Ukraine war and energy market volatility: A novel application of the volatility ratio in the context of natural gas. Resources Policy, 85, 103792.</w:t>
      </w:r>
    </w:p>
    <w:p w:rsidR="00940965" w:rsidRDefault="00940965" w:rsidP="001870CC">
      <w:pPr>
        <w:spacing w:after="0" w:line="240" w:lineRule="auto"/>
        <w:ind w:left="709" w:hanging="709"/>
        <w:jc w:val="both"/>
        <w:rPr>
          <w:lang w:val="en-US"/>
        </w:rPr>
      </w:pPr>
      <w:r w:rsidRPr="006263DA">
        <w:rPr>
          <w:lang w:val="en-US"/>
        </w:rPr>
        <w:t>Chishti, M. Z., Sinha, A., Zaman, U., &amp; Shahzad, U. (2023). Exploring the dynamic connectedness among energy transition and its drivers: understanding the moderating role of global geopolitical risk. Energy Economics, 119, 106570.</w:t>
      </w:r>
    </w:p>
    <w:p w:rsidR="00940965" w:rsidRPr="001870CC" w:rsidRDefault="00940965" w:rsidP="00EB0096">
      <w:pPr>
        <w:spacing w:after="0" w:line="240" w:lineRule="auto"/>
        <w:ind w:left="709" w:hanging="709"/>
        <w:jc w:val="both"/>
        <w:rPr>
          <w:lang w:val="en-US"/>
        </w:rPr>
      </w:pPr>
      <w:r w:rsidRPr="001870CC">
        <w:rPr>
          <w:lang w:val="en-US"/>
        </w:rPr>
        <w:t>Destek, M. A., &amp; Sinha, A. (2020). Renewable, non-renewable energy consumption, economic growth, trade openness and ecological footprint: Evidence from organisation for economic Co-operation and development countries. Journal of cleaner production, 242, 118537.</w:t>
      </w:r>
    </w:p>
    <w:p w:rsidR="00940965" w:rsidRDefault="00940965" w:rsidP="001870CC">
      <w:pPr>
        <w:spacing w:after="0" w:line="240" w:lineRule="auto"/>
        <w:ind w:left="709" w:hanging="709"/>
        <w:jc w:val="both"/>
        <w:rPr>
          <w:lang w:val="en-US"/>
        </w:rPr>
      </w:pPr>
      <w:r w:rsidRPr="00D74C59">
        <w:rPr>
          <w:lang w:val="en-US"/>
        </w:rPr>
        <w:t>Dutta, A., &amp; Dutta, P. (2022). Geopolitical risk and renewable energy asset prices: Implications for sustainable development. Renewable Energy, 196, 518-525.</w:t>
      </w:r>
    </w:p>
    <w:p w:rsidR="00940965" w:rsidRPr="001870CC" w:rsidRDefault="00940965" w:rsidP="00EB0096">
      <w:pPr>
        <w:spacing w:after="0" w:line="240" w:lineRule="auto"/>
        <w:ind w:left="709" w:hanging="709"/>
        <w:jc w:val="both"/>
        <w:rPr>
          <w:lang w:val="en-US"/>
        </w:rPr>
      </w:pPr>
      <w:r w:rsidRPr="001870CC">
        <w:rPr>
          <w:lang w:val="en-US"/>
        </w:rPr>
        <w:t>Fahmy, H. (2022). The rise in investors’ awareness of climate risks after the Paris Agreement and the clean energy-oil-technology prices nexus. Energy Economics, 106, 105738.</w:t>
      </w:r>
    </w:p>
    <w:p w:rsidR="00940965" w:rsidRDefault="00940965" w:rsidP="001870CC">
      <w:pPr>
        <w:spacing w:after="0" w:line="240" w:lineRule="auto"/>
        <w:ind w:left="709" w:hanging="709"/>
        <w:jc w:val="both"/>
        <w:rPr>
          <w:lang w:val="en-US"/>
        </w:rPr>
      </w:pPr>
      <w:r w:rsidRPr="00826279">
        <w:rPr>
          <w:lang w:val="en-US"/>
        </w:rPr>
        <w:t>Fang, Y., &amp; Shao, Z. (2022). The Russia-Ukraine conflict and volatility risk of commodity markets. Finance Research Letters, 50, 103264.</w:t>
      </w:r>
    </w:p>
    <w:p w:rsidR="00940965" w:rsidRPr="001870CC" w:rsidRDefault="00940965" w:rsidP="00EB0096">
      <w:pPr>
        <w:spacing w:after="0" w:line="240" w:lineRule="auto"/>
        <w:ind w:left="709" w:hanging="709"/>
        <w:jc w:val="both"/>
        <w:rPr>
          <w:lang w:val="en-US"/>
        </w:rPr>
      </w:pPr>
      <w:r w:rsidRPr="001870CC">
        <w:rPr>
          <w:lang w:val="en-US"/>
        </w:rPr>
        <w:t>Farid, S., Karim, S., Naeem, M. A., Nepal, R., &amp; Jamasb, T. (2023). Co-movement between dirty and clean energy: A time-frequency perspective. Energy Economics, 119, 106565.</w:t>
      </w:r>
    </w:p>
    <w:p w:rsidR="00940965" w:rsidRDefault="00940965" w:rsidP="001870CC">
      <w:pPr>
        <w:spacing w:after="0" w:line="240" w:lineRule="auto"/>
        <w:ind w:left="709" w:hanging="709"/>
        <w:jc w:val="both"/>
        <w:rPr>
          <w:lang w:val="en-US"/>
        </w:rPr>
      </w:pPr>
      <w:r w:rsidRPr="00075BAC">
        <w:rPr>
          <w:lang w:val="en-US"/>
        </w:rPr>
        <w:t>Ferrer, R., Shahzad, S. J. H., López, R., &amp; Jareño, F. (2018). Time and frequency dynamics of connectedness between renewable energy stocks and crude oil prices. Energy Economics, 76, 1-20.</w:t>
      </w:r>
    </w:p>
    <w:p w:rsidR="00940965" w:rsidRDefault="00940965" w:rsidP="001870CC">
      <w:pPr>
        <w:spacing w:after="0" w:line="240" w:lineRule="auto"/>
        <w:ind w:left="709" w:hanging="709"/>
        <w:jc w:val="both"/>
        <w:rPr>
          <w:lang w:val="en-US"/>
        </w:rPr>
      </w:pPr>
      <w:r w:rsidRPr="002360F6">
        <w:rPr>
          <w:lang w:val="en-US"/>
        </w:rPr>
        <w:t xml:space="preserve">Flouros, F., Pistikou, V., &amp; Plakandaras, V. (2022). </w:t>
      </w:r>
      <w:r w:rsidRPr="008943D9">
        <w:rPr>
          <w:lang w:val="en-US"/>
        </w:rPr>
        <w:t>Geopolitical risk as a determinant of renewable energy investments. Energies, 15(4), 1498.</w:t>
      </w:r>
    </w:p>
    <w:p w:rsidR="00940965" w:rsidRDefault="00940965" w:rsidP="001870CC">
      <w:pPr>
        <w:spacing w:after="0" w:line="240" w:lineRule="auto"/>
        <w:ind w:left="709" w:hanging="709"/>
        <w:jc w:val="both"/>
        <w:rPr>
          <w:lang w:val="en-US"/>
        </w:rPr>
      </w:pPr>
      <w:r w:rsidRPr="00F96C53">
        <w:rPr>
          <w:lang w:val="en-US"/>
        </w:rPr>
        <w:t>Ghosh, S. (2022). COVID-19, clean energy stock market, interest rate, oil prices, volatility index, geopolitical risk nexus: evidence from quantile regression. Journal of Economics and Development, 24(4), 329-344.</w:t>
      </w:r>
    </w:p>
    <w:p w:rsidR="00940965" w:rsidRPr="001870CC" w:rsidRDefault="00940965" w:rsidP="00EB0096">
      <w:pPr>
        <w:spacing w:after="0" w:line="240" w:lineRule="auto"/>
        <w:ind w:left="709" w:hanging="709"/>
        <w:jc w:val="both"/>
        <w:rPr>
          <w:lang w:val="en-US"/>
        </w:rPr>
      </w:pPr>
      <w:r w:rsidRPr="001870CC">
        <w:rPr>
          <w:lang w:val="en-US"/>
        </w:rPr>
        <w:t>Henriques, I., &amp; Sadorsky, P. (2008). Oil prices and the stock prices of alternative energy companies. Energy Economics, 30(3), 998-1010.</w:t>
      </w:r>
    </w:p>
    <w:p w:rsidR="00940965" w:rsidRDefault="00940965" w:rsidP="001870CC">
      <w:pPr>
        <w:spacing w:after="0" w:line="240" w:lineRule="auto"/>
        <w:ind w:left="709" w:hanging="709"/>
        <w:jc w:val="both"/>
        <w:rPr>
          <w:lang w:val="en-US"/>
        </w:rPr>
      </w:pPr>
      <w:r w:rsidRPr="007622F9">
        <w:rPr>
          <w:lang w:val="en-US"/>
        </w:rPr>
        <w:t>Inacio Jr, C. M. C., Kristoufek, L., &amp; David, S. A. (2023). Assessing the impact of the Russia–Ukraine war on energy prices: A dynamic cross-correlation analysis. Physica A: Statistical Mechanics and its Applications, 129084.</w:t>
      </w:r>
    </w:p>
    <w:p w:rsidR="00940965" w:rsidRDefault="00940965" w:rsidP="001870CC">
      <w:pPr>
        <w:spacing w:after="0" w:line="240" w:lineRule="auto"/>
        <w:ind w:left="709" w:hanging="709"/>
        <w:jc w:val="both"/>
        <w:rPr>
          <w:lang w:val="en-US"/>
        </w:rPr>
      </w:pPr>
      <w:r w:rsidRPr="006263DA">
        <w:rPr>
          <w:lang w:val="en-US"/>
        </w:rPr>
        <w:t>Jin, Y., Zhao, H., Bu, L., &amp; Zhang, D. (2023). Geopolitical risk, climate risk and energy markets: A dynamic spillover analysis. International Review of Financial Analysis, 87, 102597.</w:t>
      </w:r>
    </w:p>
    <w:p w:rsidR="00940965" w:rsidRDefault="00940965" w:rsidP="001870CC">
      <w:pPr>
        <w:spacing w:after="0" w:line="240" w:lineRule="auto"/>
        <w:ind w:left="709" w:hanging="709"/>
        <w:jc w:val="both"/>
        <w:rPr>
          <w:rtl/>
          <w:lang w:val="en-US"/>
        </w:rPr>
      </w:pPr>
      <w:r w:rsidRPr="007B5FB5">
        <w:rPr>
          <w:lang w:val="en-US"/>
        </w:rPr>
        <w:lastRenderedPageBreak/>
        <w:t>Jones, C. M., &amp; Kaul, G. (1996). Oil and the stock markets. The journal of Finance, 51(2), 463-491.</w:t>
      </w:r>
    </w:p>
    <w:p w:rsidR="00940965" w:rsidRDefault="00940965" w:rsidP="001870CC">
      <w:pPr>
        <w:spacing w:after="0" w:line="240" w:lineRule="auto"/>
        <w:ind w:left="709" w:hanging="709"/>
        <w:jc w:val="both"/>
        <w:rPr>
          <w:rtl/>
          <w:lang w:val="en-US"/>
        </w:rPr>
      </w:pPr>
      <w:bookmarkStart w:id="9" w:name="_Hlk143197211"/>
      <w:bookmarkEnd w:id="8"/>
      <w:r w:rsidRPr="00983694">
        <w:rPr>
          <w:lang w:val="en-US"/>
        </w:rPr>
        <w:t>Kang, W., Ratti, R. A., &amp; Yoon, K. H. (2015). The impact of oil price shocks on the stock market return and volatility relationship. Journal of International Financial Markets, Institutions and Money, 34, 41-54.</w:t>
      </w:r>
    </w:p>
    <w:bookmarkEnd w:id="9"/>
    <w:p w:rsidR="00940965" w:rsidRDefault="00940965" w:rsidP="001870CC">
      <w:pPr>
        <w:spacing w:after="0" w:line="240" w:lineRule="auto"/>
        <w:ind w:left="709" w:hanging="709"/>
        <w:jc w:val="both"/>
        <w:rPr>
          <w:lang w:val="en-US"/>
        </w:rPr>
      </w:pPr>
      <w:r w:rsidRPr="00614A5F">
        <w:rPr>
          <w:lang w:val="en-US"/>
        </w:rPr>
        <w:t>Karkowska, R., &amp; Urjasz, S. (2023). How does the Russian-Ukrainian war change connectedness and hedging opportunities? Comparison between dirty and clean energy markets versus global stock indices. Journal of International Financial Markets, Institutions and Money, 85, 101768.</w:t>
      </w:r>
    </w:p>
    <w:p w:rsidR="00940965" w:rsidRDefault="00940965" w:rsidP="001870CC">
      <w:pPr>
        <w:spacing w:after="0" w:line="240" w:lineRule="auto"/>
        <w:ind w:left="709" w:hanging="709"/>
        <w:jc w:val="both"/>
        <w:rPr>
          <w:lang w:val="en-US"/>
        </w:rPr>
      </w:pPr>
      <w:bookmarkStart w:id="10" w:name="_Hlk143197168"/>
      <w:r w:rsidRPr="001E6A99">
        <w:rPr>
          <w:lang w:val="en-US"/>
        </w:rPr>
        <w:t>Kilian, L., &amp; Park, C. (2009). The impact of oil price shocks on the US stock market. International economic review, 50(4), 1267-1287.</w:t>
      </w:r>
    </w:p>
    <w:bookmarkEnd w:id="10"/>
    <w:p w:rsidR="00940965" w:rsidRPr="001870CC" w:rsidRDefault="00940965" w:rsidP="00EB0096">
      <w:pPr>
        <w:spacing w:after="0" w:line="240" w:lineRule="auto"/>
        <w:ind w:left="709" w:hanging="709"/>
        <w:jc w:val="both"/>
        <w:rPr>
          <w:lang w:val="en-US"/>
        </w:rPr>
      </w:pPr>
      <w:r w:rsidRPr="001870CC">
        <w:rPr>
          <w:lang w:val="en-US"/>
        </w:rPr>
        <w:t>Kocaarslan, B., &amp; Soytas, U. (2019). Asymmetric pass-through between oil prices and the stock prices of clean energy firms: New evidence from a nonlinear analysis. Energy Reports, 5, 117-125.</w:t>
      </w:r>
    </w:p>
    <w:p w:rsidR="00940965" w:rsidRDefault="00940965" w:rsidP="001870CC">
      <w:pPr>
        <w:spacing w:after="0" w:line="240" w:lineRule="auto"/>
        <w:ind w:left="709" w:hanging="709"/>
        <w:jc w:val="both"/>
        <w:rPr>
          <w:lang w:val="en-US"/>
        </w:rPr>
      </w:pPr>
      <w:r w:rsidRPr="009A6432">
        <w:rPr>
          <w:lang w:val="en-US"/>
        </w:rPr>
        <w:t>Kocaarslan, B., &amp; Soytas, U. (2019). Dynamic correlations between oil prices and the stock prices of clean energy and technology firms: The role of reserve currency (US dollar). Energy Economics, 84, 104502.</w:t>
      </w:r>
    </w:p>
    <w:p w:rsidR="00940965" w:rsidRDefault="00940965" w:rsidP="001870CC">
      <w:pPr>
        <w:spacing w:after="0" w:line="240" w:lineRule="auto"/>
        <w:ind w:left="709" w:hanging="709"/>
        <w:jc w:val="both"/>
        <w:rPr>
          <w:lang w:val="en-US"/>
        </w:rPr>
      </w:pPr>
      <w:bookmarkStart w:id="11" w:name="_Hlk143197322"/>
      <w:r w:rsidRPr="00983694">
        <w:rPr>
          <w:lang w:val="en-US"/>
        </w:rPr>
        <w:t>Kocaarslan, B., Sari, R., Gormus, A., &amp; Soytas, U. (2017). Dynamic correlations between BRIC and US stock markets: The asymmetric impact of volatility expectations in oil, gold and financial markets. Journal of Commodity Markets, 7, 41-56.</w:t>
      </w:r>
    </w:p>
    <w:p w:rsidR="00940965" w:rsidRDefault="00940965" w:rsidP="001870CC">
      <w:pPr>
        <w:spacing w:after="0" w:line="240" w:lineRule="auto"/>
        <w:ind w:left="709" w:hanging="709"/>
        <w:jc w:val="both"/>
        <w:rPr>
          <w:lang w:val="en-US"/>
        </w:rPr>
      </w:pPr>
      <w:bookmarkStart w:id="12" w:name="_Hlk143197431"/>
      <w:bookmarkEnd w:id="11"/>
      <w:r w:rsidRPr="002360F6">
        <w:rPr>
          <w:lang w:val="en-US"/>
        </w:rPr>
        <w:t xml:space="preserve">Kumar, S., Managi, S., &amp; Matsuda, A. (2012). </w:t>
      </w:r>
      <w:r w:rsidRPr="007555CC">
        <w:rPr>
          <w:lang w:val="en-US"/>
        </w:rPr>
        <w:t>Stock prices of clean energy firms, oil and carbon markets: A vector autoregressive analysis. Energy Economics, 34(1), 215-226.</w:t>
      </w:r>
    </w:p>
    <w:bookmarkEnd w:id="12"/>
    <w:p w:rsidR="00940965" w:rsidRDefault="00940965" w:rsidP="001870CC">
      <w:pPr>
        <w:spacing w:after="0" w:line="240" w:lineRule="auto"/>
        <w:ind w:left="709" w:hanging="709"/>
        <w:jc w:val="both"/>
        <w:rPr>
          <w:lang w:val="en-US"/>
        </w:rPr>
      </w:pPr>
      <w:r w:rsidRPr="00F73658">
        <w:rPr>
          <w:lang w:val="en-US"/>
        </w:rPr>
        <w:t>Liao, S. (2023). The Russia–Ukraine outbreak and the value of renewable energy. Economics Letters, 225, 111045.</w:t>
      </w:r>
    </w:p>
    <w:p w:rsidR="00940965" w:rsidRDefault="00940965" w:rsidP="001870CC">
      <w:pPr>
        <w:spacing w:after="0" w:line="240" w:lineRule="auto"/>
        <w:ind w:left="709" w:hanging="709"/>
        <w:jc w:val="both"/>
        <w:rPr>
          <w:lang w:val="en-US"/>
        </w:rPr>
      </w:pPr>
      <w:r w:rsidRPr="006854AD">
        <w:rPr>
          <w:lang w:val="en-US"/>
        </w:rPr>
        <w:t>Lin, Z., Alvarez‐Otero, S., Belgacem, S. B., &amp; Fu, Q. (2022). Role of sustainable finance, geopolitical risk and economic growth in renewable energy investment: Empirical evidence from China. Geological Journal.</w:t>
      </w:r>
    </w:p>
    <w:p w:rsidR="00940965" w:rsidRDefault="00940965" w:rsidP="001870CC">
      <w:pPr>
        <w:spacing w:after="0" w:line="240" w:lineRule="auto"/>
        <w:ind w:left="709" w:hanging="709"/>
        <w:jc w:val="both"/>
        <w:rPr>
          <w:lang w:val="en-US"/>
        </w:rPr>
      </w:pPr>
      <w:r w:rsidRPr="00BB39B3">
        <w:rPr>
          <w:lang w:val="en-US"/>
        </w:rPr>
        <w:t>Maghyereh, A. I., Awartani, B., &amp; Abdoh, H. (2019). The co-movement between oil and clean energy stocks: A wavelet-based analysis of horizon associations. Energy, 169, 895-913.</w:t>
      </w:r>
    </w:p>
    <w:p w:rsidR="00940965" w:rsidRDefault="00940965" w:rsidP="001870CC">
      <w:pPr>
        <w:spacing w:after="0" w:line="240" w:lineRule="auto"/>
        <w:ind w:left="709" w:hanging="709"/>
        <w:jc w:val="both"/>
        <w:rPr>
          <w:lang w:val="en-US"/>
        </w:rPr>
      </w:pPr>
      <w:r w:rsidRPr="00E30559">
        <w:rPr>
          <w:lang w:val="en-US"/>
        </w:rPr>
        <w:t>Managi, S., &amp; Okimoto, T. (2013). Does the price of oil interact with clean energy prices in the stock market?. Japan and the world economy, 27, 1-9.</w:t>
      </w:r>
    </w:p>
    <w:p w:rsidR="00940965" w:rsidRDefault="00940965" w:rsidP="001870CC">
      <w:pPr>
        <w:spacing w:after="0" w:line="240" w:lineRule="auto"/>
        <w:ind w:left="709" w:hanging="709"/>
        <w:jc w:val="both"/>
        <w:rPr>
          <w:lang w:val="en-US"/>
        </w:rPr>
      </w:pPr>
      <w:r w:rsidRPr="001F6BEE">
        <w:rPr>
          <w:lang w:val="en-US"/>
        </w:rPr>
        <w:t>Mohammed, K. S., Usman, M., Ahmad, P., &amp; Bulgamaa, U. (2023). Do all renewable energy stocks react to the war in Ukraine? Russo-Ukrainian conflict perspective. Environmental Science and Pollution Research, 30(13), 36782-36793.</w:t>
      </w:r>
    </w:p>
    <w:p w:rsidR="00940965" w:rsidRPr="001870CC" w:rsidRDefault="00940965" w:rsidP="00EB0096">
      <w:pPr>
        <w:spacing w:after="0" w:line="240" w:lineRule="auto"/>
        <w:ind w:left="709" w:hanging="709"/>
        <w:jc w:val="both"/>
        <w:rPr>
          <w:lang w:val="en-US"/>
        </w:rPr>
      </w:pPr>
      <w:r w:rsidRPr="001870CC">
        <w:rPr>
          <w:lang w:val="en-US"/>
        </w:rPr>
        <w:t>Naeem, M. A., Peng, Z., Suleman, M. T., Nepal, R., &amp; Shahzad, S. J. H. (2020). Time and frequency connectedness among oil shocks, electricity and clean energy markets. Energy Economics, 91, 104914</w:t>
      </w:r>
    </w:p>
    <w:p w:rsidR="00940965" w:rsidRPr="001870CC" w:rsidRDefault="00940965" w:rsidP="00EB0096">
      <w:pPr>
        <w:spacing w:after="0" w:line="240" w:lineRule="auto"/>
        <w:ind w:left="709" w:hanging="709"/>
        <w:jc w:val="both"/>
        <w:rPr>
          <w:lang w:val="en-US"/>
        </w:rPr>
      </w:pPr>
      <w:r w:rsidRPr="001870CC">
        <w:rPr>
          <w:lang w:val="en-US"/>
        </w:rPr>
        <w:t>Nasreen, S., Tiwari, A. K., Eizaguirre, J. C., &amp; Wohar, M. E. (2020). Dynamic connectedness between oil prices and stock returns of clean energy and technology companies. Journal of Cleaner Production, 260, 121015.</w:t>
      </w:r>
    </w:p>
    <w:p w:rsidR="00940965" w:rsidRDefault="00940965" w:rsidP="001870CC">
      <w:pPr>
        <w:spacing w:after="0" w:line="240" w:lineRule="auto"/>
        <w:ind w:left="709" w:hanging="709"/>
        <w:jc w:val="both"/>
        <w:rPr>
          <w:lang w:val="en-US"/>
        </w:rPr>
      </w:pPr>
      <w:r w:rsidRPr="00906608">
        <w:rPr>
          <w:lang w:val="en-US"/>
        </w:rPr>
        <w:t>Nerlinger, M., &amp; Utz, S. (2022). The impact of the Russia-Ukraine conflict on energy firms: A capital market perspective. Finance Research Letters, 50, 103243.</w:t>
      </w:r>
    </w:p>
    <w:p w:rsidR="00940965" w:rsidRDefault="00940965" w:rsidP="001870CC">
      <w:pPr>
        <w:spacing w:after="0" w:line="240" w:lineRule="auto"/>
        <w:ind w:left="709" w:hanging="709"/>
        <w:jc w:val="both"/>
        <w:rPr>
          <w:lang w:val="en-US"/>
        </w:rPr>
      </w:pPr>
      <w:r w:rsidRPr="006B48FF">
        <w:rPr>
          <w:lang w:val="en-US"/>
        </w:rPr>
        <w:t>Oliyide, J. A., Adekoya, O. B., &amp; Khan, M. A. (2021). Economic policy uncertainty and the volatility connectedness between oil shocks and metal market: an extension. International Economics, 167, 136-150.</w:t>
      </w:r>
    </w:p>
    <w:p w:rsidR="00940965" w:rsidRDefault="00940965" w:rsidP="001870CC">
      <w:pPr>
        <w:spacing w:after="0" w:line="240" w:lineRule="auto"/>
        <w:ind w:left="709" w:hanging="709"/>
        <w:jc w:val="both"/>
        <w:rPr>
          <w:lang w:val="en-US"/>
        </w:rPr>
      </w:pPr>
      <w:r w:rsidRPr="000968D9">
        <w:rPr>
          <w:lang w:val="en-US"/>
        </w:rPr>
        <w:t>Orhan, E. (2022). The effects of the Russia-Ukraine war on global trade. Journal of International Trade, Logistics and Law, 8(1), 141-146.</w:t>
      </w:r>
    </w:p>
    <w:p w:rsidR="00940965" w:rsidRDefault="00940965" w:rsidP="001870CC">
      <w:pPr>
        <w:spacing w:after="0" w:line="240" w:lineRule="auto"/>
        <w:ind w:left="709" w:hanging="709"/>
        <w:jc w:val="both"/>
        <w:rPr>
          <w:lang w:val="en-US"/>
        </w:rPr>
      </w:pPr>
      <w:bookmarkStart w:id="13" w:name="_Hlk141380805"/>
      <w:r w:rsidRPr="00DE47AF">
        <w:rPr>
          <w:lang w:val="en-US"/>
        </w:rPr>
        <w:t>Ozili, P. K., &amp; Arun</w:t>
      </w:r>
      <w:bookmarkEnd w:id="13"/>
      <w:r w:rsidRPr="00DE47AF">
        <w:rPr>
          <w:lang w:val="en-US"/>
        </w:rPr>
        <w:t>, T. (2023). Spillover of COVID-19: impact on the Global Economy. In Managing Inflation and Supply Chain Disruptions in the Global Economy (pp. 41-61). IGI Global</w:t>
      </w:r>
    </w:p>
    <w:p w:rsidR="00940965" w:rsidRPr="001870CC" w:rsidRDefault="00940965" w:rsidP="00EB0096">
      <w:pPr>
        <w:spacing w:after="0" w:line="240" w:lineRule="auto"/>
        <w:ind w:left="709" w:hanging="709"/>
        <w:jc w:val="both"/>
        <w:rPr>
          <w:lang w:val="en-US"/>
        </w:rPr>
      </w:pPr>
      <w:r w:rsidRPr="001870CC">
        <w:rPr>
          <w:lang w:val="en-US"/>
        </w:rPr>
        <w:t>Pao, H. T., &amp; Fu, H. C. (2013). Renewable energy, non-renewable energy and economic growth in Brazil. Renewable and Sustainable Energy Reviews, 25, 381-392.</w:t>
      </w:r>
    </w:p>
    <w:p w:rsidR="00940965" w:rsidRDefault="00940965" w:rsidP="001870CC">
      <w:pPr>
        <w:spacing w:after="0" w:line="240" w:lineRule="auto"/>
        <w:ind w:left="709" w:hanging="709"/>
        <w:jc w:val="both"/>
        <w:rPr>
          <w:lang w:val="en-US"/>
        </w:rPr>
      </w:pPr>
      <w:r w:rsidRPr="001E6A99">
        <w:rPr>
          <w:lang w:val="en-US"/>
        </w:rPr>
        <w:t>Park, J., &amp; Ratti, R. A. (2008). Oil price shocks and stock markets in the US and 13 European countries. Energy economics, 30(5), 2587-2608.</w:t>
      </w:r>
    </w:p>
    <w:p w:rsidR="00940965" w:rsidRPr="002360F6" w:rsidRDefault="00940965" w:rsidP="001870CC">
      <w:pPr>
        <w:spacing w:after="0" w:line="240" w:lineRule="auto"/>
        <w:ind w:left="709" w:hanging="709"/>
        <w:jc w:val="both"/>
      </w:pPr>
      <w:r w:rsidRPr="001870CC">
        <w:rPr>
          <w:lang w:val="en-US"/>
        </w:rPr>
        <w:t xml:space="preserve">Pham, L. (2019). Do all clean energy stocks respond homogeneously to oil price?. </w:t>
      </w:r>
      <w:r w:rsidRPr="002360F6">
        <w:t>Energy Economics, 81, 355-379.</w:t>
      </w:r>
    </w:p>
    <w:p w:rsidR="00940965" w:rsidRPr="001870CC" w:rsidRDefault="00940965" w:rsidP="00EB0096">
      <w:pPr>
        <w:spacing w:after="0" w:line="240" w:lineRule="auto"/>
        <w:ind w:left="709" w:hanging="709"/>
        <w:jc w:val="both"/>
        <w:rPr>
          <w:lang w:val="en-US"/>
        </w:rPr>
      </w:pPr>
      <w:r w:rsidRPr="00940965">
        <w:lastRenderedPageBreak/>
        <w:t xml:space="preserve">Qadir, S. A., Al-Motairi, H., Tahir, F., &amp; Al-Fagih, L. (2021). </w:t>
      </w:r>
      <w:r w:rsidRPr="001870CC">
        <w:rPr>
          <w:lang w:val="en-US"/>
        </w:rPr>
        <w:t>Incentives and strategies for financing the renewable energy transition: A review. Energy Reports, 7, 3590-3606.</w:t>
      </w:r>
    </w:p>
    <w:p w:rsidR="00940965" w:rsidRDefault="00940965" w:rsidP="001870CC">
      <w:pPr>
        <w:spacing w:after="0" w:line="240" w:lineRule="auto"/>
        <w:ind w:left="709" w:hanging="709"/>
        <w:jc w:val="both"/>
        <w:rPr>
          <w:lang w:val="en-US"/>
        </w:rPr>
      </w:pPr>
      <w:r w:rsidRPr="00143ACB">
        <w:rPr>
          <w:lang w:val="en-US"/>
        </w:rPr>
        <w:t>Qin, Y., Hong, K., Chen, J., &amp; Zhang, Z. (2020). Asymmetric effects of geopolitical risks on energy returns and volatility under different market conditions. Energy Economics, 90, 104851.</w:t>
      </w:r>
    </w:p>
    <w:p w:rsidR="00940965" w:rsidRPr="001870CC" w:rsidRDefault="00940965" w:rsidP="00EB0096">
      <w:pPr>
        <w:spacing w:after="0" w:line="240" w:lineRule="auto"/>
        <w:ind w:left="709" w:hanging="709"/>
        <w:jc w:val="both"/>
        <w:rPr>
          <w:lang w:val="en-US"/>
        </w:rPr>
      </w:pPr>
      <w:r w:rsidRPr="001870CC">
        <w:rPr>
          <w:lang w:val="en-US"/>
        </w:rPr>
        <w:t>Rahman, M. M., &amp; Velayutham, E. (2020). Renewable and non-renewable energy consumption-economic growth nexus: new evidence from South Asia. Renewable Energy, 147, 399-408.</w:t>
      </w:r>
    </w:p>
    <w:p w:rsidR="00940965" w:rsidRPr="001870CC" w:rsidRDefault="00940965" w:rsidP="00EB0096">
      <w:pPr>
        <w:spacing w:after="0" w:line="240" w:lineRule="auto"/>
        <w:ind w:left="709" w:hanging="709"/>
        <w:jc w:val="both"/>
        <w:rPr>
          <w:lang w:val="en-US"/>
        </w:rPr>
      </w:pPr>
      <w:r w:rsidRPr="001870CC">
        <w:rPr>
          <w:lang w:val="en-US"/>
        </w:rPr>
        <w:t>Reboredo, J. C. (2015). Is there dependence and systemic risk between oil and renewable energy stock prices?. Energy Economics, 48, 32-45.</w:t>
      </w:r>
    </w:p>
    <w:p w:rsidR="00940965" w:rsidRDefault="00940965" w:rsidP="001870CC">
      <w:pPr>
        <w:spacing w:after="0" w:line="240" w:lineRule="auto"/>
        <w:ind w:left="709" w:hanging="709"/>
        <w:jc w:val="both"/>
        <w:rPr>
          <w:lang w:val="en-US"/>
        </w:rPr>
      </w:pPr>
      <w:r w:rsidRPr="00AD0A42">
        <w:rPr>
          <w:lang w:val="en-US"/>
        </w:rPr>
        <w:t>Reboredo, J. C., Rivera-Castro, M. A., &amp; Ugolini, A. (2017). Wavelet-based test of co-movement and causality between oil and renewable energy stock prices. Energy Economics, 61, 241-252.</w:t>
      </w:r>
    </w:p>
    <w:p w:rsidR="00940965" w:rsidRDefault="00940965" w:rsidP="00EB0096">
      <w:pPr>
        <w:spacing w:after="0" w:line="240" w:lineRule="auto"/>
        <w:ind w:left="709" w:hanging="709"/>
        <w:jc w:val="both"/>
        <w:rPr>
          <w:lang w:val="en-US"/>
        </w:rPr>
      </w:pPr>
      <w:r w:rsidRPr="001870CC">
        <w:rPr>
          <w:lang w:val="en-US"/>
        </w:rPr>
        <w:t>Sayigh, A. (2020). Solar and wind energy will supply more than 50% of world electricity by 2030. In Green Buildings and Renewable Energy: Med Green Forum 2019-Part of World Renewable Energy Congress and Network (pp. 385-399). Springer International Publishing.</w:t>
      </w:r>
    </w:p>
    <w:p w:rsidR="00C57438" w:rsidRPr="001870CC" w:rsidRDefault="00C57438" w:rsidP="00EB0096">
      <w:pPr>
        <w:spacing w:after="0" w:line="240" w:lineRule="auto"/>
        <w:ind w:left="709" w:hanging="709"/>
        <w:jc w:val="both"/>
        <w:rPr>
          <w:lang w:val="en-US"/>
        </w:rPr>
      </w:pPr>
      <w:r w:rsidRPr="00C57438">
        <w:rPr>
          <w:lang w:val="en-US"/>
        </w:rPr>
        <w:t>Sung, H. (2023). Causal impacts of the COVID-19 pandemic on daily ridership of public bicycle sharing in Seoul. Sustainable cities and society, 89, 104344.</w:t>
      </w:r>
    </w:p>
    <w:p w:rsidR="00940965" w:rsidRDefault="00940965" w:rsidP="001870CC">
      <w:pPr>
        <w:spacing w:after="0" w:line="240" w:lineRule="auto"/>
        <w:ind w:left="709" w:hanging="709"/>
        <w:jc w:val="both"/>
        <w:rPr>
          <w:lang w:val="en-US"/>
        </w:rPr>
      </w:pPr>
      <w:r w:rsidRPr="00F07739">
        <w:rPr>
          <w:lang w:val="en-US"/>
        </w:rPr>
        <w:t>Sweidan, O. D. (2021). The geopolitical risk effect on the US renewable energy deployment. Journal of Cleaner Production, 293, 126189.</w:t>
      </w:r>
    </w:p>
    <w:p w:rsidR="00940965" w:rsidRPr="001870CC" w:rsidRDefault="00940965" w:rsidP="00EB0096">
      <w:pPr>
        <w:spacing w:after="0" w:line="240" w:lineRule="auto"/>
        <w:ind w:left="709" w:hanging="709"/>
        <w:jc w:val="both"/>
        <w:rPr>
          <w:lang w:val="en-US"/>
        </w:rPr>
      </w:pPr>
      <w:r w:rsidRPr="001870CC">
        <w:rPr>
          <w:lang w:val="en-US"/>
        </w:rPr>
        <w:t>Umar, M., Farid, S., &amp; Naeem, M. A. (2022). Time-frequency connectedness among clean-energy stocks and fossil fuel markets: Comparison between financial, oil and pandemic crisis. Energy, 240, 122702.</w:t>
      </w:r>
    </w:p>
    <w:p w:rsidR="00940965" w:rsidRPr="001870CC" w:rsidRDefault="00940965" w:rsidP="00EB0096">
      <w:pPr>
        <w:spacing w:after="0" w:line="240" w:lineRule="auto"/>
        <w:ind w:left="709" w:hanging="709"/>
        <w:jc w:val="both"/>
        <w:rPr>
          <w:lang w:val="en-US"/>
        </w:rPr>
      </w:pPr>
      <w:r w:rsidRPr="001870CC">
        <w:rPr>
          <w:lang w:val="en-US"/>
        </w:rPr>
        <w:t>Xia, T., Ji, Q., Zhang, D., &amp; Han, J. (2019). Asymmetric and extreme influence of energy price changes on renewable energy stock performance. Journal of Cleaner Production, 241, 118338.</w:t>
      </w:r>
    </w:p>
    <w:p w:rsidR="00940965" w:rsidRDefault="00940965" w:rsidP="00EB0096">
      <w:pPr>
        <w:spacing w:after="0" w:line="240" w:lineRule="auto"/>
        <w:ind w:left="709" w:hanging="709"/>
        <w:jc w:val="both"/>
        <w:rPr>
          <w:lang w:val="en-US"/>
        </w:rPr>
      </w:pPr>
      <w:r w:rsidRPr="001870CC">
        <w:rPr>
          <w:lang w:val="en-US"/>
        </w:rPr>
        <w:t>Yahya, M., Kanjilal, K., Dutta, A., Uddin, G. S., &amp; Ghosh, S. (2021). Can clean energy stock price rule oil price? New evidences from a regime-switching model at first and second moments. Energy Economics, 95, 105116.</w:t>
      </w:r>
    </w:p>
    <w:p w:rsidR="00940965" w:rsidRDefault="00940965" w:rsidP="001870CC">
      <w:pPr>
        <w:spacing w:after="0" w:line="240" w:lineRule="auto"/>
        <w:ind w:left="709" w:hanging="709"/>
        <w:jc w:val="both"/>
        <w:rPr>
          <w:lang w:val="en-US"/>
        </w:rPr>
      </w:pPr>
      <w:r w:rsidRPr="00F07739">
        <w:rPr>
          <w:lang w:val="en-US"/>
        </w:rPr>
        <w:t>Yang, K., Wei, Y., Li, S., &amp; He, J. (2021). Geopolitical risk and renewable energy stock markets: An insight from multiscale dynamic risk spillover. Journal of Cleaner Production, 279, 123429.</w:t>
      </w:r>
    </w:p>
    <w:p w:rsidR="00940965" w:rsidRDefault="00940965" w:rsidP="001870CC">
      <w:pPr>
        <w:spacing w:after="0" w:line="240" w:lineRule="auto"/>
        <w:ind w:left="709" w:hanging="709"/>
        <w:jc w:val="both"/>
        <w:rPr>
          <w:lang w:val="en-US"/>
        </w:rPr>
      </w:pPr>
      <w:r w:rsidRPr="00626AB9">
        <w:rPr>
          <w:lang w:val="en-US"/>
        </w:rPr>
        <w:t>Zhang, S., Shinwari, R., &amp; Zhao, S. (2023). Energy transition, geopolitical risk, and natural resources extraction: A novel perspective of energy transition and resources extraction. Resources Policy, 83, 103608.</w:t>
      </w:r>
    </w:p>
    <w:p w:rsidR="00940965" w:rsidRDefault="00940965" w:rsidP="001870CC">
      <w:pPr>
        <w:spacing w:after="0" w:line="240" w:lineRule="auto"/>
        <w:ind w:left="709" w:hanging="709"/>
        <w:jc w:val="both"/>
        <w:rPr>
          <w:lang w:val="en-US"/>
        </w:rPr>
      </w:pPr>
      <w:r w:rsidRPr="00F96C53">
        <w:rPr>
          <w:lang w:val="en-US"/>
        </w:rPr>
        <w:t>Zhao, Z., Gozgor, G., Lau, M. C. K., Mahalik, M. K., Patel, G., &amp; Khalfaoui, R. (2023). The impact of geopolitical risks on renewable energy demand in OECD countries. Energy Economics, 122, 106700.</w:t>
      </w:r>
    </w:p>
    <w:p w:rsidR="00614A5F" w:rsidRDefault="00614A5F" w:rsidP="001870CC">
      <w:pPr>
        <w:spacing w:after="0" w:line="240" w:lineRule="auto"/>
        <w:ind w:left="709" w:hanging="709"/>
        <w:jc w:val="both"/>
        <w:rPr>
          <w:lang w:val="en-US"/>
        </w:rPr>
      </w:pPr>
    </w:p>
    <w:p w:rsidR="001F6BEE" w:rsidRDefault="001F6BEE" w:rsidP="001870CC">
      <w:pPr>
        <w:spacing w:after="0" w:line="240" w:lineRule="auto"/>
        <w:ind w:left="709" w:hanging="709"/>
        <w:jc w:val="both"/>
        <w:rPr>
          <w:lang w:val="en-US"/>
        </w:rPr>
      </w:pPr>
    </w:p>
    <w:p w:rsidR="00F73658" w:rsidRDefault="00F73658" w:rsidP="001870CC">
      <w:pPr>
        <w:spacing w:after="0" w:line="240" w:lineRule="auto"/>
        <w:ind w:left="709" w:hanging="709"/>
        <w:jc w:val="both"/>
        <w:rPr>
          <w:lang w:val="en-US"/>
        </w:rPr>
      </w:pPr>
    </w:p>
    <w:p w:rsidR="00906608" w:rsidRDefault="00906608" w:rsidP="001870CC">
      <w:pPr>
        <w:spacing w:after="0" w:line="240" w:lineRule="auto"/>
        <w:ind w:left="709" w:hanging="709"/>
        <w:jc w:val="both"/>
        <w:rPr>
          <w:lang w:val="en-US"/>
        </w:rPr>
      </w:pPr>
    </w:p>
    <w:p w:rsidR="00284A05" w:rsidRDefault="00284A05" w:rsidP="001870CC">
      <w:pPr>
        <w:spacing w:after="0" w:line="240" w:lineRule="auto"/>
        <w:ind w:left="709" w:hanging="709"/>
        <w:jc w:val="both"/>
        <w:rPr>
          <w:lang w:val="en-US"/>
        </w:rPr>
      </w:pPr>
    </w:p>
    <w:p w:rsidR="006854AD" w:rsidRDefault="006854AD" w:rsidP="001870CC">
      <w:pPr>
        <w:spacing w:after="0" w:line="240" w:lineRule="auto"/>
        <w:ind w:left="709" w:hanging="709"/>
        <w:jc w:val="both"/>
        <w:rPr>
          <w:lang w:val="en-US"/>
        </w:rPr>
      </w:pPr>
    </w:p>
    <w:p w:rsidR="006854AD" w:rsidRDefault="006854AD" w:rsidP="001870CC">
      <w:pPr>
        <w:spacing w:after="0" w:line="240" w:lineRule="auto"/>
        <w:ind w:left="709" w:hanging="709"/>
        <w:jc w:val="both"/>
        <w:rPr>
          <w:lang w:val="en-US"/>
        </w:rPr>
      </w:pPr>
    </w:p>
    <w:p w:rsidR="00626AB9" w:rsidRDefault="00626AB9" w:rsidP="001870CC">
      <w:pPr>
        <w:spacing w:after="0" w:line="240" w:lineRule="auto"/>
        <w:ind w:left="709" w:hanging="709"/>
        <w:jc w:val="both"/>
        <w:rPr>
          <w:lang w:val="en-US"/>
        </w:rPr>
      </w:pPr>
    </w:p>
    <w:p w:rsidR="00F96C53" w:rsidRDefault="00F96C53" w:rsidP="001870CC">
      <w:pPr>
        <w:spacing w:after="0" w:line="240" w:lineRule="auto"/>
        <w:ind w:left="709" w:hanging="709"/>
        <w:jc w:val="both"/>
        <w:rPr>
          <w:lang w:val="en-US"/>
        </w:rPr>
      </w:pPr>
    </w:p>
    <w:p w:rsidR="00F96C53" w:rsidRDefault="00F96C53" w:rsidP="001870CC">
      <w:pPr>
        <w:spacing w:after="0" w:line="240" w:lineRule="auto"/>
        <w:ind w:left="709" w:hanging="709"/>
        <w:jc w:val="both"/>
        <w:rPr>
          <w:lang w:val="en-US"/>
        </w:rPr>
      </w:pPr>
    </w:p>
    <w:p w:rsidR="008943D9" w:rsidRDefault="008943D9" w:rsidP="001870CC">
      <w:pPr>
        <w:spacing w:after="0" w:line="240" w:lineRule="auto"/>
        <w:ind w:left="709" w:hanging="709"/>
        <w:jc w:val="both"/>
        <w:rPr>
          <w:lang w:val="en-US"/>
        </w:rPr>
      </w:pPr>
    </w:p>
    <w:p w:rsidR="00D74C59" w:rsidRDefault="00D74C59" w:rsidP="001870CC">
      <w:pPr>
        <w:spacing w:after="0" w:line="240" w:lineRule="auto"/>
        <w:ind w:left="709" w:hanging="709"/>
        <w:jc w:val="both"/>
        <w:rPr>
          <w:lang w:val="en-US"/>
        </w:rPr>
      </w:pPr>
    </w:p>
    <w:p w:rsidR="006B48FF" w:rsidRDefault="006B48FF" w:rsidP="001870CC">
      <w:pPr>
        <w:spacing w:after="0" w:line="240" w:lineRule="auto"/>
        <w:ind w:left="709" w:hanging="709"/>
        <w:jc w:val="both"/>
        <w:rPr>
          <w:lang w:val="en-US"/>
        </w:rPr>
      </w:pPr>
    </w:p>
    <w:p w:rsidR="001E6A99" w:rsidRDefault="001E6A99" w:rsidP="001870CC">
      <w:pPr>
        <w:spacing w:after="0" w:line="240" w:lineRule="auto"/>
        <w:ind w:left="709" w:hanging="709"/>
        <w:jc w:val="both"/>
        <w:rPr>
          <w:lang w:val="en-US"/>
        </w:rPr>
      </w:pPr>
    </w:p>
    <w:p w:rsidR="00256670" w:rsidRDefault="00256670" w:rsidP="001870CC">
      <w:pPr>
        <w:spacing w:after="0" w:line="240" w:lineRule="auto"/>
        <w:ind w:left="709" w:hanging="709"/>
        <w:jc w:val="both"/>
        <w:rPr>
          <w:lang w:val="en-US"/>
        </w:rPr>
      </w:pPr>
    </w:p>
    <w:p w:rsidR="00BB39B3" w:rsidRPr="001870CC" w:rsidRDefault="00BB39B3" w:rsidP="001870CC">
      <w:pPr>
        <w:spacing w:after="0" w:line="240" w:lineRule="auto"/>
        <w:ind w:left="709" w:hanging="709"/>
        <w:jc w:val="both"/>
        <w:rPr>
          <w:lang w:val="en-US"/>
        </w:rPr>
      </w:pPr>
    </w:p>
    <w:sectPr w:rsidR="00BB39B3" w:rsidRPr="001870CC" w:rsidSect="008716D8">
      <w:footerReference w:type="default" r:id="rId23"/>
      <w:footnotePr>
        <w:numFmt w:val="chicago"/>
      </w:footnotePr>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D5A" w:rsidRDefault="00097D5A" w:rsidP="001A68FF">
      <w:pPr>
        <w:spacing w:after="0" w:line="240" w:lineRule="auto"/>
      </w:pPr>
      <w:r>
        <w:separator/>
      </w:r>
    </w:p>
  </w:endnote>
  <w:endnote w:type="continuationSeparator" w:id="1">
    <w:p w:rsidR="00097D5A" w:rsidRDefault="00097D5A" w:rsidP="001A6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023865"/>
      <w:docPartObj>
        <w:docPartGallery w:val="Page Numbers (Bottom of Page)"/>
        <w:docPartUnique/>
      </w:docPartObj>
    </w:sdtPr>
    <w:sdtContent>
      <w:p w:rsidR="00C35E1B" w:rsidRDefault="006217DB">
        <w:pPr>
          <w:pStyle w:val="Pieddepage"/>
          <w:jc w:val="center"/>
        </w:pPr>
        <w:r>
          <w:fldChar w:fldCharType="begin"/>
        </w:r>
        <w:r w:rsidR="00C35E1B">
          <w:instrText>PAGE   \* MERGEFORMAT</w:instrText>
        </w:r>
        <w:r>
          <w:fldChar w:fldCharType="separate"/>
        </w:r>
        <w:r w:rsidR="00933325">
          <w:rPr>
            <w:noProof/>
          </w:rPr>
          <w:t>10</w:t>
        </w:r>
        <w:r>
          <w:fldChar w:fldCharType="end"/>
        </w:r>
      </w:p>
    </w:sdtContent>
  </w:sdt>
  <w:p w:rsidR="00C35E1B" w:rsidRDefault="00C35E1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D5A" w:rsidRDefault="00097D5A" w:rsidP="001A68FF">
      <w:pPr>
        <w:spacing w:after="0" w:line="240" w:lineRule="auto"/>
      </w:pPr>
      <w:r>
        <w:separator/>
      </w:r>
    </w:p>
  </w:footnote>
  <w:footnote w:type="continuationSeparator" w:id="1">
    <w:p w:rsidR="00097D5A" w:rsidRDefault="00097D5A" w:rsidP="001A68FF">
      <w:pPr>
        <w:spacing w:after="0" w:line="240" w:lineRule="auto"/>
      </w:pPr>
      <w:r>
        <w:continuationSeparator/>
      </w:r>
    </w:p>
  </w:footnote>
  <w:footnote w:id="2">
    <w:p w:rsidR="00275FCC" w:rsidRPr="004752DB" w:rsidRDefault="00275FCC" w:rsidP="003C2FF5">
      <w:pPr>
        <w:pStyle w:val="Notedebasdepage"/>
        <w:rPr>
          <w:rFonts w:asciiTheme="majorBidi" w:hAnsiTheme="majorBidi" w:cstheme="majorBidi"/>
          <w:lang w:val="en-US"/>
        </w:rPr>
      </w:pPr>
      <w:r w:rsidRPr="004752DB">
        <w:rPr>
          <w:rStyle w:val="Appelnotedebasdep"/>
          <w:sz w:val="16"/>
          <w:szCs w:val="16"/>
        </w:rPr>
        <w:footnoteRef/>
      </w:r>
      <w:r w:rsidRPr="004752DB">
        <w:rPr>
          <w:rFonts w:asciiTheme="majorBidi" w:hAnsiTheme="majorBidi" w:cstheme="majorBidi"/>
          <w:lang w:val="en-US"/>
        </w:rPr>
        <w:t>Corresponding author.</w:t>
      </w:r>
    </w:p>
    <w:p w:rsidR="00E615A5" w:rsidRPr="004752DB" w:rsidRDefault="00275FCC" w:rsidP="00E615A5">
      <w:pPr>
        <w:pStyle w:val="Notedebasdepage"/>
        <w:rPr>
          <w:rFonts w:asciiTheme="majorBidi" w:hAnsiTheme="majorBidi" w:cstheme="majorBidi"/>
          <w:lang w:val="en-US"/>
        </w:rPr>
      </w:pPr>
      <w:r w:rsidRPr="004752DB">
        <w:rPr>
          <w:rFonts w:asciiTheme="majorBidi" w:hAnsiTheme="majorBidi" w:cstheme="majorBidi"/>
          <w:lang w:val="en-US"/>
        </w:rPr>
        <w:t xml:space="preserve">E-mail addresses: </w:t>
      </w:r>
      <w:hyperlink r:id="rId1" w:history="1">
        <w:r w:rsidRPr="004752DB">
          <w:rPr>
            <w:rStyle w:val="Lienhypertexte"/>
            <w:rFonts w:asciiTheme="majorBidi" w:hAnsiTheme="majorBidi" w:cstheme="majorBidi"/>
            <w:lang w:val="en-US"/>
          </w:rPr>
          <w:t>mohammed.mouffok@dl.univ-sba.dz</w:t>
        </w:r>
      </w:hyperlink>
      <w:r w:rsidRPr="004752DB">
        <w:rPr>
          <w:rFonts w:asciiTheme="majorBidi" w:hAnsiTheme="majorBidi" w:cstheme="majorBidi"/>
          <w:lang w:val="en-US"/>
        </w:rPr>
        <w:t xml:space="preserve"> (M.A. Mouffok)</w:t>
      </w:r>
      <w:hyperlink r:id="rId2" w:history="1">
        <w:r w:rsidR="008457D8" w:rsidRPr="008457D8">
          <w:rPr>
            <w:rStyle w:val="Lienhypertexte"/>
            <w:lang w:val="en-US"/>
          </w:rPr>
          <w:t>syoucef12@yahoo.fr</w:t>
        </w:r>
      </w:hyperlink>
      <w:r w:rsidR="008457D8" w:rsidRPr="004752DB">
        <w:rPr>
          <w:rFonts w:asciiTheme="majorBidi" w:hAnsiTheme="majorBidi" w:cstheme="majorBidi"/>
          <w:lang w:val="en-US"/>
        </w:rPr>
        <w:t>(</w:t>
      </w:r>
      <w:r w:rsidR="008457D8">
        <w:rPr>
          <w:rFonts w:asciiTheme="majorBidi" w:hAnsiTheme="majorBidi" w:cstheme="majorBidi"/>
          <w:lang w:val="en-US"/>
        </w:rPr>
        <w:t>Y</w:t>
      </w:r>
      <w:r w:rsidR="008457D8" w:rsidRPr="004752DB">
        <w:rPr>
          <w:rFonts w:asciiTheme="majorBidi" w:hAnsiTheme="majorBidi" w:cstheme="majorBidi"/>
          <w:lang w:val="en-US"/>
        </w:rPr>
        <w:t xml:space="preserve">. </w:t>
      </w:r>
      <w:r w:rsidR="008457D8" w:rsidRPr="008457D8">
        <w:rPr>
          <w:rFonts w:asciiTheme="majorBidi" w:hAnsiTheme="majorBidi" w:cstheme="majorBidi"/>
          <w:lang w:val="en-US"/>
        </w:rPr>
        <w:t>Souar</w:t>
      </w:r>
      <w:r w:rsidR="008457D8" w:rsidRPr="004752DB">
        <w:rPr>
          <w:rFonts w:asciiTheme="majorBidi" w:hAnsiTheme="majorBidi" w:cstheme="majorBidi"/>
          <w:lang w:val="en-US"/>
        </w:rPr>
        <w:t>)</w:t>
      </w:r>
      <w:r w:rsidRPr="004752DB">
        <w:rPr>
          <w:rFonts w:asciiTheme="majorBidi" w:hAnsiTheme="majorBidi" w:cstheme="majorBidi"/>
          <w:lang w:val="en-US"/>
        </w:rPr>
        <w:t>,</w:t>
      </w:r>
      <w:hyperlink r:id="rId3" w:history="1">
        <w:r w:rsidR="00BB39B3" w:rsidRPr="0059236B">
          <w:rPr>
            <w:rStyle w:val="Lienhypertexte"/>
            <w:rFonts w:asciiTheme="majorBidi" w:hAnsiTheme="majorBidi" w:cstheme="majorBidi"/>
            <w:lang w:val="en-US"/>
          </w:rPr>
          <w:t>moomar022@gmail.com</w:t>
        </w:r>
      </w:hyperlink>
      <w:r w:rsidRPr="004752DB">
        <w:rPr>
          <w:rFonts w:asciiTheme="majorBidi" w:hAnsiTheme="majorBidi" w:cstheme="majorBidi"/>
          <w:lang w:val="en-US"/>
        </w:rPr>
        <w:t xml:space="preserve"> (O. Mouffok)</w:t>
      </w:r>
      <w:r w:rsidR="00BB39B3">
        <w:rPr>
          <w:rFonts w:asciiTheme="majorBidi" w:hAnsiTheme="majorBidi" w:cstheme="majorBidi"/>
          <w:lang w:val="en-US"/>
        </w:rPr>
        <w:t>.</w:t>
      </w:r>
      <w:r w:rsidR="00E615A5">
        <w:rPr>
          <w:rFonts w:asciiTheme="majorBidi" w:hAnsiTheme="majorBidi" w:cstheme="majorBidi"/>
          <w:lang w:val="en-US"/>
        </w:rPr>
        <w:t xml:space="preserve"> </w:t>
      </w:r>
      <w:r w:rsidR="00E615A5" w:rsidRPr="00E615A5">
        <w:rPr>
          <w:rFonts w:asciiTheme="majorBidi" w:hAnsiTheme="majorBidi" w:cstheme="majorBidi"/>
          <w:lang w:val="en-US"/>
        </w:rPr>
        <w:t>Mankour.mouna@yahoo.fr (Amina</w:t>
      </w:r>
      <w:r w:rsidR="00E615A5">
        <w:rPr>
          <w:rFonts w:asciiTheme="majorBidi" w:hAnsiTheme="majorBidi" w:cstheme="majorBidi"/>
          <w:lang w:val="en-US"/>
        </w:rPr>
        <w:t xml:space="preserve"> Derbal)</w:t>
      </w:r>
    </w:p>
    <w:p w:rsidR="00275FCC" w:rsidRPr="00F71B5C" w:rsidRDefault="00275FCC" w:rsidP="003C2FF5">
      <w:pPr>
        <w:pStyle w:val="Notedebasdepage"/>
        <w:rPr>
          <w:rFonts w:asciiTheme="majorBidi" w:hAnsiTheme="majorBidi" w:cstheme="majorBidi"/>
          <w:sz w:val="22"/>
          <w:szCs w:val="22"/>
          <w:lang w:val="en-US"/>
        </w:rPr>
      </w:pPr>
    </w:p>
    <w:p w:rsidR="00275FCC" w:rsidRPr="003C2FF5" w:rsidRDefault="00275FCC" w:rsidP="003C2FF5">
      <w:pPr>
        <w:pStyle w:val="Notedebasdepage"/>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722D"/>
    <w:multiLevelType w:val="hybridMultilevel"/>
    <w:tmpl w:val="20A604FA"/>
    <w:lvl w:ilvl="0" w:tplc="0C00000F">
      <w:start w:val="1"/>
      <w:numFmt w:val="decimal"/>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1">
    <w:nsid w:val="14C74192"/>
    <w:multiLevelType w:val="hybridMultilevel"/>
    <w:tmpl w:val="3170EC8E"/>
    <w:lvl w:ilvl="0" w:tplc="F768E35E">
      <w:start w:val="3"/>
      <w:numFmt w:val="bullet"/>
      <w:lvlText w:val=""/>
      <w:lvlJc w:val="left"/>
      <w:pPr>
        <w:ind w:left="720" w:hanging="360"/>
      </w:pPr>
      <w:rPr>
        <w:rFonts w:ascii="Symbol" w:eastAsiaTheme="minorHAnsi" w:hAnsi="Symbol"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nsid w:val="2E15113B"/>
    <w:multiLevelType w:val="multilevel"/>
    <w:tmpl w:val="78FE2896"/>
    <w:lvl w:ilvl="0">
      <w:start w:val="1"/>
      <w:numFmt w:val="decimal"/>
      <w:lvlText w:val="%1."/>
      <w:lvlJc w:val="left"/>
      <w:pPr>
        <w:tabs>
          <w:tab w:val="num" w:pos="720"/>
        </w:tabs>
        <w:ind w:left="720" w:hanging="360"/>
      </w:pPr>
    </w:lvl>
    <w:lvl w:ilvl="1">
      <w:start w:val="1"/>
      <w:numFmt w:val="bullet"/>
      <w:lvlText w:val=""/>
      <w:lvlJc w:val="left"/>
      <w:pPr>
        <w:tabs>
          <w:tab w:val="num" w:pos="644"/>
        </w:tabs>
        <w:ind w:left="644"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3625DC"/>
    <w:multiLevelType w:val="hybridMultilevel"/>
    <w:tmpl w:val="EE2228A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nsid w:val="517F4608"/>
    <w:multiLevelType w:val="multilevel"/>
    <w:tmpl w:val="CE9A66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E922C1"/>
    <w:multiLevelType w:val="hybridMultilevel"/>
    <w:tmpl w:val="6052A338"/>
    <w:lvl w:ilvl="0" w:tplc="70F0FFD0">
      <w:start w:val="1"/>
      <w:numFmt w:val="bullet"/>
      <w:lvlText w:val="-"/>
      <w:lvlJc w:val="left"/>
      <w:pPr>
        <w:ind w:left="360" w:hanging="360"/>
      </w:pPr>
      <w:rPr>
        <w:rFonts w:ascii="Calibri" w:eastAsiaTheme="minorHAnsi" w:hAnsi="Calibri" w:cs="Calibri"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6">
    <w:nsid w:val="5EE5414B"/>
    <w:multiLevelType w:val="hybridMultilevel"/>
    <w:tmpl w:val="E432E3D2"/>
    <w:lvl w:ilvl="0" w:tplc="0E226CDE">
      <w:start w:val="3"/>
      <w:numFmt w:val="bullet"/>
      <w:lvlText w:val=""/>
      <w:lvlJc w:val="left"/>
      <w:pPr>
        <w:ind w:left="720" w:hanging="360"/>
      </w:pPr>
      <w:rPr>
        <w:rFonts w:ascii="Symbol" w:eastAsiaTheme="minorHAnsi" w:hAnsi="Symbol"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nsid w:val="63C078F4"/>
    <w:multiLevelType w:val="hybridMultilevel"/>
    <w:tmpl w:val="DFC2B97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nsid w:val="7F3E324F"/>
    <w:multiLevelType w:val="multilevel"/>
    <w:tmpl w:val="7668F990"/>
    <w:lvl w:ilvl="0">
      <w:start w:val="1"/>
      <w:numFmt w:val="decimal"/>
      <w:lvlText w:val="%1."/>
      <w:lvlJc w:val="left"/>
      <w:pPr>
        <w:tabs>
          <w:tab w:val="num" w:pos="360"/>
        </w:tabs>
        <w:ind w:left="360" w:hanging="360"/>
      </w:pPr>
    </w:lvl>
    <w:lvl w:ilvl="1">
      <w:start w:val="1"/>
      <w:numFmt w:val="bullet"/>
      <w:lvlText w:val=""/>
      <w:lvlJc w:val="left"/>
      <w:pPr>
        <w:tabs>
          <w:tab w:val="num" w:pos="644"/>
        </w:tabs>
        <w:ind w:left="644"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4"/>
  </w:num>
  <w:num w:numId="4">
    <w:abstractNumId w:val="8"/>
  </w:num>
  <w:num w:numId="5">
    <w:abstractNumId w:val="2"/>
  </w:num>
  <w:num w:numId="6">
    <w:abstractNumId w:val="5"/>
  </w:num>
  <w:num w:numId="7">
    <w:abstractNumId w:val="3"/>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numFmt w:val="chicago"/>
    <w:footnote w:id="0"/>
    <w:footnote w:id="1"/>
  </w:footnotePr>
  <w:endnotePr>
    <w:endnote w:id="0"/>
    <w:endnote w:id="1"/>
  </w:endnotePr>
  <w:compat/>
  <w:rsids>
    <w:rsidRoot w:val="00062A1F"/>
    <w:rsid w:val="00012CB3"/>
    <w:rsid w:val="00015101"/>
    <w:rsid w:val="000204A8"/>
    <w:rsid w:val="0002058B"/>
    <w:rsid w:val="000222DE"/>
    <w:rsid w:val="00023388"/>
    <w:rsid w:val="00025C2F"/>
    <w:rsid w:val="0002685D"/>
    <w:rsid w:val="0003189C"/>
    <w:rsid w:val="000418DE"/>
    <w:rsid w:val="00043650"/>
    <w:rsid w:val="00046034"/>
    <w:rsid w:val="00050283"/>
    <w:rsid w:val="00061397"/>
    <w:rsid w:val="000615AC"/>
    <w:rsid w:val="00062A1F"/>
    <w:rsid w:val="0006511B"/>
    <w:rsid w:val="00066CC7"/>
    <w:rsid w:val="00067990"/>
    <w:rsid w:val="00070A89"/>
    <w:rsid w:val="00075BAC"/>
    <w:rsid w:val="000804DC"/>
    <w:rsid w:val="0008140F"/>
    <w:rsid w:val="000865FD"/>
    <w:rsid w:val="000925CD"/>
    <w:rsid w:val="000930C1"/>
    <w:rsid w:val="00096123"/>
    <w:rsid w:val="000968D9"/>
    <w:rsid w:val="00097182"/>
    <w:rsid w:val="00097D5A"/>
    <w:rsid w:val="000A0EAC"/>
    <w:rsid w:val="000A296E"/>
    <w:rsid w:val="000B0FB9"/>
    <w:rsid w:val="000B11CF"/>
    <w:rsid w:val="000B1EC1"/>
    <w:rsid w:val="000B52BA"/>
    <w:rsid w:val="000C3344"/>
    <w:rsid w:val="000C550D"/>
    <w:rsid w:val="000C7748"/>
    <w:rsid w:val="000D362D"/>
    <w:rsid w:val="000F0E40"/>
    <w:rsid w:val="00105789"/>
    <w:rsid w:val="00116F95"/>
    <w:rsid w:val="00132E3C"/>
    <w:rsid w:val="00141462"/>
    <w:rsid w:val="00143032"/>
    <w:rsid w:val="00143ACB"/>
    <w:rsid w:val="00146648"/>
    <w:rsid w:val="00166419"/>
    <w:rsid w:val="001728E8"/>
    <w:rsid w:val="00185660"/>
    <w:rsid w:val="001870CC"/>
    <w:rsid w:val="001A3363"/>
    <w:rsid w:val="001A55E0"/>
    <w:rsid w:val="001A68FF"/>
    <w:rsid w:val="001A743A"/>
    <w:rsid w:val="001A7616"/>
    <w:rsid w:val="001B4FA2"/>
    <w:rsid w:val="001B74AE"/>
    <w:rsid w:val="001C69CE"/>
    <w:rsid w:val="001D7CD7"/>
    <w:rsid w:val="001E6A99"/>
    <w:rsid w:val="001F362C"/>
    <w:rsid w:val="001F6BEE"/>
    <w:rsid w:val="001F6F10"/>
    <w:rsid w:val="00204873"/>
    <w:rsid w:val="00207C6E"/>
    <w:rsid w:val="002168AE"/>
    <w:rsid w:val="00216DE0"/>
    <w:rsid w:val="00224375"/>
    <w:rsid w:val="00227D7C"/>
    <w:rsid w:val="00230303"/>
    <w:rsid w:val="00232FC9"/>
    <w:rsid w:val="002359D5"/>
    <w:rsid w:val="002360F6"/>
    <w:rsid w:val="0023779C"/>
    <w:rsid w:val="00243F25"/>
    <w:rsid w:val="002522A3"/>
    <w:rsid w:val="00253A15"/>
    <w:rsid w:val="00253FB5"/>
    <w:rsid w:val="00256670"/>
    <w:rsid w:val="00275FCC"/>
    <w:rsid w:val="00284A05"/>
    <w:rsid w:val="00287246"/>
    <w:rsid w:val="00287E7E"/>
    <w:rsid w:val="002A02B1"/>
    <w:rsid w:val="002C092F"/>
    <w:rsid w:val="002C1560"/>
    <w:rsid w:val="002C4122"/>
    <w:rsid w:val="002C4FB7"/>
    <w:rsid w:val="002D4BDE"/>
    <w:rsid w:val="002F12F7"/>
    <w:rsid w:val="002F178B"/>
    <w:rsid w:val="002F2A6E"/>
    <w:rsid w:val="00306D71"/>
    <w:rsid w:val="00313DA5"/>
    <w:rsid w:val="00314B04"/>
    <w:rsid w:val="00316251"/>
    <w:rsid w:val="003206BB"/>
    <w:rsid w:val="00320F76"/>
    <w:rsid w:val="0032282A"/>
    <w:rsid w:val="00334D74"/>
    <w:rsid w:val="00336943"/>
    <w:rsid w:val="00336A85"/>
    <w:rsid w:val="00350047"/>
    <w:rsid w:val="00356A9A"/>
    <w:rsid w:val="003641E2"/>
    <w:rsid w:val="00367E78"/>
    <w:rsid w:val="00375275"/>
    <w:rsid w:val="00380BDA"/>
    <w:rsid w:val="00383CA6"/>
    <w:rsid w:val="00384929"/>
    <w:rsid w:val="00384E79"/>
    <w:rsid w:val="003850D9"/>
    <w:rsid w:val="00386A81"/>
    <w:rsid w:val="003A363A"/>
    <w:rsid w:val="003A4B44"/>
    <w:rsid w:val="003B29B3"/>
    <w:rsid w:val="003B2DAF"/>
    <w:rsid w:val="003B5C7B"/>
    <w:rsid w:val="003B752C"/>
    <w:rsid w:val="003B75CA"/>
    <w:rsid w:val="003C20EC"/>
    <w:rsid w:val="003C2FF5"/>
    <w:rsid w:val="003E2ECC"/>
    <w:rsid w:val="003E54A4"/>
    <w:rsid w:val="003E6622"/>
    <w:rsid w:val="003F3AF6"/>
    <w:rsid w:val="003F5E83"/>
    <w:rsid w:val="003F7631"/>
    <w:rsid w:val="0040703B"/>
    <w:rsid w:val="00407E76"/>
    <w:rsid w:val="00413411"/>
    <w:rsid w:val="00417F47"/>
    <w:rsid w:val="0042020B"/>
    <w:rsid w:val="004346EC"/>
    <w:rsid w:val="00437808"/>
    <w:rsid w:val="00454182"/>
    <w:rsid w:val="00454645"/>
    <w:rsid w:val="00467E89"/>
    <w:rsid w:val="00473404"/>
    <w:rsid w:val="004752DB"/>
    <w:rsid w:val="00482331"/>
    <w:rsid w:val="0048400C"/>
    <w:rsid w:val="004872F4"/>
    <w:rsid w:val="00494D40"/>
    <w:rsid w:val="00497E6D"/>
    <w:rsid w:val="004A00FF"/>
    <w:rsid w:val="004A3658"/>
    <w:rsid w:val="004A4454"/>
    <w:rsid w:val="004A53A3"/>
    <w:rsid w:val="004B3423"/>
    <w:rsid w:val="004B4DE4"/>
    <w:rsid w:val="004D7E2F"/>
    <w:rsid w:val="004E7E94"/>
    <w:rsid w:val="004F32CD"/>
    <w:rsid w:val="004F5906"/>
    <w:rsid w:val="005121DE"/>
    <w:rsid w:val="00523785"/>
    <w:rsid w:val="00523FC3"/>
    <w:rsid w:val="00526687"/>
    <w:rsid w:val="005303B9"/>
    <w:rsid w:val="00540F8F"/>
    <w:rsid w:val="0055156D"/>
    <w:rsid w:val="0055300F"/>
    <w:rsid w:val="00553EF2"/>
    <w:rsid w:val="005572B6"/>
    <w:rsid w:val="005612B5"/>
    <w:rsid w:val="005652D0"/>
    <w:rsid w:val="005653EB"/>
    <w:rsid w:val="00566280"/>
    <w:rsid w:val="005704CE"/>
    <w:rsid w:val="0058105B"/>
    <w:rsid w:val="0058626E"/>
    <w:rsid w:val="0058737C"/>
    <w:rsid w:val="005B36A5"/>
    <w:rsid w:val="005B4786"/>
    <w:rsid w:val="005C3778"/>
    <w:rsid w:val="005C4A3B"/>
    <w:rsid w:val="005C7ABD"/>
    <w:rsid w:val="005D2EA6"/>
    <w:rsid w:val="005D7E35"/>
    <w:rsid w:val="005E01E4"/>
    <w:rsid w:val="005E04F1"/>
    <w:rsid w:val="005E0B59"/>
    <w:rsid w:val="005E3A08"/>
    <w:rsid w:val="005E5342"/>
    <w:rsid w:val="005E55C2"/>
    <w:rsid w:val="005E6062"/>
    <w:rsid w:val="005F22B9"/>
    <w:rsid w:val="005F65AE"/>
    <w:rsid w:val="005F74B1"/>
    <w:rsid w:val="005F7726"/>
    <w:rsid w:val="005F78C9"/>
    <w:rsid w:val="0060174B"/>
    <w:rsid w:val="00604224"/>
    <w:rsid w:val="006068B0"/>
    <w:rsid w:val="00614A5F"/>
    <w:rsid w:val="006217DB"/>
    <w:rsid w:val="006239D3"/>
    <w:rsid w:val="006263DA"/>
    <w:rsid w:val="00626AB9"/>
    <w:rsid w:val="006338EA"/>
    <w:rsid w:val="00636C90"/>
    <w:rsid w:val="00654C84"/>
    <w:rsid w:val="00662847"/>
    <w:rsid w:val="00663492"/>
    <w:rsid w:val="00666CE6"/>
    <w:rsid w:val="006716B9"/>
    <w:rsid w:val="0068080A"/>
    <w:rsid w:val="006854AD"/>
    <w:rsid w:val="00685DEE"/>
    <w:rsid w:val="0069131A"/>
    <w:rsid w:val="00691B6D"/>
    <w:rsid w:val="006940BD"/>
    <w:rsid w:val="006964FC"/>
    <w:rsid w:val="006A07A2"/>
    <w:rsid w:val="006A15AA"/>
    <w:rsid w:val="006A2521"/>
    <w:rsid w:val="006A65D3"/>
    <w:rsid w:val="006B0F66"/>
    <w:rsid w:val="006B3564"/>
    <w:rsid w:val="006B48FF"/>
    <w:rsid w:val="006D54C7"/>
    <w:rsid w:val="006D78F3"/>
    <w:rsid w:val="006E127B"/>
    <w:rsid w:val="006E6953"/>
    <w:rsid w:val="006E7719"/>
    <w:rsid w:val="006E771F"/>
    <w:rsid w:val="006F1339"/>
    <w:rsid w:val="00704BA8"/>
    <w:rsid w:val="0071507A"/>
    <w:rsid w:val="00716AC8"/>
    <w:rsid w:val="007200D9"/>
    <w:rsid w:val="00720753"/>
    <w:rsid w:val="007207E9"/>
    <w:rsid w:val="00720E5D"/>
    <w:rsid w:val="00722D9A"/>
    <w:rsid w:val="00724D7C"/>
    <w:rsid w:val="00730128"/>
    <w:rsid w:val="0073676C"/>
    <w:rsid w:val="0074177A"/>
    <w:rsid w:val="007442BC"/>
    <w:rsid w:val="007451AB"/>
    <w:rsid w:val="00746FA7"/>
    <w:rsid w:val="00747BAB"/>
    <w:rsid w:val="007511B6"/>
    <w:rsid w:val="007555CC"/>
    <w:rsid w:val="007562CA"/>
    <w:rsid w:val="00760AF9"/>
    <w:rsid w:val="007622F9"/>
    <w:rsid w:val="00763100"/>
    <w:rsid w:val="0076742E"/>
    <w:rsid w:val="00772CDC"/>
    <w:rsid w:val="00773BFF"/>
    <w:rsid w:val="007805FA"/>
    <w:rsid w:val="00797D2E"/>
    <w:rsid w:val="007A31AC"/>
    <w:rsid w:val="007A5D76"/>
    <w:rsid w:val="007A70D5"/>
    <w:rsid w:val="007B5FB5"/>
    <w:rsid w:val="007B73C8"/>
    <w:rsid w:val="007C61E3"/>
    <w:rsid w:val="007D1E7D"/>
    <w:rsid w:val="007D3EBE"/>
    <w:rsid w:val="007E2888"/>
    <w:rsid w:val="007E452E"/>
    <w:rsid w:val="007E534E"/>
    <w:rsid w:val="007F1169"/>
    <w:rsid w:val="007F2DFB"/>
    <w:rsid w:val="008030D8"/>
    <w:rsid w:val="0080458D"/>
    <w:rsid w:val="00805A3A"/>
    <w:rsid w:val="00816E84"/>
    <w:rsid w:val="00817127"/>
    <w:rsid w:val="008222A1"/>
    <w:rsid w:val="00825303"/>
    <w:rsid w:val="008258B3"/>
    <w:rsid w:val="00826279"/>
    <w:rsid w:val="0082720D"/>
    <w:rsid w:val="0083227E"/>
    <w:rsid w:val="008354E7"/>
    <w:rsid w:val="00837859"/>
    <w:rsid w:val="008457D8"/>
    <w:rsid w:val="008474FA"/>
    <w:rsid w:val="008545DF"/>
    <w:rsid w:val="00856EDD"/>
    <w:rsid w:val="00860AAA"/>
    <w:rsid w:val="008643C4"/>
    <w:rsid w:val="008706F8"/>
    <w:rsid w:val="008716D8"/>
    <w:rsid w:val="00874D7A"/>
    <w:rsid w:val="00874E50"/>
    <w:rsid w:val="00875C45"/>
    <w:rsid w:val="00887D8B"/>
    <w:rsid w:val="00892A7F"/>
    <w:rsid w:val="008943D9"/>
    <w:rsid w:val="00894572"/>
    <w:rsid w:val="008A3196"/>
    <w:rsid w:val="008A5B12"/>
    <w:rsid w:val="008B0442"/>
    <w:rsid w:val="008B28CC"/>
    <w:rsid w:val="008B77D4"/>
    <w:rsid w:val="008C5077"/>
    <w:rsid w:val="008C5231"/>
    <w:rsid w:val="008C54C8"/>
    <w:rsid w:val="008D29BF"/>
    <w:rsid w:val="008E007E"/>
    <w:rsid w:val="008E2AF8"/>
    <w:rsid w:val="008E645F"/>
    <w:rsid w:val="008F2C1F"/>
    <w:rsid w:val="008F4EBA"/>
    <w:rsid w:val="008F4F27"/>
    <w:rsid w:val="008F52F5"/>
    <w:rsid w:val="008F686E"/>
    <w:rsid w:val="00900D09"/>
    <w:rsid w:val="00906608"/>
    <w:rsid w:val="00916E98"/>
    <w:rsid w:val="0091747F"/>
    <w:rsid w:val="009219DB"/>
    <w:rsid w:val="00925259"/>
    <w:rsid w:val="00926528"/>
    <w:rsid w:val="00932EA5"/>
    <w:rsid w:val="00933325"/>
    <w:rsid w:val="00934772"/>
    <w:rsid w:val="009404BA"/>
    <w:rsid w:val="00940965"/>
    <w:rsid w:val="009451B9"/>
    <w:rsid w:val="009510A2"/>
    <w:rsid w:val="009532BE"/>
    <w:rsid w:val="00972CBC"/>
    <w:rsid w:val="00977C95"/>
    <w:rsid w:val="00980E02"/>
    <w:rsid w:val="0098157F"/>
    <w:rsid w:val="0098342E"/>
    <w:rsid w:val="00983694"/>
    <w:rsid w:val="0098582E"/>
    <w:rsid w:val="00985996"/>
    <w:rsid w:val="0099134A"/>
    <w:rsid w:val="009A3220"/>
    <w:rsid w:val="009A6432"/>
    <w:rsid w:val="009A6DAF"/>
    <w:rsid w:val="009B0CA0"/>
    <w:rsid w:val="009B16B5"/>
    <w:rsid w:val="009C658B"/>
    <w:rsid w:val="009D0027"/>
    <w:rsid w:val="009D22E2"/>
    <w:rsid w:val="009E19FD"/>
    <w:rsid w:val="009E3288"/>
    <w:rsid w:val="009F362B"/>
    <w:rsid w:val="009F4BC8"/>
    <w:rsid w:val="009F6D94"/>
    <w:rsid w:val="00A01341"/>
    <w:rsid w:val="00A04DF5"/>
    <w:rsid w:val="00A31851"/>
    <w:rsid w:val="00A33B0D"/>
    <w:rsid w:val="00A44C70"/>
    <w:rsid w:val="00A51C88"/>
    <w:rsid w:val="00A53E87"/>
    <w:rsid w:val="00A54299"/>
    <w:rsid w:val="00A54E29"/>
    <w:rsid w:val="00A60446"/>
    <w:rsid w:val="00A60A0B"/>
    <w:rsid w:val="00A659E9"/>
    <w:rsid w:val="00A67701"/>
    <w:rsid w:val="00A72EF4"/>
    <w:rsid w:val="00A76C91"/>
    <w:rsid w:val="00A77CD0"/>
    <w:rsid w:val="00A80424"/>
    <w:rsid w:val="00A822E8"/>
    <w:rsid w:val="00A877C0"/>
    <w:rsid w:val="00A92447"/>
    <w:rsid w:val="00AA4B5A"/>
    <w:rsid w:val="00AA5B0C"/>
    <w:rsid w:val="00AA63F1"/>
    <w:rsid w:val="00AA78B8"/>
    <w:rsid w:val="00AB1EA2"/>
    <w:rsid w:val="00AB5B46"/>
    <w:rsid w:val="00AB5F61"/>
    <w:rsid w:val="00AB6229"/>
    <w:rsid w:val="00AC6598"/>
    <w:rsid w:val="00AD0A42"/>
    <w:rsid w:val="00AD5078"/>
    <w:rsid w:val="00AE3178"/>
    <w:rsid w:val="00AE43ED"/>
    <w:rsid w:val="00AF3B11"/>
    <w:rsid w:val="00AF7BD6"/>
    <w:rsid w:val="00B10D58"/>
    <w:rsid w:val="00B118D1"/>
    <w:rsid w:val="00B22BD5"/>
    <w:rsid w:val="00B23B70"/>
    <w:rsid w:val="00B24D5F"/>
    <w:rsid w:val="00B30081"/>
    <w:rsid w:val="00B3521C"/>
    <w:rsid w:val="00B37607"/>
    <w:rsid w:val="00B420DE"/>
    <w:rsid w:val="00B4435B"/>
    <w:rsid w:val="00B47C8D"/>
    <w:rsid w:val="00B51E51"/>
    <w:rsid w:val="00B53533"/>
    <w:rsid w:val="00B7261B"/>
    <w:rsid w:val="00B7580E"/>
    <w:rsid w:val="00B8012B"/>
    <w:rsid w:val="00B8418F"/>
    <w:rsid w:val="00B86257"/>
    <w:rsid w:val="00B87015"/>
    <w:rsid w:val="00B875DA"/>
    <w:rsid w:val="00B87E0E"/>
    <w:rsid w:val="00B93BDC"/>
    <w:rsid w:val="00BA1373"/>
    <w:rsid w:val="00BA1437"/>
    <w:rsid w:val="00BB293D"/>
    <w:rsid w:val="00BB39B3"/>
    <w:rsid w:val="00BC115F"/>
    <w:rsid w:val="00BC757E"/>
    <w:rsid w:val="00BD2DE1"/>
    <w:rsid w:val="00BD5B1E"/>
    <w:rsid w:val="00BE090B"/>
    <w:rsid w:val="00BE72FC"/>
    <w:rsid w:val="00BE7DBF"/>
    <w:rsid w:val="00BF5DCB"/>
    <w:rsid w:val="00BF6205"/>
    <w:rsid w:val="00BF6CF8"/>
    <w:rsid w:val="00BF77B9"/>
    <w:rsid w:val="00BF7ADC"/>
    <w:rsid w:val="00C06731"/>
    <w:rsid w:val="00C1501D"/>
    <w:rsid w:val="00C16891"/>
    <w:rsid w:val="00C17E0D"/>
    <w:rsid w:val="00C2117F"/>
    <w:rsid w:val="00C2266C"/>
    <w:rsid w:val="00C302A8"/>
    <w:rsid w:val="00C35E1B"/>
    <w:rsid w:val="00C4251D"/>
    <w:rsid w:val="00C47141"/>
    <w:rsid w:val="00C520B6"/>
    <w:rsid w:val="00C5331D"/>
    <w:rsid w:val="00C54C7E"/>
    <w:rsid w:val="00C54D26"/>
    <w:rsid w:val="00C553BA"/>
    <w:rsid w:val="00C5541F"/>
    <w:rsid w:val="00C55B79"/>
    <w:rsid w:val="00C57438"/>
    <w:rsid w:val="00C575B9"/>
    <w:rsid w:val="00C611F6"/>
    <w:rsid w:val="00C635E1"/>
    <w:rsid w:val="00C64453"/>
    <w:rsid w:val="00C75D63"/>
    <w:rsid w:val="00C7679B"/>
    <w:rsid w:val="00C77E12"/>
    <w:rsid w:val="00C8250B"/>
    <w:rsid w:val="00C82C8A"/>
    <w:rsid w:val="00C86058"/>
    <w:rsid w:val="00C86992"/>
    <w:rsid w:val="00C9171A"/>
    <w:rsid w:val="00C91D82"/>
    <w:rsid w:val="00C924B5"/>
    <w:rsid w:val="00C971DB"/>
    <w:rsid w:val="00CA4792"/>
    <w:rsid w:val="00CA6B4E"/>
    <w:rsid w:val="00CB09CC"/>
    <w:rsid w:val="00CB5150"/>
    <w:rsid w:val="00CB64EE"/>
    <w:rsid w:val="00CC53E1"/>
    <w:rsid w:val="00CD1781"/>
    <w:rsid w:val="00CD34AA"/>
    <w:rsid w:val="00CE428B"/>
    <w:rsid w:val="00CF4BE9"/>
    <w:rsid w:val="00CF587E"/>
    <w:rsid w:val="00CF58CA"/>
    <w:rsid w:val="00D01729"/>
    <w:rsid w:val="00D01931"/>
    <w:rsid w:val="00D12F37"/>
    <w:rsid w:val="00D22A4A"/>
    <w:rsid w:val="00D24562"/>
    <w:rsid w:val="00D33C3C"/>
    <w:rsid w:val="00D3452F"/>
    <w:rsid w:val="00D348E2"/>
    <w:rsid w:val="00D36BC0"/>
    <w:rsid w:val="00D46D1D"/>
    <w:rsid w:val="00D475EA"/>
    <w:rsid w:val="00D4774C"/>
    <w:rsid w:val="00D56BD7"/>
    <w:rsid w:val="00D62059"/>
    <w:rsid w:val="00D634B1"/>
    <w:rsid w:val="00D675FF"/>
    <w:rsid w:val="00D74365"/>
    <w:rsid w:val="00D7443A"/>
    <w:rsid w:val="00D74C59"/>
    <w:rsid w:val="00D75A45"/>
    <w:rsid w:val="00D80502"/>
    <w:rsid w:val="00D902F0"/>
    <w:rsid w:val="00D913D9"/>
    <w:rsid w:val="00D94864"/>
    <w:rsid w:val="00D965C1"/>
    <w:rsid w:val="00D96ADA"/>
    <w:rsid w:val="00DB0A87"/>
    <w:rsid w:val="00DB5C93"/>
    <w:rsid w:val="00DB6444"/>
    <w:rsid w:val="00DB6A67"/>
    <w:rsid w:val="00DC330E"/>
    <w:rsid w:val="00DD5F67"/>
    <w:rsid w:val="00DE2A75"/>
    <w:rsid w:val="00DE44E7"/>
    <w:rsid w:val="00DE47AF"/>
    <w:rsid w:val="00DF0FED"/>
    <w:rsid w:val="00DF24C4"/>
    <w:rsid w:val="00DF4E4A"/>
    <w:rsid w:val="00DF5C94"/>
    <w:rsid w:val="00DF6ADE"/>
    <w:rsid w:val="00E00BD8"/>
    <w:rsid w:val="00E021CA"/>
    <w:rsid w:val="00E03869"/>
    <w:rsid w:val="00E1139F"/>
    <w:rsid w:val="00E157A9"/>
    <w:rsid w:val="00E15A19"/>
    <w:rsid w:val="00E179AA"/>
    <w:rsid w:val="00E30559"/>
    <w:rsid w:val="00E3242F"/>
    <w:rsid w:val="00E347A5"/>
    <w:rsid w:val="00E359B2"/>
    <w:rsid w:val="00E37CE0"/>
    <w:rsid w:val="00E447A0"/>
    <w:rsid w:val="00E47A0C"/>
    <w:rsid w:val="00E47A92"/>
    <w:rsid w:val="00E6074E"/>
    <w:rsid w:val="00E615A5"/>
    <w:rsid w:val="00E64033"/>
    <w:rsid w:val="00E656D2"/>
    <w:rsid w:val="00E71A3E"/>
    <w:rsid w:val="00E74E1B"/>
    <w:rsid w:val="00E81911"/>
    <w:rsid w:val="00E844E7"/>
    <w:rsid w:val="00E8613B"/>
    <w:rsid w:val="00E861F2"/>
    <w:rsid w:val="00E94A39"/>
    <w:rsid w:val="00EA1943"/>
    <w:rsid w:val="00EB0096"/>
    <w:rsid w:val="00EB10B2"/>
    <w:rsid w:val="00EB6F3B"/>
    <w:rsid w:val="00EC197D"/>
    <w:rsid w:val="00EC7F4A"/>
    <w:rsid w:val="00ED11EF"/>
    <w:rsid w:val="00ED4D76"/>
    <w:rsid w:val="00EE12FE"/>
    <w:rsid w:val="00EE23D6"/>
    <w:rsid w:val="00EE4DCA"/>
    <w:rsid w:val="00F06CDB"/>
    <w:rsid w:val="00F07739"/>
    <w:rsid w:val="00F10C35"/>
    <w:rsid w:val="00F13151"/>
    <w:rsid w:val="00F17D61"/>
    <w:rsid w:val="00F21442"/>
    <w:rsid w:val="00F31957"/>
    <w:rsid w:val="00F31A3F"/>
    <w:rsid w:val="00F32233"/>
    <w:rsid w:val="00F331AB"/>
    <w:rsid w:val="00F52332"/>
    <w:rsid w:val="00F5342A"/>
    <w:rsid w:val="00F553B2"/>
    <w:rsid w:val="00F61F06"/>
    <w:rsid w:val="00F66DBB"/>
    <w:rsid w:val="00F71B5C"/>
    <w:rsid w:val="00F72990"/>
    <w:rsid w:val="00F73658"/>
    <w:rsid w:val="00F749FF"/>
    <w:rsid w:val="00F779C6"/>
    <w:rsid w:val="00F8028C"/>
    <w:rsid w:val="00F8154E"/>
    <w:rsid w:val="00F8602F"/>
    <w:rsid w:val="00F8756E"/>
    <w:rsid w:val="00F8784F"/>
    <w:rsid w:val="00F8790F"/>
    <w:rsid w:val="00F96148"/>
    <w:rsid w:val="00F96906"/>
    <w:rsid w:val="00F96C53"/>
    <w:rsid w:val="00FA46A8"/>
    <w:rsid w:val="00FA5AF2"/>
    <w:rsid w:val="00FB052C"/>
    <w:rsid w:val="00FB0FB2"/>
    <w:rsid w:val="00FB1BA5"/>
    <w:rsid w:val="00FB77F2"/>
    <w:rsid w:val="00FB7D50"/>
    <w:rsid w:val="00FC5EAC"/>
    <w:rsid w:val="00FD425C"/>
    <w:rsid w:val="00FD6B37"/>
    <w:rsid w:val="00FD7564"/>
    <w:rsid w:val="00FE0534"/>
    <w:rsid w:val="00FE567F"/>
    <w:rsid w:val="00FE7E44"/>
    <w:rsid w:val="00FF1683"/>
    <w:rsid w:val="00FF5F5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034"/>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21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1A68F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A68FF"/>
    <w:rPr>
      <w:sz w:val="20"/>
      <w:szCs w:val="20"/>
    </w:rPr>
  </w:style>
  <w:style w:type="character" w:styleId="Appelnotedebasdep">
    <w:name w:val="footnote reference"/>
    <w:basedOn w:val="Policepardfaut"/>
    <w:uiPriority w:val="99"/>
    <w:semiHidden/>
    <w:unhideWhenUsed/>
    <w:rsid w:val="001A68FF"/>
    <w:rPr>
      <w:vertAlign w:val="superscript"/>
    </w:rPr>
  </w:style>
  <w:style w:type="paragraph" w:styleId="Notedefin">
    <w:name w:val="endnote text"/>
    <w:basedOn w:val="Normal"/>
    <w:link w:val="NotedefinCar"/>
    <w:uiPriority w:val="99"/>
    <w:semiHidden/>
    <w:unhideWhenUsed/>
    <w:rsid w:val="005C4A3B"/>
    <w:pPr>
      <w:spacing w:after="0" w:line="240" w:lineRule="auto"/>
    </w:pPr>
    <w:rPr>
      <w:sz w:val="20"/>
      <w:szCs w:val="20"/>
    </w:rPr>
  </w:style>
  <w:style w:type="character" w:customStyle="1" w:styleId="NotedefinCar">
    <w:name w:val="Note de fin Car"/>
    <w:basedOn w:val="Policepardfaut"/>
    <w:link w:val="Notedefin"/>
    <w:uiPriority w:val="99"/>
    <w:semiHidden/>
    <w:rsid w:val="005C4A3B"/>
    <w:rPr>
      <w:sz w:val="20"/>
      <w:szCs w:val="20"/>
    </w:rPr>
  </w:style>
  <w:style w:type="character" w:styleId="Appeldenotedefin">
    <w:name w:val="endnote reference"/>
    <w:basedOn w:val="Policepardfaut"/>
    <w:uiPriority w:val="99"/>
    <w:semiHidden/>
    <w:unhideWhenUsed/>
    <w:rsid w:val="005C4A3B"/>
    <w:rPr>
      <w:vertAlign w:val="superscript"/>
    </w:rPr>
  </w:style>
  <w:style w:type="paragraph" w:styleId="En-tte">
    <w:name w:val="header"/>
    <w:basedOn w:val="Normal"/>
    <w:link w:val="En-tteCar"/>
    <w:uiPriority w:val="99"/>
    <w:unhideWhenUsed/>
    <w:rsid w:val="003C2FF5"/>
    <w:pPr>
      <w:tabs>
        <w:tab w:val="center" w:pos="4513"/>
        <w:tab w:val="right" w:pos="9026"/>
      </w:tabs>
      <w:spacing w:after="0" w:line="240" w:lineRule="auto"/>
    </w:pPr>
  </w:style>
  <w:style w:type="character" w:styleId="Accentuation">
    <w:name w:val="Emphasis"/>
    <w:basedOn w:val="Policepardfaut"/>
    <w:uiPriority w:val="20"/>
    <w:qFormat/>
    <w:rsid w:val="003C2FF5"/>
    <w:rPr>
      <w:i/>
      <w:iCs/>
    </w:rPr>
  </w:style>
  <w:style w:type="character" w:customStyle="1" w:styleId="En-tteCar">
    <w:name w:val="En-tête Car"/>
    <w:basedOn w:val="Policepardfaut"/>
    <w:link w:val="En-tte"/>
    <w:uiPriority w:val="99"/>
    <w:rsid w:val="003C2FF5"/>
    <w:rPr>
      <w:lang w:val="fr-FR"/>
    </w:rPr>
  </w:style>
  <w:style w:type="character" w:styleId="Lienhypertexte">
    <w:name w:val="Hyperlink"/>
    <w:basedOn w:val="Policepardfaut"/>
    <w:uiPriority w:val="99"/>
    <w:unhideWhenUsed/>
    <w:rsid w:val="003C2FF5"/>
    <w:rPr>
      <w:color w:val="0563C1" w:themeColor="hyperlink"/>
      <w:u w:val="single"/>
    </w:rPr>
  </w:style>
  <w:style w:type="character" w:customStyle="1" w:styleId="Mentionnonrsolue1">
    <w:name w:val="Mention non résolue1"/>
    <w:basedOn w:val="Policepardfaut"/>
    <w:uiPriority w:val="99"/>
    <w:semiHidden/>
    <w:unhideWhenUsed/>
    <w:rsid w:val="003C2FF5"/>
    <w:rPr>
      <w:color w:val="605E5C"/>
      <w:shd w:val="clear" w:color="auto" w:fill="E1DFDD"/>
    </w:rPr>
  </w:style>
  <w:style w:type="paragraph" w:styleId="Paragraphedeliste">
    <w:name w:val="List Paragraph"/>
    <w:basedOn w:val="Normal"/>
    <w:uiPriority w:val="34"/>
    <w:qFormat/>
    <w:rsid w:val="00E71A3E"/>
    <w:pPr>
      <w:ind w:left="720"/>
      <w:contextualSpacing/>
    </w:pPr>
  </w:style>
  <w:style w:type="paragraph" w:styleId="Pieddepage">
    <w:name w:val="footer"/>
    <w:basedOn w:val="Normal"/>
    <w:link w:val="PieddepageCar"/>
    <w:uiPriority w:val="99"/>
    <w:unhideWhenUsed/>
    <w:rsid w:val="009B16B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B16B5"/>
  </w:style>
  <w:style w:type="character" w:styleId="Textedelespacerserv">
    <w:name w:val="Placeholder Text"/>
    <w:basedOn w:val="Policepardfaut"/>
    <w:uiPriority w:val="99"/>
    <w:semiHidden/>
    <w:rsid w:val="005E0B59"/>
    <w:rPr>
      <w:color w:val="808080"/>
    </w:rPr>
  </w:style>
  <w:style w:type="character" w:styleId="Marquedecommentaire">
    <w:name w:val="annotation reference"/>
    <w:basedOn w:val="Policepardfaut"/>
    <w:uiPriority w:val="99"/>
    <w:semiHidden/>
    <w:unhideWhenUsed/>
    <w:rsid w:val="00892A7F"/>
    <w:rPr>
      <w:sz w:val="16"/>
      <w:szCs w:val="16"/>
    </w:rPr>
  </w:style>
  <w:style w:type="paragraph" w:styleId="Commentaire">
    <w:name w:val="annotation text"/>
    <w:basedOn w:val="Normal"/>
    <w:link w:val="CommentaireCar"/>
    <w:uiPriority w:val="99"/>
    <w:semiHidden/>
    <w:unhideWhenUsed/>
    <w:rsid w:val="00892A7F"/>
    <w:pPr>
      <w:spacing w:line="240" w:lineRule="auto"/>
    </w:pPr>
    <w:rPr>
      <w:sz w:val="20"/>
      <w:szCs w:val="20"/>
    </w:rPr>
  </w:style>
  <w:style w:type="character" w:customStyle="1" w:styleId="CommentaireCar">
    <w:name w:val="Commentaire Car"/>
    <w:basedOn w:val="Policepardfaut"/>
    <w:link w:val="Commentaire"/>
    <w:uiPriority w:val="99"/>
    <w:semiHidden/>
    <w:rsid w:val="00892A7F"/>
    <w:rPr>
      <w:sz w:val="20"/>
      <w:szCs w:val="20"/>
    </w:rPr>
  </w:style>
  <w:style w:type="paragraph" w:styleId="Objetducommentaire">
    <w:name w:val="annotation subject"/>
    <w:basedOn w:val="Commentaire"/>
    <w:next w:val="Commentaire"/>
    <w:link w:val="ObjetducommentaireCar"/>
    <w:uiPriority w:val="99"/>
    <w:semiHidden/>
    <w:unhideWhenUsed/>
    <w:rsid w:val="00892A7F"/>
    <w:rPr>
      <w:b/>
      <w:bCs/>
    </w:rPr>
  </w:style>
  <w:style w:type="character" w:customStyle="1" w:styleId="ObjetducommentaireCar">
    <w:name w:val="Objet du commentaire Car"/>
    <w:basedOn w:val="CommentaireCar"/>
    <w:link w:val="Objetducommentaire"/>
    <w:uiPriority w:val="99"/>
    <w:semiHidden/>
    <w:rsid w:val="00892A7F"/>
    <w:rPr>
      <w:b/>
      <w:bCs/>
      <w:sz w:val="20"/>
      <w:szCs w:val="20"/>
    </w:rPr>
  </w:style>
  <w:style w:type="character" w:customStyle="1" w:styleId="UnresolvedMention">
    <w:name w:val="Unresolved Mention"/>
    <w:basedOn w:val="Policepardfaut"/>
    <w:uiPriority w:val="99"/>
    <w:semiHidden/>
    <w:unhideWhenUsed/>
    <w:rsid w:val="008457D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0.png"/></Relationships>
</file>

<file path=word/_rels/footnotes.xml.rels><?xml version="1.0" encoding="UTF-8" standalone="yes"?>
<Relationships xmlns="http://schemas.openxmlformats.org/package/2006/relationships"><Relationship Id="rId3" Type="http://schemas.openxmlformats.org/officeDocument/2006/relationships/hyperlink" Target="mailto:moomar022@gmail.com" TargetMode="External"/><Relationship Id="rId2" Type="http://schemas.openxmlformats.org/officeDocument/2006/relationships/hyperlink" Target="mailto:syoucef12@yahoo.fr" TargetMode="External"/><Relationship Id="rId1" Type="http://schemas.openxmlformats.org/officeDocument/2006/relationships/hyperlink" Target="mailto:mohammed.mouffok@dl.univ-sba.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B1E54-B0DF-488C-A385-C94DCFB0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7388</TotalTime>
  <Pages>10</Pages>
  <Words>4850</Words>
  <Characters>26677</Characters>
  <Application>Microsoft Office Word</Application>
  <DocSecurity>0</DocSecurity>
  <Lines>222</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INTEL</cp:lastModifiedBy>
  <cp:revision>174</cp:revision>
  <cp:lastPrinted>2023-08-27T00:59:00Z</cp:lastPrinted>
  <dcterms:created xsi:type="dcterms:W3CDTF">2023-05-22T20:38:00Z</dcterms:created>
  <dcterms:modified xsi:type="dcterms:W3CDTF">2023-09-06T23:59:00Z</dcterms:modified>
</cp:coreProperties>
</file>