
<file path=[Content_Types].xml><?xml version="1.0" encoding="utf-8"?>
<Types xmlns="http://schemas.openxmlformats.org/package/2006/content-types">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A55" w:rsidRDefault="00123471" w:rsidP="00905564">
      <w:pPr>
        <w:tabs>
          <w:tab w:val="left" w:pos="6379"/>
        </w:tabs>
        <w:jc w:val="center"/>
        <w:rPr>
          <w:rFonts w:ascii="Times New Roman" w:hAnsi="Times New Roman" w:cs="Times New Roman"/>
          <w:b/>
          <w:bCs/>
          <w:sz w:val="28"/>
          <w:szCs w:val="24"/>
        </w:rPr>
      </w:pPr>
      <w:r w:rsidRPr="007B1206">
        <w:rPr>
          <w:rFonts w:ascii="Times New Roman" w:hAnsi="Times New Roman" w:cs="Times New Roman"/>
          <w:b/>
          <w:bCs/>
          <w:sz w:val="28"/>
          <w:szCs w:val="24"/>
        </w:rPr>
        <w:t xml:space="preserve">ENTREPRENEURIAL COMPETENCIES AND </w:t>
      </w:r>
      <w:bookmarkStart w:id="0" w:name="_Hlk90485716"/>
      <w:r w:rsidRPr="007B1206">
        <w:rPr>
          <w:rFonts w:ascii="Times New Roman" w:hAnsi="Times New Roman" w:cs="Times New Roman"/>
          <w:b/>
          <w:bCs/>
          <w:sz w:val="28"/>
          <w:szCs w:val="24"/>
        </w:rPr>
        <w:t>RISK RESILIENCE</w:t>
      </w:r>
      <w:bookmarkEnd w:id="0"/>
      <w:r w:rsidRPr="007B1206">
        <w:rPr>
          <w:rFonts w:ascii="Times New Roman" w:hAnsi="Times New Roman" w:cs="Times New Roman"/>
          <w:b/>
          <w:bCs/>
          <w:sz w:val="28"/>
          <w:szCs w:val="24"/>
        </w:rPr>
        <w:t>: INSIGHTS FROM A BIBLIOMETRIC ANALYSIS</w:t>
      </w:r>
    </w:p>
    <w:p w:rsidR="00D01897" w:rsidRPr="00A5335B" w:rsidRDefault="00D01897" w:rsidP="00D01897">
      <w:pPr>
        <w:jc w:val="center"/>
        <w:rPr>
          <w:rFonts w:ascii="Times New Roman" w:hAnsi="Times New Roman" w:cs="Times New Roman"/>
          <w:i/>
          <w:iCs/>
        </w:rPr>
      </w:pPr>
      <w:r>
        <w:rPr>
          <w:rFonts w:ascii="Times New Roman" w:hAnsi="Times New Roman" w:cs="Times New Roman"/>
          <w:i/>
          <w:iCs/>
        </w:rPr>
        <w:t>*</w:t>
      </w:r>
      <w:proofErr w:type="spellStart"/>
      <w:r w:rsidRPr="00A5335B">
        <w:rPr>
          <w:rFonts w:ascii="Times New Roman" w:hAnsi="Times New Roman" w:cs="Times New Roman"/>
          <w:i/>
          <w:iCs/>
        </w:rPr>
        <w:t>Niraj</w:t>
      </w:r>
      <w:proofErr w:type="spellEnd"/>
      <w:r w:rsidRPr="00A5335B">
        <w:rPr>
          <w:rFonts w:ascii="Times New Roman" w:hAnsi="Times New Roman" w:cs="Times New Roman"/>
          <w:i/>
          <w:iCs/>
        </w:rPr>
        <w:t xml:space="preserve"> </w:t>
      </w:r>
      <w:proofErr w:type="spellStart"/>
      <w:r w:rsidRPr="00A5335B">
        <w:rPr>
          <w:rFonts w:ascii="Times New Roman" w:hAnsi="Times New Roman" w:cs="Times New Roman"/>
          <w:i/>
          <w:iCs/>
        </w:rPr>
        <w:t>Plaha</w:t>
      </w:r>
      <w:proofErr w:type="spellEnd"/>
      <w:r>
        <w:rPr>
          <w:rFonts w:ascii="Times New Roman" w:hAnsi="Times New Roman" w:cs="Times New Roman"/>
          <w:i/>
          <w:iCs/>
        </w:rPr>
        <w:t xml:space="preserve">, Research Scholar, </w:t>
      </w:r>
      <w:r w:rsidRPr="00A5335B">
        <w:rPr>
          <w:rFonts w:ascii="Times New Roman" w:hAnsi="Times New Roman" w:cs="Times New Roman"/>
          <w:i/>
          <w:iCs/>
        </w:rPr>
        <w:t>MSB, Lovely Professional University</w:t>
      </w:r>
    </w:p>
    <w:p w:rsidR="00886A55" w:rsidRDefault="00886A55" w:rsidP="00886A55">
      <w:pPr>
        <w:spacing w:after="0" w:line="360" w:lineRule="auto"/>
        <w:jc w:val="center"/>
        <w:rPr>
          <w:i/>
          <w:iCs/>
        </w:rPr>
      </w:pPr>
      <w:r w:rsidRPr="00A5335B">
        <w:rPr>
          <w:rFonts w:ascii="Times New Roman" w:hAnsi="Times New Roman" w:cs="Times New Roman"/>
          <w:i/>
          <w:iCs/>
        </w:rPr>
        <w:t>*</w:t>
      </w:r>
      <w:r w:rsidR="00D01897">
        <w:rPr>
          <w:rFonts w:ascii="Times New Roman" w:hAnsi="Times New Roman" w:cs="Times New Roman"/>
          <w:i/>
          <w:iCs/>
        </w:rPr>
        <w:t>*</w:t>
      </w:r>
      <w:r w:rsidRPr="00A5335B">
        <w:rPr>
          <w:rFonts w:ascii="Times New Roman" w:hAnsi="Times New Roman" w:cs="Times New Roman"/>
          <w:i/>
          <w:iCs/>
        </w:rPr>
        <w:t>Dr</w:t>
      </w:r>
      <w:r w:rsidR="00B84FB1">
        <w:rPr>
          <w:rFonts w:ascii="Times New Roman" w:hAnsi="Times New Roman" w:cs="Times New Roman"/>
          <w:i/>
          <w:iCs/>
        </w:rPr>
        <w:t>.</w:t>
      </w:r>
      <w:r w:rsidRPr="00A5335B">
        <w:rPr>
          <w:rFonts w:ascii="Times New Roman" w:hAnsi="Times New Roman" w:cs="Times New Roman"/>
          <w:i/>
          <w:iCs/>
        </w:rPr>
        <w:t xml:space="preserve"> </w:t>
      </w:r>
      <w:proofErr w:type="spellStart"/>
      <w:r w:rsidRPr="00A5335B">
        <w:rPr>
          <w:rFonts w:ascii="Times New Roman" w:hAnsi="Times New Roman" w:cs="Times New Roman"/>
          <w:i/>
          <w:iCs/>
        </w:rPr>
        <w:t>Pooja</w:t>
      </w:r>
      <w:proofErr w:type="spellEnd"/>
      <w:r w:rsidRPr="00A5335B">
        <w:rPr>
          <w:rFonts w:ascii="Times New Roman" w:hAnsi="Times New Roman" w:cs="Times New Roman"/>
          <w:i/>
          <w:iCs/>
        </w:rPr>
        <w:t xml:space="preserve"> Sharma, Associate Professor, MSB, Lovely Professional University</w:t>
      </w:r>
    </w:p>
    <w:p w:rsidR="0062725D" w:rsidRDefault="0062725D" w:rsidP="00886A55">
      <w:pPr>
        <w:rPr>
          <w:rFonts w:ascii="Times New Roman" w:hAnsi="Times New Roman" w:cs="Times New Roman"/>
          <w:b/>
          <w:sz w:val="28"/>
          <w:szCs w:val="24"/>
        </w:rPr>
      </w:pPr>
    </w:p>
    <w:p w:rsidR="00886A55" w:rsidRPr="008E37E3" w:rsidRDefault="00886A55" w:rsidP="00886A55">
      <w:pPr>
        <w:rPr>
          <w:rFonts w:ascii="Times New Roman" w:hAnsi="Times New Roman" w:cs="Times New Roman"/>
          <w:b/>
          <w:sz w:val="28"/>
          <w:szCs w:val="24"/>
        </w:rPr>
      </w:pPr>
      <w:r w:rsidRPr="008E37E3">
        <w:rPr>
          <w:rFonts w:ascii="Times New Roman" w:hAnsi="Times New Roman" w:cs="Times New Roman"/>
          <w:b/>
          <w:sz w:val="28"/>
          <w:szCs w:val="24"/>
        </w:rPr>
        <w:t>ABSTRACT:</w:t>
      </w:r>
    </w:p>
    <w:p w:rsidR="00EB39DE" w:rsidRDefault="00C65CF5" w:rsidP="00C65CF5">
      <w:pPr>
        <w:spacing w:line="360" w:lineRule="auto"/>
        <w:jc w:val="both"/>
        <w:rPr>
          <w:rFonts w:ascii="Times New Roman" w:hAnsi="Times New Roman" w:cs="Times New Roman"/>
          <w:sz w:val="24"/>
          <w:szCs w:val="24"/>
        </w:rPr>
      </w:pPr>
      <w:r w:rsidRPr="00C65CF5">
        <w:rPr>
          <w:rFonts w:ascii="Times New Roman" w:hAnsi="Times New Roman" w:cs="Times New Roman"/>
          <w:sz w:val="24"/>
          <w:szCs w:val="24"/>
        </w:rPr>
        <w:t>Entrepreneurial capabilities and the ability to manage risk effectively play a vital role in driving business growth. Successful entrepreneurs need to possess a diverse range of skills, encompassing knowledge, innovation, creativity, and the adeptness to spot opportunities and surmount significant entrepreneurial obstacles, especially when confronted with unfavourable circumstances. Given the dynamic shifts in the global market, there is a growing interest in understanding the impact of entrepreneurial competencies and resilience against risks on business expansion.</w:t>
      </w:r>
      <w:r>
        <w:rPr>
          <w:rFonts w:ascii="Times New Roman" w:hAnsi="Times New Roman" w:cs="Times New Roman"/>
          <w:sz w:val="24"/>
          <w:szCs w:val="24"/>
        </w:rPr>
        <w:t xml:space="preserve"> </w:t>
      </w:r>
      <w:r w:rsidRPr="00C65CF5">
        <w:rPr>
          <w:rFonts w:ascii="Times New Roman" w:hAnsi="Times New Roman" w:cs="Times New Roman"/>
          <w:sz w:val="24"/>
          <w:szCs w:val="24"/>
        </w:rPr>
        <w:t xml:space="preserve">This research aims to conduct a thorough </w:t>
      </w:r>
      <w:proofErr w:type="spellStart"/>
      <w:r w:rsidRPr="00C65CF5">
        <w:rPr>
          <w:rFonts w:ascii="Times New Roman" w:hAnsi="Times New Roman" w:cs="Times New Roman"/>
          <w:sz w:val="24"/>
          <w:szCs w:val="24"/>
        </w:rPr>
        <w:t>bibliometric</w:t>
      </w:r>
      <w:proofErr w:type="spellEnd"/>
      <w:r w:rsidRPr="00C65CF5">
        <w:rPr>
          <w:rFonts w:ascii="Times New Roman" w:hAnsi="Times New Roman" w:cs="Times New Roman"/>
          <w:sz w:val="24"/>
          <w:szCs w:val="24"/>
        </w:rPr>
        <w:t xml:space="preserve"> analysis of the existing body of work concerning entrepreneurial competencies and risk resilience. The time frame c</w:t>
      </w:r>
      <w:r>
        <w:rPr>
          <w:rFonts w:ascii="Times New Roman" w:hAnsi="Times New Roman" w:cs="Times New Roman"/>
          <w:sz w:val="24"/>
          <w:szCs w:val="24"/>
        </w:rPr>
        <w:t>o</w:t>
      </w:r>
      <w:r w:rsidR="00EB39DE">
        <w:rPr>
          <w:rFonts w:ascii="Times New Roman" w:hAnsi="Times New Roman" w:cs="Times New Roman"/>
          <w:sz w:val="24"/>
          <w:szCs w:val="24"/>
        </w:rPr>
        <w:t>nsidered spans from 2000 to 2021</w:t>
      </w:r>
      <w:r w:rsidRPr="00C65CF5">
        <w:rPr>
          <w:rFonts w:ascii="Times New Roman" w:hAnsi="Times New Roman" w:cs="Times New Roman"/>
          <w:sz w:val="24"/>
          <w:szCs w:val="24"/>
        </w:rPr>
        <w:t xml:space="preserve">, during which a total of 443 and 353 studies were respectively published. </w:t>
      </w:r>
    </w:p>
    <w:p w:rsidR="00C65CF5" w:rsidRDefault="00C65CF5" w:rsidP="00C65CF5">
      <w:pPr>
        <w:spacing w:line="360" w:lineRule="auto"/>
        <w:jc w:val="both"/>
        <w:rPr>
          <w:rFonts w:ascii="Times New Roman" w:hAnsi="Times New Roman" w:cs="Times New Roman"/>
          <w:sz w:val="24"/>
          <w:szCs w:val="24"/>
        </w:rPr>
      </w:pPr>
      <w:r w:rsidRPr="00C65CF5">
        <w:rPr>
          <w:rFonts w:ascii="Times New Roman" w:hAnsi="Times New Roman" w:cs="Times New Roman"/>
          <w:sz w:val="24"/>
          <w:szCs w:val="24"/>
        </w:rPr>
        <w:t xml:space="preserve">The study's primary objectives include identifying prominent journals within this domain, pinpointing the most frequently cited studies, recognizing prolific authors, and determining the level of involvement from various countries. By applying </w:t>
      </w:r>
      <w:proofErr w:type="spellStart"/>
      <w:r w:rsidRPr="00C65CF5">
        <w:rPr>
          <w:rFonts w:ascii="Times New Roman" w:hAnsi="Times New Roman" w:cs="Times New Roman"/>
          <w:sz w:val="24"/>
          <w:szCs w:val="24"/>
        </w:rPr>
        <w:t>bibliometric</w:t>
      </w:r>
      <w:proofErr w:type="spellEnd"/>
      <w:r w:rsidRPr="00C65CF5">
        <w:rPr>
          <w:rFonts w:ascii="Times New Roman" w:hAnsi="Times New Roman" w:cs="Times New Roman"/>
          <w:sz w:val="24"/>
          <w:szCs w:val="24"/>
        </w:rPr>
        <w:t xml:space="preserve"> analysis, this research not only sheds light on crucial statistical aspects but also reveals collaborative networks intrinsic to this subject.</w:t>
      </w:r>
      <w:r w:rsidR="00EB39DE">
        <w:rPr>
          <w:rFonts w:ascii="Times New Roman" w:hAnsi="Times New Roman" w:cs="Times New Roman"/>
          <w:sz w:val="24"/>
          <w:szCs w:val="24"/>
        </w:rPr>
        <w:t xml:space="preserve"> </w:t>
      </w:r>
      <w:r w:rsidRPr="00C65CF5">
        <w:rPr>
          <w:rFonts w:ascii="Times New Roman" w:hAnsi="Times New Roman" w:cs="Times New Roman"/>
          <w:sz w:val="24"/>
          <w:szCs w:val="24"/>
        </w:rPr>
        <w:t xml:space="preserve">To accomplish this, data was sourced from the Scopus database, and the creation of a co-authorship network map was facilitated by the utilization of </w:t>
      </w:r>
      <w:proofErr w:type="spellStart"/>
      <w:r w:rsidRPr="00C65CF5">
        <w:rPr>
          <w:rFonts w:ascii="Times New Roman" w:hAnsi="Times New Roman" w:cs="Times New Roman"/>
          <w:sz w:val="24"/>
          <w:szCs w:val="24"/>
        </w:rPr>
        <w:t>VOSviewer</w:t>
      </w:r>
      <w:proofErr w:type="spellEnd"/>
      <w:r w:rsidRPr="00C65CF5">
        <w:rPr>
          <w:rFonts w:ascii="Times New Roman" w:hAnsi="Times New Roman" w:cs="Times New Roman"/>
          <w:sz w:val="24"/>
          <w:szCs w:val="24"/>
        </w:rPr>
        <w:t xml:space="preserve"> software. The findings of this research contribute significantly to the existing knowledge base on entrepreneurial competencies and risk resilience. Leveraging </w:t>
      </w:r>
      <w:proofErr w:type="spellStart"/>
      <w:r w:rsidRPr="00C65CF5">
        <w:rPr>
          <w:rFonts w:ascii="Times New Roman" w:hAnsi="Times New Roman" w:cs="Times New Roman"/>
          <w:sz w:val="24"/>
          <w:szCs w:val="24"/>
        </w:rPr>
        <w:t>bibliometric</w:t>
      </w:r>
      <w:proofErr w:type="spellEnd"/>
      <w:r w:rsidRPr="00C65CF5">
        <w:rPr>
          <w:rFonts w:ascii="Times New Roman" w:hAnsi="Times New Roman" w:cs="Times New Roman"/>
          <w:sz w:val="24"/>
          <w:szCs w:val="24"/>
        </w:rPr>
        <w:t xml:space="preserve"> techniques offers a more comprehensive and dependable perspective on this field, enhancing our understanding of its intricate dynamics.</w:t>
      </w:r>
    </w:p>
    <w:p w:rsidR="008E37E3" w:rsidRPr="008E37E3" w:rsidRDefault="00886A55" w:rsidP="008E37E3">
      <w:pPr>
        <w:spacing w:line="360" w:lineRule="auto"/>
        <w:jc w:val="both"/>
        <w:rPr>
          <w:rFonts w:ascii="Times New Roman" w:hAnsi="Times New Roman" w:cs="Times New Roman"/>
          <w:i/>
          <w:iCs/>
          <w:sz w:val="24"/>
          <w:szCs w:val="24"/>
        </w:rPr>
      </w:pPr>
      <w:r w:rsidRPr="008E37E3">
        <w:rPr>
          <w:rFonts w:ascii="Times New Roman" w:hAnsi="Times New Roman" w:cs="Times New Roman"/>
          <w:b/>
          <w:sz w:val="28"/>
          <w:szCs w:val="24"/>
        </w:rPr>
        <w:t>KEYWORDS:</w:t>
      </w:r>
      <w:r w:rsidR="00B84FB1">
        <w:rPr>
          <w:rFonts w:ascii="Times New Roman" w:hAnsi="Times New Roman" w:cs="Times New Roman"/>
          <w:b/>
          <w:sz w:val="24"/>
          <w:szCs w:val="24"/>
        </w:rPr>
        <w:t xml:space="preserve"> </w:t>
      </w:r>
      <w:r w:rsidRPr="00C92F15">
        <w:rPr>
          <w:rFonts w:ascii="Times New Roman" w:hAnsi="Times New Roman" w:cs="Times New Roman"/>
          <w:i/>
          <w:iCs/>
          <w:sz w:val="24"/>
          <w:szCs w:val="24"/>
        </w:rPr>
        <w:t xml:space="preserve">Entrepreneurs, Entrepreneurial Competencies, Risk Resilience, </w:t>
      </w:r>
      <w:proofErr w:type="spellStart"/>
      <w:r w:rsidRPr="00C92F15">
        <w:rPr>
          <w:rFonts w:ascii="Times New Roman" w:hAnsi="Times New Roman" w:cs="Times New Roman"/>
          <w:i/>
          <w:iCs/>
          <w:sz w:val="24"/>
          <w:szCs w:val="24"/>
        </w:rPr>
        <w:t>Bibliometric</w:t>
      </w:r>
      <w:proofErr w:type="spellEnd"/>
      <w:r w:rsidRPr="00C92F15">
        <w:rPr>
          <w:rFonts w:ascii="Times New Roman" w:hAnsi="Times New Roman" w:cs="Times New Roman"/>
          <w:i/>
          <w:iCs/>
          <w:sz w:val="24"/>
          <w:szCs w:val="24"/>
        </w:rPr>
        <w:t xml:space="preserve"> analysis</w:t>
      </w:r>
    </w:p>
    <w:p w:rsidR="003C34C2" w:rsidRPr="008E37E3" w:rsidRDefault="006763C9" w:rsidP="006763C9">
      <w:pPr>
        <w:ind w:hanging="284"/>
        <w:rPr>
          <w:rFonts w:ascii="Times New Roman" w:hAnsi="Times New Roman" w:cs="Times New Roman"/>
          <w:b/>
          <w:sz w:val="28"/>
          <w:szCs w:val="24"/>
        </w:rPr>
      </w:pPr>
      <w:r w:rsidRPr="008E37E3">
        <w:rPr>
          <w:rFonts w:ascii="Times New Roman" w:hAnsi="Times New Roman" w:cs="Times New Roman"/>
          <w:b/>
          <w:sz w:val="28"/>
          <w:szCs w:val="24"/>
        </w:rPr>
        <w:t xml:space="preserve">1. </w:t>
      </w:r>
      <w:r w:rsidR="003C34C2" w:rsidRPr="008E37E3">
        <w:rPr>
          <w:rFonts w:ascii="Times New Roman" w:hAnsi="Times New Roman" w:cs="Times New Roman"/>
          <w:b/>
          <w:sz w:val="28"/>
          <w:szCs w:val="24"/>
        </w:rPr>
        <w:t>INTRODUCTION</w:t>
      </w:r>
    </w:p>
    <w:p w:rsidR="00D80C58" w:rsidRPr="00D80C58" w:rsidRDefault="006763C9" w:rsidP="00D80C58">
      <w:pPr>
        <w:rPr>
          <w:rFonts w:ascii="Times New Roman" w:hAnsi="Times New Roman" w:cs="Times New Roman"/>
          <w:b/>
          <w:sz w:val="24"/>
          <w:szCs w:val="24"/>
        </w:rPr>
      </w:pPr>
      <w:r>
        <w:rPr>
          <w:rFonts w:ascii="Times New Roman" w:hAnsi="Times New Roman" w:cs="Times New Roman"/>
          <w:b/>
          <w:sz w:val="24"/>
          <w:szCs w:val="24"/>
        </w:rPr>
        <w:t xml:space="preserve">1.1. </w:t>
      </w:r>
      <w:r w:rsidRPr="006763C9">
        <w:rPr>
          <w:rFonts w:ascii="Times New Roman" w:hAnsi="Times New Roman" w:cs="Times New Roman"/>
          <w:b/>
          <w:sz w:val="24"/>
          <w:szCs w:val="24"/>
        </w:rPr>
        <w:t>Entrepreneurial Competencies</w:t>
      </w:r>
    </w:p>
    <w:p w:rsidR="005E43A8" w:rsidRPr="00B035DF" w:rsidRDefault="005E43A8" w:rsidP="005E43A8">
      <w:pPr>
        <w:spacing w:line="360" w:lineRule="auto"/>
        <w:jc w:val="both"/>
        <w:rPr>
          <w:rFonts w:ascii="Times New Roman" w:hAnsi="Times New Roman" w:cs="Times New Roman"/>
          <w:sz w:val="24"/>
        </w:rPr>
      </w:pPr>
      <w:r w:rsidRPr="00B035DF">
        <w:rPr>
          <w:rFonts w:ascii="Times New Roman" w:hAnsi="Times New Roman" w:cs="Times New Roman"/>
          <w:sz w:val="24"/>
          <w:szCs w:val="24"/>
        </w:rPr>
        <w:lastRenderedPageBreak/>
        <w:t xml:space="preserve">Competencies </w:t>
      </w:r>
      <w:r w:rsidR="00A90FC4">
        <w:rPr>
          <w:rFonts w:ascii="Times New Roman" w:hAnsi="Times New Roman" w:cs="Times New Roman"/>
          <w:sz w:val="24"/>
          <w:szCs w:val="24"/>
        </w:rPr>
        <w:t>a</w:t>
      </w:r>
      <w:r w:rsidRPr="00B035DF">
        <w:rPr>
          <w:rFonts w:ascii="Times New Roman" w:hAnsi="Times New Roman" w:cs="Times New Roman"/>
          <w:sz w:val="24"/>
          <w:szCs w:val="24"/>
        </w:rPr>
        <w:t>re often motivated by a desire to improve performance and as a result, the opportunity for financial benefit or company success</w:t>
      </w:r>
      <w:r w:rsidR="00030D36">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{"citationItems":[{"id":"ITEM-1","itemData":{"DOI":"10.1088/1751-8113/44/8/085201","ISBN":"9788578110796","ISSN":"17518113","PMID":"25246403","abstract":"We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Ltd.","author":[{"dropping-particle":"","family":"Vinet","given":"Luc","non-dropping-particle":"","parse-names":false,"suffix":""},{"dropping-particle":"","family":"Zhedanov","given":"Alexei","non-dropping-particle":"","parse-names":false,"suffix":""}],"container-title":"Journal of Physics A: Mathematical and Theoretical","id":"ITEM-1","issue":"8","issued":{"date-parts":[["2011"]]},"page":"3-16","title":"A 'missing' family of classical orthogonal polynomials","type":"article-journal","volume":"44"},"uris":["http://www.mendeley.com/documents/?uuid=d9ac41ad-2d2b-4b07-acd3-8aa72514396d"]},{"id":"ITEM-2","itemData":{"ISSN":"2278-6236","author":[{"dropping-particle":"","family":"Bhardwaj","given":"Anand","non-dropping-particle":"","parse-names":false,"suffix":""}],"container-title":"International Journal of Advanced Research in Management and Social Sciences","id":"ITEM-2","issue":"7","issued":{"date-parts":[["2016"]]},"page":"46-56","title":"Assessing planning and administration competency of working managers: A preliminary study","type":"article-journal","volume":"5"},"uris":["http://www.mendeley.com/documents/?uuid=9c8b6942-57d3-4668-aacc-be85b5cfb7ed"]},{"id":"ITEM-3","itemData":{"DOI":"10.1108/BJM-09-2018-0325","ISSN":"17465265","abstract":"Purpose: The purpose of this paper is to investigate the social-cognitive antecedents of an entrepreneur’s internationalization intent and a firm’s behavior. Building on the insights of social-cognitive psychology, the author develops a conceptual model linking an entrepreneur’s positive orientation, self-efficacy beliefs, internationalization intent and actual behavior of the firm. Design/methodology/approach: The author tests this model with a sample of 310 Polish firms (including 241 domestic and 69 international new ventures), drawing on data collected first in 2006 and then in 2007. Findings: The author finds that self-efficacy mediates between positive orientation and internationalization intent, and that an entrepreneur’s internationalization intent predicts a firm’s behavior (i.e. foreign market entry). Moreover, firm age moderates the relationship between an entrepreneur’s positive orientation and internationalization propensity among new ventures. Research limitations/implications: Overall, the findings demonstrate that social-cognitive theory is useful in predicting new venture internationalization. Practical implications: Based on the findings, the author recommends that managerial education in international management combines the development of “formal” skills and cross-cultural competencies with experiential and vicarious learning. Originality/value: The study combines insights from psychology and international business, thus responding to numerous calls for a more interdisciplinary and cognition-oriented focus on the international behavior of firms.","author":[{"dropping-particle":"","family":"Wasowska","given":"Aleksandra","non-dropping-particle":"","parse-names":false,"suffix":""}],"container-title":"Baltic Journal of Management","id":"ITEM-3","issue":"3","issued":{"date-parts":[["2019"]]},"note":"Cited By (since 2019): 2","page":"462-479","title":"Social-cognitive antecedents of new venture internationalization: The role of entrepreneur intention, self-efficacy, and positive orientation","type":"article-journal","volume":"14"},"uris":["http://www.mendeley.com/documents/?uuid=73b67765-3303-4377-896b-7d02dabf6fc1"]}],"mendeley":{"formattedCitation":"(Bhardwaj, 2016; Vinet &amp; Zhedanov, 2011; Wasowska, 2019)","plainTextFormattedCitation":"(Bhardwaj, 2016; Vinet &amp; Zhedanov, 2011; Wasowska, 2019)","previouslyFormattedCitation":"(Bhardwaj, 2016; Vinet &amp; Zhedanov, 2011; Wasowska, 2019)"},"properties":{"noteIndex":0},"schema":"https://github.com/citation-style-language/schema/raw/master/csl-citation.json"}</w:instrText>
      </w:r>
      <w:r w:rsidR="00030D36">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(Bhardwaj, 2016; Vinet &amp; Zhedanov, 2011; Wasowska, 2019)</w:t>
      </w:r>
      <w:r w:rsidR="00030D36">
        <w:rPr>
          <w:rFonts w:ascii="Times New Roman" w:hAnsi="Times New Roman" w:cs="Times New Roman"/>
          <w:sz w:val="24"/>
          <w:szCs w:val="24"/>
        </w:rPr>
        <w:fldChar w:fldCharType="end"/>
      </w:r>
      <w:r w:rsidRPr="00B035DF">
        <w:rPr>
          <w:rFonts w:ascii="Times New Roman" w:hAnsi="Times New Roman" w:cs="Times New Roman"/>
          <w:sz w:val="24"/>
          <w:szCs w:val="24"/>
        </w:rPr>
        <w:t xml:space="preserve">. The term competency was first used by </w:t>
      </w:r>
      <w:proofErr w:type="spellStart"/>
      <w:r w:rsidRPr="00B035DF">
        <w:rPr>
          <w:rFonts w:ascii="Times New Roman" w:hAnsi="Times New Roman" w:cs="Times New Roman"/>
          <w:sz w:val="24"/>
          <w:szCs w:val="24"/>
        </w:rPr>
        <w:t>Boyatzis</w:t>
      </w:r>
      <w:proofErr w:type="spellEnd"/>
      <w:r w:rsidRPr="00B035DF">
        <w:rPr>
          <w:rFonts w:ascii="Times New Roman" w:hAnsi="Times New Roman" w:cs="Times New Roman"/>
          <w:sz w:val="24"/>
          <w:szCs w:val="24"/>
        </w:rPr>
        <w:t xml:space="preserve"> in 1982, to distinguish superior from the average performance of managers which further describes the underlying characteristic of an individual that is causally related to effective or superior performance </w:t>
      </w:r>
      <w:r w:rsidR="00030D36" w:rsidRPr="00B035DF">
        <w:rPr>
          <w:rFonts w:ascii="Times New Roman" w:hAnsi="Times New Roman" w:cs="Times New Roman"/>
          <w:sz w:val="24"/>
          <w:szCs w:val="24"/>
        </w:rPr>
        <w:fldChar w:fldCharType="begin" w:fldLock="1"/>
      </w:r>
      <w:r w:rsidRPr="00B035DF">
        <w:rPr>
          <w:rFonts w:ascii="Times New Roman" w:hAnsi="Times New Roman" w:cs="Times New Roman"/>
          <w:sz w:val="24"/>
          <w:szCs w:val="24"/>
        </w:rPr>
        <w:instrText>ADDIN CSL_CITATION {"citationItems":[{"id":"ITEM-1","itemData":{"DOI":"10.1108/02621710910947371","ISSN":"02621711","abstract":"Purpose: The purpose of this paper is to investigate whether there is a set of management competencies that should be possessed by managers irrespective of their areas of functional specialization using quantitative methodology. Design/methodology/approach: For the study, 31 individual competencies were analyzed. The study was confined to a fully integrated telecommunication service provider; 198 managerial employees participated in the survey. Findings: The findings reveal broad level competencies that are important for managers working in one of the seven functional areas. The findings suggest the importance of competencies from value and skill clusters than knowledge cluster across all functional areas. Further, there was hardly any congruence with the perceptions on current expertise and current importance across all the functional areas. Practical implications: While the findings of the study have a specific relevance to the managers in the telecommunication industry, they could have a rather broader relevance with implications for management development initiatives. Originality/value: Although there is an enormous diversity in the scope of competency literature, a few empirical research studies have been conducted on management competency requirements for different functional areas. A limited number of competency studies have been conducted in Asia and in many cases those were confined to identify requisite competencies for managers from a specific functional area, such as human resources development. Hence empirical research studies are needed to fill this lacuna in literature. This paper fills some of the gaps. © Emerald Group Publishing Limited.","author":[{"dropping-particle":"","family":"Wickramasinghe","given":"Vathsala","non-dropping-particle":"","parse-names":false,"suffix":""},{"dropping-particle":"","family":"Zoyza","given":"Nimali","non-dropping-particle":"de","parse-names":false,"suffix":""}],"container-title":"Journal of Management Development","id":"ITEM-1","issue":"4","issued":{"date-parts":[["2009"]]},"page":"344-360","title":"A comparative analysis of managerial competency needs across areas of functional specialization","type":"article-journal","volume":"28"},"uris":["http://www.mendeley.com/documents/?uuid=e0630ce7-38e2-46d8-8660-eeafe487d27d"]}],"mendeley":{"formattedCitation":"(Wickramasinghe &amp; de Zoyza, 2009)","plainTextFormattedCitation":"(Wickramasinghe &amp; de Zoyza, 2009)","previouslyFormattedCitation":"(Wickramasinghe &amp; de Zoyza, 2009)"},"properties":{"noteIndex":0},"schema":"https://github.com/citation-style-language/schema/raw/master/csl-citation.json"}</w:instrText>
      </w:r>
      <w:r w:rsidR="00030D36" w:rsidRPr="00B035DF">
        <w:rPr>
          <w:rFonts w:ascii="Times New Roman" w:hAnsi="Times New Roman" w:cs="Times New Roman"/>
          <w:sz w:val="24"/>
          <w:szCs w:val="24"/>
        </w:rPr>
        <w:fldChar w:fldCharType="separate"/>
      </w:r>
      <w:r w:rsidRPr="00B035DF">
        <w:rPr>
          <w:rFonts w:ascii="Times New Roman" w:hAnsi="Times New Roman" w:cs="Times New Roman"/>
          <w:noProof/>
          <w:sz w:val="24"/>
          <w:szCs w:val="24"/>
        </w:rPr>
        <w:t>(Wickramasinghe &amp; de Zoyza, 2009)</w:t>
      </w:r>
      <w:r w:rsidR="00030D36" w:rsidRPr="00B035DF">
        <w:rPr>
          <w:rFonts w:ascii="Times New Roman" w:hAnsi="Times New Roman" w:cs="Times New Roman"/>
          <w:sz w:val="24"/>
          <w:szCs w:val="24"/>
        </w:rPr>
        <w:fldChar w:fldCharType="end"/>
      </w:r>
      <w:r w:rsidRPr="00B035DF">
        <w:rPr>
          <w:rFonts w:ascii="Times New Roman" w:hAnsi="Times New Roman" w:cs="Times New Roman"/>
          <w:sz w:val="24"/>
          <w:szCs w:val="24"/>
        </w:rPr>
        <w:t xml:space="preserve">. The competence of managers considering managerial skills is one of the main factors of success in any organization. The effectiveness of managers in terms of their competencies i.e. managerial skills can help the organization to build up the reputation and achieve the goals and objectives </w:t>
      </w:r>
      <w:r w:rsidR="00030D36" w:rsidRPr="00B035DF">
        <w:rPr>
          <w:rFonts w:ascii="Times New Roman" w:hAnsi="Times New Roman" w:cs="Times New Roman"/>
          <w:sz w:val="24"/>
          <w:szCs w:val="24"/>
        </w:rPr>
        <w:fldChar w:fldCharType="begin" w:fldLock="1"/>
      </w:r>
      <w:r w:rsidRPr="00B035DF">
        <w:rPr>
          <w:rFonts w:ascii="Times New Roman" w:hAnsi="Times New Roman" w:cs="Times New Roman"/>
          <w:sz w:val="24"/>
          <w:szCs w:val="24"/>
        </w:rPr>
        <w:instrText>ADDIN CSL_CITATION {"citationItems":[{"id":"ITEM-1","itemData":{"author":[{"dropping-particle":"","family":"Ghorbani, S., Khodayari, A., &amp; Mohammadi","given":"S.","non-dropping-particle":"","parse-names":false,"suffix":""}],"container-title":"European Journal of Experimental Biology","id":"ITEM-1","issue":"1","issued":{"date-parts":[["2014"]]},"page":"321-326","title":"The relationship between managerial skills with organizational climate in managers and staff in national Olympic committee of Iran","type":"article-journal","volume":"4"},"uris":["http://www.mendeley.com/documents/?uuid=b4f9ad91-1205-409e-80a1-14e46ec7046c"]}],"mendeley":{"formattedCitation":"(Ghorbani, S., Khodayari, A., &amp; Mohammadi, 2014)","plainTextFormattedCitation":"(Ghorbani, S., Khodayari, A., &amp; Mohammadi, 2014)","previouslyFormattedCitation":"(Ghorbani, S., Khodayari, A., &amp; Mohammadi, 2014)"},"properties":{"noteIndex":0},"schema":"https://github.com/citation-style-language/schema/raw/master/csl-citation.json"}</w:instrText>
      </w:r>
      <w:r w:rsidR="00030D36" w:rsidRPr="00B035DF">
        <w:rPr>
          <w:rFonts w:ascii="Times New Roman" w:hAnsi="Times New Roman" w:cs="Times New Roman"/>
          <w:sz w:val="24"/>
          <w:szCs w:val="24"/>
        </w:rPr>
        <w:fldChar w:fldCharType="separate"/>
      </w:r>
      <w:r w:rsidRPr="00B035DF">
        <w:rPr>
          <w:rFonts w:ascii="Times New Roman" w:hAnsi="Times New Roman" w:cs="Times New Roman"/>
          <w:noProof/>
          <w:sz w:val="24"/>
          <w:szCs w:val="24"/>
        </w:rPr>
        <w:t>(Ghorbani, S., Khodayari, A., &amp; Mohammadi, 2014)</w:t>
      </w:r>
      <w:r w:rsidR="00030D36" w:rsidRPr="00B035DF">
        <w:rPr>
          <w:rFonts w:ascii="Times New Roman" w:hAnsi="Times New Roman" w:cs="Times New Roman"/>
          <w:sz w:val="24"/>
          <w:szCs w:val="24"/>
        </w:rPr>
        <w:fldChar w:fldCharType="end"/>
      </w:r>
      <w:r w:rsidRPr="00B035DF">
        <w:rPr>
          <w:rFonts w:ascii="Times New Roman" w:hAnsi="Times New Roman" w:cs="Times New Roman"/>
          <w:sz w:val="24"/>
          <w:szCs w:val="24"/>
        </w:rPr>
        <w:t>.</w:t>
      </w:r>
      <w:r w:rsidR="00A90FC4">
        <w:rPr>
          <w:rFonts w:ascii="Times New Roman" w:hAnsi="Times New Roman" w:cs="Times New Roman"/>
          <w:sz w:val="24"/>
          <w:szCs w:val="24"/>
        </w:rPr>
        <w:t xml:space="preserve"> </w:t>
      </w:r>
      <w:r w:rsidR="00A90FC4" w:rsidRPr="00491ABF">
        <w:rPr>
          <w:rFonts w:ascii="Times New Roman" w:hAnsi="Times New Roman" w:cs="Times New Roman"/>
          <w:sz w:val="24"/>
          <w:szCs w:val="24"/>
        </w:rPr>
        <w:t>The competencies include many variables such as knowledge and various skills like leadership, team management</w:t>
      </w:r>
      <w:r w:rsidR="00B84FB1" w:rsidRPr="00491ABF">
        <w:rPr>
          <w:rFonts w:ascii="Times New Roman" w:hAnsi="Times New Roman" w:cs="Times New Roman"/>
          <w:sz w:val="24"/>
          <w:szCs w:val="24"/>
        </w:rPr>
        <w:t>,</w:t>
      </w:r>
      <w:r w:rsidR="00A90FC4" w:rsidRPr="00491ABF">
        <w:rPr>
          <w:rFonts w:ascii="Times New Roman" w:hAnsi="Times New Roman" w:cs="Times New Roman"/>
          <w:sz w:val="24"/>
          <w:szCs w:val="24"/>
        </w:rPr>
        <w:t xml:space="preserve"> and many more. Here, knowledge plays an important role because all the competencies are based on specific knowledge of each </w:t>
      </w:r>
      <w:r w:rsidR="00821962" w:rsidRPr="00491ABF">
        <w:rPr>
          <w:rFonts w:ascii="Times New Roman" w:hAnsi="Times New Roman" w:cs="Times New Roman"/>
          <w:sz w:val="24"/>
          <w:szCs w:val="24"/>
        </w:rPr>
        <w:t>variable</w:t>
      </w:r>
      <w:r w:rsidR="00A90FC4" w:rsidRPr="00491ABF">
        <w:rPr>
          <w:rFonts w:ascii="Times New Roman" w:hAnsi="Times New Roman" w:cs="Times New Roman"/>
          <w:sz w:val="24"/>
          <w:szCs w:val="24"/>
        </w:rPr>
        <w:t xml:space="preserve"> included it</w:t>
      </w:r>
      <w:r w:rsidR="00B84FB1" w:rsidRPr="00491ABF">
        <w:rPr>
          <w:rFonts w:ascii="Times New Roman" w:hAnsi="Times New Roman" w:cs="Times New Roman"/>
          <w:sz w:val="24"/>
          <w:szCs w:val="24"/>
        </w:rPr>
        <w:t>s</w:t>
      </w:r>
      <w:r w:rsidR="00A90FC4" w:rsidRPr="00491ABF">
        <w:rPr>
          <w:rFonts w:ascii="Times New Roman" w:hAnsi="Times New Roman" w:cs="Times New Roman"/>
          <w:sz w:val="24"/>
          <w:szCs w:val="24"/>
        </w:rPr>
        <w:t xml:space="preserve"> knowledge. Hence, </w:t>
      </w:r>
      <w:r w:rsidR="00A144B8" w:rsidRPr="00491ABF">
        <w:rPr>
          <w:rFonts w:ascii="Times New Roman" w:hAnsi="Times New Roman" w:cs="Times New Roman"/>
          <w:sz w:val="24"/>
          <w:szCs w:val="24"/>
        </w:rPr>
        <w:t xml:space="preserve">Knowledge can be defined as the possession and understanding of </w:t>
      </w:r>
      <w:r w:rsidR="00B84FB1" w:rsidRPr="00491ABF">
        <w:rPr>
          <w:rFonts w:ascii="Times New Roman" w:hAnsi="Times New Roman" w:cs="Times New Roman"/>
          <w:sz w:val="24"/>
          <w:szCs w:val="24"/>
        </w:rPr>
        <w:t xml:space="preserve">the </w:t>
      </w:r>
      <w:r w:rsidR="00A144B8" w:rsidRPr="00491ABF">
        <w:rPr>
          <w:rFonts w:ascii="Times New Roman" w:hAnsi="Times New Roman" w:cs="Times New Roman"/>
          <w:sz w:val="24"/>
          <w:szCs w:val="24"/>
        </w:rPr>
        <w:t>principle, facts, processes</w:t>
      </w:r>
      <w:r w:rsidR="00B84FB1" w:rsidRPr="00491ABF">
        <w:rPr>
          <w:rFonts w:ascii="Times New Roman" w:hAnsi="Times New Roman" w:cs="Times New Roman"/>
          <w:sz w:val="24"/>
          <w:szCs w:val="24"/>
        </w:rPr>
        <w:t>,</w:t>
      </w:r>
      <w:r w:rsidR="00A144B8" w:rsidRPr="00491ABF">
        <w:rPr>
          <w:rFonts w:ascii="Times New Roman" w:hAnsi="Times New Roman" w:cs="Times New Roman"/>
          <w:sz w:val="24"/>
          <w:szCs w:val="24"/>
        </w:rPr>
        <w:t xml:space="preserve"> and many more things</w:t>
      </w:r>
      <w:r w:rsidRPr="00491ABF">
        <w:rPr>
          <w:rFonts w:ascii="Times New Roman" w:hAnsi="Times New Roman" w:cs="Times New Roman"/>
          <w:sz w:val="24"/>
          <w:szCs w:val="24"/>
        </w:rPr>
        <w:t xml:space="preserve"> </w:t>
      </w:r>
      <w:r w:rsidR="00030D36" w:rsidRPr="00491ABF">
        <w:rPr>
          <w:rFonts w:ascii="Times New Roman" w:hAnsi="Times New Roman" w:cs="Times New Roman"/>
          <w:sz w:val="24"/>
        </w:rPr>
        <w:fldChar w:fldCharType="begin" w:fldLock="1"/>
      </w:r>
      <w:r w:rsidR="00F16AC4" w:rsidRPr="00491ABF">
        <w:rPr>
          <w:rFonts w:ascii="Times New Roman" w:hAnsi="Times New Roman" w:cs="Times New Roman"/>
          <w:sz w:val="24"/>
        </w:rPr>
        <w:instrText>ADDIN CSL_CITATION {"citationItems":[{"id":"ITEM-1","itemData":{"DOI":"10.1186/s40008-020-00195-4","ISSN":"21932409","abstract":"Few studies investigated the role of entrepreneurship education in students’ entrepreneurial intentions. These studies produced controversial results which invited the attention of researchers for further investigations. This paper examines the moderating role of entrepreneurship education on the predictive value of attitude, subjective norms and self-efficacy for entrepreneurial intentions. True Experimental Design (post-test-only control group design) is used to investigate the change in the nature and magnitude of the impact of independent variables (personal attitude, self-efficacy and subjective norms) on the dependent variable (intentions) using entrepreneurship education as a moderating variable. Data were collected from the treatment group (completed entrepreneurship course) and control group (not taken entrepreneurship course) from various higher education institutions in Oman. Total 500 questionnaires were distributed, out of which 204 filled questionnaires were received back in which 196 qualified as valid responses. Structural equation modeling was used to test hypotheses. The statistical relationship among the modeled variables was estimated using Partial Least Square method. The results revealed that attitude toward entrepreneurship, subjective norms and self-efficacy are the significant predictors of entrepreneurial intentions. However, entrepreneurship education moderates this relationship by strengthening the path coefficients of attitude toward entrepreneurship and self-efficacy. Same time it weakens the path coefficient of subjective norms.","author":[{"dropping-particle":"","family":"Shah","given":"Iqtidar A.","non-dropping-particle":"","parse-names":false,"suffix":""},{"dropping-particle":"","family":"Amjed","given":"Sohail","non-dropping-particle":"","parse-names":false,"suffix":""},{"dropping-particle":"","family":"Jaboob","given":"Said","non-dropping-particle":"","parse-names":false,"suffix":""}],"container-title":"Journal of Economic Structures","id":"ITEM-1","issue":"1","issued":{"date-parts":[["2020"]]},"publisher":"Springer Berlin Heidelberg","title":"The moderating role of entrepreneurship education in shaping entrepreneurial intentions","type":"article-journal","volume":"9"},"uris":["http://www.mendeley.com/documents/?uuid=21a32fbb-0282-430f-8b94-0948cd199ff6"]},{"id":"ITEM-2","itemData":{"DOI":"10.1007/s10843-017-0218-z","ISSN":"15737349","abstract":"Many universities are becoming more entrepreneurial by supporting spin-off activities of students and staff, installing entrepreneurship programs and creating networks with local entrepreneurs. But how do these activities affect university graduates’ employment choices? By utilizing different data sources, this question is addressed in the present study. Information collected through a large-scale graduate survey, implemented by the International Centre for Higher Education Research-Kassel, is combined with a ranking system of entrepreneurial orientation among German universities and data on the workforce within the university region. Empirical analysis suggests that the likelihood of entering self-employment is significantly positively related to the entrepreneurial orientation of the university. On the individual level, work experience prior to studying increases the likelihood of graduates entering self-employment while no robust influence of human capital indicators is detected.","author":[{"dropping-particle":"","family":"Krabel","given":"Stefan","non-dropping-particle":"","parse-names":false,"suffix":""}],"container-title":"Journal of International Entrepreneurship","id":"ITEM-2","issue":"4","issued":{"date-parts":[["2018"]]},"note":"Cited By (since 2018): 2","page":"456-485","title":"Are entrepreneurs made on campus? The impact of entrepreneurial universities and graduates’ human capital on graduates’ occupational choice","type":"article-journal","volume":"16"},"uris":["http://www.mendeley.com/documents/?uuid=4616da0d-9473-4824-b6b9-97b5233643df"]}],"mendeley":{"formattedCitation":"(Krabel, 2018; Shah et al., 2020)","plainTextFormattedCitation":"(Krabel, 2018; Shah et al., 2020)","previouslyFormattedCitation":"(Krabel, 2018; Shah et al., 2020)"},"properties":{"noteIndex":0},"schema":"https://github.com/citation-style-language/schema/raw/master/csl-citation.json"}</w:instrText>
      </w:r>
      <w:r w:rsidR="00030D36" w:rsidRPr="00491ABF">
        <w:rPr>
          <w:rFonts w:ascii="Times New Roman" w:hAnsi="Times New Roman" w:cs="Times New Roman"/>
          <w:sz w:val="24"/>
        </w:rPr>
        <w:fldChar w:fldCharType="separate"/>
      </w:r>
      <w:r w:rsidRPr="00491ABF">
        <w:rPr>
          <w:rFonts w:ascii="Times New Roman" w:hAnsi="Times New Roman" w:cs="Times New Roman"/>
          <w:noProof/>
          <w:sz w:val="24"/>
        </w:rPr>
        <w:t>(Krabel, 2018; Shah et al., 2020)</w:t>
      </w:r>
      <w:r w:rsidR="00030D36" w:rsidRPr="00491ABF">
        <w:rPr>
          <w:rFonts w:ascii="Times New Roman" w:hAnsi="Times New Roman" w:cs="Times New Roman"/>
          <w:sz w:val="24"/>
        </w:rPr>
        <w:fldChar w:fldCharType="end"/>
      </w:r>
      <w:r w:rsidRPr="00491ABF">
        <w:rPr>
          <w:rFonts w:ascii="Times New Roman" w:hAnsi="Times New Roman" w:cs="Times New Roman"/>
          <w:sz w:val="24"/>
        </w:rPr>
        <w:t>.</w:t>
      </w:r>
    </w:p>
    <w:p w:rsidR="00641371" w:rsidRDefault="00641371" w:rsidP="00641371">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color w:val="000000"/>
          <w:sz w:val="24"/>
          <w:szCs w:val="24"/>
        </w:rPr>
        <w:t>Research on entrepreneurial competencies has rapidly grown over the past twenty years. A wide variety of studies have been conducted on various topics related to entrepreneurial competencies</w:t>
      </w:r>
      <w:r w:rsidR="00A90FC4">
        <w:rPr>
          <w:rFonts w:ascii="Times New Roman" w:hAnsi="Times New Roman" w:cs="Times New Roman"/>
          <w:color w:val="000000"/>
          <w:sz w:val="24"/>
          <w:szCs w:val="24"/>
        </w:rPr>
        <w:t xml:space="preserve"> </w:t>
      </w:r>
      <w:r w:rsidR="00030D36">
        <w:rPr>
          <w:rFonts w:ascii="Times New Roman" w:hAnsi="Times New Roman" w:cs="Times New Roman"/>
          <w:color w:val="000000"/>
          <w:sz w:val="24"/>
          <w:szCs w:val="24"/>
        </w:rPr>
        <w:fldChar w:fldCharType="begin" w:fldLock="1"/>
      </w:r>
      <w:r w:rsidR="00F16AC4">
        <w:rPr>
          <w:rFonts w:ascii="Times New Roman" w:hAnsi="Times New Roman" w:cs="Times New Roman"/>
          <w:color w:val="000000"/>
          <w:sz w:val="24"/>
          <w:szCs w:val="24"/>
        </w:rPr>
        <w:instrText>ADDIN CSL_CITATION {"citationItems":[{"id":"ITEM-1","itemData":{"abstract":"Despite the growing literature on the impact of entrepreneurial traits of managers/owners on the performance of small firms in developed economies, little is known about the contribution of managerial competencies (MC) of these managers/owners to the success of their firms. Since entrepreneurial literature attributes the failure of most emerging businesses (i.e. in their first three years of existence) to the paucity of MC among managers/owners of emerging businesses, an investigation into the effects of these competencies on the performance of small emerging internet businesses is critical to locating the strategic levers that potentially optimise the growth and sustainability of these businesses in emerging economies. This theoretical study, therefore, examines the relationship between managerial competencies of owners/ managers and the performance of emerging internet firms in South Africa. Extant literature and researchers’ reflective experiences were used to develop a conceptual model on the relationship between managerial competencies of managers/owners of small internet cafés and the performance of their firms. The model suggests that an assortment of managerial competencies (human capital requirements, resources and individual capabilities) is critical to the improved performance of small internet businesses. The thesis of this paper is that understanding the appropriate constitution of managerial competencies ideal for emerging technology firms, organisational context of emerging technology firms including the broader business environment would positively impact small internet business performance.","author":[{"dropping-particle":"","family":"Rambe","given":"Patient","non-dropping-particle":"","parse-names":false,"suffix":""},{"dropping-particle":"","family":"Africa","given":"South","non-dropping-particle":"","parse-names":false,"suffix":""},{"dropping-particle":"","family":"Makhalemele","given":"Naledi","non-dropping-particle":"","parse-names":false,"suffix":""},{"dropping-particle":"","family":"Africa","given":"South","non-dropping-particle":"","parse-names":false,"suffix":""}],"container-title":"International Business &amp; Economics Research Journal","id":"ITEM-1","issue":"4","issued":{"date-parts":[["2015"]]},"page":"678-692, July/August,","title":"Emerging Technology Firms And Business Internet Cafés Performance In South Africa","type":"article-journal","volume":"14"},"uris":["http://www.mendeley.com/documents/?uuid=9a641f3b-2ce7-44fb-ab0a-1164b7e39ead"]},{"id":"ITEM-2","itemData":{"DOI":"10.1016/j.ibusrev.2012.05.002","ISSN":"09695931","abstract":"This study explores the effects of trust, commitment, relation-oriented competencies and entrepreneurial competencies on export performance. Using survey data from 134 exporting organizations located in the south of the Netherlands, a conceptual model is tested in which trust and affective commitment act as energizing forces for the development of competencies that have a positive effect on export performance. The main difference between this approach and other models is that affective commitment is hypothesized to have an indirect effect on performance, rather than a direct effect. This prediction is borne out by the data, which indicates that the role of trust and affective commitment in relational models of export performance may need to be reconsidered. © 2012 Elsevier Ltd.","author":[{"dropping-particle":"","family":"Bloemer","given":"Josée","non-dropping-particle":"","parse-names":false,"suffix":""},{"dropping-particle":"","family":"Pluymaekers","given":"Mark","non-dropping-particle":"","parse-names":false,"suffix":""},{"dropping-particle":"","family":"Odekerken","given":"Armand","non-dropping-particle":"","parse-names":false,"suffix":""}],"container-title":"International Business Review","id":"ITEM-2","issue":"2","issued":{"date-parts":[["2013"]]},"page":"363-380","title":"Trust and affective commitment as energizing forces for export performance","type":"article-journal","volume":"22"},"uris":["http://www.mendeley.com/documents/?uuid=c8a632d4-16ef-4cf2-9e5a-cfd0b7588fa9"]},{"id":"ITEM-3","itemData":{"DOI":"10.4102/sajesbm.v11i1.191","ISSN":"2522-7343","abstract":"Encouraging entrepreneurship and facilitating the rapid growth of innovative SMEs is an effective means of creating jobs, increasing productivity and alleviating poverty. Identifying and implementing the policies that can achieve these goals is an increasing priority for governments of industrialised and developing countries alike. This publication describes recent trends concerning SMEs and entrepreneurship in OECD economies and beyond. It reports on a range of policy initiatives taken to enhance the vitality and competitiveness of the SME sector, which comprises over 95% of all enterprises and accounts for two thirds of private sector employment. Among the themes covered in this edition are: the need to reduce regulatory and administrative burdens affecting entrepreneurial activity; the increasing attention given by governments to entrepreneurship education. education and training; the need to ease SME access to financing, technology, innovation and international markets; the growing importance of women’s entrepreneurship; and local policy issues. This third edition also includes the Istanbul Ministerial Declaration on Fostering the Growth of Innovative and Internationally Competitive SMEs. Coming four years after the Bologna Charter on SME Policies, this Declaration is comprised of a set of policy recommendations and was adopted by Ministers and representatives of 72 governments at the 2 OECD Ministerial Conference on SMEs, held in Istanbul, Turkey, in June 2004.","author":[{"dropping-particle":"","family":"Botha","given":"Melodi","non-dropping-particle":"","parse-names":false,"suffix":""},{"dropping-particle":"","family":"Carruthers","given":"Tom J.","non-dropping-particle":"","parse-names":false,"suffix":""},{"dropping-particle":"","family":"Venter","given":"Marc W.","non-dropping-particle":"","parse-names":false,"suffix":""}],"container-title":"The Southern African Journal of Entrepreneurship and Small Business Management","id":"ITEM-3","issue":"1","issued":{"date-parts":[["2019"]]},"page":"1-15","title":"The relationship between entrepreneurial competencies and the recurring entrepreneurial intention and action of existing entrepreneurs","type":"article-journal","volume":"11"},"uris":["http://www.mendeley.com/documents/?uuid=bcf36882-e495-46ec-9794-b63f633b21d5"]},{"id":"ITEM-4","itemData":{"DOI":"10.1108/IJEBR-12-2018-0806","ISSN":"13552554","abstract":"Purpose: The entrepreneur is the main decision-maker in small and medium-sized enterprises and is the principal force in the implementation of a firm's international strategy. Research has paid limited attention to the intangible aspects of human capital, namely behavioural competencies that may have an impact on the entrepreneur's ability to take advantage of international opportunities. This study addresses this gap, identifying the behavioural competencies that distinguish entrepreneurs who pursue a stronger internationalisation expansion beyond the European market. Design/methodology/approach: A competency modelling process is implemented for a sample of Italian entrepreneurs. Data on behavioural competencies are obtained through the coding of behavioural event interviews administrated to the entrepreneurs. Export intensity is adopted as a performance criterion to classify the entrepreneurs. Findings: Three behavioural competencies (change catalyst, teamwork and organisational learning orientation) emerged as more significantly activated by entrepreneurs who show a higher export intensity in the global market. Research limitations/implications: The exploratory nature of the study, conducted in a small sample and in a specific geographical area, may reduce the generalisability of the findings. Practical implications: Entrepreneurs can become aware of the behavioural competencies needed for the implementation of internationalisation processes. Additionally, training programmes can be designed to promote the development of these behaviours. Originality/value: Bridging the literature on international entrepreneurship, cross-cultural studies and competency-based research, this study highlights the role of behavioural competencies in the internationalisation process from a micro level of analysis. This article proposes a competency framework that can be adopted to assess a broader portfolio of entrepreneurs' behaviours.","author":[{"dropping-particle":"","family":"Cortellazzo","given":"Laura","non-dropping-particle":"","parse-names":false,"suffix":""},{"dropping-particle":"","family":"Bonesso","given":"Sara","non-dropping-particle":"","parse-names":false,"suffix":""},{"dropping-particle":"","family":"Gerli","given":"Fabrizio","non-dropping-particle":"","parse-names":false,"suffix":""}],"container-title":"International Journal of Entrepreneurial Behaviour and Research","id":"ITEM-4","issue":"4","issued":{"date-parts":[["2020"]]},"note":"Cited By (since 2020): 1","page":"723-747","title":"Entrepreneurs' behavioural competencies for internationalisation: Exploratory insights from the Italian context","type":"article-journal","volume":"26"},"uris":["http://www.mendeley.com/documents/?uuid=d11f12d7-dd46-4d18-b274-6455b0aea102"]}],"mendeley":{"formattedCitation":"(Bloemer et al., 2013; Botha et al., 2019; Cortellazzo et al., 2020; Rambe et al., 2015)","plainTextFormattedCitation":"(Bloemer et al., 2013; Botha et al., 2019; Cortellazzo et al., 2020; Rambe et al., 2015)","previouslyFormattedCitation":"(Bloemer et al., 2013; Botha et al., 2019; Cortellazzo et al., 2020; Rambe et al., 2015)"},"properties":{"noteIndex":0},"schema":"https://github.com/citation-style-language/schema/raw/master/csl-citation.json"}</w:instrText>
      </w:r>
      <w:r w:rsidR="00030D36">
        <w:rPr>
          <w:rFonts w:ascii="Times New Roman" w:hAnsi="Times New Roman" w:cs="Times New Roman"/>
          <w:color w:val="000000"/>
          <w:sz w:val="24"/>
          <w:szCs w:val="24"/>
        </w:rPr>
        <w:fldChar w:fldCharType="separate"/>
      </w:r>
      <w:r w:rsidR="00F16AC4" w:rsidRPr="00F16AC4">
        <w:rPr>
          <w:rFonts w:ascii="Times New Roman" w:hAnsi="Times New Roman" w:cs="Times New Roman"/>
          <w:noProof/>
          <w:color w:val="000000"/>
          <w:sz w:val="24"/>
          <w:szCs w:val="24"/>
        </w:rPr>
        <w:t>(Bloemer et al., 2013; Botha et al., 2019; Cortellazzo et al., 2020; Rambe et al., 2015)</w:t>
      </w:r>
      <w:r w:rsidR="00030D36">
        <w:rPr>
          <w:rFonts w:ascii="Times New Roman" w:hAnsi="Times New Roman" w:cs="Times New Roman"/>
          <w:color w:val="000000"/>
          <w:sz w:val="24"/>
          <w:szCs w:val="24"/>
        </w:rPr>
        <w:fldChar w:fldCharType="end"/>
      </w:r>
      <w:r w:rsidRPr="00B035DF">
        <w:rPr>
          <w:rFonts w:ascii="Times New Roman" w:hAnsi="Times New Roman" w:cs="Times New Roman"/>
          <w:color w:val="000000"/>
          <w:sz w:val="24"/>
          <w:szCs w:val="24"/>
        </w:rPr>
        <w:t xml:space="preserve">. However, only a handful </w:t>
      </w:r>
      <w:r w:rsidR="00646B1D">
        <w:rPr>
          <w:rFonts w:ascii="Times New Roman" w:hAnsi="Times New Roman" w:cs="Times New Roman"/>
          <w:color w:val="000000"/>
          <w:sz w:val="24"/>
          <w:szCs w:val="24"/>
        </w:rPr>
        <w:t xml:space="preserve">of </w:t>
      </w:r>
      <w:r w:rsidRPr="00B035DF">
        <w:rPr>
          <w:rFonts w:ascii="Times New Roman" w:hAnsi="Times New Roman" w:cs="Times New Roman"/>
          <w:color w:val="000000"/>
          <w:sz w:val="24"/>
          <w:szCs w:val="24"/>
        </w:rPr>
        <w:t xml:space="preserve">studies could be found that have attempted to provide a </w:t>
      </w:r>
      <w:proofErr w:type="spellStart"/>
      <w:r w:rsidRPr="00B035DF">
        <w:rPr>
          <w:rFonts w:ascii="Times New Roman" w:hAnsi="Times New Roman" w:cs="Times New Roman"/>
          <w:color w:val="000000"/>
          <w:sz w:val="24"/>
          <w:szCs w:val="24"/>
        </w:rPr>
        <w:t>bibliometric</w:t>
      </w:r>
      <w:proofErr w:type="spellEnd"/>
      <w:r w:rsidRPr="00B035DF">
        <w:rPr>
          <w:rFonts w:ascii="Times New Roman" w:hAnsi="Times New Roman" w:cs="Times New Roman"/>
          <w:color w:val="000000"/>
          <w:sz w:val="24"/>
          <w:szCs w:val="24"/>
        </w:rPr>
        <w:t xml:space="preserve"> analysis or review of the available literature on entrepreneurial competencies. So far, the most significant review study has been conducted by </w:t>
      </w:r>
      <w:proofErr w:type="spellStart"/>
      <w:r w:rsidR="00320900">
        <w:rPr>
          <w:rFonts w:ascii="Times New Roman" w:hAnsi="Times New Roman" w:cs="Times New Roman"/>
          <w:color w:val="000000"/>
          <w:sz w:val="24"/>
          <w:szCs w:val="24"/>
        </w:rPr>
        <w:t>F</w:t>
      </w:r>
      <w:r w:rsidRPr="00B035DF">
        <w:rPr>
          <w:rFonts w:ascii="Times New Roman" w:hAnsi="Times New Roman" w:cs="Times New Roman"/>
          <w:color w:val="000000"/>
          <w:sz w:val="24"/>
          <w:szCs w:val="24"/>
        </w:rPr>
        <w:t>agadar</w:t>
      </w:r>
      <w:proofErr w:type="spellEnd"/>
      <w:r w:rsidRPr="00B035DF">
        <w:rPr>
          <w:rFonts w:ascii="Times New Roman" w:hAnsi="Times New Roman" w:cs="Times New Roman"/>
          <w:color w:val="000000"/>
          <w:sz w:val="24"/>
          <w:szCs w:val="24"/>
        </w:rPr>
        <w:t xml:space="preserve"> 2021. </w:t>
      </w:r>
      <w:r w:rsidR="00A90FC4">
        <w:rPr>
          <w:rFonts w:ascii="Times New Roman" w:hAnsi="Times New Roman" w:cs="Times New Roman"/>
          <w:color w:val="000000"/>
          <w:sz w:val="24"/>
          <w:szCs w:val="24"/>
        </w:rPr>
        <w:t xml:space="preserve">The study </w:t>
      </w:r>
      <w:r w:rsidR="00E6783B">
        <w:rPr>
          <w:rFonts w:ascii="Times New Roman" w:hAnsi="Times New Roman" w:cs="Times New Roman"/>
          <w:color w:val="000000"/>
          <w:sz w:val="24"/>
          <w:szCs w:val="24"/>
        </w:rPr>
        <w:t xml:space="preserve">has </w:t>
      </w:r>
      <w:r w:rsidR="00E6783B" w:rsidRPr="00262AAA">
        <w:rPr>
          <w:rFonts w:ascii="Times New Roman" w:hAnsi="Times New Roman" w:cs="Times New Roman"/>
          <w:color w:val="000000"/>
          <w:sz w:val="24"/>
          <w:szCs w:val="24"/>
        </w:rPr>
        <w:t>covered</w:t>
      </w:r>
      <w:r w:rsidRPr="00262AAA">
        <w:rPr>
          <w:rFonts w:ascii="Times New Roman" w:hAnsi="Times New Roman" w:cs="Times New Roman"/>
          <w:color w:val="000000"/>
          <w:sz w:val="24"/>
          <w:szCs w:val="24"/>
        </w:rPr>
        <w:t xml:space="preserve"> 160 articles</w:t>
      </w:r>
      <w:r w:rsidR="00E6783B" w:rsidRPr="00262AAA">
        <w:rPr>
          <w:rFonts w:ascii="Times New Roman" w:hAnsi="Times New Roman" w:cs="Times New Roman"/>
          <w:color w:val="000000"/>
          <w:sz w:val="24"/>
          <w:szCs w:val="24"/>
        </w:rPr>
        <w:t>. Those articles were related to only subjects like education, economics</w:t>
      </w:r>
      <w:r w:rsidR="00B84FB1">
        <w:rPr>
          <w:rFonts w:ascii="Times New Roman" w:hAnsi="Times New Roman" w:cs="Times New Roman"/>
          <w:color w:val="000000"/>
          <w:sz w:val="24"/>
          <w:szCs w:val="24"/>
        </w:rPr>
        <w:t>,</w:t>
      </w:r>
      <w:r w:rsidR="00E6783B" w:rsidRPr="00262AAA">
        <w:rPr>
          <w:rFonts w:ascii="Times New Roman" w:hAnsi="Times New Roman" w:cs="Times New Roman"/>
          <w:color w:val="000000"/>
          <w:sz w:val="24"/>
          <w:szCs w:val="24"/>
        </w:rPr>
        <w:t xml:space="preserve"> and business management. The other subject’s related articles were not considered. This was the gap identif</w:t>
      </w:r>
      <w:r w:rsidR="00B84FB1">
        <w:rPr>
          <w:rFonts w:ascii="Times New Roman" w:hAnsi="Times New Roman" w:cs="Times New Roman"/>
          <w:color w:val="000000"/>
          <w:sz w:val="24"/>
          <w:szCs w:val="24"/>
        </w:rPr>
        <w:t>ied</w:t>
      </w:r>
      <w:r w:rsidR="00E6783B" w:rsidRPr="00262AAA">
        <w:rPr>
          <w:rFonts w:ascii="Times New Roman" w:hAnsi="Times New Roman" w:cs="Times New Roman"/>
          <w:color w:val="000000"/>
          <w:sz w:val="24"/>
          <w:szCs w:val="24"/>
        </w:rPr>
        <w:t xml:space="preserve"> </w:t>
      </w:r>
      <w:r w:rsidR="00B84FB1">
        <w:rPr>
          <w:rFonts w:ascii="Times New Roman" w:hAnsi="Times New Roman" w:cs="Times New Roman"/>
          <w:color w:val="000000"/>
          <w:sz w:val="24"/>
          <w:szCs w:val="24"/>
        </w:rPr>
        <w:t>in</w:t>
      </w:r>
      <w:r w:rsidR="00E6783B" w:rsidRPr="00262AAA">
        <w:rPr>
          <w:rFonts w:ascii="Times New Roman" w:hAnsi="Times New Roman" w:cs="Times New Roman"/>
          <w:color w:val="000000"/>
          <w:sz w:val="24"/>
          <w:szCs w:val="24"/>
        </w:rPr>
        <w:t xml:space="preserve"> this paper.</w:t>
      </w:r>
      <w:r w:rsidRPr="00262AAA">
        <w:rPr>
          <w:rFonts w:ascii="Times New Roman" w:hAnsi="Times New Roman" w:cs="Times New Roman"/>
          <w:color w:val="000000"/>
          <w:sz w:val="24"/>
          <w:szCs w:val="24"/>
        </w:rPr>
        <w:t xml:space="preserve"> </w:t>
      </w:r>
      <w:r w:rsidR="00E6783B" w:rsidRPr="00262AAA">
        <w:rPr>
          <w:rFonts w:ascii="Times New Roman" w:hAnsi="Times New Roman" w:cs="Times New Roman"/>
          <w:sz w:val="24"/>
          <w:szCs w:val="24"/>
        </w:rPr>
        <w:t>Furthermore, the</w:t>
      </w:r>
      <w:r w:rsidRPr="00262AAA">
        <w:rPr>
          <w:rFonts w:ascii="Times New Roman" w:hAnsi="Times New Roman" w:cs="Times New Roman"/>
          <w:sz w:val="24"/>
          <w:szCs w:val="24"/>
        </w:rPr>
        <w:t xml:space="preserve"> following were extracted: the article title, author name(s) and affiliation, journal name, number, volume, pages, date of publication, abstract, and cited references. Then the </w:t>
      </w:r>
      <w:proofErr w:type="spellStart"/>
      <w:r w:rsidRPr="00262AAA">
        <w:rPr>
          <w:rFonts w:ascii="Times New Roman" w:hAnsi="Times New Roman" w:cs="Times New Roman"/>
          <w:sz w:val="24"/>
          <w:szCs w:val="24"/>
        </w:rPr>
        <w:t>bibliometric</w:t>
      </w:r>
      <w:proofErr w:type="spellEnd"/>
      <w:r w:rsidR="00F16AC4" w:rsidRPr="00262AAA">
        <w:rPr>
          <w:rFonts w:ascii="Times New Roman" w:hAnsi="Times New Roman" w:cs="Times New Roman"/>
          <w:sz w:val="24"/>
          <w:szCs w:val="24"/>
        </w:rPr>
        <w:t xml:space="preserve"> analysis was conducted by</w:t>
      </w:r>
      <w:r w:rsidR="00A90FC4" w:rsidRPr="00262AAA">
        <w:rPr>
          <w:rFonts w:ascii="Times New Roman" w:hAnsi="Times New Roman" w:cs="Times New Roman"/>
          <w:sz w:val="24"/>
          <w:szCs w:val="24"/>
        </w:rPr>
        <w:t xml:space="preserve"> </w:t>
      </w:r>
      <w:proofErr w:type="spellStart"/>
      <w:r w:rsidRPr="00262AAA">
        <w:rPr>
          <w:rFonts w:ascii="Times New Roman" w:hAnsi="Times New Roman" w:cs="Times New Roman"/>
          <w:sz w:val="24"/>
          <w:szCs w:val="24"/>
        </w:rPr>
        <w:t>VosViewer</w:t>
      </w:r>
      <w:proofErr w:type="spellEnd"/>
      <w:r w:rsidRPr="00262AAA">
        <w:rPr>
          <w:rFonts w:ascii="Times New Roman" w:hAnsi="Times New Roman" w:cs="Times New Roman"/>
          <w:sz w:val="24"/>
          <w:szCs w:val="24"/>
        </w:rPr>
        <w:t>.</w:t>
      </w:r>
    </w:p>
    <w:p w:rsidR="00886A55" w:rsidRDefault="00886A55" w:rsidP="00641371">
      <w:pPr>
        <w:autoSpaceDE w:val="0"/>
        <w:autoSpaceDN w:val="0"/>
        <w:adjustRightInd w:val="0"/>
        <w:spacing w:after="0" w:line="360" w:lineRule="auto"/>
        <w:jc w:val="both"/>
        <w:rPr>
          <w:rFonts w:ascii="Times New Roman" w:hAnsi="Times New Roman" w:cs="Times New Roman"/>
          <w:sz w:val="24"/>
          <w:szCs w:val="24"/>
        </w:rPr>
      </w:pPr>
    </w:p>
    <w:p w:rsidR="00E6783B" w:rsidRPr="00E6783B" w:rsidRDefault="006763C9" w:rsidP="00E6783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B035DF">
        <w:rPr>
          <w:rFonts w:ascii="Times New Roman" w:hAnsi="Times New Roman" w:cs="Times New Roman"/>
          <w:b/>
          <w:sz w:val="24"/>
          <w:szCs w:val="24"/>
        </w:rPr>
        <w:t>Risk - Resilience</w:t>
      </w:r>
    </w:p>
    <w:p w:rsidR="00905564" w:rsidRDefault="00E6783B" w:rsidP="009B65FE">
      <w:pPr>
        <w:autoSpaceDE w:val="0"/>
        <w:autoSpaceDN w:val="0"/>
        <w:adjustRightInd w:val="0"/>
        <w:spacing w:after="0" w:line="360" w:lineRule="auto"/>
        <w:jc w:val="both"/>
        <w:rPr>
          <w:rFonts w:ascii="Times New Roman" w:hAnsi="Times New Roman" w:cs="Times New Roman"/>
          <w:sz w:val="24"/>
          <w:szCs w:val="24"/>
        </w:rPr>
      </w:pPr>
      <w:r w:rsidRPr="00491ABF">
        <w:rPr>
          <w:rFonts w:ascii="Times New Roman" w:hAnsi="Times New Roman" w:cs="Times New Roman"/>
          <w:sz w:val="24"/>
          <w:szCs w:val="24"/>
        </w:rPr>
        <w:t xml:space="preserve">The term risk resilience refers </w:t>
      </w:r>
      <w:r w:rsidR="00B84FB1" w:rsidRPr="00491ABF">
        <w:rPr>
          <w:rFonts w:ascii="Times New Roman" w:hAnsi="Times New Roman" w:cs="Times New Roman"/>
          <w:sz w:val="24"/>
          <w:szCs w:val="24"/>
        </w:rPr>
        <w:t>to</w:t>
      </w:r>
      <w:r w:rsidRPr="00491ABF">
        <w:rPr>
          <w:rFonts w:ascii="Times New Roman" w:hAnsi="Times New Roman" w:cs="Times New Roman"/>
          <w:sz w:val="24"/>
          <w:szCs w:val="24"/>
        </w:rPr>
        <w:t xml:space="preserve"> the ability to get better </w:t>
      </w:r>
      <w:r w:rsidR="000F3A46" w:rsidRPr="00491ABF">
        <w:rPr>
          <w:rFonts w:ascii="Times New Roman" w:hAnsi="Times New Roman" w:cs="Times New Roman"/>
          <w:sz w:val="24"/>
          <w:szCs w:val="24"/>
        </w:rPr>
        <w:t xml:space="preserve">to a steady state after being exposed to </w:t>
      </w:r>
      <w:r w:rsidR="00B84FB1" w:rsidRPr="00491ABF">
        <w:rPr>
          <w:rFonts w:ascii="Times New Roman" w:hAnsi="Times New Roman" w:cs="Times New Roman"/>
          <w:sz w:val="24"/>
          <w:szCs w:val="24"/>
        </w:rPr>
        <w:t>a</w:t>
      </w:r>
      <w:r w:rsidR="000F3A46" w:rsidRPr="00491ABF">
        <w:rPr>
          <w:rFonts w:ascii="Times New Roman" w:hAnsi="Times New Roman" w:cs="Times New Roman"/>
          <w:sz w:val="24"/>
          <w:szCs w:val="24"/>
        </w:rPr>
        <w:t xml:space="preserve"> disruptive situation.</w:t>
      </w:r>
      <w:r w:rsidR="00886A55" w:rsidRPr="002C7D08">
        <w:rPr>
          <w:rFonts w:ascii="Times New Roman" w:hAnsi="Times New Roman" w:cs="Times New Roman"/>
          <w:sz w:val="24"/>
          <w:szCs w:val="24"/>
        </w:rPr>
        <w:t xml:space="preserve"> </w:t>
      </w:r>
      <w:r w:rsidR="00030D36" w:rsidRPr="002C7D08">
        <w:rPr>
          <w:rFonts w:ascii="Times New Roman" w:hAnsi="Times New Roman" w:cs="Times New Roman"/>
          <w:sz w:val="24"/>
          <w:szCs w:val="24"/>
        </w:rPr>
        <w:fldChar w:fldCharType="begin" w:fldLock="1"/>
      </w:r>
      <w:r w:rsidR="00F16AC4" w:rsidRPr="002C7D08">
        <w:rPr>
          <w:rFonts w:ascii="Times New Roman" w:hAnsi="Times New Roman" w:cs="Times New Roman"/>
          <w:sz w:val="24"/>
          <w:szCs w:val="24"/>
        </w:rPr>
        <w:instrText>ADDIN CSL_CITATION {"citationItems":[{"id":"ITEM-1","itemData":{"DOI":"10.1007/s10802-006-9062-7","ISSN":"00910627","PMID":"17051436","abstract":"Examined a risk-resilience model of peer rejection and attention-deficit/ hyperactivity disorder (ADHD) in a 5-year longitudinal study of 209 ethnically and socioeconomically diverse girls aged 6-13 at baseline and 11-18 at follow-up. Risk factors were childhood ADHD diagnosis and peer rejection; hypothesized protective factors were childhood measures of self-perceived scholastic competence, engagement in goal-directed play when alone, and popularity with adults. Adolescent criterion measures were multi-informant composites of externalizing and internalizing behavior plus indicators of academic achievement, eating pathology, and substance use. ADHD and peer rejection predicted risk for all criterion measures except for substance use, which was predicted by ADHD only. ADHD and peer rejection predicted lower adolescent academic achievement controlling for childhood achievement, but they did not predict adolescent externalizing and internalizing behavior after controlling for baseline levels of these constructs. Regarding buffers, self-perceived scholastic competence in childhood (with control of academic achievement) predicted resilient adolescent functioning. Contrary to hypothesis, goal-directed play in childhood was associated with poor adolescent outcomes. Buffers were not found to have differential effectiveness among girls with ADHD relative to comparison girls. © 2006 Springer Science+Business Media, LLC.","author":[{"dropping-particle":"","family":"Mikami","given":"Amori Yee","non-dropping-particle":"","parse-names":false,"suffix":""},{"dropping-particle":"","family":"Hinshaw","given":"Stephen P.","non-dropping-particle":"","parse-names":false,"suffix":""}],"container-title":"Journal of Abnormal Child Psychology","id":"ITEM-1","issue":"6","issued":{"date-parts":[["2006"]]},"page":"825-839","title":"Resilient adolescent adjustment among girls: Buffers of childhood peer rejection and attention-deficit/hyperactivity disorder","type":"article-journal","volume":"34"},"uris":["http://www.mendeley.com/documents/?uuid=04e844c4-63df-41a6-af1b-0db2c2a1cd6d"]},{"id":"ITEM-2","itemData":{"DOI":"10.1007/s11920-011-0252-9","ISSN":"15233812","PMID":"22367454","abstract":"Alcoholism and drug dependence are common psychiatric disorders with a heritability of about 50%; therefore genetic and environmental influences are equally important. Early-life stress is a predictor of adolescent problem drinking/drug use and alcohol/drug dependence in adulthood, but moderating factors governing the availability of alcohol/drug are important. The risk-resilience balance for addiction may be due in part to the interaction between genetic variation and environment stressors (G×E); this has been confirmed by twin studies of inferred genetic risk. Measured genotype studies to detect G×E effects have used a range of alcohol consumption and diagnostic phenotypes and stressors ranging from early-life to adulthood past year life events. In this article, the current state of the field is critically reviewed and suggestions are put forth for future research. © Springer Science+Business Media, LLC (outside the USA) 2012.","author":[{"dropping-particle":"","family":"Enoch","given":"Mary Anne","non-dropping-particle":"","parse-names":false,"suffix":""}],"container-title":"Current Psychiatry Reports","id":"ITEM-2","issue":"2","issued":{"date-parts":[["2012"]]},"page":"150-158","title":"The influence of gene-environment interactions on the development of alcoholism and drug dependence","type":"article-journal","volume":"14"},"uris":["http://www.mendeley.com/documents/?uuid=cef24698-4cae-4fa5-aada-e8aabe1757b1"]},{"id":"ITEM-3","itemData":{"DOI":"10.1002/bse.679","ISSN":"09644733","abstract":"Physical impacts from climate change already pose major challenges for organizations, and the trend is rising. Organization theorists, however, have barely begun to systematically consider the organizational impacts of more and increasingly intense storms, floods, droughts, fires, sea level rise or changing growing seasons as part of their domain of study. Eight organizationally relevant dimensions of climate impacts are identified: severity, temporal scale, spatial scale, predictability, mode, immediacy, state change potential and accelerating trend potential. Combined, their scale, scope and systemic uncertainty suggest future conditions of systemic hyperturbulence in organizational environments, defined here as 'massive discontinuous change' (MDC). To build a conceptual foundation for organizations to respond and adapt to MDC, the paper examines contributions from literatures on the management of sustainability, crisis, risk, resilience and adaptive organizational change. It highlights gaps for addressing both business challenges and opportunities from MDC, and suggests avenues for future research. © 2010 John Wiley &amp; Sons, Ltd. and ERP Environment.","author":[{"dropping-particle":"","family":"Winn","given":"Monika","non-dropping-particle":"","parse-names":false,"suffix":""},{"dropping-particle":"","family":"Kirchgeorg","given":"Manfred","non-dropping-particle":"","parse-names":false,"suffix":""},{"dropping-particle":"","family":"Griffiths","given":"Andrew","non-dropping-particle":"","parse-names":false,"suffix":""},{"dropping-particle":"","family":"Linnenluecke","given":"Martina K.","non-dropping-particle":"","parse-names":false,"suffix":""},{"dropping-particle":"","family":"Gunther","given":"Elmar","non-dropping-particle":"","parse-names":false,"suffix":""}],"container-title":"Business Strategy and the Environment","id":"ITEM-3","issue":"3","issued":{"date-parts":[["2011"]]},"page":"157-173","title":"Impacts from climate change on organizations: A conceptual foundation","type":"article-journal","volume":"20"},"uris":["http://www.mendeley.com/documents/?uuid=79be6522-fa57-447d-ae9c-6ceffc5e8117"]},{"id":"ITEM-4","itemData":{"DOI":"10.1016/j.ynstr.2015.02.001","ISSN":"23522895","PMID":"25798454","abstract":"Stress can have lasting effects on the brain and behavior. Delineating the impact of stress on the developing brain is fundamental for understanding mechanisms through which stress induces persistent effects on behavior that can lead to psychopathology. The growing field of translational developmental neuroscience has revealed a significant role of the timing of stress on risk, resilience, and neuroplasticity. Studies of stress across species have provided essential insight into the mechanisms by which the brain changes and the timing of those changes on outcome. In this article, we review the neurobiological effects of stress and propose a model by which sensitive periods of neural development interact with stressful life events to affect plasticity and the effects of stress on functional outcomes. We then highlight how early-life stress can alter the course of brain development. Finally, we examine mechanisms of buffering against early-life stress that may promote resilience and positive outcomes. The findings are discussed in the context of implications for early identification of risk and resilience factors and development of novel interventions that target the biological state of the developing brain to ultimately ameliorate the adverse consequences of stress during childhood and adolescence.","author":[{"dropping-particle":"","family":"Gee","given":"Dylan G.","non-dropping-particle":"","parse-names":false,"suffix":""},{"dropping-particle":"","family":"Casey","given":"B. J.","non-dropping-particle":"","parse-names":false,"suffix":""}],"container-title":"Neurobiology of Stress","id":"ITEM-4","issued":{"date-parts":[["2015"]]},"page":"184-194","publisher":"Elsevier Inc","title":"The impact of developmental timing for stress and recovery","type":"article-journal","volume":"1"},"uris":["http://www.mendeley.com/documents/?uuid=9d54f80b-2033-492e-9aba-08ee1c58970e"]}],"mendeley":{"formattedCitation":"(Enoch, 2012; Gee &amp; Casey, 2015; Mikami &amp; Hinshaw, 2006; Winn et al., 2011)","plainTextFormattedCitation":"(Enoch, 2012; Gee &amp; Casey, 2015; Mikami &amp; Hinshaw, 2006; Winn et al., 2011)","previouslyFormattedCitation":"(Enoch, 2012; Gee &amp; Casey, 2015; Mikami &amp; Hinshaw, 2006; Winn et al., 2011)"},"properties":{"noteIndex":0},"schema":"https://github.com/citation-style-language/schema/raw/master/csl-citation.json"}</w:instrText>
      </w:r>
      <w:r w:rsidR="00030D36" w:rsidRPr="002C7D08">
        <w:rPr>
          <w:rFonts w:ascii="Times New Roman" w:hAnsi="Times New Roman" w:cs="Times New Roman"/>
          <w:sz w:val="24"/>
          <w:szCs w:val="24"/>
        </w:rPr>
        <w:fldChar w:fldCharType="separate"/>
      </w:r>
      <w:r w:rsidR="00F16AC4" w:rsidRPr="002C7D08">
        <w:rPr>
          <w:rFonts w:ascii="Times New Roman" w:hAnsi="Times New Roman" w:cs="Times New Roman"/>
          <w:noProof/>
          <w:sz w:val="24"/>
          <w:szCs w:val="24"/>
        </w:rPr>
        <w:t>(Enoch, 2012; Gee &amp; Casey, 2015; Mikami &amp; Hinshaw, 2006; Winn et al., 2011)</w:t>
      </w:r>
      <w:r w:rsidR="00030D36" w:rsidRPr="002C7D08">
        <w:rPr>
          <w:rFonts w:ascii="Times New Roman" w:hAnsi="Times New Roman" w:cs="Times New Roman"/>
          <w:sz w:val="24"/>
          <w:szCs w:val="24"/>
        </w:rPr>
        <w:fldChar w:fldCharType="end"/>
      </w:r>
      <w:r w:rsidR="00886A55" w:rsidRPr="00B035DF">
        <w:rPr>
          <w:rFonts w:ascii="Times New Roman" w:hAnsi="Times New Roman" w:cs="Times New Roman"/>
          <w:sz w:val="24"/>
          <w:szCs w:val="24"/>
        </w:rPr>
        <w:t xml:space="preserve">. Disruptions are unavoidable, and there are a variety of internal and external variables that contribute to disruptions in companies. When it comes to resilience, the main concerns are organizational vulnerability, disruptions, and complexities, as these are the main </w:t>
      </w:r>
      <w:r w:rsidR="00886A55" w:rsidRPr="00B035DF">
        <w:rPr>
          <w:rFonts w:ascii="Times New Roman" w:hAnsi="Times New Roman" w:cs="Times New Roman"/>
          <w:sz w:val="24"/>
          <w:szCs w:val="24"/>
        </w:rPr>
        <w:lastRenderedPageBreak/>
        <w:t>challenges that affect the system's resilience. Vulnerability to a disruptive event can be defined as a mix of the likelihood of disruption and</w:t>
      </w:r>
      <w:r w:rsidR="00F16AC4">
        <w:rPr>
          <w:rFonts w:ascii="Times New Roman" w:hAnsi="Times New Roman" w:cs="Times New Roman"/>
          <w:sz w:val="24"/>
          <w:szCs w:val="24"/>
        </w:rPr>
        <w:t xml:space="preserve"> the severity of the disruption </w:t>
      </w:r>
      <w:r w:rsidR="00030D36">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{"citationItems":[{"id":"ITEM-1","itemData":{"DOI":"10.3390/ijerph18105142","ISSN":"16604601","PMID":"34066219","abstract":"Entrepreneurial orientation can be an effective response by sports clubs to manage a recession, such as the COVID-19 crisis. Therefore, its study can be fundamental to understand different ways of managing a recession. This study analyzes the entrepreneurial orientation of Spanish non-profit sports clubs to identify different groups and their profiles. The sample is composed of 145 Spanish non-profit sports clubs. Different validated scales have been used to analyze entrepreneurial orientation, business model adaptation, service quality, and economic and social performance (performance in social impact and performance in social causes). Entrepreneurial orientation is the variable used to differentiate the groups. This is made up of three dimensions: innovation, risk-taking, and proactivity. According to the results obtained, there are three groups of sports clubs according to their entrepreneurial orientation: non-entrepreneurs (n = 11), moderate entrepreneurs (n = 85), and strong entrepreneurs (n = 45). There are substantial differences between the three groups according to the adaptation of the business model, the perceived impact of COVID-19, and the returns analyzed. Strong entrepreneurs have considerably higher levels of business model adaptation, economic performance, social performance, and perceived service quality than non-entrepreneurs. Theoretical and practical implications have been drawn that can bring new information to the sports and organizational sector. For example, the diagnosis of the different profiles according to the level of entrepreneurship can be useful to propose strategies to improve performance. In this way, it can help to evaluate the return on the investment made by sponsors or governments in the organization.","author":[{"dropping-particle":"","family":"Escamilla-Fajardo","given":"Paloma","non-dropping-particle":"","parse-names":false,"suffix":""},{"dropping-particle":"","family":"Parra-Camacho","given":"David","non-dropping-particle":"","parse-names":false,"suffix":""},{"dropping-particle":"","family":"Núñez-Pomar","given":"Juan Manuel","non-dropping-particle":"","parse-names":false,"suffix":""}],"container-title":"International Journal of Environmental Research and Public Health","id":"ITEM-1","issue":"10","issued":{"date-parts":[["2021"]]},"title":"Entrepreneurship and resilience in spanish sports clubs: A cluster analysis","type":"article-journal","volume":"18"},"uris":["http://www.mendeley.com/documents/?uuid=42413595-198c-45b8-a05d-4324c2dfc4a9"]},{"id":"ITEM-2","itemData":{"DOI":"10.3390/su13147926","ISSN":"20711050","abstract":"This paper explores the role of local labor market dynamics on the survival of new busi-nesses. The characteristics of the local labor market are likely to influence the survival of new busi-nesses, the level of entrepreneurship, and the resilience of the regional economy. We apply portfolio theory to evaluate employment-based and income-based measures of risk-and-return trade-offs in local labor markets on new business survival in the United States. Our results show that volatility in local labor markets has a positive impact on new business survival, especially in Metropolitan Statistical Areas. The results are robust across different timeframes, including during economic downturns, thus highlighting the contribution of new businesses in developing the resilience of the local economy, and further promoting sustainable regional economic development.","author":[{"dropping-particle":"","family":"Gulati","given":"Bharman","non-dropping-particle":"","parse-names":false,"suffix":""},{"dropping-particle":"","family":"Weiler","given":"Stephan","non-dropping-particle":"","parse-names":false,"suffix":""}],"container-title":"Sustainability (Switzerland)","id":"ITEM-2","issue":"14","issued":{"date-parts":[["2021"]]},"page":"1-20","title":"Risk, recessions and resilience: towards sustainable local labor markets through employment portfolio analysis","type":"article-journal","volume":"13"},"uris":["http://www.mendeley.com/documents/?uuid=7b79e974-6fb4-4093-b0f6-fdd2f8e2a36d"]},{"id":"ITEM-3","itemData":{"DOI":"10.1002/brb3.1745","ISSN":"21623279","PMID":"32633464","abstract":"Background: The current COVID-19 pandemic comes with multiple psychological stressors due to health-related, social, economic, and individual consequences and may cause psychological distress. The aim of this study was to screen the population in Germany for negative impact on mental health in the current COVID-19 pandemic and to analyze possible risk and protective factors. Methods: A total of 6,509 people took part in an online survey in Germany from 27 March to 6 April. The questionnaire included demographic information and ascertained psychological distress, anxiety and depressive symptoms, and risk and protective factors. Results: In our sample, over 50% expressed suffering from anxiety and psychological distress regarding the COVID-19 pandemic. Participants spent several hours per day thinking about COVID-19 (M = 4.45). Psychological and social determinants showed stronger associations with anxiety regarding COVID-19 than experiences with the disease. Conclusions: The current COVID-19 pandemic does cause psychological distress, anxiety, and depression for large proportions of the general population. Strategies such as maintaining a healthy lifestyle and social contacts, acceptance of anxiety and negative emotions, fostering self-efficacy, and information on where to get medical treatment if needed, seem of help, while substance abuse and suppression of anxiety and negative emotions seem to be associated with more psychological burden.","author":[{"dropping-particle":"","family":"Petzold","given":"Moritz Bruno","non-dropping-particle":"","parse-names":false,"suffix":""},{"dropping-particle":"","family":"Bendau","given":"Antonia","non-dropping-particle":"","parse-names":false,"suffix":""},{"dropping-particle":"","family":"Plag","given":"Jens","non-dropping-particle":"","parse-names":false,"suffix":""},{"dropping-particle":"","family":"Pyrkosch","given":"Lena","non-dropping-particle":"","parse-names":false,"suffix":""},{"dropping-particle":"","family":"Mascarell Maricic","given":"Lea","non-dropping-particle":"","parse-names":false,"suffix":""},{"dropping-particle":"","family":"Betzler","given":"Felix","non-dropping-particle":"","parse-names":false,"suffix":""},{"dropping-particle":"","family":"Rogoll","given":"Janina","non-dropping-particle":"","parse-names":false,"suffix":""},{"dropping-particle":"","family":"Große","given":"Julia","non-dropping-particle":"","parse-names":false,"suffix":""},{"dropping-particle":"","family":"Ströhle","given":"Andreas","non-dropping-particle":"","parse-names":false,"suffix":""}],"container-title":"Brain and Behavior","id":"ITEM-3","issue":"9","issued":{"date-parts":[["2020"]]},"page":"1-10","title":"Risk, resilience, psychological distress, and anxiety at the beginning of the COVID-19 pandemic in Germany","type":"article-journal","volume":"10"},"uris":["http://www.mendeley.com/documents/?uuid=08fc0e7b-6736-4046-8fab-3350f926b0ba"]}],"mendeley":{"formattedCitation":"(Escamilla-Fajardo et al., 2021; Gulati &amp; Weiler, 2021; Petzold et al., 2020)","plainTextFormattedCitation":"(Escamilla-Fajardo et al., 2021; Gulati &amp; Weiler, 2021; Petzold et al., 2020)","previouslyFormattedCitation":"(Escamilla-Fajardo et al., 2021; Gulati &amp; Weiler, 2021; Petzold et al., 2020)"},"properties":{"noteIndex":0},"schema":"https://github.com/citation-style-language/schema/raw/master/csl-citation.json"}</w:instrText>
      </w:r>
      <w:r w:rsidR="00030D36">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(Escamilla-Fajardo et al., 2021; Gulati &amp; Weiler, 2021; Petzold et al., 2020)</w:t>
      </w:r>
      <w:r w:rsidR="00030D36">
        <w:rPr>
          <w:rFonts w:ascii="Times New Roman" w:hAnsi="Times New Roman" w:cs="Times New Roman"/>
          <w:sz w:val="24"/>
          <w:szCs w:val="24"/>
        </w:rPr>
        <w:fldChar w:fldCharType="end"/>
      </w:r>
      <w:r w:rsidR="00F16AC4">
        <w:rPr>
          <w:rFonts w:ascii="Times New Roman" w:hAnsi="Times New Roman" w:cs="Times New Roman"/>
          <w:sz w:val="24"/>
          <w:szCs w:val="24"/>
        </w:rPr>
        <w:t>.</w:t>
      </w:r>
    </w:p>
    <w:p w:rsidR="009B65FE" w:rsidRDefault="009B65FE" w:rsidP="005E43A8">
      <w:pPr>
        <w:spacing w:line="360" w:lineRule="auto"/>
        <w:jc w:val="both"/>
        <w:rPr>
          <w:rFonts w:ascii="Times New Roman" w:hAnsi="Times New Roman" w:cs="Times New Roman"/>
          <w:b/>
          <w:sz w:val="24"/>
          <w:szCs w:val="24"/>
        </w:rPr>
      </w:pPr>
    </w:p>
    <w:p w:rsidR="00F74E8D" w:rsidRPr="008E37E3" w:rsidRDefault="008E37E3" w:rsidP="008E37E3">
      <w:pPr>
        <w:spacing w:line="360" w:lineRule="auto"/>
        <w:ind w:left="-284"/>
        <w:jc w:val="both"/>
        <w:rPr>
          <w:rFonts w:ascii="Times New Roman" w:hAnsi="Times New Roman" w:cs="Times New Roman"/>
          <w:b/>
          <w:sz w:val="28"/>
          <w:szCs w:val="24"/>
        </w:rPr>
      </w:pPr>
      <w:r w:rsidRPr="008E37E3">
        <w:rPr>
          <w:rFonts w:ascii="Times New Roman" w:hAnsi="Times New Roman" w:cs="Times New Roman"/>
          <w:b/>
          <w:sz w:val="28"/>
          <w:szCs w:val="24"/>
        </w:rPr>
        <w:t xml:space="preserve">2. </w:t>
      </w:r>
      <w:r w:rsidR="00246ECA" w:rsidRPr="008E37E3">
        <w:rPr>
          <w:rFonts w:ascii="Times New Roman" w:hAnsi="Times New Roman" w:cs="Times New Roman"/>
          <w:b/>
          <w:sz w:val="28"/>
          <w:szCs w:val="24"/>
        </w:rPr>
        <w:t>RESEARCH METHODOLOGY:</w:t>
      </w:r>
    </w:p>
    <w:p w:rsidR="00D80C58" w:rsidRDefault="00D80C58" w:rsidP="00D80C58">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w:t>
      </w:r>
      <w:r w:rsidRPr="00D80C58">
        <w:rPr>
          <w:rFonts w:ascii="Times New Roman" w:hAnsi="Times New Roman" w:cs="Times New Roman"/>
          <w:sz w:val="24"/>
          <w:szCs w:val="24"/>
        </w:rPr>
        <w:t>ibliometric</w:t>
      </w:r>
      <w:proofErr w:type="spellEnd"/>
      <w:r w:rsidRPr="00D80C58">
        <w:rPr>
          <w:rFonts w:ascii="Times New Roman" w:hAnsi="Times New Roman" w:cs="Times New Roman"/>
          <w:sz w:val="24"/>
          <w:szCs w:val="24"/>
        </w:rPr>
        <w:t xml:space="preserve"> analysis serves the purpose of quantifying shifts within a specific realm of research. It also offers insight into publication trends surrounding a particular subject, revealing the publication inclination within that field. The outcomes of such investigations yield practical, valuable, and timely insights, benefiting both professionals and experts seeking to assess these scholarly endeavours. Furthermore, the merits of </w:t>
      </w:r>
      <w:proofErr w:type="spellStart"/>
      <w:r w:rsidRPr="00D80C58">
        <w:rPr>
          <w:rFonts w:ascii="Times New Roman" w:hAnsi="Times New Roman" w:cs="Times New Roman"/>
          <w:sz w:val="24"/>
          <w:szCs w:val="24"/>
        </w:rPr>
        <w:t>bibliometric</w:t>
      </w:r>
      <w:proofErr w:type="spellEnd"/>
      <w:r w:rsidRPr="00D80C58">
        <w:rPr>
          <w:rFonts w:ascii="Times New Roman" w:hAnsi="Times New Roman" w:cs="Times New Roman"/>
          <w:sz w:val="24"/>
          <w:szCs w:val="24"/>
        </w:rPr>
        <w:t xml:space="preserve"> analysis extend to enabling an objective, quantifiable examination of a designated discipline.</w:t>
      </w:r>
    </w:p>
    <w:p w:rsidR="00D80C58" w:rsidRPr="00D80C58" w:rsidRDefault="00D80C58" w:rsidP="00D80C58">
      <w:pPr>
        <w:autoSpaceDE w:val="0"/>
        <w:autoSpaceDN w:val="0"/>
        <w:adjustRightInd w:val="0"/>
        <w:spacing w:after="0" w:line="360" w:lineRule="auto"/>
        <w:jc w:val="both"/>
        <w:rPr>
          <w:rFonts w:ascii="Times New Roman" w:hAnsi="Times New Roman" w:cs="Times New Roman"/>
          <w:sz w:val="24"/>
          <w:szCs w:val="24"/>
        </w:rPr>
      </w:pPr>
    </w:p>
    <w:p w:rsidR="002A6046" w:rsidRDefault="009B65FE" w:rsidP="009B65FE">
      <w:pPr>
        <w:autoSpaceDE w:val="0"/>
        <w:autoSpaceDN w:val="0"/>
        <w:adjustRightInd w:val="0"/>
        <w:spacing w:after="0" w:line="360" w:lineRule="auto"/>
        <w:jc w:val="center"/>
        <w:rPr>
          <w:rFonts w:ascii="Times New Roman" w:hAnsi="Times New Roman" w:cs="Times New Roman"/>
          <w:sz w:val="24"/>
          <w:szCs w:val="19"/>
        </w:rPr>
      </w:pPr>
      <w:r w:rsidRPr="00491ABF">
        <w:rPr>
          <w:rFonts w:ascii="Times New Roman" w:hAnsi="Times New Roman" w:cs="Times New Roman"/>
          <w:sz w:val="24"/>
          <w:szCs w:val="19"/>
        </w:rPr>
        <w:t>Figure 1: Research Methodology</w:t>
      </w:r>
    </w:p>
    <w:p w:rsidR="002A6046" w:rsidRDefault="002A6046" w:rsidP="002C7D08">
      <w:pPr>
        <w:autoSpaceDE w:val="0"/>
        <w:autoSpaceDN w:val="0"/>
        <w:adjustRightInd w:val="0"/>
        <w:spacing w:after="0" w:line="360" w:lineRule="auto"/>
        <w:jc w:val="both"/>
        <w:rPr>
          <w:rFonts w:ascii="Times New Roman" w:hAnsi="Times New Roman" w:cs="Times New Roman"/>
          <w:sz w:val="24"/>
          <w:szCs w:val="19"/>
        </w:rPr>
      </w:pPr>
      <w:r>
        <w:rPr>
          <w:rFonts w:ascii="Times New Roman" w:hAnsi="Times New Roman" w:cs="Times New Roman"/>
          <w:noProof/>
          <w:sz w:val="24"/>
          <w:szCs w:val="19"/>
        </w:rPr>
        <w:drawing>
          <wp:inline distT="0" distB="0" distL="0" distR="0">
            <wp:extent cx="5731510" cy="4572000"/>
            <wp:effectExtent l="19050" t="0" r="2540" b="0"/>
            <wp:docPr id="14" name="Picture 2" descr="C:\Users\SAMSUNG\Pictures\Screenshots\Screenshot (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Screenshots\Screenshot (299).png"/>
                    <pic:cNvPicPr>
                      <a:picLocks noChangeAspect="1" noChangeArrowheads="1"/>
                    </pic:cNvPicPr>
                  </pic:nvPicPr>
                  <pic:blipFill>
                    <a:blip r:embed="rId6"/>
                    <a:srcRect/>
                    <a:stretch>
                      <a:fillRect/>
                    </a:stretch>
                  </pic:blipFill>
                  <pic:spPr bwMode="auto">
                    <a:xfrm>
                      <a:off x="0" y="0"/>
                      <a:ext cx="5731510" cy="4572000"/>
                    </a:xfrm>
                    <a:prstGeom prst="rect">
                      <a:avLst/>
                    </a:prstGeom>
                    <a:noFill/>
                    <a:ln w="9525">
                      <a:noFill/>
                      <a:miter lim="800000"/>
                      <a:headEnd/>
                      <a:tailEnd/>
                    </a:ln>
                  </pic:spPr>
                </pic:pic>
              </a:graphicData>
            </a:graphic>
          </wp:inline>
        </w:drawing>
      </w:r>
    </w:p>
    <w:p w:rsidR="009B65FE" w:rsidRDefault="009B65FE" w:rsidP="009B65FE">
      <w:pPr>
        <w:autoSpaceDE w:val="0"/>
        <w:autoSpaceDN w:val="0"/>
        <w:adjustRightInd w:val="0"/>
        <w:spacing w:after="0" w:line="360" w:lineRule="auto"/>
        <w:jc w:val="center"/>
        <w:rPr>
          <w:rFonts w:ascii="Times New Roman" w:hAnsi="Times New Roman" w:cs="Times New Roman"/>
          <w:i/>
          <w:sz w:val="24"/>
          <w:szCs w:val="19"/>
        </w:rPr>
      </w:pPr>
      <w:r>
        <w:rPr>
          <w:rFonts w:ascii="Times New Roman" w:hAnsi="Times New Roman" w:cs="Times New Roman"/>
          <w:i/>
          <w:sz w:val="24"/>
          <w:szCs w:val="19"/>
        </w:rPr>
        <w:t>(</w:t>
      </w:r>
      <w:r w:rsidRPr="009B65FE">
        <w:rPr>
          <w:rFonts w:ascii="Times New Roman" w:hAnsi="Times New Roman" w:cs="Times New Roman"/>
          <w:i/>
          <w:sz w:val="24"/>
          <w:szCs w:val="19"/>
        </w:rPr>
        <w:t>Source: Author’s creation</w:t>
      </w:r>
      <w:r>
        <w:rPr>
          <w:rFonts w:ascii="Times New Roman" w:hAnsi="Times New Roman" w:cs="Times New Roman"/>
          <w:i/>
          <w:sz w:val="24"/>
          <w:szCs w:val="19"/>
        </w:rPr>
        <w:t>)</w:t>
      </w:r>
    </w:p>
    <w:p w:rsidR="00D80C58" w:rsidRPr="009B65FE" w:rsidRDefault="00D80C58" w:rsidP="009B65FE">
      <w:pPr>
        <w:autoSpaceDE w:val="0"/>
        <w:autoSpaceDN w:val="0"/>
        <w:adjustRightInd w:val="0"/>
        <w:spacing w:after="0" w:line="360" w:lineRule="auto"/>
        <w:jc w:val="center"/>
        <w:rPr>
          <w:rFonts w:ascii="Times New Roman" w:hAnsi="Times New Roman" w:cs="Times New Roman"/>
          <w:i/>
          <w:sz w:val="24"/>
          <w:szCs w:val="19"/>
        </w:rPr>
      </w:pPr>
    </w:p>
    <w:p w:rsidR="00D80C58" w:rsidRPr="00D80C58" w:rsidRDefault="00D80C58" w:rsidP="00D80C58">
      <w:pPr>
        <w:autoSpaceDE w:val="0"/>
        <w:autoSpaceDN w:val="0"/>
        <w:adjustRightInd w:val="0"/>
        <w:spacing w:after="0" w:line="360" w:lineRule="auto"/>
        <w:jc w:val="both"/>
        <w:rPr>
          <w:rFonts w:ascii="Times New Roman" w:hAnsi="Times New Roman" w:cs="Times New Roman"/>
          <w:sz w:val="24"/>
          <w:szCs w:val="24"/>
        </w:rPr>
      </w:pPr>
    </w:p>
    <w:p w:rsidR="00D80C58" w:rsidRDefault="00D80C58" w:rsidP="00D80C58">
      <w:pPr>
        <w:autoSpaceDE w:val="0"/>
        <w:autoSpaceDN w:val="0"/>
        <w:adjustRightInd w:val="0"/>
        <w:spacing w:after="0" w:line="360" w:lineRule="auto"/>
        <w:jc w:val="both"/>
        <w:rPr>
          <w:rFonts w:ascii="Times New Roman" w:hAnsi="Times New Roman" w:cs="Times New Roman"/>
          <w:sz w:val="24"/>
          <w:szCs w:val="19"/>
        </w:rPr>
      </w:pPr>
      <w:r w:rsidRPr="00D80C58">
        <w:rPr>
          <w:rFonts w:ascii="Times New Roman" w:hAnsi="Times New Roman" w:cs="Times New Roman"/>
          <w:sz w:val="24"/>
          <w:szCs w:val="24"/>
        </w:rPr>
        <w:t>To locate publications related to "entrepreneurial competencies" and "risk resilience" spanning the period between 2000 and 2021, the Scopus database was harnessed. The preference for this database stems from its extensive collection of high-quality journals. To refine the search, filters were implemented to retrieve studies incorporating the terms "entrepreneurial intentions" and "risk-resilience," independently, within their titles, abstracts, or keywords.</w:t>
      </w:r>
    </w:p>
    <w:p w:rsidR="00D80C58" w:rsidRDefault="00D80C58" w:rsidP="00D80C58">
      <w:pPr>
        <w:autoSpaceDE w:val="0"/>
        <w:autoSpaceDN w:val="0"/>
        <w:adjustRightInd w:val="0"/>
        <w:spacing w:after="0" w:line="360" w:lineRule="auto"/>
        <w:jc w:val="both"/>
        <w:rPr>
          <w:rFonts w:ascii="Times New Roman" w:hAnsi="Times New Roman" w:cs="Times New Roman"/>
          <w:sz w:val="24"/>
          <w:szCs w:val="19"/>
        </w:rPr>
      </w:pPr>
    </w:p>
    <w:p w:rsidR="00D80C58" w:rsidRPr="00D80C58" w:rsidRDefault="00D80C58" w:rsidP="00D80C58">
      <w:pPr>
        <w:autoSpaceDE w:val="0"/>
        <w:autoSpaceDN w:val="0"/>
        <w:adjustRightInd w:val="0"/>
        <w:spacing w:after="0" w:line="360" w:lineRule="auto"/>
        <w:jc w:val="both"/>
        <w:rPr>
          <w:rFonts w:ascii="Times New Roman" w:hAnsi="Times New Roman" w:cs="Times New Roman"/>
          <w:sz w:val="24"/>
          <w:szCs w:val="19"/>
        </w:rPr>
      </w:pPr>
      <w:r w:rsidRPr="00D80C58">
        <w:rPr>
          <w:rFonts w:ascii="Times New Roman" w:hAnsi="Times New Roman" w:cs="Times New Roman"/>
          <w:sz w:val="24"/>
          <w:szCs w:val="19"/>
        </w:rPr>
        <w:t>In the realm of Entrepreneurial competencies, the initial search yielded a comprehensive total of 443 studies. To ensure the alignment of these studies with the intended subject, the author meticulously reviewed the title, abstract, and keywords of each paper. Consequently, it was established that among the 443 studies, one was conducted prior to the year 2000, rendering it ineligible for consideration. Furthermore, from the remaining pool of 353 studies, seven had been conducted before the year 2000 and were subsequently excluded.</w:t>
      </w:r>
    </w:p>
    <w:p w:rsidR="00D80C58" w:rsidRPr="00D80C58" w:rsidRDefault="00D80C58" w:rsidP="00D80C58">
      <w:pPr>
        <w:autoSpaceDE w:val="0"/>
        <w:autoSpaceDN w:val="0"/>
        <w:adjustRightInd w:val="0"/>
        <w:spacing w:after="0" w:line="360" w:lineRule="auto"/>
        <w:jc w:val="both"/>
        <w:rPr>
          <w:rFonts w:ascii="Times New Roman" w:hAnsi="Times New Roman" w:cs="Times New Roman"/>
          <w:sz w:val="24"/>
          <w:szCs w:val="19"/>
        </w:rPr>
      </w:pPr>
    </w:p>
    <w:p w:rsidR="00EA75C6" w:rsidRDefault="00D80C58" w:rsidP="00D80C58">
      <w:pPr>
        <w:autoSpaceDE w:val="0"/>
        <w:autoSpaceDN w:val="0"/>
        <w:adjustRightInd w:val="0"/>
        <w:spacing w:after="0" w:line="360" w:lineRule="auto"/>
        <w:jc w:val="both"/>
        <w:rPr>
          <w:rFonts w:ascii="Times New Roman" w:hAnsi="Times New Roman" w:cs="Times New Roman"/>
          <w:sz w:val="24"/>
          <w:szCs w:val="19"/>
        </w:rPr>
      </w:pPr>
      <w:r w:rsidRPr="00D80C58">
        <w:rPr>
          <w:rFonts w:ascii="Times New Roman" w:hAnsi="Times New Roman" w:cs="Times New Roman"/>
          <w:sz w:val="24"/>
          <w:szCs w:val="19"/>
        </w:rPr>
        <w:t>The author took a hands-on approach in scrutinizing the title, abstract, and keywords of each paper, a step deemed essential to validate the relevance of the studies identified through the search. Additionally, an organized categorization of these studies was undertaken, encompassing subject areas, journals boasting maximal publications, year-wise distribution of publications, identification of the most frequently cited studies, recognition of the most prolific authors, and delineation of the most active countries in terms of contributions.</w:t>
      </w:r>
    </w:p>
    <w:p w:rsidR="00E05ED1" w:rsidRDefault="00E05ED1" w:rsidP="00D80C58">
      <w:pPr>
        <w:autoSpaceDE w:val="0"/>
        <w:autoSpaceDN w:val="0"/>
        <w:adjustRightInd w:val="0"/>
        <w:spacing w:after="0" w:line="360" w:lineRule="auto"/>
        <w:jc w:val="both"/>
        <w:rPr>
          <w:rFonts w:ascii="Times New Roman" w:hAnsi="Times New Roman" w:cs="Times New Roman"/>
          <w:sz w:val="24"/>
          <w:szCs w:val="19"/>
        </w:rPr>
      </w:pPr>
    </w:p>
    <w:p w:rsidR="00D80C58" w:rsidRDefault="00D80C58" w:rsidP="00D80C58">
      <w:pPr>
        <w:autoSpaceDE w:val="0"/>
        <w:autoSpaceDN w:val="0"/>
        <w:adjustRightInd w:val="0"/>
        <w:spacing w:after="0" w:line="360" w:lineRule="auto"/>
        <w:jc w:val="both"/>
        <w:rPr>
          <w:rFonts w:ascii="Times New Roman" w:hAnsi="Times New Roman" w:cs="Times New Roman"/>
          <w:sz w:val="24"/>
          <w:szCs w:val="24"/>
        </w:rPr>
      </w:pPr>
    </w:p>
    <w:p w:rsidR="00F74E8D" w:rsidRDefault="008E37E3" w:rsidP="008E37E3">
      <w:pPr>
        <w:spacing w:line="360" w:lineRule="auto"/>
        <w:ind w:left="-284"/>
        <w:jc w:val="both"/>
        <w:rPr>
          <w:rFonts w:ascii="Times New Roman" w:hAnsi="Times New Roman" w:cs="Times New Roman"/>
          <w:b/>
          <w:sz w:val="28"/>
          <w:szCs w:val="24"/>
        </w:rPr>
      </w:pPr>
      <w:r w:rsidRPr="008E37E3">
        <w:rPr>
          <w:rFonts w:ascii="Times New Roman" w:hAnsi="Times New Roman" w:cs="Times New Roman"/>
          <w:b/>
          <w:sz w:val="28"/>
          <w:szCs w:val="24"/>
        </w:rPr>
        <w:t xml:space="preserve">3. </w:t>
      </w:r>
      <w:r w:rsidR="00246ECA" w:rsidRPr="008E37E3">
        <w:rPr>
          <w:rFonts w:ascii="Times New Roman" w:hAnsi="Times New Roman" w:cs="Times New Roman"/>
          <w:b/>
          <w:sz w:val="28"/>
          <w:szCs w:val="24"/>
        </w:rPr>
        <w:t>RESULTS AND FINDING</w:t>
      </w:r>
      <w:r w:rsidR="00646B1D" w:rsidRPr="008E37E3">
        <w:rPr>
          <w:rFonts w:ascii="Times New Roman" w:hAnsi="Times New Roman" w:cs="Times New Roman"/>
          <w:b/>
          <w:sz w:val="28"/>
          <w:szCs w:val="24"/>
        </w:rPr>
        <w:t>S</w:t>
      </w:r>
      <w:r w:rsidR="00246ECA" w:rsidRPr="008E37E3">
        <w:rPr>
          <w:rFonts w:ascii="Times New Roman" w:hAnsi="Times New Roman" w:cs="Times New Roman"/>
          <w:b/>
          <w:sz w:val="28"/>
          <w:szCs w:val="24"/>
        </w:rPr>
        <w:t>:</w:t>
      </w:r>
    </w:p>
    <w:p w:rsidR="00E05ED1" w:rsidRPr="008E37E3" w:rsidRDefault="00E05ED1" w:rsidP="008E37E3">
      <w:pPr>
        <w:spacing w:line="360" w:lineRule="auto"/>
        <w:ind w:left="-284"/>
        <w:jc w:val="both"/>
        <w:rPr>
          <w:rFonts w:ascii="Times New Roman" w:hAnsi="Times New Roman" w:cs="Times New Roman"/>
          <w:b/>
          <w:sz w:val="28"/>
          <w:szCs w:val="24"/>
        </w:rPr>
      </w:pPr>
    </w:p>
    <w:p w:rsidR="00EE56F7" w:rsidRPr="00B035DF" w:rsidRDefault="008E37E3"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EE56F7" w:rsidRPr="00B035DF">
        <w:rPr>
          <w:rFonts w:ascii="Times New Roman" w:hAnsi="Times New Roman" w:cs="Times New Roman"/>
          <w:b/>
          <w:sz w:val="24"/>
          <w:szCs w:val="24"/>
        </w:rPr>
        <w:t>SUBJECT AREA:</w:t>
      </w:r>
    </w:p>
    <w:p w:rsidR="00EE56F7" w:rsidRDefault="00203B7D" w:rsidP="005E43A8">
      <w:pPr>
        <w:spacing w:line="360" w:lineRule="auto"/>
        <w:jc w:val="both"/>
        <w:rPr>
          <w:rFonts w:ascii="Times New Roman" w:hAnsi="Times New Roman" w:cs="Times New Roman"/>
          <w:sz w:val="24"/>
          <w:szCs w:val="24"/>
        </w:rPr>
      </w:pPr>
      <w:r w:rsidRPr="00B035DF">
        <w:rPr>
          <w:rFonts w:ascii="Times New Roman" w:hAnsi="Times New Roman" w:cs="Times New Roman"/>
          <w:sz w:val="24"/>
          <w:szCs w:val="24"/>
        </w:rPr>
        <w:t xml:space="preserve">It has been observed that maximum </w:t>
      </w:r>
      <w:r w:rsidR="00BB4591">
        <w:rPr>
          <w:rFonts w:ascii="Times New Roman" w:hAnsi="Times New Roman" w:cs="Times New Roman"/>
          <w:sz w:val="24"/>
          <w:szCs w:val="24"/>
        </w:rPr>
        <w:t>studies</w:t>
      </w:r>
      <w:r w:rsidRPr="00B035DF">
        <w:rPr>
          <w:rFonts w:ascii="Times New Roman" w:hAnsi="Times New Roman" w:cs="Times New Roman"/>
          <w:sz w:val="24"/>
          <w:szCs w:val="24"/>
        </w:rPr>
        <w:t xml:space="preserve"> are written in the subject area of Management and Accounting. Furthermore, subject area such as Economics and Social science also has 113 and 78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respectively. There are 30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in Decision science and 10 in Engineering.</w:t>
      </w:r>
    </w:p>
    <w:p w:rsidR="00E05ED1" w:rsidRDefault="00E05ED1" w:rsidP="001E2695">
      <w:pPr>
        <w:spacing w:line="360" w:lineRule="auto"/>
        <w:jc w:val="center"/>
        <w:rPr>
          <w:rFonts w:ascii="Times New Roman" w:hAnsi="Times New Roman" w:cs="Times New Roman"/>
          <w:sz w:val="24"/>
          <w:szCs w:val="24"/>
        </w:rPr>
      </w:pPr>
    </w:p>
    <w:p w:rsidR="00E05ED1" w:rsidRDefault="00E05ED1" w:rsidP="001E2695">
      <w:pPr>
        <w:spacing w:line="360" w:lineRule="auto"/>
        <w:jc w:val="center"/>
        <w:rPr>
          <w:rFonts w:ascii="Times New Roman" w:hAnsi="Times New Roman" w:cs="Times New Roman"/>
          <w:sz w:val="24"/>
          <w:szCs w:val="24"/>
        </w:rPr>
      </w:pPr>
    </w:p>
    <w:p w:rsidR="001E2695" w:rsidRDefault="009B65FE" w:rsidP="001E269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Figure 2</w:t>
      </w:r>
      <w:r w:rsidR="001E2695">
        <w:rPr>
          <w:rFonts w:ascii="Times New Roman" w:hAnsi="Times New Roman" w:cs="Times New Roman"/>
          <w:sz w:val="24"/>
          <w:szCs w:val="24"/>
        </w:rPr>
        <w:t>: Subject Area</w:t>
      </w:r>
    </w:p>
    <w:p w:rsidR="00203B7D" w:rsidRPr="00D80C58" w:rsidRDefault="00D80C58" w:rsidP="00D80C5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3978" cy="4270549"/>
            <wp:effectExtent l="19050" t="0" r="0" b="0"/>
            <wp:docPr id="8" name="Picture 1" descr="C:\Users\SAMSUNG\Pictures\Screenshots\Screenshot (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Screenshots\Screenshot (489).png"/>
                    <pic:cNvPicPr>
                      <a:picLocks noChangeAspect="1" noChangeArrowheads="1"/>
                    </pic:cNvPicPr>
                  </pic:nvPicPr>
                  <pic:blipFill>
                    <a:blip r:embed="rId7"/>
                    <a:srcRect/>
                    <a:stretch>
                      <a:fillRect/>
                    </a:stretch>
                  </pic:blipFill>
                  <pic:spPr bwMode="auto">
                    <a:xfrm>
                      <a:off x="0" y="0"/>
                      <a:ext cx="5724525" cy="4270957"/>
                    </a:xfrm>
                    <a:prstGeom prst="rect">
                      <a:avLst/>
                    </a:prstGeom>
                    <a:noFill/>
                    <a:ln w="9525">
                      <a:noFill/>
                      <a:miter lim="800000"/>
                      <a:headEnd/>
                      <a:tailEnd/>
                    </a:ln>
                  </pic:spPr>
                </pic:pic>
              </a:graphicData>
            </a:graphic>
          </wp:inline>
        </w:drawing>
      </w:r>
      <w:r w:rsidR="00046421" w:rsidRPr="00046421">
        <w:rPr>
          <w:rFonts w:ascii="Times New Roman" w:hAnsi="Times New Roman" w:cs="Times New Roman"/>
          <w:i/>
          <w:sz w:val="24"/>
          <w:szCs w:val="24"/>
        </w:rPr>
        <w:t>(Source: Scopus Data Base)</w:t>
      </w:r>
    </w:p>
    <w:p w:rsidR="00D80C58" w:rsidRDefault="00D80C58" w:rsidP="005E43A8">
      <w:pPr>
        <w:spacing w:line="360" w:lineRule="auto"/>
        <w:jc w:val="both"/>
        <w:rPr>
          <w:rFonts w:ascii="Times New Roman" w:hAnsi="Times New Roman" w:cs="Times New Roman"/>
          <w:b/>
          <w:sz w:val="24"/>
          <w:szCs w:val="24"/>
        </w:rPr>
      </w:pPr>
    </w:p>
    <w:p w:rsidR="00965E9A" w:rsidRPr="00B035DF" w:rsidRDefault="008E37E3"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246ECA" w:rsidRPr="00B035DF">
        <w:rPr>
          <w:rFonts w:ascii="Times New Roman" w:hAnsi="Times New Roman" w:cs="Times New Roman"/>
          <w:b/>
          <w:sz w:val="24"/>
          <w:szCs w:val="24"/>
        </w:rPr>
        <w:t>JOURNALS WITH MAXIMUM PUBLICATIONS:</w:t>
      </w:r>
    </w:p>
    <w:p w:rsidR="00954BEA" w:rsidRDefault="0062725D" w:rsidP="00246ECA">
      <w:pPr>
        <w:spacing w:line="360" w:lineRule="auto"/>
        <w:jc w:val="both"/>
        <w:rPr>
          <w:rFonts w:ascii="Times New Roman" w:hAnsi="Times New Roman" w:cs="Times New Roman"/>
          <w:sz w:val="24"/>
          <w:szCs w:val="24"/>
        </w:rPr>
      </w:pPr>
      <w:r w:rsidRPr="0062725D">
        <w:rPr>
          <w:rFonts w:ascii="Times New Roman" w:hAnsi="Times New Roman" w:cs="Times New Roman"/>
          <w:sz w:val="24"/>
          <w:szCs w:val="24"/>
        </w:rPr>
        <w:t>The entirety of the 437 studies encompassed within this research is attributed to their respective 135 journals. The ensuing table presents a compilation of the leading twenty journals, each of which has exhibited the highest publication volume with regards to studies concerning Entrepreneurial Competencies. The preeminent contributor is the "Education and Training" journal, boasting a notable 12 studies. Moreover, the "Journal of Entrepreneurship Education" and the "Journal of Small Business and Enterprise Development" have made significant contributions, accounting for 9 and 8 studies respectively.</w:t>
      </w:r>
    </w:p>
    <w:p w:rsidR="00954BEA" w:rsidRDefault="00954BEA" w:rsidP="00246ECA">
      <w:pPr>
        <w:spacing w:line="360" w:lineRule="auto"/>
        <w:jc w:val="both"/>
        <w:rPr>
          <w:rFonts w:ascii="Times New Roman" w:hAnsi="Times New Roman" w:cs="Times New Roman"/>
          <w:sz w:val="24"/>
          <w:szCs w:val="24"/>
        </w:rPr>
      </w:pPr>
    </w:p>
    <w:p w:rsidR="00965E9A" w:rsidRPr="00B035DF" w:rsidRDefault="00046421" w:rsidP="00046421">
      <w:pPr>
        <w:spacing w:line="360" w:lineRule="auto"/>
        <w:jc w:val="center"/>
        <w:rPr>
          <w:rFonts w:ascii="Times New Roman" w:hAnsi="Times New Roman" w:cs="Times New Roman"/>
          <w:sz w:val="24"/>
          <w:szCs w:val="24"/>
        </w:rPr>
      </w:pPr>
      <w:r>
        <w:rPr>
          <w:rFonts w:ascii="Times New Roman" w:hAnsi="Times New Roman" w:cs="Times New Roman"/>
          <w:sz w:val="24"/>
          <w:szCs w:val="24"/>
        </w:rPr>
        <w:t>Table 1: Jou</w:t>
      </w:r>
      <w:r w:rsidR="00C55B9B">
        <w:rPr>
          <w:rFonts w:ascii="Times New Roman" w:hAnsi="Times New Roman" w:cs="Times New Roman"/>
          <w:sz w:val="24"/>
          <w:szCs w:val="24"/>
        </w:rPr>
        <w:t>rnals with maximum publications</w:t>
      </w:r>
    </w:p>
    <w:p w:rsidR="00954BEA" w:rsidRDefault="00E05ED1" w:rsidP="00046421">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574707" cy="6290268"/>
            <wp:effectExtent l="19050" t="0" r="6943" b="0"/>
            <wp:docPr id="15" name="Picture 2" descr="C:\Users\SAMSUNG\Pictures\Screenshots\Screenshot (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Screenshots\Screenshot (490).png"/>
                    <pic:cNvPicPr>
                      <a:picLocks noChangeAspect="1" noChangeArrowheads="1"/>
                    </pic:cNvPicPr>
                  </pic:nvPicPr>
                  <pic:blipFill>
                    <a:blip r:embed="rId8"/>
                    <a:srcRect/>
                    <a:stretch>
                      <a:fillRect/>
                    </a:stretch>
                  </pic:blipFill>
                  <pic:spPr bwMode="auto">
                    <a:xfrm>
                      <a:off x="0" y="0"/>
                      <a:ext cx="5577814" cy="6293774"/>
                    </a:xfrm>
                    <a:prstGeom prst="rect">
                      <a:avLst/>
                    </a:prstGeom>
                    <a:noFill/>
                    <a:ln w="9525">
                      <a:noFill/>
                      <a:miter lim="800000"/>
                      <a:headEnd/>
                      <a:tailEnd/>
                    </a:ln>
                  </pic:spPr>
                </pic:pic>
              </a:graphicData>
            </a:graphic>
          </wp:inline>
        </w:drawing>
      </w:r>
    </w:p>
    <w:p w:rsidR="00B8313E" w:rsidRPr="00046421" w:rsidRDefault="00046421" w:rsidP="00046421">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6541C3" w:rsidRPr="00B035DF" w:rsidRDefault="008E37E3"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246ECA" w:rsidRPr="00B035DF">
        <w:rPr>
          <w:rFonts w:ascii="Times New Roman" w:hAnsi="Times New Roman" w:cs="Times New Roman"/>
          <w:b/>
          <w:sz w:val="24"/>
          <w:szCs w:val="24"/>
        </w:rPr>
        <w:t>YEAR WISE PUBLICATION:</w:t>
      </w:r>
    </w:p>
    <w:p w:rsidR="0062725D" w:rsidRPr="0062725D" w:rsidRDefault="0062725D" w:rsidP="0062725D">
      <w:pPr>
        <w:autoSpaceDE w:val="0"/>
        <w:autoSpaceDN w:val="0"/>
        <w:adjustRightInd w:val="0"/>
        <w:spacing w:after="0" w:line="360" w:lineRule="auto"/>
        <w:jc w:val="both"/>
        <w:rPr>
          <w:rFonts w:ascii="Times New Roman" w:hAnsi="Times New Roman" w:cs="Times New Roman"/>
          <w:sz w:val="24"/>
          <w:szCs w:val="24"/>
        </w:rPr>
      </w:pPr>
      <w:r w:rsidRPr="0062725D">
        <w:rPr>
          <w:rFonts w:ascii="Times New Roman" w:hAnsi="Times New Roman" w:cs="Times New Roman"/>
          <w:sz w:val="24"/>
          <w:szCs w:val="24"/>
        </w:rPr>
        <w:t>This table provides an overview of the volume of studies published between the years 2000 and 2021, showcasing the evident growth in research dedicated to entrepreneurial competencies. Notably, the number of published studies was rather minimal during the period from 2000 to 2014. Subsequently, there was a remarkable upsurge in research output from 2014 to 2019, with the number of studies escalating from 16 to 75.</w:t>
      </w:r>
    </w:p>
    <w:p w:rsidR="0062725D" w:rsidRPr="0062725D" w:rsidRDefault="0062725D" w:rsidP="0062725D">
      <w:pPr>
        <w:autoSpaceDE w:val="0"/>
        <w:autoSpaceDN w:val="0"/>
        <w:adjustRightInd w:val="0"/>
        <w:spacing w:after="0" w:line="360" w:lineRule="auto"/>
        <w:jc w:val="both"/>
        <w:rPr>
          <w:rFonts w:ascii="Times New Roman" w:hAnsi="Times New Roman" w:cs="Times New Roman"/>
          <w:sz w:val="24"/>
          <w:szCs w:val="24"/>
        </w:rPr>
      </w:pPr>
    </w:p>
    <w:p w:rsidR="008E37E3" w:rsidRDefault="0062725D" w:rsidP="0062725D">
      <w:pPr>
        <w:autoSpaceDE w:val="0"/>
        <w:autoSpaceDN w:val="0"/>
        <w:adjustRightInd w:val="0"/>
        <w:spacing w:after="0" w:line="360" w:lineRule="auto"/>
        <w:jc w:val="both"/>
        <w:rPr>
          <w:rFonts w:ascii="Times New Roman" w:hAnsi="Times New Roman" w:cs="Times New Roman"/>
          <w:sz w:val="24"/>
          <w:szCs w:val="24"/>
        </w:rPr>
      </w:pPr>
      <w:r w:rsidRPr="0062725D">
        <w:rPr>
          <w:rFonts w:ascii="Times New Roman" w:hAnsi="Times New Roman" w:cs="Times New Roman"/>
          <w:sz w:val="24"/>
          <w:szCs w:val="24"/>
        </w:rPr>
        <w:lastRenderedPageBreak/>
        <w:t>Furthermore, a discernible pattern emerges in the distribution of studies, with the majority being concentrated within the last five years. The trajectory of growth is strikingly evident, as the number of studies surged from 32 in 2016 to 68 in 2021. The pinnacle of research output was witnessed in 2019, which saw a publication count of 75 studies. This unmistakably underscores the exponential rise in researchers' interest within this domain, particularly in recent times.</w:t>
      </w:r>
    </w:p>
    <w:p w:rsidR="006E7799" w:rsidRDefault="009B65FE" w:rsidP="00262AA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3</w:t>
      </w:r>
      <w:r w:rsidR="00046421">
        <w:rPr>
          <w:rFonts w:ascii="Times New Roman" w:hAnsi="Times New Roman" w:cs="Times New Roman"/>
          <w:sz w:val="24"/>
          <w:szCs w:val="24"/>
        </w:rPr>
        <w:t>: Year</w:t>
      </w:r>
      <w:r w:rsidR="00B84FB1">
        <w:rPr>
          <w:rFonts w:ascii="Times New Roman" w:hAnsi="Times New Roman" w:cs="Times New Roman"/>
          <w:sz w:val="24"/>
          <w:szCs w:val="24"/>
        </w:rPr>
        <w:t>-</w:t>
      </w:r>
      <w:r w:rsidR="00262AAA">
        <w:rPr>
          <w:rFonts w:ascii="Times New Roman" w:hAnsi="Times New Roman" w:cs="Times New Roman"/>
          <w:sz w:val="24"/>
          <w:szCs w:val="24"/>
        </w:rPr>
        <w:t>wise Publications</w:t>
      </w:r>
    </w:p>
    <w:p w:rsidR="006E7799" w:rsidRPr="00B035DF" w:rsidRDefault="00917CF6" w:rsidP="00917CF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84800" cy="4673600"/>
            <wp:effectExtent l="19050" t="0" r="6350" b="0"/>
            <wp:docPr id="16" name="Picture 3" descr="C:\Users\SAMSUNG\Pictures\Screenshots\Screenshot (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Screenshots\Screenshot (491).png"/>
                    <pic:cNvPicPr>
                      <a:picLocks noChangeAspect="1" noChangeArrowheads="1"/>
                    </pic:cNvPicPr>
                  </pic:nvPicPr>
                  <pic:blipFill>
                    <a:blip r:embed="rId9"/>
                    <a:srcRect/>
                    <a:stretch>
                      <a:fillRect/>
                    </a:stretch>
                  </pic:blipFill>
                  <pic:spPr bwMode="auto">
                    <a:xfrm>
                      <a:off x="0" y="0"/>
                      <a:ext cx="5384800" cy="4673600"/>
                    </a:xfrm>
                    <a:prstGeom prst="rect">
                      <a:avLst/>
                    </a:prstGeom>
                    <a:noFill/>
                    <a:ln w="9525">
                      <a:noFill/>
                      <a:miter lim="800000"/>
                      <a:headEnd/>
                      <a:tailEnd/>
                    </a:ln>
                  </pic:spPr>
                </pic:pic>
              </a:graphicData>
            </a:graphic>
          </wp:inline>
        </w:drawing>
      </w:r>
    </w:p>
    <w:p w:rsidR="008E37E3" w:rsidRDefault="00530D04" w:rsidP="008E37E3">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381E43" w:rsidRPr="008E37E3" w:rsidRDefault="008E37E3" w:rsidP="008E37E3">
      <w:pPr>
        <w:spacing w:line="360" w:lineRule="auto"/>
        <w:rPr>
          <w:rFonts w:ascii="Times New Roman" w:hAnsi="Times New Roman" w:cs="Times New Roman"/>
          <w:i/>
          <w:sz w:val="24"/>
          <w:szCs w:val="24"/>
        </w:rPr>
      </w:pPr>
      <w:r>
        <w:rPr>
          <w:rFonts w:ascii="Times New Roman" w:hAnsi="Times New Roman" w:cs="Times New Roman"/>
          <w:b/>
          <w:sz w:val="24"/>
          <w:szCs w:val="24"/>
        </w:rPr>
        <w:t xml:space="preserve">3.4 </w:t>
      </w:r>
      <w:r w:rsidR="00246ECA" w:rsidRPr="00B035DF">
        <w:rPr>
          <w:rFonts w:ascii="Times New Roman" w:hAnsi="Times New Roman" w:cs="Times New Roman"/>
          <w:b/>
          <w:sz w:val="24"/>
          <w:szCs w:val="24"/>
        </w:rPr>
        <w:t>MOST CITED PAPER:</w:t>
      </w:r>
    </w:p>
    <w:p w:rsidR="00AD1969" w:rsidRPr="00B035DF" w:rsidRDefault="00381E43" w:rsidP="00AD1969">
      <w:pPr>
        <w:spacing w:after="0" w:line="360" w:lineRule="auto"/>
        <w:jc w:val="both"/>
        <w:rPr>
          <w:rFonts w:ascii="Times New Roman" w:eastAsia="Times New Roman" w:hAnsi="Times New Roman" w:cs="Times New Roman"/>
          <w:color w:val="000000"/>
          <w:sz w:val="24"/>
          <w:szCs w:val="24"/>
        </w:rPr>
      </w:pPr>
      <w:r w:rsidRPr="00B035DF">
        <w:rPr>
          <w:rFonts w:ascii="Times New Roman" w:hAnsi="Times New Roman" w:cs="Times New Roman"/>
          <w:sz w:val="24"/>
          <w:szCs w:val="24"/>
        </w:rPr>
        <w:t xml:space="preserve">Focussing on the Scopus content, a list of the twenty most cited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is presented in the table. The most cited paper 572 citation is</w:t>
      </w:r>
      <w:r w:rsidRPr="00B035DF">
        <w:rPr>
          <w:rFonts w:ascii="Times New Roman" w:eastAsia="Times New Roman" w:hAnsi="Times New Roman" w:cs="Times New Roman"/>
          <w:color w:val="000000"/>
          <w:sz w:val="24"/>
          <w:szCs w:val="24"/>
        </w:rPr>
        <w:t xml:space="preserve"> by Man T.W.Y., Lau T., </w:t>
      </w:r>
      <w:proofErr w:type="gramStart"/>
      <w:r w:rsidRPr="00B035DF">
        <w:rPr>
          <w:rFonts w:ascii="Times New Roman" w:eastAsia="Times New Roman" w:hAnsi="Times New Roman" w:cs="Times New Roman"/>
          <w:color w:val="000000"/>
          <w:sz w:val="24"/>
          <w:szCs w:val="24"/>
        </w:rPr>
        <w:t>Chan</w:t>
      </w:r>
      <w:proofErr w:type="gramEnd"/>
      <w:r w:rsidRPr="00B035DF">
        <w:rPr>
          <w:rFonts w:ascii="Times New Roman" w:eastAsia="Times New Roman" w:hAnsi="Times New Roman" w:cs="Times New Roman"/>
          <w:color w:val="000000"/>
          <w:sz w:val="24"/>
          <w:szCs w:val="24"/>
        </w:rPr>
        <w:t xml:space="preserve"> K.F. </w:t>
      </w:r>
      <w:r w:rsidR="00AD1969" w:rsidRPr="00B035DF">
        <w:rPr>
          <w:rFonts w:ascii="Times New Roman" w:eastAsia="Times New Roman" w:hAnsi="Times New Roman" w:cs="Times New Roman"/>
          <w:color w:val="000000"/>
          <w:sz w:val="24"/>
          <w:szCs w:val="24"/>
        </w:rPr>
        <w:t xml:space="preserve">In this work, a conceptual model is constructed to link the characteristics of owner-managers of small and medium-sized businesses (SMEs) and their company' performance. Competitive scope, </w:t>
      </w:r>
      <w:r w:rsidR="00AD1969" w:rsidRPr="00B035DF">
        <w:rPr>
          <w:rFonts w:ascii="Times New Roman" w:eastAsia="Times New Roman" w:hAnsi="Times New Roman" w:cs="Times New Roman"/>
          <w:color w:val="000000"/>
          <w:sz w:val="24"/>
          <w:szCs w:val="24"/>
        </w:rPr>
        <w:lastRenderedPageBreak/>
        <w:t>organi</w:t>
      </w:r>
      <w:r w:rsidR="00646B1D">
        <w:rPr>
          <w:rFonts w:ascii="Times New Roman" w:eastAsia="Times New Roman" w:hAnsi="Times New Roman" w:cs="Times New Roman"/>
          <w:color w:val="000000"/>
          <w:sz w:val="24"/>
          <w:szCs w:val="24"/>
        </w:rPr>
        <w:t>z</w:t>
      </w:r>
      <w:r w:rsidR="00AD1969" w:rsidRPr="00B035DF">
        <w:rPr>
          <w:rFonts w:ascii="Times New Roman" w:eastAsia="Times New Roman" w:hAnsi="Times New Roman" w:cs="Times New Roman"/>
          <w:color w:val="000000"/>
          <w:sz w:val="24"/>
          <w:szCs w:val="24"/>
        </w:rPr>
        <w:t>ational capabilities, entrepreneurial talents, and performance are the four con</w:t>
      </w:r>
      <w:r w:rsidR="00F16AC4">
        <w:rPr>
          <w:rFonts w:ascii="Times New Roman" w:eastAsia="Times New Roman" w:hAnsi="Times New Roman" w:cs="Times New Roman"/>
          <w:color w:val="000000"/>
          <w:sz w:val="24"/>
          <w:szCs w:val="24"/>
        </w:rPr>
        <w:t xml:space="preserve">structs of the model </w:t>
      </w:r>
      <w:r w:rsidR="00030D36">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{"citationItems":[{"id":"ITEM-1","itemData":{"DOI":"10.1016/S0883-9026(00)00058-6","ISSN":"08839026","abstract":"By drawing upon the concept of competitiveness and the competency approach, a conceptual model is developed to link the characteristics of small and medium-sized enterprises' (SMEs') owner-managers and their firms' performance together. The model consists of four constructs of competitive scope, organizational capabilities, entrepreneurial competencies and performance. The central focus of the model is the three entrepreneurial tasks that link different competency areas with other constructs of competitiveness. Propositions related to these relationships are made. The model suggests further research in different competency areas, interindustry comparisons, and validating studies. © 2001 Elsevier Science Inc. All rights reserved.","author":[{"dropping-particle":"","family":"Man","given":"Thomas W.Y.","non-dropping-particle":"","parse-names":false,"suffix":""},{"dropping-particle":"","family":"Lau","given":"Theresa","non-dropping-particle":"","parse-names":false,"suffix":""},{"dropping-particle":"","family":"Chan","given":"K. F.","non-dropping-particle":"","parse-names":false,"suffix":""}],"container-title":"Journal of Business Venturing","id":"ITEM-1","issue":"2","issued":{"date-parts":[["2002"]]},"page":"123-142","title":"The competitiveness of small and medium enterprises: A conceptualization with focus on entrepreneurial competencies","type":"article-journal","volume":"17"},"uris":["http://www.mendeley.com/documents/?uuid=2f4c2d64-00c9-4ed6-9903-9e3a2c3a9346"]}],"mendeley":{"formattedCitation":"(Man et al., 2002)","plainTextFormattedCitation":"(Man et al., 2002)","previouslyFormattedCitation":"(Man et al., 2002)"},"properties":{"noteIndex":0},"schema":"https://github.com/citation-style-language/schema/raw/master/csl-citation.json"}</w:instrText>
      </w:r>
      <w:r w:rsidR="00030D36">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(Man et al., 2002)</w:t>
      </w:r>
      <w:r w:rsidR="00030D36">
        <w:rPr>
          <w:rFonts w:ascii="Times New Roman" w:eastAsia="Times New Roman" w:hAnsi="Times New Roman" w:cs="Times New Roman"/>
          <w:color w:val="000000"/>
          <w:sz w:val="24"/>
          <w:szCs w:val="24"/>
        </w:rPr>
        <w:fldChar w:fldCharType="end"/>
      </w:r>
      <w:r w:rsidR="00F16AC4">
        <w:rPr>
          <w:rFonts w:ascii="Times New Roman" w:eastAsia="Times New Roman" w:hAnsi="Times New Roman" w:cs="Times New Roman"/>
          <w:color w:val="000000"/>
          <w:sz w:val="24"/>
          <w:szCs w:val="24"/>
        </w:rPr>
        <w:t>.</w:t>
      </w:r>
    </w:p>
    <w:p w:rsidR="00381E43" w:rsidRPr="00B035DF" w:rsidRDefault="00381E43" w:rsidP="00AD1969">
      <w:pPr>
        <w:spacing w:after="0" w:line="360" w:lineRule="auto"/>
        <w:jc w:val="both"/>
        <w:rPr>
          <w:rFonts w:ascii="Times New Roman" w:eastAsia="Times New Roman" w:hAnsi="Times New Roman" w:cs="Times New Roman"/>
          <w:color w:val="000000"/>
          <w:sz w:val="24"/>
          <w:szCs w:val="24"/>
        </w:rPr>
      </w:pPr>
    </w:p>
    <w:p w:rsidR="00AD1969" w:rsidRPr="00B035DF" w:rsidRDefault="00381E43" w:rsidP="00AD1969">
      <w:pPr>
        <w:spacing w:after="0" w:line="360" w:lineRule="auto"/>
        <w:jc w:val="both"/>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 xml:space="preserve">The </w:t>
      </w:r>
      <w:r w:rsidR="00161C8C" w:rsidRPr="00B035DF">
        <w:rPr>
          <w:rFonts w:ascii="Times New Roman" w:eastAsia="Times New Roman" w:hAnsi="Times New Roman" w:cs="Times New Roman"/>
          <w:color w:val="000000"/>
          <w:sz w:val="24"/>
          <w:szCs w:val="24"/>
        </w:rPr>
        <w:t>second most cited paper with 328</w:t>
      </w:r>
      <w:r w:rsidRPr="00B035DF">
        <w:rPr>
          <w:rFonts w:ascii="Times New Roman" w:eastAsia="Times New Roman" w:hAnsi="Times New Roman" w:cs="Times New Roman"/>
          <w:color w:val="000000"/>
          <w:sz w:val="24"/>
          <w:szCs w:val="24"/>
        </w:rPr>
        <w:t xml:space="preserve"> citation</w:t>
      </w:r>
      <w:r w:rsidR="00646B1D">
        <w:rPr>
          <w:rFonts w:ascii="Times New Roman" w:eastAsia="Times New Roman" w:hAnsi="Times New Roman" w:cs="Times New Roman"/>
          <w:color w:val="000000"/>
          <w:sz w:val="24"/>
          <w:szCs w:val="24"/>
        </w:rPr>
        <w:t>s</w:t>
      </w:r>
      <w:r w:rsidRPr="00B035DF">
        <w:rPr>
          <w:rFonts w:ascii="Times New Roman" w:eastAsia="Times New Roman" w:hAnsi="Times New Roman" w:cs="Times New Roman"/>
          <w:color w:val="000000"/>
          <w:sz w:val="24"/>
          <w:szCs w:val="24"/>
        </w:rPr>
        <w:t xml:space="preserve"> is “Entrepreneurial competencies: A literature review and development agenda” by </w:t>
      </w:r>
      <w:proofErr w:type="spellStart"/>
      <w:r w:rsidRPr="00B035DF">
        <w:rPr>
          <w:rFonts w:ascii="Times New Roman" w:eastAsia="Times New Roman" w:hAnsi="Times New Roman" w:cs="Times New Roman"/>
          <w:color w:val="000000"/>
          <w:sz w:val="24"/>
          <w:szCs w:val="24"/>
        </w:rPr>
        <w:t>Mitchelmore</w:t>
      </w:r>
      <w:proofErr w:type="spellEnd"/>
      <w:r w:rsidRPr="00B035DF">
        <w:rPr>
          <w:rFonts w:ascii="Times New Roman" w:eastAsia="Times New Roman" w:hAnsi="Times New Roman" w:cs="Times New Roman"/>
          <w:color w:val="000000"/>
          <w:sz w:val="24"/>
          <w:szCs w:val="24"/>
        </w:rPr>
        <w:t xml:space="preserve"> S., Rowley J.</w:t>
      </w:r>
      <w:r w:rsidR="00B84FB1">
        <w:rPr>
          <w:rFonts w:ascii="Times New Roman" w:eastAsia="Times New Roman" w:hAnsi="Times New Roman" w:cs="Times New Roman"/>
          <w:color w:val="000000"/>
          <w:sz w:val="24"/>
          <w:szCs w:val="24"/>
        </w:rPr>
        <w:t xml:space="preserve"> </w:t>
      </w:r>
      <w:r w:rsidR="00AD1969" w:rsidRPr="00B035DF">
        <w:rPr>
          <w:rFonts w:ascii="Times New Roman" w:eastAsia="Times New Roman" w:hAnsi="Times New Roman" w:cs="Times New Roman"/>
          <w:color w:val="000000"/>
          <w:sz w:val="24"/>
          <w:szCs w:val="24"/>
        </w:rPr>
        <w:t>The goal of this paper is to conduct a literature review of entrepreneurial competence research to provide an integrated account of contributions relating to entrepreneurial competencies by different authors working in different countries, different industry sectors, and at different times; and develop an agenda for future research and practi</w:t>
      </w:r>
      <w:r w:rsidR="00646B1D">
        <w:rPr>
          <w:rFonts w:ascii="Times New Roman" w:eastAsia="Times New Roman" w:hAnsi="Times New Roman" w:cs="Times New Roman"/>
          <w:color w:val="000000"/>
          <w:sz w:val="24"/>
          <w:szCs w:val="24"/>
        </w:rPr>
        <w:t>c</w:t>
      </w:r>
      <w:r w:rsidR="00AD1969" w:rsidRPr="00B035DF">
        <w:rPr>
          <w:rFonts w:ascii="Times New Roman" w:eastAsia="Times New Roman" w:hAnsi="Times New Roman" w:cs="Times New Roman"/>
          <w:color w:val="000000"/>
          <w:sz w:val="24"/>
          <w:szCs w:val="24"/>
        </w:rPr>
        <w:t xml:space="preserve">e </w:t>
      </w:r>
      <w:r w:rsidR="00646B1D">
        <w:rPr>
          <w:rFonts w:ascii="Times New Roman" w:eastAsia="Times New Roman" w:hAnsi="Times New Roman" w:cs="Times New Roman"/>
          <w:color w:val="000000"/>
          <w:sz w:val="24"/>
          <w:szCs w:val="24"/>
        </w:rPr>
        <w:t>about</w:t>
      </w:r>
      <w:r w:rsidR="00F16AC4">
        <w:rPr>
          <w:rFonts w:ascii="Times New Roman" w:eastAsia="Times New Roman" w:hAnsi="Times New Roman" w:cs="Times New Roman"/>
          <w:color w:val="000000"/>
          <w:sz w:val="24"/>
          <w:szCs w:val="24"/>
        </w:rPr>
        <w:t xml:space="preserve"> entrepreneurial competencies </w:t>
      </w:r>
      <w:r w:rsidR="00030D36">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{"citationItems":[{"id":"ITEM-1","itemData":{"DOI":"10.1108/13552551011026995","ISSN":"13552554","abstract":"Purpose – Entrepreneurial competencies are seen as important to business growth and success. The purpose of this paper is therefore to undertake a literature review of research on entrepreneurial competence in order to: provide an integrated account of contributions relating to entrepreneurial competencies by different authors working in different countries and different industry sectors and at different points in time; and, develop an agenda for future research, and practice in relation to entrepreneurial competencies. Design/methodology/approach – The article starts with a review of the development of the concept of competence, with particular reference to its use in the context of management competencies. It then draws together views on the notion of entrepreneurial competence before exploring and summarising research on the link between entrepreneurial competencies and business performance and growth. A core section then compares the models of entrepreneurial competencies cited in the literature, and on this basis proposes a set of entrepreneurial competencies which can be used as the basis for further research and practice. Finally, the different perspectives adopted by researchers to the measurement of entrepreneurial competencies are reviewed. Findings – Conclusions suggest that although the concept of entrepreneurial competencies is used widely by government agencies and others in their drive for economic development and business success, the core concept of entrepreneurial competencies, its measurement and its relationship to entrepreneurial performance and business success is in need of further rigorous research and development in practice. Originality/value – This article integrates previous models of entrepreneurial competencies towards the development of an entrepreneurial competency framework. © 2010, Emerald Group Publishing Limited","author":[{"dropping-particle":"","family":"Mitchelmore","given":"Siwan","non-dropping-particle":"","parse-names":false,"suffix":""},{"dropping-particle":"","family":"Rowley","given":"Jennifer","non-dropping-particle":"","parse-names":false,"suffix":""}],"container-title":"International Journal of Entrepreneurial Behaviour &amp; Research","id":"ITEM-1","issue":"2","issued":{"date-parts":[["2010"]]},"page":"92-111","title":"Entrepreneurial competencies: A literature review and development agenda","type":"article-journal","volume":"16"},"uris":["http://www.mendeley.com/documents/?uuid=181f00f0-18a5-4805-af76-e27e04bef21e"]}],"mendeley":{"formattedCitation":"(Mitchelmore &amp; Rowley, 2010)","plainTextFormattedCitation":"(Mitchelmore &amp; Rowley, 2010)","previouslyFormattedCitation":"(Mitchelmore &amp; Rowley, 2010)"},"properties":{"noteIndex":0},"schema":"https://github.com/citation-style-language/schema/raw/master/csl-citation.json"}</w:instrText>
      </w:r>
      <w:r w:rsidR="00030D36">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(Mitchelmore &amp; Rowley, 2010)</w:t>
      </w:r>
      <w:r w:rsidR="00030D36">
        <w:rPr>
          <w:rFonts w:ascii="Times New Roman" w:eastAsia="Times New Roman" w:hAnsi="Times New Roman" w:cs="Times New Roman"/>
          <w:color w:val="000000"/>
          <w:sz w:val="24"/>
          <w:szCs w:val="24"/>
        </w:rPr>
        <w:fldChar w:fldCharType="end"/>
      </w:r>
    </w:p>
    <w:p w:rsidR="00AD1969" w:rsidRPr="00B035DF" w:rsidRDefault="00AD1969" w:rsidP="00AD1969">
      <w:pPr>
        <w:spacing w:after="0" w:line="360" w:lineRule="auto"/>
        <w:jc w:val="both"/>
        <w:rPr>
          <w:rFonts w:ascii="Times New Roman" w:eastAsia="Times New Roman" w:hAnsi="Times New Roman" w:cs="Times New Roman"/>
          <w:color w:val="000000"/>
          <w:sz w:val="24"/>
          <w:szCs w:val="24"/>
        </w:rPr>
      </w:pPr>
    </w:p>
    <w:p w:rsidR="00AD1969" w:rsidRPr="00B035DF" w:rsidRDefault="00BB4679" w:rsidP="00AD1969">
      <w:pPr>
        <w:spacing w:after="0" w:line="360" w:lineRule="auto"/>
        <w:jc w:val="both"/>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Furthermore, the</w:t>
      </w:r>
      <w:r w:rsidR="00161C8C" w:rsidRPr="00B035DF">
        <w:rPr>
          <w:rFonts w:ascii="Times New Roman" w:eastAsia="Times New Roman" w:hAnsi="Times New Roman" w:cs="Times New Roman"/>
          <w:color w:val="000000"/>
          <w:sz w:val="24"/>
          <w:szCs w:val="24"/>
        </w:rPr>
        <w:t xml:space="preserve"> third most cited paper with 267</w:t>
      </w:r>
      <w:r w:rsidRPr="00B035DF">
        <w:rPr>
          <w:rFonts w:ascii="Times New Roman" w:eastAsia="Times New Roman" w:hAnsi="Times New Roman" w:cs="Times New Roman"/>
          <w:color w:val="000000"/>
          <w:sz w:val="24"/>
          <w:szCs w:val="24"/>
        </w:rPr>
        <w:t xml:space="preserve"> citations is “The Evolution of Entrepreneurial Competencies: A Longitudinal Study of University Spin-Off Venture Emergence” by Rasmussen E., Mosey S., Wright M. </w:t>
      </w:r>
      <w:r w:rsidR="00AD1969" w:rsidRPr="00B035DF">
        <w:rPr>
          <w:rFonts w:ascii="Times New Roman" w:eastAsia="Times New Roman" w:hAnsi="Times New Roman" w:cs="Times New Roman"/>
          <w:color w:val="000000"/>
          <w:sz w:val="24"/>
          <w:szCs w:val="24"/>
        </w:rPr>
        <w:t>The goal of this article is to gain a better understanding of how entrepreneurial skills develop</w:t>
      </w:r>
      <w:r w:rsidR="00646B1D">
        <w:rPr>
          <w:rFonts w:ascii="Times New Roman" w:eastAsia="Times New Roman" w:hAnsi="Times New Roman" w:cs="Times New Roman"/>
          <w:color w:val="000000"/>
          <w:sz w:val="24"/>
          <w:szCs w:val="24"/>
        </w:rPr>
        <w:t>ment</w:t>
      </w:r>
      <w:r w:rsidR="00AD1969" w:rsidRPr="00B035DF">
        <w:rPr>
          <w:rFonts w:ascii="Times New Roman" w:eastAsia="Times New Roman" w:hAnsi="Times New Roman" w:cs="Times New Roman"/>
          <w:color w:val="000000"/>
          <w:sz w:val="24"/>
          <w:szCs w:val="24"/>
        </w:rPr>
        <w:t xml:space="preserve"> in non-commercial academic settings to start new businesses. To assist identify these competencies and explain their development trajectories, we use an evolutionary viewpoint that cons</w:t>
      </w:r>
      <w:r w:rsidR="00F16AC4">
        <w:rPr>
          <w:rFonts w:ascii="Times New Roman" w:eastAsia="Times New Roman" w:hAnsi="Times New Roman" w:cs="Times New Roman"/>
          <w:color w:val="000000"/>
          <w:sz w:val="24"/>
          <w:szCs w:val="24"/>
        </w:rPr>
        <w:t xml:space="preserve">iders where resources come from </w:t>
      </w:r>
      <w:r w:rsidR="00030D36">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{"citationItems":[{"id":"ITEM-1","itemData":{"DOI":"10.1111/j.1467-6486.2010.00995.x","ISSN":"00222380","abstract":"This paper aims to better understand the development of entrepreneurial competencies to create new ventures within the non-commercial academic environment. We build upon the evolutionary perspective considering where resources come from to help define these competencies and explain their paths of development. The study follows the creation and early growth of four university spin-offs within the UK and Norway. We identified three competencies of opportunity refinement, leveraging, and championing that appeared crucial for the ventures to gain credibility. Although selected competencies were inherent within the academic founders, the specific competencies for venture creation had to be developed or acquired. This was achieved iteratively through entrepreneurial experience and accessing competencies from disparate actors such as industry partners and equity investors. Propositions are offered to guide future empirical research based upon our framework. © 2011 The Authors. Journal of Management Studies © 2011 Blackwell Publishing Ltd and Society for the Advancement of Management Studies.","author":[{"dropping-particle":"","family":"Rasmussen","given":"Einar","non-dropping-particle":"","parse-names":false,"suffix":""},{"dropping-particle":"","family":"Mosey","given":"Simon","non-dropping-particle":"","parse-names":false,"suffix":""},{"dropping-particle":"","family":"Wright","given":"Mike","non-dropping-particle":"","parse-names":false,"suffix":""}],"container-title":"Journal of Management Studies","id":"ITEM-1","issue":"6","issued":{"date-parts":[["2011"]]},"page":"1314-1345","title":"The Evolution of Entrepreneurial Competencies: A Longitudinal Study of University Spin-Off Venture Emergence","type":"article-journal","volume":"48"},"uris":["http://www.mendeley.com/documents/?uuid=7c3a99f2-3350-4048-b8d9-b742e9f05419"]}],"mendeley":{"formattedCitation":"(Rasmussen et al., 2011)","plainTextFormattedCitation":"(Rasmussen et al., 2011)","previouslyFormattedCitation":"(Rasmussen et al., 2011)"},"properties":{"noteIndex":0},"schema":"https://github.com/citation-style-language/schema/raw/master/csl-citation.json"}</w:instrText>
      </w:r>
      <w:r w:rsidR="00030D36">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(Rasmussen et al., 2011)</w:t>
      </w:r>
      <w:r w:rsidR="00030D36">
        <w:rPr>
          <w:rFonts w:ascii="Times New Roman" w:eastAsia="Times New Roman" w:hAnsi="Times New Roman" w:cs="Times New Roman"/>
          <w:color w:val="000000"/>
          <w:sz w:val="24"/>
          <w:szCs w:val="24"/>
        </w:rPr>
        <w:fldChar w:fldCharType="end"/>
      </w:r>
      <w:r w:rsidR="00F16AC4">
        <w:rPr>
          <w:rFonts w:ascii="Times New Roman" w:eastAsia="Times New Roman" w:hAnsi="Times New Roman" w:cs="Times New Roman"/>
          <w:color w:val="000000"/>
          <w:sz w:val="24"/>
          <w:szCs w:val="24"/>
        </w:rPr>
        <w:t>.</w:t>
      </w:r>
    </w:p>
    <w:p w:rsidR="00BB4679" w:rsidRPr="00B035DF" w:rsidRDefault="00BB4679" w:rsidP="00AD1969">
      <w:pPr>
        <w:spacing w:after="0" w:line="360" w:lineRule="auto"/>
        <w:jc w:val="both"/>
        <w:rPr>
          <w:rFonts w:ascii="Times New Roman" w:eastAsia="Times New Roman" w:hAnsi="Times New Roman" w:cs="Times New Roman"/>
          <w:color w:val="000000"/>
          <w:sz w:val="24"/>
          <w:szCs w:val="24"/>
        </w:rPr>
      </w:pPr>
    </w:p>
    <w:p w:rsidR="00AD1969" w:rsidRDefault="00BB4679" w:rsidP="00AD1969">
      <w:pPr>
        <w:spacing w:after="0" w:line="360" w:lineRule="auto"/>
        <w:jc w:val="both"/>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 xml:space="preserve">Then the fourth most cited paper with 246 citations is “A competency-based perspective on entrepreneurship education: Conceptual and empirical insights” by Morris M.H., Webb J.W., Fu J., </w:t>
      </w:r>
      <w:proofErr w:type="spellStart"/>
      <w:r w:rsidRPr="00B035DF">
        <w:rPr>
          <w:rFonts w:ascii="Times New Roman" w:eastAsia="Times New Roman" w:hAnsi="Times New Roman" w:cs="Times New Roman"/>
          <w:color w:val="000000"/>
          <w:sz w:val="24"/>
          <w:szCs w:val="24"/>
        </w:rPr>
        <w:t>Singhal</w:t>
      </w:r>
      <w:proofErr w:type="spellEnd"/>
      <w:r w:rsidRPr="00B035DF">
        <w:rPr>
          <w:rFonts w:ascii="Times New Roman" w:eastAsia="Times New Roman" w:hAnsi="Times New Roman" w:cs="Times New Roman"/>
          <w:color w:val="000000"/>
          <w:sz w:val="24"/>
          <w:szCs w:val="24"/>
        </w:rPr>
        <w:t xml:space="preserve"> S. </w:t>
      </w:r>
      <w:r w:rsidR="00AD1969" w:rsidRPr="00B035DF">
        <w:rPr>
          <w:rFonts w:ascii="Times New Roman" w:eastAsia="Times New Roman" w:hAnsi="Times New Roman" w:cs="Times New Roman"/>
          <w:color w:val="000000"/>
          <w:sz w:val="24"/>
          <w:szCs w:val="24"/>
        </w:rPr>
        <w:t>The competenc</w:t>
      </w:r>
      <w:r w:rsidR="00646B1D">
        <w:rPr>
          <w:rFonts w:ascii="Times New Roman" w:eastAsia="Times New Roman" w:hAnsi="Times New Roman" w:cs="Times New Roman"/>
          <w:color w:val="000000"/>
          <w:sz w:val="24"/>
          <w:szCs w:val="24"/>
        </w:rPr>
        <w:t>i</w:t>
      </w:r>
      <w:r w:rsidR="00AD1969" w:rsidRPr="00B035DF">
        <w:rPr>
          <w:rFonts w:ascii="Times New Roman" w:eastAsia="Times New Roman" w:hAnsi="Times New Roman" w:cs="Times New Roman"/>
          <w:color w:val="000000"/>
          <w:sz w:val="24"/>
          <w:szCs w:val="24"/>
        </w:rPr>
        <w:t xml:space="preserve">es required for entrepreneurial action are studied in this research. Competencies are viewed as an outgrowth of the learning of scripts derived from interactions between the individual and the environment, based on </w:t>
      </w:r>
      <w:proofErr w:type="spellStart"/>
      <w:r w:rsidR="00AD1969" w:rsidRPr="00B035DF">
        <w:rPr>
          <w:rFonts w:ascii="Times New Roman" w:eastAsia="Times New Roman" w:hAnsi="Times New Roman" w:cs="Times New Roman"/>
          <w:color w:val="000000"/>
          <w:sz w:val="24"/>
          <w:szCs w:val="24"/>
        </w:rPr>
        <w:t>structuration</w:t>
      </w:r>
      <w:proofErr w:type="spellEnd"/>
      <w:r w:rsidR="00AD1969" w:rsidRPr="00B035DF">
        <w:rPr>
          <w:rFonts w:ascii="Times New Roman" w:eastAsia="Times New Roman" w:hAnsi="Times New Roman" w:cs="Times New Roman"/>
          <w:color w:val="000000"/>
          <w:sz w:val="24"/>
          <w:szCs w:val="24"/>
        </w:rPr>
        <w:t xml:space="preserve"> theory. The distinction between managerial and entrepreneurial skills is made, with the latter helping to define the subjec</w:t>
      </w:r>
      <w:r w:rsidR="00F16AC4">
        <w:rPr>
          <w:rFonts w:ascii="Times New Roman" w:eastAsia="Times New Roman" w:hAnsi="Times New Roman" w:cs="Times New Roman"/>
          <w:color w:val="000000"/>
          <w:sz w:val="24"/>
          <w:szCs w:val="24"/>
        </w:rPr>
        <w:t xml:space="preserve">t of entrepreneurship education </w:t>
      </w:r>
      <w:r w:rsidR="00030D36">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{"citationItems":[{"id":"ITEM-1","itemData":{"DOI":"10.1111/jsbm.12023","ISSN":"00472778","abstract":"Competencies necessary for entrepreneurial action are investigated. Building on structuration theory, competencies are approached as an outgrowth of the learning of scripts deriving from interactions between the individual and environment. Managerial and entrepreneurial competencies are distinguished, with the latter helping to define the domain of entrepreneurship education. Employing a Delphi methodology, evidence is provided of a core set of 13 entrepreneurial competencies. Measures are then developed with a pilot study involving students in an international education program. Based on pre- and post-measures, findings demonstrate significant improvement on the competencies. Implications are drawn for the role of entrepreneurship education in competency development. © 2013 International Council for Small Business.","author":[{"dropping-particle":"","family":"Morris","given":"Michael H.","non-dropping-particle":"","parse-names":false,"suffix":""},{"dropping-particle":"","family":"Webb","given":"Justin W.","non-dropping-particle":"","parse-names":false,"suffix":""},{"dropping-particle":"","family":"Fu","given":"Jun","non-dropping-particle":"","parse-names":false,"suffix":""},{"dropping-particle":"","family":"Singhal","given":"Sujata","non-dropping-particle":"","parse-names":false,"suffix":""}],"container-title":"Journal of Small Business Management","id":"ITEM-1","issue":"3","issued":{"date-parts":[["2013"]]},"page":"352-369","title":"A competency-based perspective on entrepreneurship education: Conceptual and empirical insights","type":"article-journal","volume":"51"},"uris":["http://www.mendeley.com/documents/?uuid=2954605c-71cb-419d-be4c-46ab0e9bff50"]}],"mendeley":{"formattedCitation":"(Morris et al., 2013)","plainTextFormattedCitation":"(Morris et al., 2013)","previouslyFormattedCitation":"(Morris et al., 2013)"},"properties":{"noteIndex":0},"schema":"https://github.com/citation-style-language/schema/raw/master/csl-citation.json"}</w:instrText>
      </w:r>
      <w:r w:rsidR="00030D36">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(Morris et al., 2013)</w:t>
      </w:r>
      <w:r w:rsidR="00030D36">
        <w:rPr>
          <w:rFonts w:ascii="Times New Roman" w:eastAsia="Times New Roman" w:hAnsi="Times New Roman" w:cs="Times New Roman"/>
          <w:color w:val="000000"/>
          <w:sz w:val="24"/>
          <w:szCs w:val="24"/>
        </w:rPr>
        <w:fldChar w:fldCharType="end"/>
      </w:r>
      <w:r w:rsidR="00F16AC4">
        <w:rPr>
          <w:rFonts w:ascii="Times New Roman" w:eastAsia="Times New Roman" w:hAnsi="Times New Roman" w:cs="Times New Roman"/>
          <w:color w:val="000000"/>
          <w:sz w:val="24"/>
          <w:szCs w:val="24"/>
        </w:rPr>
        <w:t>.</w:t>
      </w:r>
    </w:p>
    <w:p w:rsidR="008E37E3" w:rsidRDefault="008E37E3"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E05ED1" w:rsidRDefault="00E05ED1"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E05ED1" w:rsidRDefault="00E05ED1"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E05ED1" w:rsidRDefault="00E05ED1"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E05ED1" w:rsidRDefault="00E05ED1"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E05ED1" w:rsidRDefault="00E05ED1"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917CF6" w:rsidRDefault="00917CF6"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E05ED1" w:rsidRDefault="00E05ED1"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E05ED1" w:rsidRDefault="00E05ED1"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8E37E3" w:rsidRPr="00B035DF" w:rsidRDefault="008E37E3" w:rsidP="006E7799">
      <w:pPr>
        <w:autoSpaceDE w:val="0"/>
        <w:autoSpaceDN w:val="0"/>
        <w:adjustRightInd w:val="0"/>
        <w:spacing w:after="0" w:line="360" w:lineRule="auto"/>
        <w:jc w:val="both"/>
        <w:rPr>
          <w:rFonts w:ascii="Times New Roman" w:hAnsi="Times New Roman" w:cs="Times New Roman"/>
          <w:sz w:val="24"/>
          <w:szCs w:val="24"/>
        </w:rPr>
      </w:pPr>
    </w:p>
    <w:p w:rsidR="009B65FE" w:rsidRDefault="00046421" w:rsidP="009B65F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2: Most cited </w:t>
      </w:r>
      <w:r w:rsidR="00B84FB1">
        <w:rPr>
          <w:rFonts w:ascii="Times New Roman" w:hAnsi="Times New Roman" w:cs="Times New Roman"/>
          <w:sz w:val="24"/>
          <w:szCs w:val="24"/>
        </w:rPr>
        <w:t>studies</w:t>
      </w:r>
    </w:p>
    <w:p w:rsidR="00E05ED1" w:rsidRDefault="00917CF6" w:rsidP="009B65F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3400" cy="8039100"/>
            <wp:effectExtent l="19050" t="0" r="6350" b="0"/>
            <wp:docPr id="17" name="Picture 4" descr="C:\Users\SAMSUNG\Pictures\Screenshots\Screenshot (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Pictures\Screenshots\Screenshot (492).png"/>
                    <pic:cNvPicPr>
                      <a:picLocks noChangeAspect="1" noChangeArrowheads="1"/>
                    </pic:cNvPicPr>
                  </pic:nvPicPr>
                  <pic:blipFill>
                    <a:blip r:embed="rId10"/>
                    <a:srcRect/>
                    <a:stretch>
                      <a:fillRect/>
                    </a:stretch>
                  </pic:blipFill>
                  <pic:spPr bwMode="auto">
                    <a:xfrm>
                      <a:off x="0" y="0"/>
                      <a:ext cx="5613400" cy="8039100"/>
                    </a:xfrm>
                    <a:prstGeom prst="rect">
                      <a:avLst/>
                    </a:prstGeom>
                    <a:noFill/>
                    <a:ln w="9525">
                      <a:noFill/>
                      <a:miter lim="800000"/>
                      <a:headEnd/>
                      <a:tailEnd/>
                    </a:ln>
                  </pic:spPr>
                </pic:pic>
              </a:graphicData>
            </a:graphic>
          </wp:inline>
        </w:drawing>
      </w:r>
    </w:p>
    <w:p w:rsidR="00917CF6" w:rsidRPr="00B035DF" w:rsidRDefault="00917CF6" w:rsidP="009B65F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75300" cy="7924800"/>
            <wp:effectExtent l="19050" t="0" r="6350" b="0"/>
            <wp:docPr id="18" name="Picture 5" descr="C:\Users\SAMSUNG\Pictures\Screenshots\Screenshot (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Pictures\Screenshots\Screenshot (493).png"/>
                    <pic:cNvPicPr>
                      <a:picLocks noChangeAspect="1" noChangeArrowheads="1"/>
                    </pic:cNvPicPr>
                  </pic:nvPicPr>
                  <pic:blipFill>
                    <a:blip r:embed="rId11"/>
                    <a:srcRect/>
                    <a:stretch>
                      <a:fillRect/>
                    </a:stretch>
                  </pic:blipFill>
                  <pic:spPr bwMode="auto">
                    <a:xfrm>
                      <a:off x="0" y="0"/>
                      <a:ext cx="5575300" cy="7924800"/>
                    </a:xfrm>
                    <a:prstGeom prst="rect">
                      <a:avLst/>
                    </a:prstGeom>
                    <a:noFill/>
                    <a:ln w="9525">
                      <a:noFill/>
                      <a:miter lim="800000"/>
                      <a:headEnd/>
                      <a:tailEnd/>
                    </a:ln>
                  </pic:spPr>
                </pic:pic>
              </a:graphicData>
            </a:graphic>
          </wp:inline>
        </w:drawing>
      </w:r>
    </w:p>
    <w:p w:rsidR="00530D04" w:rsidRPr="00046421" w:rsidRDefault="00530D04" w:rsidP="00530D04">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917CF6" w:rsidRDefault="00917CF6" w:rsidP="005E43A8">
      <w:pPr>
        <w:spacing w:line="360" w:lineRule="auto"/>
        <w:jc w:val="both"/>
        <w:rPr>
          <w:rFonts w:ascii="Times New Roman" w:hAnsi="Times New Roman" w:cs="Times New Roman"/>
          <w:b/>
          <w:sz w:val="24"/>
          <w:szCs w:val="24"/>
        </w:rPr>
      </w:pPr>
    </w:p>
    <w:p w:rsidR="00C94A8A" w:rsidRPr="00B035DF" w:rsidRDefault="008E37E3"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3.5 </w:t>
      </w:r>
      <w:r w:rsidR="00246ECA" w:rsidRPr="00B035DF">
        <w:rPr>
          <w:rFonts w:ascii="Times New Roman" w:hAnsi="Times New Roman" w:cs="Times New Roman"/>
          <w:b/>
          <w:sz w:val="24"/>
          <w:szCs w:val="24"/>
        </w:rPr>
        <w:t>MOST PROLIFIC AUTHORS:</w:t>
      </w:r>
    </w:p>
    <w:p w:rsidR="0062725D" w:rsidRPr="0062725D" w:rsidRDefault="0062725D" w:rsidP="0062725D">
      <w:pPr>
        <w:autoSpaceDE w:val="0"/>
        <w:autoSpaceDN w:val="0"/>
        <w:adjustRightInd w:val="0"/>
        <w:spacing w:after="0" w:line="360" w:lineRule="auto"/>
        <w:jc w:val="both"/>
        <w:rPr>
          <w:rFonts w:ascii="Times New Roman" w:hAnsi="Times New Roman" w:cs="Times New Roman"/>
          <w:sz w:val="24"/>
          <w:szCs w:val="24"/>
        </w:rPr>
      </w:pPr>
      <w:r w:rsidRPr="0062725D">
        <w:rPr>
          <w:rFonts w:ascii="Times New Roman" w:hAnsi="Times New Roman" w:cs="Times New Roman"/>
          <w:sz w:val="24"/>
          <w:szCs w:val="24"/>
        </w:rPr>
        <w:t xml:space="preserve">The compilation showcases the twenty authors who have displayed exceptional prolificacy. Among the 437 studies, they collectively belong to 159 distinct authors. Following meticulous scrutiny of the data, a comprehensive list of the top twenty authors, distinguished by their extensive publication record, was formulated. Notably, the duo of </w:t>
      </w:r>
      <w:proofErr w:type="spellStart"/>
      <w:r w:rsidRPr="0062725D">
        <w:rPr>
          <w:rFonts w:ascii="Times New Roman" w:hAnsi="Times New Roman" w:cs="Times New Roman"/>
          <w:sz w:val="24"/>
          <w:szCs w:val="24"/>
        </w:rPr>
        <w:t>Mamun</w:t>
      </w:r>
      <w:proofErr w:type="spellEnd"/>
      <w:r w:rsidRPr="0062725D">
        <w:rPr>
          <w:rFonts w:ascii="Times New Roman" w:hAnsi="Times New Roman" w:cs="Times New Roman"/>
          <w:sz w:val="24"/>
          <w:szCs w:val="24"/>
        </w:rPr>
        <w:t xml:space="preserve">, A. A., and </w:t>
      </w:r>
      <w:proofErr w:type="spellStart"/>
      <w:r w:rsidRPr="0062725D">
        <w:rPr>
          <w:rFonts w:ascii="Times New Roman" w:hAnsi="Times New Roman" w:cs="Times New Roman"/>
          <w:sz w:val="24"/>
          <w:szCs w:val="24"/>
        </w:rPr>
        <w:t>Zali</w:t>
      </w:r>
      <w:proofErr w:type="spellEnd"/>
      <w:r w:rsidRPr="0062725D">
        <w:rPr>
          <w:rFonts w:ascii="Times New Roman" w:hAnsi="Times New Roman" w:cs="Times New Roman"/>
          <w:sz w:val="24"/>
          <w:szCs w:val="24"/>
        </w:rPr>
        <w:t xml:space="preserve">, M. R. emerges as the most prolific authors within the entrepreneurial competencies realm, having contributed seven studies each. Accompanying them, Ahmad, N. H., Al </w:t>
      </w:r>
      <w:proofErr w:type="spellStart"/>
      <w:r w:rsidRPr="0062725D">
        <w:rPr>
          <w:rFonts w:ascii="Times New Roman" w:hAnsi="Times New Roman" w:cs="Times New Roman"/>
          <w:sz w:val="24"/>
          <w:szCs w:val="24"/>
        </w:rPr>
        <w:t>Mamun</w:t>
      </w:r>
      <w:proofErr w:type="spellEnd"/>
      <w:r w:rsidRPr="0062725D">
        <w:rPr>
          <w:rFonts w:ascii="Times New Roman" w:hAnsi="Times New Roman" w:cs="Times New Roman"/>
          <w:sz w:val="24"/>
          <w:szCs w:val="24"/>
        </w:rPr>
        <w:t xml:space="preserve">, A., and </w:t>
      </w:r>
      <w:proofErr w:type="spellStart"/>
      <w:r w:rsidRPr="0062725D">
        <w:rPr>
          <w:rFonts w:ascii="Times New Roman" w:hAnsi="Times New Roman" w:cs="Times New Roman"/>
          <w:sz w:val="24"/>
          <w:szCs w:val="24"/>
        </w:rPr>
        <w:t>Fazal</w:t>
      </w:r>
      <w:proofErr w:type="spellEnd"/>
      <w:r w:rsidRPr="0062725D">
        <w:rPr>
          <w:rFonts w:ascii="Times New Roman" w:hAnsi="Times New Roman" w:cs="Times New Roman"/>
          <w:sz w:val="24"/>
          <w:szCs w:val="24"/>
        </w:rPr>
        <w:t>, S. A., have each authored six studies.</w:t>
      </w:r>
    </w:p>
    <w:p w:rsidR="0062725D" w:rsidRPr="0062725D" w:rsidRDefault="0062725D" w:rsidP="0062725D">
      <w:pPr>
        <w:autoSpaceDE w:val="0"/>
        <w:autoSpaceDN w:val="0"/>
        <w:adjustRightInd w:val="0"/>
        <w:spacing w:after="0" w:line="360" w:lineRule="auto"/>
        <w:jc w:val="both"/>
        <w:rPr>
          <w:rFonts w:ascii="Times New Roman" w:hAnsi="Times New Roman" w:cs="Times New Roman"/>
          <w:sz w:val="24"/>
          <w:szCs w:val="24"/>
        </w:rPr>
      </w:pPr>
    </w:p>
    <w:p w:rsidR="00917CF6" w:rsidRPr="00B035DF" w:rsidRDefault="0062725D" w:rsidP="0062725D">
      <w:pPr>
        <w:autoSpaceDE w:val="0"/>
        <w:autoSpaceDN w:val="0"/>
        <w:adjustRightInd w:val="0"/>
        <w:spacing w:after="0" w:line="360" w:lineRule="auto"/>
        <w:jc w:val="both"/>
        <w:rPr>
          <w:rFonts w:ascii="Times New Roman" w:hAnsi="Times New Roman" w:cs="Times New Roman"/>
          <w:sz w:val="24"/>
          <w:szCs w:val="24"/>
        </w:rPr>
      </w:pPr>
      <w:r w:rsidRPr="0062725D">
        <w:rPr>
          <w:rFonts w:ascii="Times New Roman" w:hAnsi="Times New Roman" w:cs="Times New Roman"/>
          <w:sz w:val="24"/>
          <w:szCs w:val="24"/>
        </w:rPr>
        <w:t xml:space="preserve">Additionally, noteworthy contributions are made by Botha, M., and </w:t>
      </w:r>
      <w:proofErr w:type="spellStart"/>
      <w:r w:rsidRPr="0062725D">
        <w:rPr>
          <w:rFonts w:ascii="Times New Roman" w:hAnsi="Times New Roman" w:cs="Times New Roman"/>
          <w:sz w:val="24"/>
          <w:szCs w:val="24"/>
        </w:rPr>
        <w:t>Zainol</w:t>
      </w:r>
      <w:proofErr w:type="spellEnd"/>
      <w:r w:rsidRPr="0062725D">
        <w:rPr>
          <w:rFonts w:ascii="Times New Roman" w:hAnsi="Times New Roman" w:cs="Times New Roman"/>
          <w:sz w:val="24"/>
          <w:szCs w:val="24"/>
        </w:rPr>
        <w:t xml:space="preserve">, N. R., who have each authored five studies (Al </w:t>
      </w:r>
      <w:proofErr w:type="spellStart"/>
      <w:r w:rsidRPr="0062725D">
        <w:rPr>
          <w:rFonts w:ascii="Times New Roman" w:hAnsi="Times New Roman" w:cs="Times New Roman"/>
          <w:sz w:val="24"/>
          <w:szCs w:val="24"/>
        </w:rPr>
        <w:t>Mamun</w:t>
      </w:r>
      <w:proofErr w:type="spellEnd"/>
      <w:r w:rsidRPr="0062725D">
        <w:rPr>
          <w:rFonts w:ascii="Times New Roman" w:hAnsi="Times New Roman" w:cs="Times New Roman"/>
          <w:sz w:val="24"/>
          <w:szCs w:val="24"/>
        </w:rPr>
        <w:t xml:space="preserve"> &amp; </w:t>
      </w:r>
      <w:proofErr w:type="spellStart"/>
      <w:r w:rsidRPr="0062725D">
        <w:rPr>
          <w:rFonts w:ascii="Times New Roman" w:hAnsi="Times New Roman" w:cs="Times New Roman"/>
          <w:sz w:val="24"/>
          <w:szCs w:val="24"/>
        </w:rPr>
        <w:t>Fazal</w:t>
      </w:r>
      <w:proofErr w:type="spellEnd"/>
      <w:r w:rsidRPr="0062725D">
        <w:rPr>
          <w:rFonts w:ascii="Times New Roman" w:hAnsi="Times New Roman" w:cs="Times New Roman"/>
          <w:sz w:val="24"/>
          <w:szCs w:val="24"/>
        </w:rPr>
        <w:t xml:space="preserve">, 2018; Botha et al., 2019; Botha &amp; </w:t>
      </w:r>
      <w:proofErr w:type="spellStart"/>
      <w:r w:rsidRPr="0062725D">
        <w:rPr>
          <w:rFonts w:ascii="Times New Roman" w:hAnsi="Times New Roman" w:cs="Times New Roman"/>
          <w:sz w:val="24"/>
          <w:szCs w:val="24"/>
        </w:rPr>
        <w:t>Taljaard</w:t>
      </w:r>
      <w:proofErr w:type="spellEnd"/>
      <w:r w:rsidRPr="0062725D">
        <w:rPr>
          <w:rFonts w:ascii="Times New Roman" w:hAnsi="Times New Roman" w:cs="Times New Roman"/>
          <w:sz w:val="24"/>
          <w:szCs w:val="24"/>
        </w:rPr>
        <w:t>, 2019), as indicated by their publications.</w:t>
      </w:r>
    </w:p>
    <w:p w:rsidR="00AD1969" w:rsidRPr="00B035DF" w:rsidRDefault="00046421" w:rsidP="00046421">
      <w:pPr>
        <w:spacing w:line="360" w:lineRule="auto"/>
        <w:jc w:val="center"/>
        <w:rPr>
          <w:rFonts w:ascii="Times New Roman" w:hAnsi="Times New Roman" w:cs="Times New Roman"/>
          <w:sz w:val="24"/>
          <w:szCs w:val="24"/>
        </w:rPr>
      </w:pPr>
      <w:r>
        <w:rPr>
          <w:rFonts w:ascii="Times New Roman" w:hAnsi="Times New Roman" w:cs="Times New Roman"/>
          <w:sz w:val="24"/>
          <w:szCs w:val="24"/>
        </w:rPr>
        <w:t>Figu</w:t>
      </w:r>
      <w:r w:rsidR="009B65FE">
        <w:rPr>
          <w:rFonts w:ascii="Times New Roman" w:hAnsi="Times New Roman" w:cs="Times New Roman"/>
          <w:sz w:val="24"/>
          <w:szCs w:val="24"/>
        </w:rPr>
        <w:t>re 4</w:t>
      </w:r>
      <w:r>
        <w:rPr>
          <w:rFonts w:ascii="Times New Roman" w:hAnsi="Times New Roman" w:cs="Times New Roman"/>
          <w:sz w:val="24"/>
          <w:szCs w:val="24"/>
        </w:rPr>
        <w:t>: Most Prolific Author</w:t>
      </w:r>
    </w:p>
    <w:p w:rsidR="00F74E8D" w:rsidRPr="00B035DF" w:rsidRDefault="00917CF6" w:rsidP="005E43A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72125" cy="4591050"/>
            <wp:effectExtent l="19050" t="0" r="9525" b="0"/>
            <wp:docPr id="19" name="Picture 6" descr="C:\Users\SAMSUNG\Pictures\Screenshots\Screenshot (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Pictures\Screenshots\Screenshot (494).png"/>
                    <pic:cNvPicPr>
                      <a:picLocks noChangeAspect="1" noChangeArrowheads="1"/>
                    </pic:cNvPicPr>
                  </pic:nvPicPr>
                  <pic:blipFill>
                    <a:blip r:embed="rId12"/>
                    <a:srcRect/>
                    <a:stretch>
                      <a:fillRect/>
                    </a:stretch>
                  </pic:blipFill>
                  <pic:spPr bwMode="auto">
                    <a:xfrm>
                      <a:off x="0" y="0"/>
                      <a:ext cx="5568950" cy="4588434"/>
                    </a:xfrm>
                    <a:prstGeom prst="rect">
                      <a:avLst/>
                    </a:prstGeom>
                    <a:noFill/>
                    <a:ln w="9525">
                      <a:noFill/>
                      <a:miter lim="800000"/>
                      <a:headEnd/>
                      <a:tailEnd/>
                    </a:ln>
                  </pic:spPr>
                </pic:pic>
              </a:graphicData>
            </a:graphic>
          </wp:inline>
        </w:drawing>
      </w:r>
    </w:p>
    <w:p w:rsidR="00530D04" w:rsidRPr="00046421" w:rsidRDefault="00530D04" w:rsidP="00530D04">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F74E8D" w:rsidRPr="00B035DF" w:rsidRDefault="008E37E3"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3.6 </w:t>
      </w:r>
      <w:r w:rsidR="00246ECA" w:rsidRPr="00B035DF">
        <w:rPr>
          <w:rFonts w:ascii="Times New Roman" w:hAnsi="Times New Roman" w:cs="Times New Roman"/>
          <w:b/>
          <w:sz w:val="24"/>
          <w:szCs w:val="24"/>
        </w:rPr>
        <w:t>MOST PROLIFIC COUNTRIES:</w:t>
      </w:r>
    </w:p>
    <w:p w:rsidR="000F2FF6" w:rsidRPr="00B035DF" w:rsidRDefault="0062725D" w:rsidP="00246ECA">
      <w:pPr>
        <w:autoSpaceDE w:val="0"/>
        <w:autoSpaceDN w:val="0"/>
        <w:adjustRightInd w:val="0"/>
        <w:spacing w:after="0" w:line="360" w:lineRule="auto"/>
        <w:jc w:val="both"/>
        <w:rPr>
          <w:rFonts w:ascii="Times New Roman" w:hAnsi="Times New Roman" w:cs="Times New Roman"/>
          <w:color w:val="000000"/>
          <w:sz w:val="24"/>
          <w:szCs w:val="24"/>
        </w:rPr>
      </w:pPr>
      <w:r w:rsidRPr="0062725D">
        <w:rPr>
          <w:rFonts w:ascii="Times New Roman" w:hAnsi="Times New Roman" w:cs="Times New Roman"/>
          <w:color w:val="000000"/>
          <w:sz w:val="24"/>
          <w:szCs w:val="24"/>
        </w:rPr>
        <w:t>The collective body of studies aligns with the efforts of authors from over 80 diverse countries. Within this panorama, the manuscript highlights the top twenty nations that have demonstrated a notable contribution in terms of studies pertaining to entrepreneurial competencies. Topping this list is Malaysia, boasting a substantial count of 48 studies. Following closely, the United Kingdom and Indonesia both share an impressive publication record of 38 studies each. In addition, Spain and India have each contributed 27 and 22 studies, respectively, further accentuating their significance within this domain.</w:t>
      </w:r>
    </w:p>
    <w:p w:rsidR="003931CE" w:rsidRPr="00B035DF" w:rsidRDefault="00084C08" w:rsidP="00262AA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5</w:t>
      </w:r>
      <w:r w:rsidR="00262AAA">
        <w:rPr>
          <w:rFonts w:ascii="Times New Roman" w:hAnsi="Times New Roman" w:cs="Times New Roman"/>
          <w:color w:val="000000"/>
          <w:sz w:val="24"/>
          <w:szCs w:val="24"/>
        </w:rPr>
        <w:t>: Most Prolific countries</w:t>
      </w:r>
    </w:p>
    <w:p w:rsidR="003931CE" w:rsidRPr="00B035DF" w:rsidRDefault="003931CE" w:rsidP="003931CE">
      <w:pPr>
        <w:autoSpaceDE w:val="0"/>
        <w:autoSpaceDN w:val="0"/>
        <w:adjustRightInd w:val="0"/>
        <w:spacing w:after="0" w:line="360" w:lineRule="auto"/>
        <w:rPr>
          <w:rFonts w:ascii="Times New Roman" w:hAnsi="Times New Roman" w:cs="Times New Roman"/>
          <w:color w:val="000000"/>
          <w:sz w:val="24"/>
          <w:szCs w:val="24"/>
        </w:rPr>
      </w:pPr>
      <w:r w:rsidRPr="00B035DF">
        <w:rPr>
          <w:rFonts w:ascii="Times New Roman" w:hAnsi="Times New Roman" w:cs="Times New Roman"/>
          <w:noProof/>
          <w:color w:val="000000"/>
          <w:sz w:val="24"/>
          <w:szCs w:val="24"/>
        </w:rPr>
        <w:drawing>
          <wp:inline distT="0" distB="0" distL="0" distR="0">
            <wp:extent cx="5488481" cy="4776281"/>
            <wp:effectExtent l="19050" t="0" r="16969" b="5269"/>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0D04" w:rsidRPr="00046421" w:rsidRDefault="00530D04" w:rsidP="00530D04">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3931CE" w:rsidRPr="00B035DF" w:rsidRDefault="003931CE" w:rsidP="003931CE">
      <w:pPr>
        <w:autoSpaceDE w:val="0"/>
        <w:autoSpaceDN w:val="0"/>
        <w:adjustRightInd w:val="0"/>
        <w:spacing w:after="0" w:line="360" w:lineRule="auto"/>
        <w:rPr>
          <w:rFonts w:ascii="Times New Roman" w:hAnsi="Times New Roman" w:cs="Times New Roman"/>
          <w:color w:val="000000"/>
          <w:sz w:val="24"/>
          <w:szCs w:val="24"/>
        </w:rPr>
      </w:pPr>
    </w:p>
    <w:p w:rsidR="00246ECA" w:rsidRPr="00B035DF" w:rsidRDefault="008E37E3" w:rsidP="000F2FF6">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3.7 </w:t>
      </w:r>
      <w:r w:rsidR="000F2FF6" w:rsidRPr="00B035DF">
        <w:rPr>
          <w:rFonts w:ascii="Times New Roman" w:hAnsi="Times New Roman" w:cs="Times New Roman"/>
          <w:b/>
          <w:sz w:val="24"/>
          <w:szCs w:val="24"/>
        </w:rPr>
        <w:t xml:space="preserve">AFFLICTION OF AUTHORS </w:t>
      </w:r>
    </w:p>
    <w:p w:rsidR="008E37E3" w:rsidRDefault="0062725D" w:rsidP="00B31E04">
      <w:pPr>
        <w:spacing w:line="360" w:lineRule="auto"/>
        <w:jc w:val="both"/>
        <w:rPr>
          <w:rFonts w:ascii="Times New Roman" w:eastAsia="Times New Roman" w:hAnsi="Times New Roman" w:cs="Times New Roman"/>
          <w:color w:val="000000"/>
          <w:sz w:val="24"/>
          <w:szCs w:val="24"/>
        </w:rPr>
      </w:pPr>
      <w:r w:rsidRPr="0062725D">
        <w:rPr>
          <w:rFonts w:ascii="Times New Roman" w:hAnsi="Times New Roman" w:cs="Times New Roman"/>
          <w:sz w:val="24"/>
          <w:szCs w:val="24"/>
        </w:rPr>
        <w:t xml:space="preserve">The depicted figure illustrates the affiliations of authors, revealing prominent institutions to which they are associated. A notable observation is the prevalence of authors affiliated with </w:t>
      </w:r>
      <w:r w:rsidRPr="0062725D">
        <w:rPr>
          <w:rFonts w:ascii="Times New Roman" w:hAnsi="Times New Roman" w:cs="Times New Roman"/>
          <w:sz w:val="24"/>
          <w:szCs w:val="24"/>
        </w:rPr>
        <w:lastRenderedPageBreak/>
        <w:t xml:space="preserve">the University </w:t>
      </w:r>
      <w:proofErr w:type="spellStart"/>
      <w:r w:rsidRPr="0062725D">
        <w:rPr>
          <w:rFonts w:ascii="Times New Roman" w:hAnsi="Times New Roman" w:cs="Times New Roman"/>
          <w:sz w:val="24"/>
          <w:szCs w:val="24"/>
        </w:rPr>
        <w:t>Sains</w:t>
      </w:r>
      <w:proofErr w:type="spellEnd"/>
      <w:r w:rsidRPr="0062725D">
        <w:rPr>
          <w:rFonts w:ascii="Times New Roman" w:hAnsi="Times New Roman" w:cs="Times New Roman"/>
          <w:sz w:val="24"/>
          <w:szCs w:val="24"/>
        </w:rPr>
        <w:t xml:space="preserve"> Malaysia, with a substantial count of 13 individuals. In the second position, the University Malaysia Kelantan is affiliated with 12 authors. Meanwhile, the University of Tehran boasts affiliations with 9 authors. Additionally, the University of Pretoria and the Institute Technology Bandung both have 7 authors affiliated with their institutions.</w:t>
      </w:r>
    </w:p>
    <w:p w:rsidR="00262AAA" w:rsidRPr="00B035DF" w:rsidRDefault="00084C08" w:rsidP="00262AA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6</w:t>
      </w:r>
      <w:r w:rsidR="00262AAA">
        <w:rPr>
          <w:rFonts w:ascii="Times New Roman" w:eastAsia="Times New Roman" w:hAnsi="Times New Roman" w:cs="Times New Roman"/>
          <w:color w:val="000000"/>
          <w:sz w:val="24"/>
          <w:szCs w:val="24"/>
        </w:rPr>
        <w:t>: Affliction of Authors</w:t>
      </w:r>
    </w:p>
    <w:p w:rsidR="000F2FF6" w:rsidRPr="00B035DF" w:rsidRDefault="000F2FF6" w:rsidP="000F2FF6">
      <w:pPr>
        <w:autoSpaceDE w:val="0"/>
        <w:autoSpaceDN w:val="0"/>
        <w:adjustRightInd w:val="0"/>
        <w:spacing w:after="0" w:line="360" w:lineRule="auto"/>
        <w:rPr>
          <w:rFonts w:ascii="Times New Roman" w:hAnsi="Times New Roman" w:cs="Times New Roman"/>
          <w:sz w:val="24"/>
          <w:szCs w:val="24"/>
        </w:rPr>
      </w:pPr>
      <w:r w:rsidRPr="00B035DF">
        <w:rPr>
          <w:rFonts w:ascii="Times New Roman" w:hAnsi="Times New Roman" w:cs="Times New Roman"/>
          <w:noProof/>
          <w:sz w:val="24"/>
          <w:szCs w:val="24"/>
        </w:rPr>
        <w:drawing>
          <wp:inline distT="0" distB="0" distL="0" distR="0">
            <wp:extent cx="5488481" cy="5184843"/>
            <wp:effectExtent l="19050" t="0" r="16969"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0D04" w:rsidRPr="00046421" w:rsidRDefault="00530D04" w:rsidP="00530D04">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246ECA" w:rsidRPr="00B035DF" w:rsidRDefault="00246ECA" w:rsidP="005E43A8">
      <w:pPr>
        <w:spacing w:line="360" w:lineRule="auto"/>
        <w:jc w:val="both"/>
        <w:rPr>
          <w:rFonts w:ascii="Times New Roman" w:hAnsi="Times New Roman" w:cs="Times New Roman"/>
          <w:sz w:val="24"/>
          <w:szCs w:val="24"/>
        </w:rPr>
      </w:pPr>
    </w:p>
    <w:p w:rsidR="00246ECA" w:rsidRPr="004D4FAA" w:rsidRDefault="008E37E3"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sidR="004D4FAA" w:rsidRPr="004D4FAA">
        <w:rPr>
          <w:rFonts w:ascii="Times New Roman" w:hAnsi="Times New Roman" w:cs="Times New Roman"/>
          <w:b/>
          <w:sz w:val="24"/>
          <w:szCs w:val="24"/>
        </w:rPr>
        <w:t>CO-AUTHORSHIP NETWORK MAPPING:</w:t>
      </w:r>
    </w:p>
    <w:p w:rsidR="004D4FAA" w:rsidRDefault="004D4FAA" w:rsidP="004D4FA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The figure </w:t>
      </w:r>
      <w:r w:rsidRPr="004D4FAA">
        <w:rPr>
          <w:rFonts w:ascii="Times New Roman" w:hAnsi="Times New Roman" w:cs="Times New Roman"/>
          <w:sz w:val="24"/>
          <w:szCs w:val="24"/>
        </w:rPr>
        <w:t xml:space="preserve">shows the co-authorship network map generated by the </w:t>
      </w:r>
      <w:proofErr w:type="spellStart"/>
      <w:r w:rsidRPr="004D4FAA">
        <w:rPr>
          <w:rFonts w:ascii="Times New Roman" w:hAnsi="Times New Roman" w:cs="Times New Roman"/>
          <w:sz w:val="24"/>
          <w:szCs w:val="24"/>
        </w:rPr>
        <w:t>VOSviewer</w:t>
      </w:r>
      <w:proofErr w:type="spellEnd"/>
      <w:r w:rsidRPr="004D4FAA">
        <w:rPr>
          <w:rFonts w:ascii="Times New Roman" w:hAnsi="Times New Roman" w:cs="Times New Roman"/>
          <w:sz w:val="24"/>
          <w:szCs w:val="24"/>
        </w:rPr>
        <w:t xml:space="preserve"> software.</w:t>
      </w:r>
      <w:r w:rsidR="00B84FB1">
        <w:rPr>
          <w:rFonts w:ascii="Times New Roman" w:hAnsi="Times New Roman" w:cs="Times New Roman"/>
          <w:sz w:val="24"/>
          <w:szCs w:val="24"/>
        </w:rPr>
        <w:t xml:space="preserve"> </w:t>
      </w:r>
      <w:r w:rsidRPr="004D4FAA">
        <w:rPr>
          <w:rFonts w:ascii="Times New Roman" w:hAnsi="Times New Roman" w:cs="Times New Roman"/>
          <w:sz w:val="24"/>
          <w:szCs w:val="24"/>
        </w:rPr>
        <w:t>The figure consists of big and small circles connected with several lines. Those</w:t>
      </w:r>
      <w:r w:rsidR="00B84FB1">
        <w:rPr>
          <w:rFonts w:ascii="Times New Roman" w:hAnsi="Times New Roman" w:cs="Times New Roman"/>
          <w:sz w:val="24"/>
          <w:szCs w:val="24"/>
        </w:rPr>
        <w:t xml:space="preserve"> </w:t>
      </w:r>
      <w:r w:rsidRPr="004D4FAA">
        <w:rPr>
          <w:rFonts w:ascii="Times New Roman" w:hAnsi="Times New Roman" w:cs="Times New Roman"/>
          <w:sz w:val="24"/>
          <w:szCs w:val="24"/>
        </w:rPr>
        <w:t xml:space="preserve">authors who have </w:t>
      </w:r>
      <w:r w:rsidRPr="004D4FAA">
        <w:rPr>
          <w:rFonts w:ascii="Times New Roman" w:hAnsi="Times New Roman" w:cs="Times New Roman"/>
          <w:sz w:val="24"/>
          <w:szCs w:val="24"/>
        </w:rPr>
        <w:lastRenderedPageBreak/>
        <w:t>co-authored with more authors are assigned bigger circles and</w:t>
      </w:r>
      <w:r w:rsidR="00B84FB1">
        <w:rPr>
          <w:rFonts w:ascii="Times New Roman" w:hAnsi="Times New Roman" w:cs="Times New Roman"/>
          <w:sz w:val="24"/>
          <w:szCs w:val="24"/>
        </w:rPr>
        <w:t xml:space="preserve"> </w:t>
      </w:r>
      <w:r w:rsidRPr="004D4FAA">
        <w:rPr>
          <w:rFonts w:ascii="Times New Roman" w:hAnsi="Times New Roman" w:cs="Times New Roman"/>
          <w:color w:val="000000"/>
          <w:sz w:val="24"/>
          <w:szCs w:val="24"/>
        </w:rPr>
        <w:t>labels. Th</w:t>
      </w:r>
      <w:r>
        <w:rPr>
          <w:rFonts w:ascii="Times New Roman" w:hAnsi="Times New Roman" w:cs="Times New Roman"/>
          <w:color w:val="000000"/>
          <w:sz w:val="24"/>
          <w:szCs w:val="24"/>
        </w:rPr>
        <w:t>e figure</w:t>
      </w:r>
      <w:r w:rsidR="00B84F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shows the names of the top 96</w:t>
      </w:r>
      <w:r w:rsidRPr="004D4FAA">
        <w:rPr>
          <w:rFonts w:ascii="Times New Roman" w:hAnsi="Times New Roman" w:cs="Times New Roman"/>
          <w:color w:val="000000"/>
          <w:sz w:val="24"/>
          <w:szCs w:val="24"/>
        </w:rPr>
        <w:t xml:space="preserve"> authors, who have co-authored with the</w:t>
      </w:r>
      <w:r w:rsidR="00B84FB1">
        <w:rPr>
          <w:rFonts w:ascii="Times New Roman" w:hAnsi="Times New Roman" w:cs="Times New Roman"/>
          <w:color w:val="000000"/>
          <w:sz w:val="24"/>
          <w:szCs w:val="24"/>
        </w:rPr>
        <w:t xml:space="preserve"> </w:t>
      </w:r>
      <w:r w:rsidRPr="004D4FAA">
        <w:rPr>
          <w:rFonts w:ascii="Times New Roman" w:hAnsi="Times New Roman" w:cs="Times New Roman"/>
          <w:color w:val="000000"/>
          <w:sz w:val="24"/>
          <w:szCs w:val="24"/>
        </w:rPr>
        <w:t>maximum number of other authors in the data set.</w:t>
      </w:r>
    </w:p>
    <w:p w:rsidR="008E37E3" w:rsidRDefault="008E37E3" w:rsidP="004D4FAA">
      <w:pPr>
        <w:autoSpaceDE w:val="0"/>
        <w:autoSpaceDN w:val="0"/>
        <w:adjustRightInd w:val="0"/>
        <w:spacing w:after="0" w:line="360" w:lineRule="auto"/>
        <w:jc w:val="both"/>
        <w:rPr>
          <w:rFonts w:ascii="Times New Roman" w:hAnsi="Times New Roman" w:cs="Times New Roman"/>
          <w:color w:val="000000"/>
          <w:sz w:val="24"/>
          <w:szCs w:val="24"/>
        </w:rPr>
      </w:pPr>
    </w:p>
    <w:p w:rsidR="008E37E3" w:rsidRDefault="008E37E3" w:rsidP="004D4FAA">
      <w:pPr>
        <w:autoSpaceDE w:val="0"/>
        <w:autoSpaceDN w:val="0"/>
        <w:adjustRightInd w:val="0"/>
        <w:spacing w:after="0" w:line="360" w:lineRule="auto"/>
        <w:jc w:val="both"/>
        <w:rPr>
          <w:rFonts w:ascii="Times New Roman" w:hAnsi="Times New Roman" w:cs="Times New Roman"/>
          <w:color w:val="000000"/>
          <w:sz w:val="24"/>
          <w:szCs w:val="24"/>
        </w:rPr>
      </w:pPr>
    </w:p>
    <w:p w:rsidR="008E37E3" w:rsidRDefault="008E37E3" w:rsidP="004D4FAA">
      <w:pPr>
        <w:autoSpaceDE w:val="0"/>
        <w:autoSpaceDN w:val="0"/>
        <w:adjustRightInd w:val="0"/>
        <w:spacing w:after="0" w:line="360" w:lineRule="auto"/>
        <w:jc w:val="both"/>
        <w:rPr>
          <w:rFonts w:ascii="Times New Roman" w:hAnsi="Times New Roman" w:cs="Times New Roman"/>
          <w:color w:val="000000"/>
          <w:sz w:val="24"/>
          <w:szCs w:val="24"/>
        </w:rPr>
      </w:pPr>
    </w:p>
    <w:p w:rsidR="004D4FAA" w:rsidRDefault="00084C08" w:rsidP="00262AA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7</w:t>
      </w:r>
      <w:r w:rsidR="00262AAA">
        <w:rPr>
          <w:rFonts w:ascii="Times New Roman" w:hAnsi="Times New Roman" w:cs="Times New Roman"/>
          <w:color w:val="000000"/>
          <w:sz w:val="24"/>
          <w:szCs w:val="24"/>
        </w:rPr>
        <w:t>: Co-authorship Network Mapping</w:t>
      </w:r>
    </w:p>
    <w:p w:rsidR="004D4FAA" w:rsidRDefault="004D4FAA" w:rsidP="004D4FA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18354" cy="4362450"/>
            <wp:effectExtent l="19050" t="0" r="0" b="0"/>
            <wp:docPr id="6" name="Picture 1" descr="C:\Users\SAMSUNG\Pictures\Screenshots\Screenshot (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Screenshots\Screenshot (292).png"/>
                    <pic:cNvPicPr>
                      <a:picLocks noChangeAspect="1" noChangeArrowheads="1"/>
                    </pic:cNvPicPr>
                  </pic:nvPicPr>
                  <pic:blipFill>
                    <a:blip r:embed="rId15"/>
                    <a:srcRect/>
                    <a:stretch>
                      <a:fillRect/>
                    </a:stretch>
                  </pic:blipFill>
                  <pic:spPr bwMode="auto">
                    <a:xfrm>
                      <a:off x="0" y="0"/>
                      <a:ext cx="5731510" cy="4372487"/>
                    </a:xfrm>
                    <a:prstGeom prst="rect">
                      <a:avLst/>
                    </a:prstGeom>
                    <a:noFill/>
                    <a:ln w="9525">
                      <a:noFill/>
                      <a:miter lim="800000"/>
                      <a:headEnd/>
                      <a:tailEnd/>
                    </a:ln>
                  </pic:spPr>
                </pic:pic>
              </a:graphicData>
            </a:graphic>
          </wp:inline>
        </w:drawing>
      </w:r>
    </w:p>
    <w:p w:rsidR="004D4FAA" w:rsidRPr="00262AAA" w:rsidRDefault="00262AAA" w:rsidP="00262AAA">
      <w:pPr>
        <w:autoSpaceDE w:val="0"/>
        <w:autoSpaceDN w:val="0"/>
        <w:adjustRightInd w:val="0"/>
        <w:spacing w:after="0" w:line="360" w:lineRule="auto"/>
        <w:jc w:val="center"/>
        <w:rPr>
          <w:rFonts w:ascii="Times New Roman" w:hAnsi="Times New Roman" w:cs="Times New Roman"/>
          <w:i/>
          <w:color w:val="000000"/>
          <w:sz w:val="24"/>
          <w:szCs w:val="24"/>
        </w:rPr>
      </w:pPr>
      <w:r w:rsidRPr="00262AAA">
        <w:rPr>
          <w:rFonts w:ascii="Times New Roman" w:hAnsi="Times New Roman" w:cs="Times New Roman"/>
          <w:i/>
          <w:color w:val="000000"/>
          <w:sz w:val="24"/>
          <w:szCs w:val="24"/>
        </w:rPr>
        <w:t>(Source: VOS viewer)</w:t>
      </w:r>
    </w:p>
    <w:p w:rsidR="004D4FAA" w:rsidRPr="00262AAA" w:rsidRDefault="004D4FAA" w:rsidP="00262AAA">
      <w:pPr>
        <w:spacing w:line="360" w:lineRule="auto"/>
        <w:jc w:val="center"/>
        <w:rPr>
          <w:rFonts w:ascii="Times New Roman" w:hAnsi="Times New Roman" w:cs="Times New Roman"/>
          <w:sz w:val="28"/>
          <w:szCs w:val="24"/>
        </w:rPr>
      </w:pPr>
    </w:p>
    <w:p w:rsidR="005E43A8" w:rsidRPr="00DE78C5" w:rsidRDefault="0012669D" w:rsidP="0012669D">
      <w:pPr>
        <w:spacing w:line="360" w:lineRule="auto"/>
        <w:ind w:left="-284"/>
        <w:jc w:val="both"/>
        <w:rPr>
          <w:rFonts w:ascii="Times New Roman" w:hAnsi="Times New Roman" w:cs="Times New Roman"/>
          <w:b/>
          <w:sz w:val="28"/>
          <w:szCs w:val="24"/>
        </w:rPr>
      </w:pPr>
      <w:r>
        <w:rPr>
          <w:rFonts w:ascii="Times New Roman" w:hAnsi="Times New Roman" w:cs="Times New Roman"/>
          <w:b/>
          <w:sz w:val="28"/>
          <w:szCs w:val="24"/>
        </w:rPr>
        <w:t xml:space="preserve">4. </w:t>
      </w:r>
      <w:r w:rsidR="00DE78C5" w:rsidRPr="00DE78C5">
        <w:rPr>
          <w:rFonts w:ascii="Times New Roman" w:hAnsi="Times New Roman" w:cs="Times New Roman"/>
          <w:b/>
          <w:sz w:val="28"/>
          <w:szCs w:val="24"/>
        </w:rPr>
        <w:t>RISK - RESILIENCE</w:t>
      </w:r>
    </w:p>
    <w:p w:rsidR="0012669D" w:rsidRDefault="0025429D" w:rsidP="00D20713">
      <w:pPr>
        <w:spacing w:line="360" w:lineRule="auto"/>
        <w:jc w:val="both"/>
        <w:rPr>
          <w:rFonts w:ascii="Times New Roman" w:hAnsi="Times New Roman" w:cs="Times New Roman"/>
          <w:b/>
          <w:sz w:val="24"/>
          <w:szCs w:val="24"/>
        </w:rPr>
      </w:pPr>
      <w:r w:rsidRPr="0025429D">
        <w:rPr>
          <w:rFonts w:ascii="Times New Roman" w:hAnsi="Times New Roman" w:cs="Times New Roman"/>
          <w:sz w:val="24"/>
          <w:szCs w:val="24"/>
        </w:rPr>
        <w:t xml:space="preserve">Resilience pertains to a company's capacity to navigate and flourish within an ever-changing and uncertain environment. It signifies the company's aptitude to rebound and thrive after experiencing a perturbing circumstance. Such disruptions are inherent and encompass an array of factors both internal and external in nature. Within the realm of resilience, the central focal points encompass organizational susceptibility, disruptions, and intricacies, for these </w:t>
      </w:r>
      <w:r w:rsidRPr="0025429D">
        <w:rPr>
          <w:rFonts w:ascii="Times New Roman" w:hAnsi="Times New Roman" w:cs="Times New Roman"/>
          <w:sz w:val="24"/>
          <w:szCs w:val="24"/>
        </w:rPr>
        <w:lastRenderedPageBreak/>
        <w:t>factors profoundly influence the robustness of the system. Specifically, vulnerability to disruptive occurrences can be understood as a blend of the likelihood of encountering disruptions and the magnitude of their impact.</w:t>
      </w:r>
    </w:p>
    <w:p w:rsidR="00D20713" w:rsidRDefault="0012669D" w:rsidP="00D2071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D20713">
        <w:rPr>
          <w:rFonts w:ascii="Times New Roman" w:hAnsi="Times New Roman" w:cs="Times New Roman"/>
          <w:b/>
          <w:sz w:val="24"/>
          <w:szCs w:val="24"/>
        </w:rPr>
        <w:t>SUBJECT AREA:</w:t>
      </w:r>
    </w:p>
    <w:p w:rsidR="00D20713" w:rsidRDefault="00D20713" w:rsidP="005E43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has been observed that maximum </w:t>
      </w:r>
      <w:r w:rsidR="00B84FB1">
        <w:rPr>
          <w:rFonts w:ascii="Times New Roman" w:hAnsi="Times New Roman" w:cs="Times New Roman"/>
          <w:sz w:val="24"/>
          <w:szCs w:val="24"/>
        </w:rPr>
        <w:t>studies</w:t>
      </w:r>
      <w:r>
        <w:rPr>
          <w:rFonts w:ascii="Times New Roman" w:hAnsi="Times New Roman" w:cs="Times New Roman"/>
          <w:sz w:val="24"/>
          <w:szCs w:val="24"/>
        </w:rPr>
        <w:t xml:space="preserve"> are written in the subject area of Social Science with 139 </w:t>
      </w:r>
      <w:r w:rsidR="00B84FB1">
        <w:rPr>
          <w:rFonts w:ascii="Times New Roman" w:hAnsi="Times New Roman" w:cs="Times New Roman"/>
          <w:sz w:val="24"/>
          <w:szCs w:val="24"/>
        </w:rPr>
        <w:t>studies</w:t>
      </w:r>
      <w:r>
        <w:rPr>
          <w:rFonts w:ascii="Times New Roman" w:hAnsi="Times New Roman" w:cs="Times New Roman"/>
          <w:sz w:val="24"/>
          <w:szCs w:val="24"/>
        </w:rPr>
        <w:t xml:space="preserve">. Furthermore, the subject area such as Medicine and Social Science also has 92 and 76 </w:t>
      </w:r>
      <w:r w:rsidR="00B84FB1">
        <w:rPr>
          <w:rFonts w:ascii="Times New Roman" w:hAnsi="Times New Roman" w:cs="Times New Roman"/>
          <w:sz w:val="24"/>
          <w:szCs w:val="24"/>
        </w:rPr>
        <w:t>studies</w:t>
      </w:r>
      <w:r>
        <w:rPr>
          <w:rFonts w:ascii="Times New Roman" w:hAnsi="Times New Roman" w:cs="Times New Roman"/>
          <w:sz w:val="24"/>
          <w:szCs w:val="24"/>
        </w:rPr>
        <w:t xml:space="preserve"> respectively. There are 53 </w:t>
      </w:r>
      <w:r w:rsidR="00B84FB1">
        <w:rPr>
          <w:rFonts w:ascii="Times New Roman" w:hAnsi="Times New Roman" w:cs="Times New Roman"/>
          <w:sz w:val="24"/>
          <w:szCs w:val="24"/>
        </w:rPr>
        <w:t>studies</w:t>
      </w:r>
      <w:r>
        <w:rPr>
          <w:rFonts w:ascii="Times New Roman" w:hAnsi="Times New Roman" w:cs="Times New Roman"/>
          <w:sz w:val="24"/>
          <w:szCs w:val="24"/>
        </w:rPr>
        <w:t xml:space="preserve"> in Environmental Science and 43 in Engineering.</w:t>
      </w:r>
    </w:p>
    <w:p w:rsidR="0064413E" w:rsidRDefault="00084C08" w:rsidP="00424AE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8</w:t>
      </w:r>
      <w:r w:rsidR="00424AEF">
        <w:rPr>
          <w:rFonts w:ascii="Times New Roman" w:hAnsi="Times New Roman" w:cs="Times New Roman"/>
          <w:sz w:val="24"/>
          <w:szCs w:val="24"/>
        </w:rPr>
        <w:t>: Subject Area</w:t>
      </w:r>
    </w:p>
    <w:p w:rsidR="008112B1" w:rsidRDefault="008112B1" w:rsidP="008112B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6550" cy="5588000"/>
            <wp:effectExtent l="19050" t="0" r="0" b="0"/>
            <wp:docPr id="1" name="Picture 1" descr="C:\Users\SAMSUNG\Pictures\Screenshots\Screenshot (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Screenshots\Screenshot (504).png"/>
                    <pic:cNvPicPr>
                      <a:picLocks noChangeAspect="1" noChangeArrowheads="1"/>
                    </pic:cNvPicPr>
                  </pic:nvPicPr>
                  <pic:blipFill>
                    <a:blip r:embed="rId16"/>
                    <a:srcRect/>
                    <a:stretch>
                      <a:fillRect/>
                    </a:stretch>
                  </pic:blipFill>
                  <pic:spPr bwMode="auto">
                    <a:xfrm>
                      <a:off x="0" y="0"/>
                      <a:ext cx="5416550" cy="5588000"/>
                    </a:xfrm>
                    <a:prstGeom prst="rect">
                      <a:avLst/>
                    </a:prstGeom>
                    <a:noFill/>
                    <a:ln w="9525">
                      <a:noFill/>
                      <a:miter lim="800000"/>
                      <a:headEnd/>
                      <a:tailEnd/>
                    </a:ln>
                  </pic:spPr>
                </pic:pic>
              </a:graphicData>
            </a:graphic>
          </wp:inline>
        </w:drawing>
      </w:r>
    </w:p>
    <w:p w:rsidR="00530D04" w:rsidRPr="008112B1" w:rsidRDefault="00530D04" w:rsidP="008112B1">
      <w:pPr>
        <w:spacing w:line="360" w:lineRule="auto"/>
        <w:jc w:val="center"/>
        <w:rPr>
          <w:rFonts w:ascii="Times New Roman" w:hAnsi="Times New Roman" w:cs="Times New Roman"/>
          <w:sz w:val="24"/>
          <w:szCs w:val="24"/>
        </w:rPr>
      </w:pPr>
      <w:r w:rsidRPr="00046421">
        <w:rPr>
          <w:rFonts w:ascii="Times New Roman" w:hAnsi="Times New Roman" w:cs="Times New Roman"/>
          <w:i/>
          <w:sz w:val="24"/>
          <w:szCs w:val="24"/>
        </w:rPr>
        <w:t>(Source: Scopus Data Base)</w:t>
      </w:r>
    </w:p>
    <w:p w:rsidR="001F077F" w:rsidRDefault="0012669D" w:rsidP="00D2071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4.2 </w:t>
      </w:r>
      <w:r w:rsidR="00D20713">
        <w:rPr>
          <w:rFonts w:ascii="Times New Roman" w:hAnsi="Times New Roman" w:cs="Times New Roman"/>
          <w:b/>
          <w:sz w:val="24"/>
          <w:szCs w:val="24"/>
        </w:rPr>
        <w:t>JOURNALS WITH MAXIMUM PUBLICATIONS:</w:t>
      </w:r>
    </w:p>
    <w:p w:rsidR="0025429D" w:rsidRDefault="0025429D" w:rsidP="0025429D">
      <w:pPr>
        <w:spacing w:line="360" w:lineRule="auto"/>
        <w:jc w:val="both"/>
        <w:rPr>
          <w:rFonts w:ascii="Times New Roman" w:hAnsi="Times New Roman" w:cs="Times New Roman"/>
          <w:sz w:val="24"/>
          <w:szCs w:val="24"/>
        </w:rPr>
      </w:pPr>
      <w:r w:rsidRPr="0025429D">
        <w:rPr>
          <w:rFonts w:ascii="Times New Roman" w:hAnsi="Times New Roman" w:cs="Times New Roman"/>
          <w:sz w:val="24"/>
          <w:szCs w:val="24"/>
        </w:rPr>
        <w:t xml:space="preserve">The entirety of the 342 studies within this research aligns with their respective 136 journals. Presented below is a table featuring the top twenty journals, distinguished by their extensive publication of studies pertaining to Entrepreneurial </w:t>
      </w:r>
      <w:proofErr w:type="gramStart"/>
      <w:r w:rsidRPr="0025429D">
        <w:rPr>
          <w:rFonts w:ascii="Times New Roman" w:hAnsi="Times New Roman" w:cs="Times New Roman"/>
          <w:sz w:val="24"/>
          <w:szCs w:val="24"/>
        </w:rPr>
        <w:t>Competencies.</w:t>
      </w:r>
      <w:proofErr w:type="gramEnd"/>
      <w:r w:rsidRPr="0025429D">
        <w:rPr>
          <w:rFonts w:ascii="Times New Roman" w:hAnsi="Times New Roman" w:cs="Times New Roman"/>
          <w:sz w:val="24"/>
          <w:szCs w:val="24"/>
        </w:rPr>
        <w:t xml:space="preserve"> The highest number of studies finds its place in the "Journal of Early Adolescence," accounting for an impressive 12 studies. Additionally, the journals "Sustainability Switzerland," "Structure of Infrastructure Engineering," and "International Journal of Disaster Risk Scie</w:t>
      </w:r>
      <w:r>
        <w:rPr>
          <w:rFonts w:ascii="Times New Roman" w:hAnsi="Times New Roman" w:cs="Times New Roman"/>
          <w:sz w:val="24"/>
          <w:szCs w:val="24"/>
        </w:rPr>
        <w:t xml:space="preserve">nce" each contribute 5 </w:t>
      </w:r>
      <w:proofErr w:type="spellStart"/>
      <w:r>
        <w:rPr>
          <w:rFonts w:ascii="Times New Roman" w:hAnsi="Times New Roman" w:cs="Times New Roman"/>
          <w:sz w:val="24"/>
          <w:szCs w:val="24"/>
        </w:rPr>
        <w:t>studies</w:t>
      </w:r>
      <w:proofErr w:type="gramStart"/>
      <w:r>
        <w:rPr>
          <w:rFonts w:ascii="Times New Roman" w:hAnsi="Times New Roman" w:cs="Times New Roman"/>
          <w:sz w:val="24"/>
          <w:szCs w:val="24"/>
        </w:rPr>
        <w:t>,</w:t>
      </w:r>
      <w:r w:rsidRPr="0025429D">
        <w:rPr>
          <w:rFonts w:ascii="Times New Roman" w:hAnsi="Times New Roman" w:cs="Times New Roman"/>
          <w:sz w:val="24"/>
          <w:szCs w:val="24"/>
        </w:rPr>
        <w:t>further</w:t>
      </w:r>
      <w:proofErr w:type="spellEnd"/>
      <w:proofErr w:type="gramEnd"/>
      <w:r w:rsidRPr="0025429D">
        <w:rPr>
          <w:rFonts w:ascii="Times New Roman" w:hAnsi="Times New Roman" w:cs="Times New Roman"/>
          <w:sz w:val="24"/>
          <w:szCs w:val="24"/>
        </w:rPr>
        <w:t xml:space="preserve"> reinforcing their significance in this field.</w:t>
      </w:r>
    </w:p>
    <w:p w:rsidR="00F16AC4" w:rsidRDefault="001F077F" w:rsidP="001F077F">
      <w:pPr>
        <w:spacing w:line="360" w:lineRule="auto"/>
        <w:jc w:val="center"/>
        <w:rPr>
          <w:rFonts w:ascii="Times New Roman" w:hAnsi="Times New Roman" w:cs="Times New Roman"/>
          <w:sz w:val="24"/>
          <w:szCs w:val="24"/>
        </w:rPr>
      </w:pPr>
      <w:r>
        <w:rPr>
          <w:rFonts w:ascii="Times New Roman" w:hAnsi="Times New Roman" w:cs="Times New Roman"/>
          <w:sz w:val="24"/>
          <w:szCs w:val="24"/>
        </w:rPr>
        <w:t>Table 3: Journals with maximum Citations</w:t>
      </w:r>
    </w:p>
    <w:p w:rsidR="00917CF6" w:rsidRDefault="00917CF6" w:rsidP="001F077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2798" cy="5715000"/>
            <wp:effectExtent l="19050" t="0" r="0" b="0"/>
            <wp:docPr id="20" name="Picture 7" descr="C:\Users\SAMSUNG\Pictures\Screenshots\Screenshot (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Pictures\Screenshots\Screenshot (498).png"/>
                    <pic:cNvPicPr>
                      <a:picLocks noChangeAspect="1" noChangeArrowheads="1"/>
                    </pic:cNvPicPr>
                  </pic:nvPicPr>
                  <pic:blipFill>
                    <a:blip r:embed="rId17"/>
                    <a:srcRect/>
                    <a:stretch>
                      <a:fillRect/>
                    </a:stretch>
                  </pic:blipFill>
                  <pic:spPr bwMode="auto">
                    <a:xfrm>
                      <a:off x="0" y="0"/>
                      <a:ext cx="5549808" cy="5711922"/>
                    </a:xfrm>
                    <a:prstGeom prst="rect">
                      <a:avLst/>
                    </a:prstGeom>
                    <a:noFill/>
                    <a:ln w="9525">
                      <a:noFill/>
                      <a:miter lim="800000"/>
                      <a:headEnd/>
                      <a:tailEnd/>
                    </a:ln>
                  </pic:spPr>
                </pic:pic>
              </a:graphicData>
            </a:graphic>
          </wp:inline>
        </w:drawing>
      </w:r>
    </w:p>
    <w:p w:rsidR="00A144B8" w:rsidRPr="00046421" w:rsidRDefault="00A144B8"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343E27" w:rsidRPr="003F2965" w:rsidRDefault="0012669D"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 </w:t>
      </w:r>
      <w:r w:rsidR="003F2965" w:rsidRPr="003F2965">
        <w:rPr>
          <w:rFonts w:ascii="Times New Roman" w:hAnsi="Times New Roman" w:cs="Times New Roman"/>
          <w:b/>
          <w:sz w:val="24"/>
          <w:szCs w:val="24"/>
        </w:rPr>
        <w:t>YEAR</w:t>
      </w:r>
      <w:r w:rsidR="00646B1D">
        <w:rPr>
          <w:rFonts w:ascii="Times New Roman" w:hAnsi="Times New Roman" w:cs="Times New Roman"/>
          <w:b/>
          <w:sz w:val="24"/>
          <w:szCs w:val="24"/>
        </w:rPr>
        <w:t>-</w:t>
      </w:r>
      <w:r w:rsidR="003F2965" w:rsidRPr="003F2965">
        <w:rPr>
          <w:rFonts w:ascii="Times New Roman" w:hAnsi="Times New Roman" w:cs="Times New Roman"/>
          <w:b/>
          <w:sz w:val="24"/>
          <w:szCs w:val="24"/>
        </w:rPr>
        <w:t>WISE PUBLICATIONS:</w:t>
      </w:r>
    </w:p>
    <w:p w:rsidR="0025429D" w:rsidRPr="0025429D" w:rsidRDefault="0025429D" w:rsidP="0025429D">
      <w:pPr>
        <w:autoSpaceDE w:val="0"/>
        <w:autoSpaceDN w:val="0"/>
        <w:adjustRightInd w:val="0"/>
        <w:spacing w:after="0" w:line="360" w:lineRule="auto"/>
        <w:jc w:val="both"/>
        <w:rPr>
          <w:rFonts w:ascii="Times New Roman" w:hAnsi="Times New Roman" w:cs="Times New Roman"/>
          <w:sz w:val="24"/>
          <w:szCs w:val="24"/>
        </w:rPr>
      </w:pPr>
      <w:r w:rsidRPr="0025429D">
        <w:rPr>
          <w:rFonts w:ascii="Times New Roman" w:hAnsi="Times New Roman" w:cs="Times New Roman"/>
          <w:sz w:val="24"/>
          <w:szCs w:val="24"/>
        </w:rPr>
        <w:t>This table provides a visual representation of the quantity of studies published between the years 2000 and 2021, underscoring the escalating interest in research focused on risk resilience. Notably, the number of published studies remained quite modest during the period spanning from 2000 to 2012. Subsequently, a noteworthy surge in research output is observed from 2014 through 2021, with the study count surging from 20 to 47.</w:t>
      </w:r>
    </w:p>
    <w:p w:rsidR="0025429D" w:rsidRPr="0025429D" w:rsidRDefault="0025429D" w:rsidP="0025429D">
      <w:pPr>
        <w:autoSpaceDE w:val="0"/>
        <w:autoSpaceDN w:val="0"/>
        <w:adjustRightInd w:val="0"/>
        <w:spacing w:after="0" w:line="360" w:lineRule="auto"/>
        <w:jc w:val="both"/>
        <w:rPr>
          <w:rFonts w:ascii="Times New Roman" w:hAnsi="Times New Roman" w:cs="Times New Roman"/>
          <w:sz w:val="24"/>
          <w:szCs w:val="24"/>
        </w:rPr>
      </w:pPr>
    </w:p>
    <w:p w:rsidR="00084C08" w:rsidRDefault="0025429D" w:rsidP="0025429D">
      <w:pPr>
        <w:autoSpaceDE w:val="0"/>
        <w:autoSpaceDN w:val="0"/>
        <w:adjustRightInd w:val="0"/>
        <w:spacing w:after="0" w:line="360" w:lineRule="auto"/>
        <w:jc w:val="both"/>
        <w:rPr>
          <w:rFonts w:ascii="Times New Roman" w:hAnsi="Times New Roman" w:cs="Times New Roman"/>
          <w:sz w:val="24"/>
          <w:szCs w:val="24"/>
        </w:rPr>
      </w:pPr>
      <w:r w:rsidRPr="0025429D">
        <w:rPr>
          <w:rFonts w:ascii="Times New Roman" w:hAnsi="Times New Roman" w:cs="Times New Roman"/>
          <w:sz w:val="24"/>
          <w:szCs w:val="24"/>
        </w:rPr>
        <w:t>Furthermore, a distinct pattern emerges in the temporal distribution of studies, with a concentrated surge in the past five years. The trajectory of growth is especially evident, as the number of studies rose from 31 in 2019 to 47 in 2021. The pinnacle of research activity was observed in 2020, which witnessed the publication of 48 studies. This unequivocally indicates a substantial spike in research enthusiasm within this field, particularly in recent times.</w:t>
      </w:r>
    </w:p>
    <w:p w:rsidR="003F2965" w:rsidRPr="00B035DF" w:rsidRDefault="00084C08" w:rsidP="001F077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9</w:t>
      </w:r>
      <w:r w:rsidR="001F077F">
        <w:rPr>
          <w:rFonts w:ascii="Times New Roman" w:hAnsi="Times New Roman" w:cs="Times New Roman"/>
          <w:sz w:val="24"/>
          <w:szCs w:val="24"/>
        </w:rPr>
        <w:t>: Year wise Publications</w:t>
      </w:r>
    </w:p>
    <w:p w:rsidR="00343E27" w:rsidRPr="00B035DF" w:rsidRDefault="00917CF6" w:rsidP="005E43A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4638675"/>
            <wp:effectExtent l="19050" t="0" r="0" b="0"/>
            <wp:docPr id="21" name="Picture 8" descr="C:\Users\SAMSUNG\Pictures\Screenshots\Screenshot (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Pictures\Screenshots\Screenshot (499).png"/>
                    <pic:cNvPicPr>
                      <a:picLocks noChangeAspect="1" noChangeArrowheads="1"/>
                    </pic:cNvPicPr>
                  </pic:nvPicPr>
                  <pic:blipFill>
                    <a:blip r:embed="rId18"/>
                    <a:srcRect/>
                    <a:stretch>
                      <a:fillRect/>
                    </a:stretch>
                  </pic:blipFill>
                  <pic:spPr bwMode="auto">
                    <a:xfrm>
                      <a:off x="0" y="0"/>
                      <a:ext cx="5777597" cy="4643052"/>
                    </a:xfrm>
                    <a:prstGeom prst="rect">
                      <a:avLst/>
                    </a:prstGeom>
                    <a:noFill/>
                    <a:ln w="9525">
                      <a:noFill/>
                      <a:miter lim="800000"/>
                      <a:headEnd/>
                      <a:tailEnd/>
                    </a:ln>
                  </pic:spPr>
                </pic:pic>
              </a:graphicData>
            </a:graphic>
          </wp:inline>
        </w:drawing>
      </w:r>
    </w:p>
    <w:p w:rsidR="00A144B8" w:rsidRPr="00046421" w:rsidRDefault="00A144B8"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343E27" w:rsidRPr="003F2965" w:rsidRDefault="0012669D" w:rsidP="00A01D4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4.4 </w:t>
      </w:r>
      <w:r w:rsidR="00343E27" w:rsidRPr="003F2965">
        <w:rPr>
          <w:rFonts w:ascii="Times New Roman" w:hAnsi="Times New Roman" w:cs="Times New Roman"/>
          <w:b/>
          <w:sz w:val="24"/>
          <w:szCs w:val="24"/>
        </w:rPr>
        <w:t xml:space="preserve">MOST CITED </w:t>
      </w:r>
      <w:r w:rsidR="00B84FB1">
        <w:rPr>
          <w:rFonts w:ascii="Times New Roman" w:hAnsi="Times New Roman" w:cs="Times New Roman"/>
          <w:b/>
          <w:sz w:val="24"/>
          <w:szCs w:val="24"/>
        </w:rPr>
        <w:t>STUDIES</w:t>
      </w:r>
      <w:r w:rsidR="00343E27" w:rsidRPr="003F2965">
        <w:rPr>
          <w:rFonts w:ascii="Times New Roman" w:hAnsi="Times New Roman" w:cs="Times New Roman"/>
          <w:b/>
          <w:sz w:val="24"/>
          <w:szCs w:val="24"/>
        </w:rPr>
        <w:t>:</w:t>
      </w:r>
    </w:p>
    <w:p w:rsidR="0025429D" w:rsidRPr="0025429D" w:rsidRDefault="0025429D" w:rsidP="0025429D">
      <w:pPr>
        <w:spacing w:after="0" w:line="360" w:lineRule="auto"/>
        <w:jc w:val="both"/>
        <w:rPr>
          <w:rFonts w:ascii="Times New Roman" w:hAnsi="Times New Roman" w:cs="Times New Roman"/>
          <w:sz w:val="24"/>
          <w:szCs w:val="24"/>
        </w:rPr>
      </w:pPr>
      <w:r w:rsidRPr="0025429D">
        <w:rPr>
          <w:rFonts w:ascii="Times New Roman" w:hAnsi="Times New Roman" w:cs="Times New Roman"/>
          <w:sz w:val="24"/>
          <w:szCs w:val="24"/>
        </w:rPr>
        <w:t xml:space="preserve">With a focus on Scopus content, the table provided unveils a roster of the twenty most frequently cited studies. The paper amassing the highest citations, a remarkable 372 in total, is titled "The role of early life stress as a predictor for alcohol and drug dependence," penned by Enoch, M.-A. The runner-up, with 209 citations, is the paper "Beyond risk, resilience, and </w:t>
      </w:r>
      <w:proofErr w:type="spellStart"/>
      <w:r w:rsidRPr="0025429D">
        <w:rPr>
          <w:rFonts w:ascii="Times New Roman" w:hAnsi="Times New Roman" w:cs="Times New Roman"/>
          <w:sz w:val="24"/>
          <w:szCs w:val="24"/>
        </w:rPr>
        <w:t>dysregulation</w:t>
      </w:r>
      <w:proofErr w:type="spellEnd"/>
      <w:r w:rsidRPr="0025429D">
        <w:rPr>
          <w:rFonts w:ascii="Times New Roman" w:hAnsi="Times New Roman" w:cs="Times New Roman"/>
          <w:sz w:val="24"/>
          <w:szCs w:val="24"/>
        </w:rPr>
        <w:t xml:space="preserve">: Phenotypic plasticity and human development," authored by </w:t>
      </w:r>
      <w:proofErr w:type="spellStart"/>
      <w:r w:rsidRPr="0025429D">
        <w:rPr>
          <w:rFonts w:ascii="Times New Roman" w:hAnsi="Times New Roman" w:cs="Times New Roman"/>
          <w:sz w:val="24"/>
          <w:szCs w:val="24"/>
        </w:rPr>
        <w:t>Belsky</w:t>
      </w:r>
      <w:proofErr w:type="spellEnd"/>
      <w:r w:rsidRPr="0025429D">
        <w:rPr>
          <w:rFonts w:ascii="Times New Roman" w:hAnsi="Times New Roman" w:cs="Times New Roman"/>
          <w:sz w:val="24"/>
          <w:szCs w:val="24"/>
        </w:rPr>
        <w:t xml:space="preserve">, J., </w:t>
      </w:r>
      <w:proofErr w:type="spellStart"/>
      <w:r w:rsidRPr="0025429D">
        <w:rPr>
          <w:rFonts w:ascii="Times New Roman" w:hAnsi="Times New Roman" w:cs="Times New Roman"/>
          <w:sz w:val="24"/>
          <w:szCs w:val="24"/>
        </w:rPr>
        <w:t>Pluess</w:t>
      </w:r>
      <w:proofErr w:type="spellEnd"/>
      <w:r w:rsidRPr="0025429D">
        <w:rPr>
          <w:rFonts w:ascii="Times New Roman" w:hAnsi="Times New Roman" w:cs="Times New Roman"/>
          <w:sz w:val="24"/>
          <w:szCs w:val="24"/>
        </w:rPr>
        <w:t>, M. (</w:t>
      </w:r>
      <w:proofErr w:type="spellStart"/>
      <w:r w:rsidRPr="0025429D">
        <w:rPr>
          <w:rFonts w:ascii="Times New Roman" w:hAnsi="Times New Roman" w:cs="Times New Roman"/>
          <w:sz w:val="24"/>
          <w:szCs w:val="24"/>
        </w:rPr>
        <w:t>Belsky</w:t>
      </w:r>
      <w:proofErr w:type="spellEnd"/>
      <w:r w:rsidRPr="0025429D">
        <w:rPr>
          <w:rFonts w:ascii="Times New Roman" w:hAnsi="Times New Roman" w:cs="Times New Roman"/>
          <w:sz w:val="24"/>
          <w:szCs w:val="24"/>
        </w:rPr>
        <w:t xml:space="preserve"> &amp; </w:t>
      </w:r>
      <w:proofErr w:type="spellStart"/>
      <w:r w:rsidRPr="0025429D">
        <w:rPr>
          <w:rFonts w:ascii="Times New Roman" w:hAnsi="Times New Roman" w:cs="Times New Roman"/>
          <w:sz w:val="24"/>
          <w:szCs w:val="24"/>
        </w:rPr>
        <w:t>Pluess</w:t>
      </w:r>
      <w:proofErr w:type="spellEnd"/>
      <w:r w:rsidRPr="0025429D">
        <w:rPr>
          <w:rFonts w:ascii="Times New Roman" w:hAnsi="Times New Roman" w:cs="Times New Roman"/>
          <w:sz w:val="24"/>
          <w:szCs w:val="24"/>
        </w:rPr>
        <w:t>, 2013).</w:t>
      </w:r>
    </w:p>
    <w:p w:rsidR="0025429D" w:rsidRPr="0025429D" w:rsidRDefault="0025429D" w:rsidP="0025429D">
      <w:pPr>
        <w:spacing w:after="0" w:line="360" w:lineRule="auto"/>
        <w:jc w:val="both"/>
        <w:rPr>
          <w:rFonts w:ascii="Times New Roman" w:hAnsi="Times New Roman" w:cs="Times New Roman"/>
          <w:sz w:val="24"/>
          <w:szCs w:val="24"/>
        </w:rPr>
      </w:pPr>
    </w:p>
    <w:p w:rsidR="00343E27" w:rsidRDefault="001F077F" w:rsidP="001F077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4: Most cited </w:t>
      </w:r>
      <w:r w:rsidR="00B84FB1">
        <w:rPr>
          <w:rFonts w:ascii="Times New Roman" w:hAnsi="Times New Roman" w:cs="Times New Roman"/>
          <w:sz w:val="24"/>
          <w:szCs w:val="24"/>
        </w:rPr>
        <w:t>studies</w:t>
      </w:r>
    </w:p>
    <w:p w:rsidR="008112B1" w:rsidRDefault="008112B1" w:rsidP="001F077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91175" cy="5171919"/>
            <wp:effectExtent l="19050" t="0" r="9525" b="0"/>
            <wp:docPr id="3" name="Picture 2" descr="C:\Users\SAMSUNG\Pictures\Screenshots\Screenshot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Screenshots\Screenshot (500).png"/>
                    <pic:cNvPicPr>
                      <a:picLocks noChangeAspect="1" noChangeArrowheads="1"/>
                    </pic:cNvPicPr>
                  </pic:nvPicPr>
                  <pic:blipFill>
                    <a:blip r:embed="rId19"/>
                    <a:srcRect/>
                    <a:stretch>
                      <a:fillRect/>
                    </a:stretch>
                  </pic:blipFill>
                  <pic:spPr bwMode="auto">
                    <a:xfrm>
                      <a:off x="0" y="0"/>
                      <a:ext cx="5587911" cy="5168900"/>
                    </a:xfrm>
                    <a:prstGeom prst="rect">
                      <a:avLst/>
                    </a:prstGeom>
                    <a:noFill/>
                    <a:ln w="9525">
                      <a:noFill/>
                      <a:miter lim="800000"/>
                      <a:headEnd/>
                      <a:tailEnd/>
                    </a:ln>
                  </pic:spPr>
                </pic:pic>
              </a:graphicData>
            </a:graphic>
          </wp:inline>
        </w:drawing>
      </w:r>
    </w:p>
    <w:p w:rsidR="008112B1" w:rsidRPr="00B035DF" w:rsidRDefault="008112B1" w:rsidP="001F077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80075" cy="6743700"/>
            <wp:effectExtent l="19050" t="0" r="0" b="0"/>
            <wp:docPr id="4" name="Picture 3" descr="C:\Users\SAMSUNG\Pictures\Screenshots\Screenshot (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Screenshots\Screenshot (501).png"/>
                    <pic:cNvPicPr>
                      <a:picLocks noChangeAspect="1" noChangeArrowheads="1"/>
                    </pic:cNvPicPr>
                  </pic:nvPicPr>
                  <pic:blipFill>
                    <a:blip r:embed="rId20"/>
                    <a:srcRect/>
                    <a:stretch>
                      <a:fillRect/>
                    </a:stretch>
                  </pic:blipFill>
                  <pic:spPr bwMode="auto">
                    <a:xfrm>
                      <a:off x="0" y="0"/>
                      <a:ext cx="5680075" cy="6743700"/>
                    </a:xfrm>
                    <a:prstGeom prst="rect">
                      <a:avLst/>
                    </a:prstGeom>
                    <a:noFill/>
                    <a:ln w="9525">
                      <a:noFill/>
                      <a:miter lim="800000"/>
                      <a:headEnd/>
                      <a:tailEnd/>
                    </a:ln>
                  </pic:spPr>
                </pic:pic>
              </a:graphicData>
            </a:graphic>
          </wp:inline>
        </w:drawing>
      </w:r>
    </w:p>
    <w:p w:rsidR="00A144B8" w:rsidRPr="00046421" w:rsidRDefault="00A144B8"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25429D" w:rsidRDefault="0025429D" w:rsidP="0025429D">
      <w:pPr>
        <w:spacing w:after="0" w:line="360" w:lineRule="auto"/>
        <w:jc w:val="both"/>
        <w:rPr>
          <w:rFonts w:ascii="Times New Roman" w:eastAsia="Times New Roman" w:hAnsi="Times New Roman" w:cs="Times New Roman"/>
          <w:color w:val="000000"/>
          <w:sz w:val="24"/>
          <w:szCs w:val="24"/>
        </w:rPr>
      </w:pPr>
      <w:r w:rsidRPr="0025429D">
        <w:rPr>
          <w:rFonts w:ascii="Times New Roman" w:hAnsi="Times New Roman" w:cs="Times New Roman"/>
          <w:sz w:val="24"/>
          <w:szCs w:val="24"/>
        </w:rPr>
        <w:t xml:space="preserve">Continuing the list, the third most cited paper, boasting 202 citations, is titled "Risk, resilience, and gene x environment interactions in rhesus monkeys," composed by </w:t>
      </w:r>
      <w:proofErr w:type="spellStart"/>
      <w:r w:rsidRPr="0025429D">
        <w:rPr>
          <w:rFonts w:ascii="Times New Roman" w:hAnsi="Times New Roman" w:cs="Times New Roman"/>
          <w:sz w:val="24"/>
          <w:szCs w:val="24"/>
        </w:rPr>
        <w:t>Suomi</w:t>
      </w:r>
      <w:proofErr w:type="spellEnd"/>
      <w:r w:rsidRPr="0025429D">
        <w:rPr>
          <w:rFonts w:ascii="Times New Roman" w:hAnsi="Times New Roman" w:cs="Times New Roman"/>
          <w:sz w:val="24"/>
          <w:szCs w:val="24"/>
        </w:rPr>
        <w:t>, S.J. Following suit, the fourth most cited paper, accumulating 179 citations, goes by the title "Risk-resilient heuristics and genetic algorithms for security-assured grid job scheduling," credited to Song, S., Hwang, K., Kwok, Y.-K (Song et al., 2006).</w:t>
      </w:r>
    </w:p>
    <w:p w:rsidR="0025429D" w:rsidRDefault="0025429D" w:rsidP="00A01D49">
      <w:pPr>
        <w:spacing w:line="360" w:lineRule="auto"/>
        <w:jc w:val="both"/>
        <w:rPr>
          <w:rFonts w:ascii="Times New Roman" w:hAnsi="Times New Roman" w:cs="Times New Roman"/>
          <w:b/>
          <w:sz w:val="24"/>
          <w:szCs w:val="24"/>
        </w:rPr>
      </w:pPr>
    </w:p>
    <w:p w:rsidR="00A01D49" w:rsidRDefault="0012669D" w:rsidP="00A01D4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 </w:t>
      </w:r>
      <w:r w:rsidR="00A01D49">
        <w:rPr>
          <w:rFonts w:ascii="Times New Roman" w:hAnsi="Times New Roman" w:cs="Times New Roman"/>
          <w:b/>
          <w:sz w:val="24"/>
          <w:szCs w:val="24"/>
        </w:rPr>
        <w:t>MOST PROLIFIC AUTHORS:</w:t>
      </w:r>
    </w:p>
    <w:p w:rsidR="001F077F" w:rsidRDefault="00A01D49" w:rsidP="00A01D49">
      <w:pPr>
        <w:autoSpaceDE w:val="0"/>
        <w:autoSpaceDN w:val="0"/>
        <w:adjustRightInd w:val="0"/>
        <w:spacing w:after="0" w:line="360" w:lineRule="auto"/>
        <w:jc w:val="both"/>
        <w:rPr>
          <w:rFonts w:ascii="Times New Roman" w:hAnsi="Times New Roman" w:cs="Times New Roman"/>
          <w:sz w:val="24"/>
          <w:szCs w:val="24"/>
        </w:rPr>
      </w:pPr>
      <w:r w:rsidRPr="007037E1">
        <w:rPr>
          <w:rFonts w:ascii="Times New Roman" w:hAnsi="Times New Roman" w:cs="Times New Roman"/>
          <w:sz w:val="24"/>
          <w:szCs w:val="24"/>
        </w:rPr>
        <w:t xml:space="preserve">It shows the top twenty most prolific authors. All the 342 </w:t>
      </w:r>
      <w:r w:rsidR="00B84FB1">
        <w:rPr>
          <w:rFonts w:ascii="Times New Roman" w:hAnsi="Times New Roman" w:cs="Times New Roman"/>
          <w:sz w:val="24"/>
          <w:szCs w:val="24"/>
        </w:rPr>
        <w:t xml:space="preserve">studies </w:t>
      </w:r>
      <w:r w:rsidRPr="007037E1">
        <w:rPr>
          <w:rFonts w:ascii="Times New Roman" w:hAnsi="Times New Roman" w:cs="Times New Roman"/>
          <w:sz w:val="24"/>
          <w:szCs w:val="24"/>
        </w:rPr>
        <w:t xml:space="preserve">belong to </w:t>
      </w:r>
      <w:r w:rsidR="00B84FB1">
        <w:rPr>
          <w:rFonts w:ascii="Times New Roman" w:hAnsi="Times New Roman" w:cs="Times New Roman"/>
          <w:sz w:val="24"/>
          <w:szCs w:val="24"/>
        </w:rPr>
        <w:t>the</w:t>
      </w:r>
      <w:r w:rsidRPr="007037E1">
        <w:rPr>
          <w:rFonts w:ascii="Times New Roman" w:hAnsi="Times New Roman" w:cs="Times New Roman"/>
          <w:sz w:val="24"/>
          <w:szCs w:val="24"/>
        </w:rPr>
        <w:t xml:space="preserve"> respective 159 authors. Upon analy</w:t>
      </w:r>
      <w:r w:rsidR="00646B1D">
        <w:rPr>
          <w:rFonts w:ascii="Times New Roman" w:hAnsi="Times New Roman" w:cs="Times New Roman"/>
          <w:sz w:val="24"/>
          <w:szCs w:val="24"/>
        </w:rPr>
        <w:t>z</w:t>
      </w:r>
      <w:r w:rsidRPr="007037E1">
        <w:rPr>
          <w:rFonts w:ascii="Times New Roman" w:hAnsi="Times New Roman" w:cs="Times New Roman"/>
          <w:sz w:val="24"/>
          <w:szCs w:val="24"/>
        </w:rPr>
        <w:t xml:space="preserve">ing the data, a list of the top twenty authors with maximum publications was prepared. Further, it was found that the most prolific author on risk resilience is </w:t>
      </w:r>
      <w:r w:rsidRPr="007037E1">
        <w:rPr>
          <w:rFonts w:ascii="Times New Roman" w:hAnsi="Times New Roman" w:cs="Times New Roman"/>
          <w:color w:val="000000"/>
          <w:sz w:val="24"/>
          <w:szCs w:val="24"/>
        </w:rPr>
        <w:t xml:space="preserve">Enoch, </w:t>
      </w:r>
      <w:proofErr w:type="spellStart"/>
      <w:r w:rsidRPr="007037E1">
        <w:rPr>
          <w:rFonts w:ascii="Times New Roman" w:hAnsi="Times New Roman" w:cs="Times New Roman"/>
          <w:color w:val="000000"/>
          <w:sz w:val="24"/>
          <w:szCs w:val="24"/>
        </w:rPr>
        <w:t>M.A.</w:t>
      </w:r>
      <w:r w:rsidR="007037E1">
        <w:rPr>
          <w:rFonts w:ascii="Times New Roman" w:hAnsi="Times New Roman" w:cs="Times New Roman"/>
          <w:sz w:val="24"/>
          <w:szCs w:val="24"/>
        </w:rPr>
        <w:t>w</w:t>
      </w:r>
      <w:r w:rsidR="007037E1" w:rsidRPr="007037E1">
        <w:rPr>
          <w:rFonts w:ascii="Times New Roman" w:hAnsi="Times New Roman" w:cs="Times New Roman"/>
          <w:sz w:val="24"/>
          <w:szCs w:val="24"/>
        </w:rPr>
        <w:t>ith</w:t>
      </w:r>
      <w:proofErr w:type="spellEnd"/>
      <w:r w:rsidRPr="007037E1">
        <w:rPr>
          <w:rFonts w:ascii="Times New Roman" w:hAnsi="Times New Roman" w:cs="Times New Roman"/>
          <w:sz w:val="24"/>
          <w:szCs w:val="24"/>
        </w:rPr>
        <w:t xml:space="preserve"> six </w:t>
      </w:r>
      <w:r w:rsidR="00B84FB1">
        <w:rPr>
          <w:rFonts w:ascii="Times New Roman" w:hAnsi="Times New Roman" w:cs="Times New Roman"/>
          <w:sz w:val="24"/>
          <w:szCs w:val="24"/>
        </w:rPr>
        <w:t>studies</w:t>
      </w:r>
      <w:r w:rsidRPr="007037E1">
        <w:rPr>
          <w:rFonts w:ascii="Times New Roman" w:hAnsi="Times New Roman" w:cs="Times New Roman"/>
          <w:sz w:val="24"/>
          <w:szCs w:val="24"/>
        </w:rPr>
        <w:t xml:space="preserve">. The authors </w:t>
      </w:r>
      <w:proofErr w:type="spellStart"/>
      <w:r w:rsidR="007037E1" w:rsidRPr="007037E1">
        <w:rPr>
          <w:rFonts w:ascii="Times New Roman" w:hAnsi="Times New Roman" w:cs="Times New Roman"/>
          <w:color w:val="000000"/>
          <w:sz w:val="24"/>
          <w:szCs w:val="24"/>
        </w:rPr>
        <w:t>Shahar</w:t>
      </w:r>
      <w:proofErr w:type="spellEnd"/>
      <w:r w:rsidR="007037E1" w:rsidRPr="007037E1">
        <w:rPr>
          <w:rFonts w:ascii="Times New Roman" w:hAnsi="Times New Roman" w:cs="Times New Roman"/>
          <w:color w:val="000000"/>
          <w:sz w:val="24"/>
          <w:szCs w:val="24"/>
        </w:rPr>
        <w:t xml:space="preserve">, G, </w:t>
      </w:r>
      <w:proofErr w:type="spellStart"/>
      <w:r w:rsidR="007037E1" w:rsidRPr="007037E1">
        <w:rPr>
          <w:rFonts w:ascii="Times New Roman" w:hAnsi="Times New Roman" w:cs="Times New Roman"/>
          <w:color w:val="000000"/>
          <w:sz w:val="24"/>
          <w:szCs w:val="24"/>
        </w:rPr>
        <w:t>Frangopol</w:t>
      </w:r>
      <w:proofErr w:type="spellEnd"/>
      <w:r w:rsidR="007037E1" w:rsidRPr="007037E1">
        <w:rPr>
          <w:rFonts w:ascii="Times New Roman" w:hAnsi="Times New Roman" w:cs="Times New Roman"/>
          <w:color w:val="000000"/>
          <w:sz w:val="24"/>
          <w:szCs w:val="24"/>
        </w:rPr>
        <w:t>, D.M.</w:t>
      </w:r>
      <w:r w:rsidR="00646B1D">
        <w:rPr>
          <w:rFonts w:ascii="Times New Roman" w:hAnsi="Times New Roman" w:cs="Times New Roman"/>
          <w:color w:val="000000"/>
          <w:sz w:val="24"/>
          <w:szCs w:val="24"/>
        </w:rPr>
        <w:t>,</w:t>
      </w:r>
      <w:r w:rsidR="007037E1" w:rsidRPr="007037E1">
        <w:rPr>
          <w:rFonts w:ascii="Times New Roman" w:hAnsi="Times New Roman" w:cs="Times New Roman"/>
          <w:color w:val="000000"/>
          <w:sz w:val="24"/>
          <w:szCs w:val="24"/>
        </w:rPr>
        <w:t xml:space="preserve"> and Dong, </w:t>
      </w:r>
      <w:proofErr w:type="spellStart"/>
      <w:r w:rsidR="007037E1" w:rsidRPr="007037E1">
        <w:rPr>
          <w:rFonts w:ascii="Times New Roman" w:hAnsi="Times New Roman" w:cs="Times New Roman"/>
          <w:color w:val="000000"/>
          <w:sz w:val="24"/>
          <w:szCs w:val="24"/>
        </w:rPr>
        <w:t>Y.</w:t>
      </w:r>
      <w:r w:rsidR="007037E1" w:rsidRPr="007037E1">
        <w:rPr>
          <w:rFonts w:ascii="Times New Roman" w:hAnsi="Times New Roman" w:cs="Times New Roman"/>
          <w:sz w:val="24"/>
          <w:szCs w:val="24"/>
        </w:rPr>
        <w:t>each</w:t>
      </w:r>
      <w:proofErr w:type="spellEnd"/>
      <w:r w:rsidR="007037E1" w:rsidRPr="007037E1">
        <w:rPr>
          <w:rFonts w:ascii="Times New Roman" w:hAnsi="Times New Roman" w:cs="Times New Roman"/>
          <w:sz w:val="24"/>
          <w:szCs w:val="24"/>
        </w:rPr>
        <w:t xml:space="preserve"> ha</w:t>
      </w:r>
      <w:r w:rsidR="00B84FB1">
        <w:rPr>
          <w:rFonts w:ascii="Times New Roman" w:hAnsi="Times New Roman" w:cs="Times New Roman"/>
          <w:sz w:val="24"/>
          <w:szCs w:val="24"/>
        </w:rPr>
        <w:t>s</w:t>
      </w:r>
      <w:r w:rsidR="007037E1" w:rsidRPr="007037E1">
        <w:rPr>
          <w:rFonts w:ascii="Times New Roman" w:hAnsi="Times New Roman" w:cs="Times New Roman"/>
          <w:sz w:val="24"/>
          <w:szCs w:val="24"/>
        </w:rPr>
        <w:t xml:space="preserve"> published five</w:t>
      </w:r>
      <w:r w:rsidRPr="007037E1">
        <w:rPr>
          <w:rFonts w:ascii="Times New Roman" w:hAnsi="Times New Roman" w:cs="Times New Roman"/>
          <w:sz w:val="24"/>
          <w:szCs w:val="24"/>
        </w:rPr>
        <w:t xml:space="preserve"> </w:t>
      </w:r>
      <w:r w:rsidR="00B84FB1">
        <w:rPr>
          <w:rFonts w:ascii="Times New Roman" w:hAnsi="Times New Roman" w:cs="Times New Roman"/>
          <w:sz w:val="24"/>
          <w:szCs w:val="24"/>
        </w:rPr>
        <w:t>studies</w:t>
      </w:r>
      <w:r w:rsidRPr="007037E1">
        <w:rPr>
          <w:rFonts w:ascii="Times New Roman" w:hAnsi="Times New Roman" w:cs="Times New Roman"/>
          <w:sz w:val="24"/>
          <w:szCs w:val="24"/>
        </w:rPr>
        <w:t xml:space="preserve">. Furthermore, Botha, M. and </w:t>
      </w:r>
      <w:proofErr w:type="spellStart"/>
      <w:r w:rsidRPr="007037E1">
        <w:rPr>
          <w:rFonts w:ascii="Times New Roman" w:hAnsi="Times New Roman" w:cs="Times New Roman"/>
          <w:sz w:val="24"/>
          <w:szCs w:val="24"/>
        </w:rPr>
        <w:t>Zainol</w:t>
      </w:r>
      <w:proofErr w:type="spellEnd"/>
      <w:r w:rsidRPr="007037E1">
        <w:rPr>
          <w:rFonts w:ascii="Times New Roman" w:hAnsi="Times New Roman" w:cs="Times New Roman"/>
          <w:sz w:val="24"/>
          <w:szCs w:val="24"/>
        </w:rPr>
        <w:t xml:space="preserve">, N.R. have published five </w:t>
      </w:r>
      <w:r w:rsidR="00B84FB1">
        <w:rPr>
          <w:rFonts w:ascii="Times New Roman" w:hAnsi="Times New Roman" w:cs="Times New Roman"/>
          <w:sz w:val="24"/>
          <w:szCs w:val="24"/>
        </w:rPr>
        <w:t>studies</w:t>
      </w:r>
      <w:r w:rsidRPr="007037E1">
        <w:rPr>
          <w:rFonts w:ascii="Times New Roman" w:hAnsi="Times New Roman" w:cs="Times New Roman"/>
          <w:sz w:val="24"/>
          <w:szCs w:val="24"/>
        </w:rPr>
        <w:t>.</w:t>
      </w:r>
      <w:r w:rsidR="00030D36">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{"citationItems":[{"id":"ITEM-1","itemData":{"abstract":"Social responsibility of business and impact of business on society has got some immense importance during last decade. In this prospective, business students who are future leaders, entrepreneurs, managers, and employees-can play vital role in the development of better society. This study explored the ethical orientation of business student in Pakistan. It inspects whether dissimilarities in student's demographic and personal characteristics have any attitude regarding business ethics. Attitude towards business ethic questioner (ATBEQ) is adopted as a measurement scale. Sample size of 102 students was taken from management sciences department, The Islamia University of Bahawalpur, and descriptive statistics and t-test employed. The results showed that there are some differences in the attitude of male and female students. Female responded more positive attitude than male. It also reflected that level of study and knowledge about business ethics shape positive attitude for social and moral obligation. Study recommended that more practical and conceptual framework of knowledge and studies should be included in the curricula.","author":[{"dropping-particle":"","family":"Rizvi","given":"Shaheer","non-dropping-particle":"","parse-names":false,"suffix":""},{"dropping-particle":"","family":"Tanveer","given":"Muhammad Asif","non-dropping-particle":"","parse-names":false,"suffix":""},{"dropping-particle":"","family":"Saleem","given":"Umer","non-dropping-particle":"","parse-names":false,"suffix":""},{"dropping-particle":"","family":"Latif","given":"Moaaz","non-dropping-particle":"","parse-names":false,"suffix":""}],"container-title":"European Scientific Journal","id":"ITEM-1","issue":"25","issued":{"date-parts":[["2012"]]},"page":"178-188","title":"Business students' attitude toward business ethics in Pakistan","type":"article-journal","volume":"8"},"uris":["http://www.mendeley.com/documents/?uuid=8cf08d68-e9d8-46f5-97f1-00110b4e5484"]},{"id":"ITEM-2","itemData":{"DOI":"10.4102/sajems.v22i1.2230","ISSN":"22223436","abstract":"Background: Although many scholars focus their research efforts on predicting entrepreneurial intention, these scholars have not determined the bidirectional relationship between entrepreneurial intention and competencies. Aim: This article investigates whether entrepreneurial intention and various individual entrepreneurial competencies influence each other. The human agency and social cognitive theories suggest that these constructs have bidirectional relationships. Furthermore, the direction and strength of these relationships are established. Setting: Results from a sample of 342 nascent and existing entrepreneurs from South Africa are drawn. Method: A quantitative research study is undertaken and structural equation modelling conducted. As far as could be determined, this study is the first to test the model fit between entrepreneurial intention and the individual entrepreneurial competencies in one model. Results: The findings provide evidence of a bidirectional relationship between entrepreneurial intention and various entrepreneurial competencies, and the outcome thereof might lead to an increased business start-up. The strongest positive relationships were observed between entrepreneurial intention and self-efficacy, opportunity recognition, conveying a compelling vision, value creation through innovation (observing customer usage) and perseverance. Previous scholars confirmed that self-efficacy is a strong predictor of entrepreneurial intention. The article found a moderate positive significant bidirectional relationship between entrepreneurial intention and self-efficacy. Conclusion: The findings could assist policy-makers, educators, as well as potential, nascent and start-up entrepreneurs with the understanding that these specific entrepreneurial competencies are necessary for a successful business venture or for moving to the next stage of the venture life cycle. In addition to the previously mentioned practical implications, this study also shows educators, policy-makers and academics that they need to adapt their entrepreneurial training programmes to ensure that self-efficacy and entrepreneurial intention are taught simultaneously as these constructs influence each other.","author":[{"dropping-particle":"","family":"Botha","given":"Melodi","non-dropping-particle":"","parse-names":false,"suffix":""},{"dropping-particle":"","family":"Taljaard","given":"Amorie","non-dropping-particle":"","parse-names":false,"suffix":""}],"container-title":"South African Journal of Economic and Management Sciences","id":"ITEM-2","issue":"1","issued":{"date-parts":[["2019"]]},"page":"1-12","title":"The bidirectional relationship between entrepreneurial intention and entrepreneurial competencies for nascent and existing entrepreneurs","type":"article-journal","volume":"22"},"uris":["http://www.mendeley.com/documents/?uuid=82a51be4-76a2-4564-b952-37d85edbfcb7"]}],"mendeley":{"formattedCitation":"(Botha &amp; Taljaard, 2019; Rizvi et al., 2012)","plainTextFormattedCitation":"(Botha &amp; Taljaard, 2019; Rizvi et al., 2012)","previouslyFormattedCitation":"(Botha &amp; Taljaard, 2019; Rizvi et al., 2012)"},"properties":{"noteIndex":0},"schema":"https://github.com/citation-style-language/schema/raw/master/csl-citation.json"}</w:instrText>
      </w:r>
      <w:r w:rsidR="00030D36">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(Botha &amp; Taljaard, 2019; Rizvi et al., 2012)</w:t>
      </w:r>
      <w:r w:rsidR="00030D36">
        <w:rPr>
          <w:rFonts w:ascii="Times New Roman" w:hAnsi="Times New Roman" w:cs="Times New Roman"/>
          <w:sz w:val="24"/>
          <w:szCs w:val="24"/>
        </w:rPr>
        <w:fldChar w:fldCharType="end"/>
      </w:r>
      <w:r w:rsidR="00030D36">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{"citationItems":[{"id":"ITEM-1","itemData":{"DOI":"10.1196/annals.1376.019","ISBN":"1573316431","ISSN":"17496632","PMID":"17347351","abstract":"The physiological changes of adolescence may promote risk-taking behaviors, including binge drinking. Approximately 40% of alcoholics were already drinking heavily in late adolescence. Most cases of alcoholism are established by the age of 30 years with the peak prevalence at 18-23 years of age. Therefore the key time frame for the development, and prevention, of alcoholism lies in adolescence and young adulthood. Severe childhood stressors have been associated with increased vulnerability to addiction, however, not all stress-exposed children go on to develop alcoholism. Origins of resilience can be both genetic (variation in alcohol-metabolizing genes, increased susceptibility to alcohol's sedative effects) and environmental (lack of alcohol availability, positive peer and parental support). Genetic vulnerability is likely to be conferred by multiple genes of small to modest effects, possibly only apparent in gene-environment interactions. For example, it has been shown that childhood maltreatment interacts with a monoamine oxidase A (MAOA) gene variant to predict antisocial behavior that is often associated with alcoholism, and an interaction between early life stress and a serotonin transporter promoter variant predicts alcohol abuse in nonhuman primates and depression in humans. In addition, a common Met158 variant in the catechol-O-methyltransferase (COMT) gene can confer both risk and resilience to alcoholism in different drinking environments. It is likely that a complex mix of gene(s) - environment(s) interactions underlie addiction vulnerability and development. Risk-resilience factors can best be determined in longitudinal studies, preferably starting during pregnancy. This kind of research is important for planning future measures to prevent harmful drinking in adolescence. © 2006 New York Academy of Sciences.","author":[{"dropping-particle":"","family":"Enoch","given":"Mary Anne","non-dropping-particle":"","parse-names":false,"suffix":""}],"container-title":"Annals of the New York Academy of Sciences","id":"ITEM-1","issued":{"date-parts":[["2006"]]},"page":"193-201","title":"Genetic and environmental influences on the development of alcoholism: Resilience vs. risk","type":"article-journal","volume":"1094"},"uris":["http://www.mendeley.com/documents/?uuid=5215d98b-eab1-494b-9329-015a2e357e92"]},{"id":"ITEM-2","itemData":{"DOI":"10.1016/j.biopsych.2009.08.019","ISSN":"00063223","PMID":"19833324","abstract":"Background: The GABRA2 gene has been implicated in addiction. Early life stress has been shown to alter GABRA2 expression in adult rodents. We hypothesized that childhood trauma, GABRA2 variation, and their interaction would influence addiction vulnerability. Methods: African-American men were recruited for this study: 577 patients with lifetime DSM-IV single and comorbid diagnoses of alcohol, cocaine, and heroin dependence, and 255 control subjects. The Childhood Trauma Questionnaire (CTQ) was administered. Ten GABRA2 haplotype-tagging single-nucleotide polymorphisms (SNPs) were genotyped. Results: We found that exposure to childhood trauma predicted substance dependence (p &lt; .0001). Polysubstance dependence was associated with the highest CTQ scores (p &lt; .0001). The African Americans had four common haplotypes (frequency: .11-.30) within the distal haplotype block: two that correspond to the Caucasian and Asian yin-yang haplotypes, and two not found in other ethnic groups. One of the unique haplotypes predicted heroin addiction, whereas the other haplotype was more common in control subjects and seemed to confer resilience to addiction after exposure to severe childhood trauma. The yin-yang haplotypes had no effects. Moreover, the intron 2 SNP rs11503014, not located in any haplotype block and potentially implicated in exon splicing, was independently associated with addiction, specifically heroin addiction (p &lt; .005). Childhood trauma interacted with rs11503014 variation to influence addiction vulnerability, particularly to cocaine (p &lt; .005). Conclusions: Our results suggest that at least in African-American men, childhood trauma, GABRA2 variation, and their interaction play a role in risk-resilience for substance dependence. © 2010 Society of Biological Psychiatry.","author":[{"dropping-particle":"","family":"Enoch","given":"Mary Anne","non-dropping-particle":"","parse-names":false,"suffix":""},{"dropping-particle":"","family":"Hodgkinson","given":"Colin A.","non-dropping-particle":"","parse-names":false,"suffix":""},{"dropping-particle":"","family":"Yuan","given":"Qiaoping","non-dropping-particle":"","parse-names":false,"suffix":""},{"dropping-particle":"","family":"Shen","given":"Pei Hong","non-dropping-particle":"","parse-names":false,"suffix":""},{"dropping-particle":"","family":"Goldman","given":"David","non-dropping-particle":"","parse-names":false,"suffix":""},{"dropping-particle":"","family":"Roy","given":"Alec","non-dropping-particle":"","parse-names":false,"suffix":""}],"container-title":"Biological Psychiatry","id":"ITEM-2","issue":"1","issued":{"date-parts":[["2010"]]},"page":"20-27","publisher":"Elsevier Inc.","title":"The Influence of GABRA2, Childhood Trauma, and Their Interaction on Alcohol, Heroin, and Cocaine Dependence","type":"article-journal","volume":"67"},"uris":["http://www.mendeley.com/documents/?uuid=38e4e5e3-6870-4280-8915-32d17c84ae52"]},{"id":"ITEM-3","itemData":{"DOI":"10.1080/15732479.2014.999794","ISSN":"17448980","abstract":"Structural systems are under deterioration due to ageing, mechanical stressors, and harsh environment, among other threats. Corrosion and fatigue can cause gradual structural deterioration. Moreover, natural and man-made hazards may lead to a sudden drop in the structural performance. Inspection and maintenance actions are performed to monitor the structural safety and maintain the performance over certain thresholds. However, these actions must be effectively planned throughout the life-cycle of a system to ensure the optimum budget allocation and maximum possible service life without adverse effects on the structural system safety. Life-cycle engineering provides rational means to optimise life-cycle aspects, starting from the initial design and construction to dismantling and replacing the system at the end of its service life. This paper presents a brief overview of the recent research achievements in the field of life-cycle engineering for civil and marine structural systems and indicates future directions in this research field. Several aspects of life-cycle engineering are presented, including the performance prediction under uncertainty and optimisation of life-cycle cost and intervention activities, as well as the role of structural health monitoring and non-destructive testing techniques in supporting the life-cycle management decisions. Risk, resilience, sustainability, and their integration into the life-cycle management are also discussed.","author":[{"dropping-particle":"","family":"Frangopol","given":"Dan M.","non-dropping-particle":"","parse-names":false,"suffix":""},{"dropping-particle":"","family":"Soliman","given":"Mohamed","non-dropping-particle":"","parse-names":false,"suffix":""}],"container-title":"Structure and Infrastructure Engineering","id":"ITEM-3","issue":"1","issued":{"date-parts":[["2016"]]},"page":"1-20","title":"Life-cycle of structural systems: recent achievements and future directions","type":"article-journal","volume":"12"},"uris":["http://www.mendeley.com/documents/?uuid=e6dfa4fd-cc73-4ae0-b164-043e75116593"]},{"id":"ITEM-4","itemData":{"DOI":"10.1080/15732479.2016.1267772","ISSN":"17448980","abstract":"The development of a generalised framework for assessing bridge life-cycle performance and cost, with emphasis on analysis, prediction, optimisation and decision-making under uncertainty, is briefly addressed. The central issue underlying the importance of the life-cycle approach to bridge engineering is the need for a rational basis for making informed decisions regarding design, construction, inspection, monitoring, maintenance, repair, rehabilitation, replacement and management of bridges under uncertainty which is carried out by using multi-objective optimisation procedures that balance conflicting criteria such as performance and cost. A number of significant developments are summarised, including time-variant reliability, risk, resilience, and sustainability of bridges, bridge transportation networks and interdependent infrastructure systems. Furthermore, the effects of climate change on the probabilistic life-cycle performance assessment of highway bridges are addressed. Moreover, integration of SHM and updating in bridge management and probabilistic life-cycle optimisation considering multi-attribute utility and risk attitudes are presented.","author":[{"dropping-particle":"","family":"Frangopol","given":"Dan M.","non-dropping-particle":"","parse-names":false,"suffix":""},{"dropping-particle":"","family":"Dong","given":"You","non-dropping-particle":"","parse-names":false,"suffix":""},{"dropping-particle":"","family":"Sabatino","given":"Samantha","non-dropping-particle":"","parse-names":false,"suffix":""}],"container-title":"Structure and Infrastructure Engineering","id":"ITEM-4","issue":"10","issued":{"date-parts":[["2017"]]},"page":"1239-1257","publisher":"Taylor &amp; Francis","title":"Bridge life-cycle performance and cost: analysis, prediction, optimisation and decision-making","type":"article-journal","volume":"13"},"uris":["http://www.mendeley.com/documents/?uuid=f350d32a-9c11-4a82-8bad-a5c4a234f34d"]},{"id":"ITEM-5","itemData":{"DOI":"10.1080/23311975.2020.1747962","ISSN":"23311975","abstract":"This study, built upon the theory of planned behavior, examines the ability of attitude, social norms, perceived behavioral control, and proactive personality in predicting entrepreneurial intent of business students in Vietnam, a transitional economy. Using a cross-sectional data set from a sample of 396 business students, this study reveals that attitude and social norms toward entrepreneurship and proactive personality significantly influence the entrepreneurial intent of business students, whereas perceived behavioral control toward entrepreneurship does not. These findings suggest that if business students in Vietnam lack confidence in their ability to start new businesses, they should be trained/educated in developing soft-skills rather than focusing only on textbook knowledge.","author":[{"dropping-particle":"","family":"Phong","given":"Nguyen Dong","non-dropping-particle":"","parse-names":false,"suffix":""},{"dropping-particle":"","family":"Thao","given":"Nguyen Thuy Phuong","non-dropping-particle":"","parse-names":false,"suffix":""},{"dropping-particle":"","family":"Nguyen","given":"Nguyen Phong","non-dropping-particle":"","parse-names":false,"suffix":""}],"container-title":"Cogent Business and Management","id":"ITEM-5","issue":"1","issued":{"date-parts":[["2020"]]},"publisher":"Cogent","title":"Entrepreneurial intent of business students: Empirical evidence from a transitional economy","type":"article-journal","volume":"7"},"uris":["http://www.mendeley.com/documents/?uuid=9b697d63-d87c-4d9f-9234-3424f7d7b0b2"]},{"id":"ITEM-6","itemData":{"abstract":"Social responsibility of business and impact of business on society has got some immense importance during last decade. In this prospective, business students who are future leaders, entrepreneurs, managers, and employees-can play vital role in the development of better society. This study explored the ethical orientation of business student in Pakistan. It inspects whether dissimilarities in student's demographic and personal characteristics have any attitude regarding business ethics. Attitude towards business ethic questioner (ATBEQ) is adopted as a measurement scale. Sample size of 102 students was taken from management sciences department, The Islamia University of Bahawalpur, and descriptive statistics and t-test employed. The results showed that there are some differences in the attitude of male and female students. Female responded more positive attitude than male. It also reflected that level of study and knowledge about business ethics shape positive attitude for social and moral obligation. Study recommended that more practical and conceptual framework of knowledge and studies should be included in the curricula.","author":[{"dropping-particle":"","family":"Rizvi","given":"Shaheer","non-dropping-particle":"","parse-names":false,"suffix":""},{"dropping-particle":"","family":"Tanveer","given":"Muhammad Asif","non-dropping-particle":"","parse-names":false,"suffix":""},{"dropping-particle":"","family":"Saleem","given":"Umer","non-dropping-particle":"","parse-names":false,"suffix":""},{"dropping-particle":"","family":"Latif","given":"Moaaz","non-dropping-particle":"","parse-names":false,"suffix":""}],"container-title":"European Scientific Journal","id":"ITEM-6","issue":"25","issued":{"date-parts":[["2012"]]},"page":"178-188","title":"Business students' attitude toward business ethics in Pakistan","type":"article-journal","volume":"8"},"uris":["http://www.mendeley.com/documents/?uuid=8cf08d68-e9d8-46f5-97f1-00110b4e5484"]}],"mendeley":{"formattedCitation":"(Enoch, 2006; Enoch et al., 2010; Frangopol et al., 2017; Frangopol &amp; Soliman, 2016; Phong et al., 2020; Rizvi et al., 2012)","plainTextFormattedCitation":"(Enoch, 2006; Enoch et al., 2010; Frangopol et al., 2017; Frangopol &amp; Soliman, 2016; Phong et al., 2020; Rizvi et al., 2012)","previouslyFormattedCitation":"(Enoch, 2006; Enoch et al., 2010; Frangopol et al., 2017; Frangopol &amp; Soliman, 2016; Phong et al., 2020; Rizvi et al., 2012)"},"properties":{"noteIndex":0},"schema":"https://github.com/citation-style-language/schema/raw/master/csl-citation.json"}</w:instrText>
      </w:r>
      <w:r w:rsidR="00030D36">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(Enoch, 2006; Enoch et al., 2010; Frangopol et al., 2017; Frangopol &amp; Soliman, 2016; Phong et al., 2020; Rizvi et al., 2012)</w:t>
      </w:r>
      <w:r w:rsidR="00030D36">
        <w:rPr>
          <w:rFonts w:ascii="Times New Roman" w:hAnsi="Times New Roman" w:cs="Times New Roman"/>
          <w:sz w:val="24"/>
          <w:szCs w:val="24"/>
        </w:rPr>
        <w:fldChar w:fldCharType="end"/>
      </w:r>
      <w:r w:rsidR="008112B1">
        <w:rPr>
          <w:rFonts w:ascii="Times New Roman" w:hAnsi="Times New Roman" w:cs="Times New Roman"/>
          <w:sz w:val="24"/>
          <w:szCs w:val="24"/>
        </w:rPr>
        <w:t xml:space="preserve"> </w:t>
      </w:r>
      <w:r w:rsidR="00030D36">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{"citationItems":[{"id":"ITEM-1","itemData":{"author":[{"dropping-particle":"","family":"Ghorbani, S., Khodayari, A., &amp; Mohammadi","given":"S.","non-dropping-particle":"","parse-names":false,"suffix":""}],"container-title":"European Journal of Experimental Biology","id":"ITEM-1","issue":"1","issued":{"date-parts":[["2014"]]},"page":"321-326","title":"The relationship between managerial skills with organizational climate in managers and staff in national Olympic committee of Iran","type":"article-journal","volume":"4"},"uris":["http://www.mendeley.com/documents/?uuid=b4f9ad91-1205-409e-80a1-14e46ec7046c"]},{"id":"ITEM-2","itemData":{"DOI":"10.1088/1751-8113/44/8/085201","ISBN":"9788578110796","ISSN":"17518113","PMID":"25246403","abstract":"We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Ltd.","author":[{"dropping-particle":"","family":"Vinet","given":"Luc","non-dropping-particle":"","parse-names":false,"suffix":""},{"dropping-particle":"","family":"Zhedanov","given":"Alexei","non-dropping-particle":"","parse-names":false,"suffix":""}],"container-title":"Journal of Physics A: Mathematical and Theoretical","id":"ITEM-2","issue":"8","issued":{"date-parts":[["2011"]]},"page":"3-16","title":"A 'missing' family of classical orthogonal polynomials","type":"article-journal","volume":"44"},"uris":["http://www.mendeley.com/documents/?uuid=d9ac41ad-2d2b-4b07-acd3-8aa72514396d"]}],"mendeley":{"formattedCitation":"(Ghorbani, S., Khodayari, A., &amp; Mohammadi, 2014; Vinet &amp; Zhedanov, 2011)","plainTextFormattedCitation":"(Ghorbani, S., Khodayari, A., &amp; Mohammadi, 2014; Vinet &amp; Zhedanov, 2011)","previouslyFormattedCitation":"(Ghorbani, S., Khodayari, A., &amp; Mohammadi, 2014; Vinet &amp; Zhedanov, 2011)"},"properties":{"noteIndex":0},"schema":"https://github.com/citation-style-language/schema/raw/master/csl-citation.json"}</w:instrText>
      </w:r>
      <w:r w:rsidR="00030D36">
        <w:rPr>
          <w:rFonts w:ascii="Times New Roman" w:hAnsi="Times New Roman" w:cs="Times New Roman"/>
          <w:sz w:val="24"/>
          <w:szCs w:val="24"/>
        </w:rPr>
        <w:fldChar w:fldCharType="separate"/>
      </w:r>
      <w:proofErr w:type="gramStart"/>
      <w:r w:rsidR="00F16AC4" w:rsidRPr="00F16AC4">
        <w:rPr>
          <w:rFonts w:ascii="Times New Roman" w:hAnsi="Times New Roman" w:cs="Times New Roman"/>
          <w:noProof/>
          <w:sz w:val="24"/>
          <w:szCs w:val="24"/>
        </w:rPr>
        <w:t>(Ghorbani, S., Khodayari, A., &amp; Mohammadi, 2014; Vinet &amp; Zhedanov, 2011)</w:t>
      </w:r>
      <w:r w:rsidR="00030D36">
        <w:rPr>
          <w:rFonts w:ascii="Times New Roman" w:hAnsi="Times New Roman" w:cs="Times New Roman"/>
          <w:sz w:val="24"/>
          <w:szCs w:val="24"/>
        </w:rPr>
        <w:fldChar w:fldCharType="end"/>
      </w:r>
      <w:r w:rsidR="008112B1">
        <w:rPr>
          <w:rFonts w:ascii="Times New Roman" w:hAnsi="Times New Roman" w:cs="Times New Roman"/>
          <w:sz w:val="24"/>
          <w:szCs w:val="24"/>
        </w:rPr>
        <w:t>.</w:t>
      </w:r>
      <w:proofErr w:type="gramEnd"/>
    </w:p>
    <w:p w:rsidR="008112B1" w:rsidRPr="007037E1" w:rsidRDefault="008112B1" w:rsidP="00A01D49">
      <w:pPr>
        <w:autoSpaceDE w:val="0"/>
        <w:autoSpaceDN w:val="0"/>
        <w:adjustRightInd w:val="0"/>
        <w:spacing w:after="0" w:line="360" w:lineRule="auto"/>
        <w:jc w:val="both"/>
        <w:rPr>
          <w:rFonts w:ascii="Times New Roman" w:hAnsi="Times New Roman" w:cs="Times New Roman"/>
          <w:sz w:val="24"/>
          <w:szCs w:val="24"/>
        </w:rPr>
      </w:pPr>
    </w:p>
    <w:p w:rsidR="00A01D49" w:rsidRDefault="00084C08" w:rsidP="001F077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10</w:t>
      </w:r>
      <w:r w:rsidR="001F077F">
        <w:rPr>
          <w:rFonts w:ascii="Times New Roman" w:hAnsi="Times New Roman" w:cs="Times New Roman"/>
          <w:sz w:val="24"/>
          <w:szCs w:val="24"/>
        </w:rPr>
        <w:t>: Most Prolific author</w:t>
      </w:r>
    </w:p>
    <w:p w:rsidR="00B035DF" w:rsidRPr="00B035DF" w:rsidRDefault="008112B1" w:rsidP="008112B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7032" cy="5229225"/>
            <wp:effectExtent l="19050" t="0" r="3168" b="0"/>
            <wp:docPr id="9" name="Picture 4" descr="C:\Users\SAMSUNG\Pictures\Screenshots\Screenshot (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Pictures\Screenshots\Screenshot (505).png"/>
                    <pic:cNvPicPr>
                      <a:picLocks noChangeAspect="1" noChangeArrowheads="1"/>
                    </pic:cNvPicPr>
                  </pic:nvPicPr>
                  <pic:blipFill>
                    <a:blip r:embed="rId21"/>
                    <a:srcRect/>
                    <a:stretch>
                      <a:fillRect/>
                    </a:stretch>
                  </pic:blipFill>
                  <pic:spPr bwMode="auto">
                    <a:xfrm>
                      <a:off x="0" y="0"/>
                      <a:ext cx="5410200" cy="5232288"/>
                    </a:xfrm>
                    <a:prstGeom prst="rect">
                      <a:avLst/>
                    </a:prstGeom>
                    <a:noFill/>
                    <a:ln w="9525">
                      <a:noFill/>
                      <a:miter lim="800000"/>
                      <a:headEnd/>
                      <a:tailEnd/>
                    </a:ln>
                  </pic:spPr>
                </pic:pic>
              </a:graphicData>
            </a:graphic>
          </wp:inline>
        </w:drawing>
      </w:r>
    </w:p>
    <w:p w:rsidR="00A144B8" w:rsidRPr="00046421" w:rsidRDefault="00A144B8"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7037E1" w:rsidRDefault="0012669D" w:rsidP="007037E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4.6 </w:t>
      </w:r>
      <w:r w:rsidR="007037E1">
        <w:rPr>
          <w:rFonts w:ascii="Times New Roman" w:hAnsi="Times New Roman" w:cs="Times New Roman"/>
          <w:b/>
          <w:sz w:val="24"/>
          <w:szCs w:val="24"/>
        </w:rPr>
        <w:t>MOST PROLIFIC COUNTRIES:</w:t>
      </w:r>
    </w:p>
    <w:p w:rsidR="001F077F" w:rsidRDefault="0025429D" w:rsidP="007037E1">
      <w:pPr>
        <w:autoSpaceDE w:val="0"/>
        <w:autoSpaceDN w:val="0"/>
        <w:adjustRightInd w:val="0"/>
        <w:spacing w:after="0" w:line="360" w:lineRule="auto"/>
        <w:jc w:val="both"/>
        <w:rPr>
          <w:rFonts w:ascii="Times New Roman" w:hAnsi="Times New Roman" w:cs="Times New Roman"/>
          <w:color w:val="000000"/>
          <w:sz w:val="24"/>
          <w:szCs w:val="24"/>
        </w:rPr>
      </w:pPr>
      <w:r w:rsidRPr="0025429D">
        <w:rPr>
          <w:rFonts w:ascii="Times New Roman" w:hAnsi="Times New Roman" w:cs="Times New Roman"/>
          <w:color w:val="000000"/>
          <w:sz w:val="24"/>
          <w:szCs w:val="24"/>
        </w:rPr>
        <w:t>The comprehensive collection of studies is the combined effort of authors from over 55 diverse countries. The paper highlights the top twenty nations contributing significantly to research on risk resilience. Leading this list is the United States, contributing a noteworthy 41% of the total studies. Following suit, the United Kingdom and Canada each contribute 10% and 9% of the studies, respectively. Moreover, Australia and China each account for 7% and 5% of the studies, underscoring their substantial involvement within this domain.</w:t>
      </w:r>
    </w:p>
    <w:p w:rsidR="007037E1" w:rsidRDefault="00084C08" w:rsidP="001F077F">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11</w:t>
      </w:r>
      <w:r w:rsidR="001F077F">
        <w:rPr>
          <w:rFonts w:ascii="Times New Roman" w:hAnsi="Times New Roman" w:cs="Times New Roman"/>
          <w:color w:val="000000"/>
          <w:sz w:val="24"/>
          <w:szCs w:val="24"/>
        </w:rPr>
        <w:t>: Most Prolific Countries</w:t>
      </w:r>
    </w:p>
    <w:p w:rsidR="00B035DF" w:rsidRPr="00B035DF" w:rsidRDefault="00B035DF" w:rsidP="005E43A8">
      <w:pPr>
        <w:spacing w:line="360" w:lineRule="auto"/>
        <w:jc w:val="both"/>
        <w:rPr>
          <w:rFonts w:ascii="Times New Roman" w:hAnsi="Times New Roman" w:cs="Times New Roman"/>
          <w:sz w:val="24"/>
          <w:szCs w:val="24"/>
        </w:rPr>
      </w:pPr>
      <w:r w:rsidRPr="00B035DF">
        <w:rPr>
          <w:rFonts w:ascii="Times New Roman" w:hAnsi="Times New Roman" w:cs="Times New Roman"/>
          <w:noProof/>
          <w:sz w:val="24"/>
          <w:szCs w:val="24"/>
        </w:rPr>
        <w:drawing>
          <wp:inline distT="0" distB="0" distL="0" distR="0">
            <wp:extent cx="5487670" cy="6238875"/>
            <wp:effectExtent l="19050" t="0" r="1778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44B8" w:rsidRPr="00046421" w:rsidRDefault="00A144B8"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7037E1" w:rsidRDefault="0012669D" w:rsidP="007037E1">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4.7 </w:t>
      </w:r>
      <w:r w:rsidR="007037E1">
        <w:rPr>
          <w:rFonts w:ascii="Times New Roman" w:hAnsi="Times New Roman" w:cs="Times New Roman"/>
          <w:b/>
          <w:sz w:val="24"/>
          <w:szCs w:val="24"/>
        </w:rPr>
        <w:t xml:space="preserve">AFFLICTION OF AUTHORS </w:t>
      </w:r>
    </w:p>
    <w:p w:rsidR="007037E1" w:rsidRDefault="007037E1" w:rsidP="007037E1">
      <w:pPr>
        <w:spacing w:line="360" w:lineRule="auto"/>
        <w:jc w:val="both"/>
        <w:rPr>
          <w:rFonts w:ascii="Times New Roman" w:eastAsia="Times New Roman" w:hAnsi="Times New Roman" w:cs="Times New Roman"/>
          <w:color w:val="000000"/>
          <w:sz w:val="24"/>
          <w:szCs w:val="24"/>
          <w:lang w:val="en-US"/>
        </w:rPr>
      </w:pPr>
      <w:r>
        <w:rPr>
          <w:rFonts w:ascii="Times New Roman" w:hAnsi="Times New Roman" w:cs="Times New Roman"/>
          <w:sz w:val="24"/>
          <w:szCs w:val="24"/>
        </w:rPr>
        <w:t xml:space="preserve">The figure shows the affiliation of authors. It has been observed that maximum authors are afflicted to Lehigh </w:t>
      </w:r>
      <w:r>
        <w:rPr>
          <w:rFonts w:ascii="Times New Roman" w:eastAsia="Times New Roman" w:hAnsi="Times New Roman" w:cs="Times New Roman"/>
          <w:color w:val="000000"/>
          <w:sz w:val="24"/>
          <w:szCs w:val="24"/>
        </w:rPr>
        <w:t xml:space="preserve">University with 9 in numbers and secondly from </w:t>
      </w:r>
      <w:r w:rsidRPr="007037E1">
        <w:rPr>
          <w:rFonts w:ascii="Times New Roman" w:eastAsia="Times New Roman" w:hAnsi="Times New Roman" w:cs="Times New Roman"/>
          <w:color w:val="000000"/>
          <w:sz w:val="24"/>
          <w:szCs w:val="24"/>
          <w:lang w:val="en-US"/>
        </w:rPr>
        <w:t>Pennsylvania State</w:t>
      </w:r>
      <w:r>
        <w:rPr>
          <w:rFonts w:ascii="Times New Roman" w:eastAsia="Times New Roman" w:hAnsi="Times New Roman" w:cs="Times New Roman"/>
          <w:color w:val="000000"/>
          <w:sz w:val="24"/>
          <w:szCs w:val="24"/>
        </w:rPr>
        <w:t xml:space="preserve"> University, </w:t>
      </w:r>
      <w:r w:rsidR="00646B1D">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University of </w:t>
      </w:r>
      <w:r w:rsidRPr="007037E1">
        <w:rPr>
          <w:rFonts w:ascii="Times New Roman" w:eastAsia="Times New Roman" w:hAnsi="Times New Roman" w:cs="Times New Roman"/>
          <w:color w:val="000000"/>
          <w:sz w:val="24"/>
          <w:szCs w:val="24"/>
          <w:lang w:val="en-US"/>
        </w:rPr>
        <w:t>Pennsylvania</w:t>
      </w:r>
      <w:r>
        <w:rPr>
          <w:rFonts w:ascii="Times New Roman" w:eastAsia="Times New Roman" w:hAnsi="Times New Roman" w:cs="Times New Roman"/>
          <w:color w:val="000000"/>
          <w:sz w:val="24"/>
          <w:szCs w:val="24"/>
          <w:lang w:val="en-US"/>
        </w:rPr>
        <w:t xml:space="preserve"> and University of Toronto have 7 each.</w:t>
      </w:r>
    </w:p>
    <w:p w:rsidR="000566C0" w:rsidRPr="001F077F" w:rsidRDefault="00084C08" w:rsidP="001F077F">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12</w:t>
      </w:r>
      <w:r w:rsidR="001F077F">
        <w:rPr>
          <w:rFonts w:ascii="Times New Roman" w:eastAsia="Times New Roman" w:hAnsi="Times New Roman" w:cs="Times New Roman"/>
          <w:color w:val="000000"/>
          <w:sz w:val="24"/>
          <w:szCs w:val="24"/>
        </w:rPr>
        <w:t>: Affliction of authors</w:t>
      </w:r>
    </w:p>
    <w:p w:rsidR="005E43A8" w:rsidRPr="00B035DF" w:rsidRDefault="00B035DF" w:rsidP="005E43A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9751" cy="6313251"/>
            <wp:effectExtent l="19050" t="0" r="15699"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44B8" w:rsidRPr="00046421" w:rsidRDefault="00A144B8"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5E43A8" w:rsidRPr="00B035DF" w:rsidRDefault="005E43A8" w:rsidP="005E43A8">
      <w:pPr>
        <w:autoSpaceDE w:val="0"/>
        <w:autoSpaceDN w:val="0"/>
        <w:adjustRightInd w:val="0"/>
        <w:spacing w:after="0" w:line="360" w:lineRule="auto"/>
        <w:rPr>
          <w:rFonts w:ascii="Times New Roman" w:hAnsi="Times New Roman" w:cs="Times New Roman"/>
          <w:color w:val="000000"/>
          <w:sz w:val="24"/>
          <w:szCs w:val="24"/>
        </w:rPr>
      </w:pPr>
    </w:p>
    <w:p w:rsidR="005C0F50" w:rsidRPr="004D4FAA" w:rsidRDefault="0012669D" w:rsidP="005C0F5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4.8 </w:t>
      </w:r>
      <w:r w:rsidR="005C0F50" w:rsidRPr="004D4FAA">
        <w:rPr>
          <w:rFonts w:ascii="Times New Roman" w:hAnsi="Times New Roman" w:cs="Times New Roman"/>
          <w:b/>
          <w:sz w:val="24"/>
          <w:szCs w:val="24"/>
        </w:rPr>
        <w:t>CO-AUTHORSHIP NETWORK MAPPING:</w:t>
      </w:r>
    </w:p>
    <w:p w:rsidR="005C0F50" w:rsidRDefault="005C0F50" w:rsidP="005C0F5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The figure </w:t>
      </w:r>
      <w:r w:rsidRPr="004D4FAA">
        <w:rPr>
          <w:rFonts w:ascii="Times New Roman" w:hAnsi="Times New Roman" w:cs="Times New Roman"/>
          <w:sz w:val="24"/>
          <w:szCs w:val="24"/>
        </w:rPr>
        <w:t>shows the co-authorship network map generated by the VOS</w:t>
      </w:r>
      <w:r w:rsidR="001F077F">
        <w:rPr>
          <w:rFonts w:ascii="Times New Roman" w:hAnsi="Times New Roman" w:cs="Times New Roman"/>
          <w:sz w:val="24"/>
          <w:szCs w:val="24"/>
        </w:rPr>
        <w:t xml:space="preserve"> </w:t>
      </w:r>
      <w:r w:rsidRPr="004D4FAA">
        <w:rPr>
          <w:rFonts w:ascii="Times New Roman" w:hAnsi="Times New Roman" w:cs="Times New Roman"/>
          <w:sz w:val="24"/>
          <w:szCs w:val="24"/>
        </w:rPr>
        <w:t>viewer software.</w:t>
      </w:r>
      <w:r w:rsidR="001F077F">
        <w:rPr>
          <w:rFonts w:ascii="Times New Roman" w:hAnsi="Times New Roman" w:cs="Times New Roman"/>
          <w:sz w:val="24"/>
          <w:szCs w:val="24"/>
        </w:rPr>
        <w:t xml:space="preserve"> </w:t>
      </w:r>
      <w:r w:rsidRPr="004D4FAA">
        <w:rPr>
          <w:rFonts w:ascii="Times New Roman" w:hAnsi="Times New Roman" w:cs="Times New Roman"/>
          <w:sz w:val="24"/>
          <w:szCs w:val="24"/>
        </w:rPr>
        <w:t>The figure consists of big and small circles connected with several lines. Those</w:t>
      </w:r>
      <w:r w:rsidR="00B84FB1">
        <w:rPr>
          <w:rFonts w:ascii="Times New Roman" w:hAnsi="Times New Roman" w:cs="Times New Roman"/>
          <w:sz w:val="24"/>
          <w:szCs w:val="24"/>
        </w:rPr>
        <w:t xml:space="preserve"> </w:t>
      </w:r>
      <w:r w:rsidRPr="004D4FAA">
        <w:rPr>
          <w:rFonts w:ascii="Times New Roman" w:hAnsi="Times New Roman" w:cs="Times New Roman"/>
          <w:sz w:val="24"/>
          <w:szCs w:val="24"/>
        </w:rPr>
        <w:t>authors who have co-authored with more authors are assigned bigger circles and</w:t>
      </w:r>
      <w:r w:rsidR="00B84FB1">
        <w:rPr>
          <w:rFonts w:ascii="Times New Roman" w:hAnsi="Times New Roman" w:cs="Times New Roman"/>
          <w:sz w:val="24"/>
          <w:szCs w:val="24"/>
        </w:rPr>
        <w:t xml:space="preserve"> </w:t>
      </w:r>
      <w:r w:rsidRPr="004D4FAA">
        <w:rPr>
          <w:rFonts w:ascii="Times New Roman" w:hAnsi="Times New Roman" w:cs="Times New Roman"/>
          <w:color w:val="000000"/>
          <w:sz w:val="24"/>
          <w:szCs w:val="24"/>
        </w:rPr>
        <w:t>labels. Th</w:t>
      </w:r>
      <w:r>
        <w:rPr>
          <w:rFonts w:ascii="Times New Roman" w:hAnsi="Times New Roman" w:cs="Times New Roman"/>
          <w:color w:val="000000"/>
          <w:sz w:val="24"/>
          <w:szCs w:val="24"/>
        </w:rPr>
        <w:t>e figure</w:t>
      </w:r>
      <w:r w:rsidR="001F07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shows the names of the top 29</w:t>
      </w:r>
      <w:r w:rsidRPr="004D4FAA">
        <w:rPr>
          <w:rFonts w:ascii="Times New Roman" w:hAnsi="Times New Roman" w:cs="Times New Roman"/>
          <w:color w:val="000000"/>
          <w:sz w:val="24"/>
          <w:szCs w:val="24"/>
        </w:rPr>
        <w:t xml:space="preserve"> authors, who have co-authored with the</w:t>
      </w:r>
      <w:r w:rsidR="001F077F">
        <w:rPr>
          <w:rFonts w:ascii="Times New Roman" w:hAnsi="Times New Roman" w:cs="Times New Roman"/>
          <w:color w:val="000000"/>
          <w:sz w:val="24"/>
          <w:szCs w:val="24"/>
        </w:rPr>
        <w:t xml:space="preserve"> </w:t>
      </w:r>
      <w:r w:rsidRPr="004D4FAA">
        <w:rPr>
          <w:rFonts w:ascii="Times New Roman" w:hAnsi="Times New Roman" w:cs="Times New Roman"/>
          <w:color w:val="000000"/>
          <w:sz w:val="24"/>
          <w:szCs w:val="24"/>
        </w:rPr>
        <w:t>maximum number of other authors in the data set.</w:t>
      </w:r>
    </w:p>
    <w:p w:rsidR="001F077F" w:rsidRDefault="00084C08" w:rsidP="001F077F">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13</w:t>
      </w:r>
      <w:r w:rsidR="001F077F">
        <w:rPr>
          <w:rFonts w:ascii="Times New Roman" w:hAnsi="Times New Roman" w:cs="Times New Roman"/>
          <w:color w:val="000000"/>
          <w:sz w:val="24"/>
          <w:szCs w:val="24"/>
        </w:rPr>
        <w:t>: Co-authorship Network Mapping</w:t>
      </w:r>
    </w:p>
    <w:p w:rsidR="00FA33BC" w:rsidRDefault="00FA33BC" w:rsidP="00735A5D">
      <w:pPr>
        <w:autoSpaceDE w:val="0"/>
        <w:autoSpaceDN w:val="0"/>
        <w:adjustRightInd w:val="0"/>
        <w:spacing w:after="0" w:line="360" w:lineRule="auto"/>
        <w:rPr>
          <w:rFonts w:ascii="Times New Roman" w:hAnsi="Times New Roman" w:cs="Times New Roman"/>
          <w:b/>
          <w:sz w:val="28"/>
          <w:szCs w:val="24"/>
        </w:rPr>
      </w:pPr>
    </w:p>
    <w:p w:rsidR="00FA33BC" w:rsidRDefault="005C0F50" w:rsidP="00735A5D">
      <w:pPr>
        <w:autoSpaceDE w:val="0"/>
        <w:autoSpaceDN w:val="0"/>
        <w:adjustRightInd w:val="0"/>
        <w:spacing w:after="0" w:line="360" w:lineRule="auto"/>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extent cx="5914822" cy="4141226"/>
            <wp:effectExtent l="19050" t="0" r="0" b="0"/>
            <wp:docPr id="13" name="Picture 2" descr="C:\Users\SAMSUNG\Pictures\Screenshots\Screenshot (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Screenshots\Screenshot (293).png"/>
                    <pic:cNvPicPr>
                      <a:picLocks noChangeAspect="1" noChangeArrowheads="1"/>
                    </pic:cNvPicPr>
                  </pic:nvPicPr>
                  <pic:blipFill>
                    <a:blip r:embed="rId24"/>
                    <a:srcRect/>
                    <a:stretch>
                      <a:fillRect/>
                    </a:stretch>
                  </pic:blipFill>
                  <pic:spPr bwMode="auto">
                    <a:xfrm>
                      <a:off x="0" y="0"/>
                      <a:ext cx="5922948" cy="4146915"/>
                    </a:xfrm>
                    <a:prstGeom prst="rect">
                      <a:avLst/>
                    </a:prstGeom>
                    <a:noFill/>
                    <a:ln w="9525">
                      <a:noFill/>
                      <a:miter lim="800000"/>
                      <a:headEnd/>
                      <a:tailEnd/>
                    </a:ln>
                  </pic:spPr>
                </pic:pic>
              </a:graphicData>
            </a:graphic>
          </wp:inline>
        </w:drawing>
      </w:r>
    </w:p>
    <w:p w:rsidR="005C0F50" w:rsidRPr="001F077F" w:rsidRDefault="001F077F" w:rsidP="001F077F">
      <w:pPr>
        <w:autoSpaceDE w:val="0"/>
        <w:autoSpaceDN w:val="0"/>
        <w:adjustRightInd w:val="0"/>
        <w:spacing w:after="0" w:line="360" w:lineRule="auto"/>
        <w:jc w:val="center"/>
        <w:rPr>
          <w:rFonts w:ascii="Times New Roman" w:hAnsi="Times New Roman" w:cs="Times New Roman"/>
          <w:i/>
          <w:sz w:val="24"/>
          <w:szCs w:val="24"/>
        </w:rPr>
      </w:pPr>
      <w:r w:rsidRPr="001F077F">
        <w:rPr>
          <w:rFonts w:ascii="Times New Roman" w:hAnsi="Times New Roman" w:cs="Times New Roman"/>
          <w:i/>
          <w:sz w:val="24"/>
          <w:szCs w:val="24"/>
        </w:rPr>
        <w:t>(Source: VOS viewer)</w:t>
      </w:r>
    </w:p>
    <w:p w:rsidR="005C0F50" w:rsidRDefault="005C0F50" w:rsidP="00735A5D">
      <w:pPr>
        <w:autoSpaceDE w:val="0"/>
        <w:autoSpaceDN w:val="0"/>
        <w:adjustRightInd w:val="0"/>
        <w:spacing w:after="0" w:line="360" w:lineRule="auto"/>
        <w:rPr>
          <w:rFonts w:ascii="Times New Roman" w:hAnsi="Times New Roman" w:cs="Times New Roman"/>
          <w:b/>
          <w:sz w:val="28"/>
          <w:szCs w:val="24"/>
        </w:rPr>
      </w:pPr>
    </w:p>
    <w:p w:rsidR="005C0F50" w:rsidRPr="0012669D" w:rsidRDefault="005C0F50" w:rsidP="00735A5D">
      <w:pPr>
        <w:autoSpaceDE w:val="0"/>
        <w:autoSpaceDN w:val="0"/>
        <w:adjustRightInd w:val="0"/>
        <w:spacing w:after="0" w:line="360" w:lineRule="auto"/>
        <w:rPr>
          <w:rFonts w:ascii="Times New Roman" w:hAnsi="Times New Roman" w:cs="Times New Roman"/>
          <w:b/>
          <w:sz w:val="28"/>
          <w:szCs w:val="24"/>
        </w:rPr>
      </w:pPr>
      <w:r w:rsidRPr="0012669D">
        <w:rPr>
          <w:rFonts w:ascii="Times New Roman" w:hAnsi="Times New Roman" w:cs="Times New Roman"/>
          <w:b/>
          <w:sz w:val="28"/>
          <w:szCs w:val="24"/>
        </w:rPr>
        <w:t>CONCLUSION:</w:t>
      </w:r>
    </w:p>
    <w:p w:rsidR="005C0F50" w:rsidRPr="005C0F50" w:rsidRDefault="005C0F50" w:rsidP="00735A5D">
      <w:pPr>
        <w:autoSpaceDE w:val="0"/>
        <w:autoSpaceDN w:val="0"/>
        <w:adjustRightInd w:val="0"/>
        <w:spacing w:after="0" w:line="360" w:lineRule="auto"/>
        <w:rPr>
          <w:rFonts w:ascii="Times New Roman" w:hAnsi="Times New Roman" w:cs="Times New Roman"/>
          <w:sz w:val="24"/>
          <w:szCs w:val="24"/>
        </w:rPr>
      </w:pPr>
    </w:p>
    <w:p w:rsidR="00646B1D" w:rsidRDefault="00152C5C" w:rsidP="00646B1D">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sz w:val="24"/>
          <w:szCs w:val="24"/>
        </w:rPr>
        <w:t xml:space="preserve">A </w:t>
      </w:r>
      <w:proofErr w:type="spellStart"/>
      <w:r w:rsidRPr="00B035DF">
        <w:rPr>
          <w:rFonts w:ascii="Times New Roman" w:hAnsi="Times New Roman" w:cs="Times New Roman"/>
          <w:sz w:val="24"/>
          <w:szCs w:val="24"/>
        </w:rPr>
        <w:t>bibliometric</w:t>
      </w:r>
      <w:proofErr w:type="spellEnd"/>
      <w:r w:rsidRPr="00B035DF">
        <w:rPr>
          <w:rFonts w:ascii="Times New Roman" w:hAnsi="Times New Roman" w:cs="Times New Roman"/>
          <w:sz w:val="24"/>
          <w:szCs w:val="24"/>
        </w:rPr>
        <w:t xml:space="preserve"> analysis is carried out in this study </w:t>
      </w:r>
      <w:r w:rsidR="00646B1D">
        <w:rPr>
          <w:rFonts w:ascii="Times New Roman" w:hAnsi="Times New Roman" w:cs="Times New Roman"/>
          <w:sz w:val="24"/>
          <w:szCs w:val="24"/>
        </w:rPr>
        <w:t>to analyze</w:t>
      </w:r>
      <w:r w:rsidRPr="00B035DF">
        <w:rPr>
          <w:rFonts w:ascii="Times New Roman" w:hAnsi="Times New Roman" w:cs="Times New Roman"/>
          <w:sz w:val="24"/>
          <w:szCs w:val="24"/>
        </w:rPr>
        <w:t xml:space="preserve"> the research on entrepreneurial competencies from the year 2000 to 2021.</w:t>
      </w:r>
      <w:r w:rsidR="00646B1D">
        <w:rPr>
          <w:rFonts w:ascii="Times New Roman" w:hAnsi="Times New Roman" w:cs="Times New Roman"/>
          <w:sz w:val="24"/>
          <w:szCs w:val="24"/>
        </w:rPr>
        <w:t xml:space="preserve"> The maximum </w:t>
      </w:r>
      <w:r w:rsidR="00F16AC4">
        <w:rPr>
          <w:rFonts w:ascii="Times New Roman" w:hAnsi="Times New Roman" w:cs="Times New Roman"/>
          <w:sz w:val="24"/>
          <w:szCs w:val="24"/>
        </w:rPr>
        <w:t xml:space="preserve">number of </w:t>
      </w:r>
      <w:r w:rsidR="00B84FB1">
        <w:rPr>
          <w:rFonts w:ascii="Times New Roman" w:hAnsi="Times New Roman" w:cs="Times New Roman"/>
          <w:sz w:val="24"/>
          <w:szCs w:val="24"/>
        </w:rPr>
        <w:t>studies</w:t>
      </w:r>
      <w:r w:rsidR="00F16AC4">
        <w:rPr>
          <w:rFonts w:ascii="Times New Roman" w:hAnsi="Times New Roman" w:cs="Times New Roman"/>
          <w:sz w:val="24"/>
          <w:szCs w:val="24"/>
        </w:rPr>
        <w:t xml:space="preserve"> related to Entrepreneurial competencies is</w:t>
      </w:r>
      <w:r w:rsidR="00646B1D">
        <w:rPr>
          <w:rFonts w:ascii="Times New Roman" w:hAnsi="Times New Roman" w:cs="Times New Roman"/>
          <w:sz w:val="24"/>
          <w:szCs w:val="24"/>
        </w:rPr>
        <w:t xml:space="preserve"> in education and training with 12 </w:t>
      </w:r>
      <w:r w:rsidR="00B84FB1">
        <w:rPr>
          <w:rFonts w:ascii="Times New Roman" w:hAnsi="Times New Roman" w:cs="Times New Roman"/>
          <w:sz w:val="24"/>
          <w:szCs w:val="24"/>
        </w:rPr>
        <w:t>studies</w:t>
      </w:r>
      <w:r w:rsidR="00646B1D">
        <w:rPr>
          <w:rFonts w:ascii="Times New Roman" w:hAnsi="Times New Roman" w:cs="Times New Roman"/>
          <w:sz w:val="24"/>
          <w:szCs w:val="24"/>
        </w:rPr>
        <w:t xml:space="preserve">. A maximum paper on entrepreneurial competencies has been published in 2019. Maximum </w:t>
      </w:r>
      <w:r w:rsidR="00B84FB1">
        <w:rPr>
          <w:rFonts w:ascii="Times New Roman" w:hAnsi="Times New Roman" w:cs="Times New Roman"/>
          <w:sz w:val="24"/>
          <w:szCs w:val="24"/>
        </w:rPr>
        <w:t>studies</w:t>
      </w:r>
      <w:r w:rsidR="00646B1D">
        <w:rPr>
          <w:rFonts w:ascii="Times New Roman" w:hAnsi="Times New Roman" w:cs="Times New Roman"/>
          <w:sz w:val="24"/>
          <w:szCs w:val="24"/>
        </w:rPr>
        <w:t xml:space="preserve"> on risk </w:t>
      </w:r>
      <w:r w:rsidR="00646B1D">
        <w:rPr>
          <w:rFonts w:ascii="Times New Roman" w:hAnsi="Times New Roman" w:cs="Times New Roman"/>
          <w:sz w:val="24"/>
          <w:szCs w:val="24"/>
        </w:rPr>
        <w:lastRenderedPageBreak/>
        <w:t xml:space="preserve">resilience have been published in 2020 with 48 </w:t>
      </w:r>
      <w:r w:rsidR="00B84FB1">
        <w:rPr>
          <w:rFonts w:ascii="Times New Roman" w:hAnsi="Times New Roman" w:cs="Times New Roman"/>
          <w:sz w:val="24"/>
          <w:szCs w:val="24"/>
        </w:rPr>
        <w:t>studies</w:t>
      </w:r>
      <w:r w:rsidR="00646B1D">
        <w:rPr>
          <w:rFonts w:ascii="Times New Roman" w:hAnsi="Times New Roman" w:cs="Times New Roman"/>
          <w:sz w:val="24"/>
          <w:szCs w:val="24"/>
        </w:rPr>
        <w:t xml:space="preserve"> and maximum were published in the US.</w:t>
      </w:r>
    </w:p>
    <w:p w:rsidR="00646B1D" w:rsidRDefault="00646B1D" w:rsidP="00646B1D">
      <w:pPr>
        <w:autoSpaceDE w:val="0"/>
        <w:autoSpaceDN w:val="0"/>
        <w:adjustRightInd w:val="0"/>
        <w:spacing w:after="0" w:line="360" w:lineRule="auto"/>
        <w:jc w:val="both"/>
        <w:rPr>
          <w:rFonts w:ascii="Times New Roman" w:hAnsi="Times New Roman" w:cs="Times New Roman"/>
          <w:sz w:val="24"/>
          <w:szCs w:val="24"/>
        </w:rPr>
      </w:pPr>
    </w:p>
    <w:p w:rsidR="00646B1D" w:rsidRPr="0012669D" w:rsidRDefault="00F16AC4" w:rsidP="00646B1D">
      <w:pPr>
        <w:autoSpaceDE w:val="0"/>
        <w:autoSpaceDN w:val="0"/>
        <w:adjustRightInd w:val="0"/>
        <w:spacing w:after="0" w:line="360" w:lineRule="auto"/>
        <w:jc w:val="both"/>
        <w:rPr>
          <w:rFonts w:ascii="Times New Roman" w:hAnsi="Times New Roman" w:cs="Times New Roman"/>
          <w:b/>
          <w:sz w:val="28"/>
          <w:szCs w:val="24"/>
        </w:rPr>
      </w:pPr>
      <w:r w:rsidRPr="0012669D">
        <w:rPr>
          <w:rFonts w:ascii="Times New Roman" w:hAnsi="Times New Roman" w:cs="Times New Roman"/>
          <w:b/>
          <w:sz w:val="28"/>
          <w:szCs w:val="24"/>
        </w:rPr>
        <w:t>REFERENCES:</w:t>
      </w:r>
    </w:p>
    <w:p w:rsidR="00F16AC4" w:rsidRPr="00F16AC4" w:rsidRDefault="00F16AC4" w:rsidP="00646B1D">
      <w:pPr>
        <w:autoSpaceDE w:val="0"/>
        <w:autoSpaceDN w:val="0"/>
        <w:adjustRightInd w:val="0"/>
        <w:spacing w:after="0" w:line="360" w:lineRule="auto"/>
        <w:jc w:val="both"/>
        <w:rPr>
          <w:rFonts w:ascii="Times New Roman" w:hAnsi="Times New Roman" w:cs="Times New Roman"/>
          <w:b/>
          <w:sz w:val="24"/>
          <w:szCs w:val="24"/>
        </w:rPr>
      </w:pPr>
    </w:p>
    <w:p w:rsidR="00F16AC4" w:rsidRPr="00F16AC4" w:rsidRDefault="00030D36"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F16AC4">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 xml:space="preserve">Al Mamun, A., &amp; Fazal, S. A. (2018). Effect of entrepreneurial orientation on competency and micro-enterprise performance. </w:t>
      </w:r>
      <w:r w:rsidR="00F16AC4" w:rsidRPr="00F16AC4">
        <w:rPr>
          <w:rFonts w:ascii="Times New Roman" w:hAnsi="Times New Roman" w:cs="Times New Roman"/>
          <w:i/>
          <w:iCs/>
          <w:noProof/>
          <w:sz w:val="24"/>
          <w:szCs w:val="24"/>
        </w:rPr>
        <w:t>Asia Pacific Journal of Innovation and Entrepreneurship</w:t>
      </w:r>
      <w:r w:rsidR="00F16AC4" w:rsidRPr="00F16AC4">
        <w:rPr>
          <w:rFonts w:ascii="Times New Roman" w:hAnsi="Times New Roman" w:cs="Times New Roman"/>
          <w:noProof/>
          <w:sz w:val="24"/>
          <w:szCs w:val="24"/>
        </w:rPr>
        <w:t xml:space="preserve">, </w:t>
      </w:r>
      <w:r w:rsidR="00F16AC4" w:rsidRPr="00F16AC4">
        <w:rPr>
          <w:rFonts w:ascii="Times New Roman" w:hAnsi="Times New Roman" w:cs="Times New Roman"/>
          <w:i/>
          <w:iCs/>
          <w:noProof/>
          <w:sz w:val="24"/>
          <w:szCs w:val="24"/>
        </w:rPr>
        <w:t>12</w:t>
      </w:r>
      <w:r w:rsidR="00F16AC4" w:rsidRPr="00F16AC4">
        <w:rPr>
          <w:rFonts w:ascii="Times New Roman" w:hAnsi="Times New Roman" w:cs="Times New Roman"/>
          <w:noProof/>
          <w:sz w:val="24"/>
          <w:szCs w:val="24"/>
        </w:rPr>
        <w:t>(3), 379–398. https://doi.org/10.1108/apjie-05-2018-0033</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Belsky, J., &amp; Pluess, M. (2013). Beyond risk, resilience, and dysregulation: Phenotypic plasticity and human development. </w:t>
      </w:r>
      <w:r w:rsidRPr="00F16AC4">
        <w:rPr>
          <w:rFonts w:ascii="Times New Roman" w:hAnsi="Times New Roman" w:cs="Times New Roman"/>
          <w:i/>
          <w:iCs/>
          <w:noProof/>
          <w:sz w:val="24"/>
          <w:szCs w:val="24"/>
        </w:rPr>
        <w:t>Development and Psychopathology</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25</w:t>
      </w:r>
      <w:r w:rsidRPr="00F16AC4">
        <w:rPr>
          <w:rFonts w:ascii="Times New Roman" w:hAnsi="Times New Roman" w:cs="Times New Roman"/>
          <w:noProof/>
          <w:sz w:val="24"/>
          <w:szCs w:val="24"/>
        </w:rPr>
        <w:t>(4 PART 2), 1243–1261. https://doi.org/10.1017/S095457941300059X</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Bhardwaj, A. (2016). Assessing planning and administration competency of working managers: A preliminary study. </w:t>
      </w:r>
      <w:r w:rsidRPr="00F16AC4">
        <w:rPr>
          <w:rFonts w:ascii="Times New Roman" w:hAnsi="Times New Roman" w:cs="Times New Roman"/>
          <w:i/>
          <w:iCs/>
          <w:noProof/>
          <w:sz w:val="24"/>
          <w:szCs w:val="24"/>
        </w:rPr>
        <w:t>International Journal of Advanced Research in Management and Social Sciences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5</w:t>
      </w:r>
      <w:r w:rsidRPr="00F16AC4">
        <w:rPr>
          <w:rFonts w:ascii="Times New Roman" w:hAnsi="Times New Roman" w:cs="Times New Roman"/>
          <w:noProof/>
          <w:sz w:val="24"/>
          <w:szCs w:val="24"/>
        </w:rPr>
        <w:t>(7), 46–56.</w:t>
      </w:r>
      <w:r w:rsidR="0012669D">
        <w:rPr>
          <w:rFonts w:ascii="Times New Roman" w:hAnsi="Times New Roman" w:cs="Times New Roman"/>
          <w:noProof/>
          <w:sz w:val="24"/>
          <w:szCs w:val="24"/>
        </w:rPr>
        <w:t xml:space="preserve"> </w:t>
      </w:r>
      <w:r w:rsidR="0012669D" w:rsidRPr="0012669D">
        <w:rPr>
          <w:rFonts w:ascii="Times New Roman" w:hAnsi="Times New Roman" w:cs="Times New Roman"/>
          <w:noProof/>
          <w:sz w:val="24"/>
          <w:szCs w:val="24"/>
        </w:rPr>
        <w:t>https://www.indianjournals.com/ijor.aspx?target=ijor:ijarmss&amp;volume=5&amp;issue=7&amp;article=006</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Bloemer, J., Pluymaekers, M., &amp; Odekerken, A. (2013). Trust and affective commitment as energizing forces for export performance. </w:t>
      </w:r>
      <w:r w:rsidRPr="00F16AC4">
        <w:rPr>
          <w:rFonts w:ascii="Times New Roman" w:hAnsi="Times New Roman" w:cs="Times New Roman"/>
          <w:i/>
          <w:iCs/>
          <w:noProof/>
          <w:sz w:val="24"/>
          <w:szCs w:val="24"/>
        </w:rPr>
        <w:t>International Business Review</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22</w:t>
      </w:r>
      <w:r w:rsidRPr="00F16AC4">
        <w:rPr>
          <w:rFonts w:ascii="Times New Roman" w:hAnsi="Times New Roman" w:cs="Times New Roman"/>
          <w:noProof/>
          <w:sz w:val="24"/>
          <w:szCs w:val="24"/>
        </w:rPr>
        <w:t>(2), 363–380. https://doi.org/10.1016/j.ibusrev.2012.05.002</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Botha, M., Carruthers, T. J., &amp; Venter, M. W. (2019). The relationship between entrepreneurial competencies and the recurring entrepreneurial intention and action of existing entrepreneurs. </w:t>
      </w:r>
      <w:r w:rsidRPr="00F16AC4">
        <w:rPr>
          <w:rFonts w:ascii="Times New Roman" w:hAnsi="Times New Roman" w:cs="Times New Roman"/>
          <w:i/>
          <w:iCs/>
          <w:noProof/>
          <w:sz w:val="24"/>
          <w:szCs w:val="24"/>
        </w:rPr>
        <w:t>The Southern African Journal of Entrepreneurship and Small Business Management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11</w:t>
      </w:r>
      <w:r w:rsidRPr="00F16AC4">
        <w:rPr>
          <w:rFonts w:ascii="Times New Roman" w:hAnsi="Times New Roman" w:cs="Times New Roman"/>
          <w:noProof/>
          <w:sz w:val="24"/>
          <w:szCs w:val="24"/>
        </w:rPr>
        <w:t>(1), 1–15. https://doi.org/10.4102/sajesbm.v11i1.191</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Botha, M., &amp; Taljaard, A. (2019). The bidirectional relationship between entrepreneurial intention and entrepreneurial competencies for nascent and existing entrepreneurs. </w:t>
      </w:r>
      <w:r w:rsidRPr="00F16AC4">
        <w:rPr>
          <w:rFonts w:ascii="Times New Roman" w:hAnsi="Times New Roman" w:cs="Times New Roman"/>
          <w:i/>
          <w:iCs/>
          <w:noProof/>
          <w:sz w:val="24"/>
          <w:szCs w:val="24"/>
        </w:rPr>
        <w:t>South African Journal of Economic and Management Sciences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22</w:t>
      </w:r>
      <w:r w:rsidRPr="00F16AC4">
        <w:rPr>
          <w:rFonts w:ascii="Times New Roman" w:hAnsi="Times New Roman" w:cs="Times New Roman"/>
          <w:noProof/>
          <w:sz w:val="24"/>
          <w:szCs w:val="24"/>
        </w:rPr>
        <w:t>(1), 1–12. https://doi.org/10.4102/sajems.v22i1.2230</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Cortellazzo, L., Bonesso, S., &amp; Gerli, F. (2020). Entrepreneurs’ behavioural competencies for internationalisation: Exploratory insights from the Italian context. </w:t>
      </w:r>
      <w:r w:rsidRPr="00F16AC4">
        <w:rPr>
          <w:rFonts w:ascii="Times New Roman" w:hAnsi="Times New Roman" w:cs="Times New Roman"/>
          <w:i/>
          <w:iCs/>
          <w:noProof/>
          <w:sz w:val="24"/>
          <w:szCs w:val="24"/>
        </w:rPr>
        <w:t>International Journal of Entrepreneurial Behaviour and Research</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26</w:t>
      </w:r>
      <w:r w:rsidRPr="00F16AC4">
        <w:rPr>
          <w:rFonts w:ascii="Times New Roman" w:hAnsi="Times New Roman" w:cs="Times New Roman"/>
          <w:noProof/>
          <w:sz w:val="24"/>
          <w:szCs w:val="24"/>
        </w:rPr>
        <w:t>(4), 723–747. https://doi.org/10.1108/IJEBR-12-2018-0806</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Enoch, M. A. (2006). Genetic and environmental influences on the development of alcoholism: Resilience vs. risk. </w:t>
      </w:r>
      <w:r w:rsidRPr="00F16AC4">
        <w:rPr>
          <w:rFonts w:ascii="Times New Roman" w:hAnsi="Times New Roman" w:cs="Times New Roman"/>
          <w:i/>
          <w:iCs/>
          <w:noProof/>
          <w:sz w:val="24"/>
          <w:szCs w:val="24"/>
        </w:rPr>
        <w:t>Annals of the New York Academy of Sciences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1094</w:t>
      </w:r>
      <w:r w:rsidRPr="00F16AC4">
        <w:rPr>
          <w:rFonts w:ascii="Times New Roman" w:hAnsi="Times New Roman" w:cs="Times New Roman"/>
          <w:noProof/>
          <w:sz w:val="24"/>
          <w:szCs w:val="24"/>
        </w:rPr>
        <w:t xml:space="preserve">, </w:t>
      </w:r>
      <w:r w:rsidRPr="00F16AC4">
        <w:rPr>
          <w:rFonts w:ascii="Times New Roman" w:hAnsi="Times New Roman" w:cs="Times New Roman"/>
          <w:noProof/>
          <w:sz w:val="24"/>
          <w:szCs w:val="24"/>
        </w:rPr>
        <w:lastRenderedPageBreak/>
        <w:t>193–201. https://doi.org/10.1196/annals.1376.019</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Enoch, M. A. (2012). The influence of gene-environment interactions on the development of alcoholism and drug dependence. </w:t>
      </w:r>
      <w:r w:rsidRPr="00F16AC4">
        <w:rPr>
          <w:rFonts w:ascii="Times New Roman" w:hAnsi="Times New Roman" w:cs="Times New Roman"/>
          <w:i/>
          <w:iCs/>
          <w:noProof/>
          <w:sz w:val="24"/>
          <w:szCs w:val="24"/>
        </w:rPr>
        <w:t>Current Psychiatry Reports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14</w:t>
      </w:r>
      <w:r w:rsidRPr="00F16AC4">
        <w:rPr>
          <w:rFonts w:ascii="Times New Roman" w:hAnsi="Times New Roman" w:cs="Times New Roman"/>
          <w:noProof/>
          <w:sz w:val="24"/>
          <w:szCs w:val="24"/>
        </w:rPr>
        <w:t>(2), 150–158. https://doi.org/10.1007/s11920-011-0252-9</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Enoch, M. A., Hodgkinson, C. A., Yuan, Q., Shen, P. H., Goldman, D., &amp; Roy, A. (2010). The Influence of GABRA2, Childhood Trauma, and Their Interaction on Alcohol, Heroin, and Cocaine Dependence. </w:t>
      </w:r>
      <w:r w:rsidRPr="00F16AC4">
        <w:rPr>
          <w:rFonts w:ascii="Times New Roman" w:hAnsi="Times New Roman" w:cs="Times New Roman"/>
          <w:i/>
          <w:iCs/>
          <w:noProof/>
          <w:sz w:val="24"/>
          <w:szCs w:val="24"/>
        </w:rPr>
        <w:t>Biological Psychiatry</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67</w:t>
      </w:r>
      <w:r w:rsidRPr="00F16AC4">
        <w:rPr>
          <w:rFonts w:ascii="Times New Roman" w:hAnsi="Times New Roman" w:cs="Times New Roman"/>
          <w:noProof/>
          <w:sz w:val="24"/>
          <w:szCs w:val="24"/>
        </w:rPr>
        <w:t>(1), 20–27. https://doi.org/10.1016/j.biopsych.2009.08.019</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Escamilla-Fajardo, P., Parra-Camacho, D., &amp; Núñez-Pomar, J. M. (2021). Entrepreneurship and resilience in spanish sports clubs: A cluster analysis. </w:t>
      </w:r>
      <w:r w:rsidRPr="00F16AC4">
        <w:rPr>
          <w:rFonts w:ascii="Times New Roman" w:hAnsi="Times New Roman" w:cs="Times New Roman"/>
          <w:i/>
          <w:iCs/>
          <w:noProof/>
          <w:sz w:val="24"/>
          <w:szCs w:val="24"/>
        </w:rPr>
        <w:t>International Journal of Environmental Research and Public Health</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18</w:t>
      </w:r>
      <w:r w:rsidRPr="00F16AC4">
        <w:rPr>
          <w:rFonts w:ascii="Times New Roman" w:hAnsi="Times New Roman" w:cs="Times New Roman"/>
          <w:noProof/>
          <w:sz w:val="24"/>
          <w:szCs w:val="24"/>
        </w:rPr>
        <w:t>(10). https://doi.org/10.3390/ijerph18105142</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Frangopol, D. M., Dong, Y., &amp; Sabatino, S. (2017). Bridge life-cycle performance and cost: analysis, prediction, optimisation and decision-making. </w:t>
      </w:r>
      <w:r w:rsidRPr="00F16AC4">
        <w:rPr>
          <w:rFonts w:ascii="Times New Roman" w:hAnsi="Times New Roman" w:cs="Times New Roman"/>
          <w:i/>
          <w:iCs/>
          <w:noProof/>
          <w:sz w:val="24"/>
          <w:szCs w:val="24"/>
        </w:rPr>
        <w:t>Structure and Infrastructure Engineering</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13</w:t>
      </w:r>
      <w:r w:rsidRPr="00F16AC4">
        <w:rPr>
          <w:rFonts w:ascii="Times New Roman" w:hAnsi="Times New Roman" w:cs="Times New Roman"/>
          <w:noProof/>
          <w:sz w:val="24"/>
          <w:szCs w:val="24"/>
        </w:rPr>
        <w:t>(10), 1239–1257. https://doi.org/10.1080/15732479.2016.1267772</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Frangopol, D. M., &amp; Soliman, M. (2016). Life-cycle of structural systems: recent achievements and future directions. </w:t>
      </w:r>
      <w:r w:rsidRPr="00F16AC4">
        <w:rPr>
          <w:rFonts w:ascii="Times New Roman" w:hAnsi="Times New Roman" w:cs="Times New Roman"/>
          <w:i/>
          <w:iCs/>
          <w:noProof/>
          <w:sz w:val="24"/>
          <w:szCs w:val="24"/>
        </w:rPr>
        <w:t>Structure and Infrastructure Engineering</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12</w:t>
      </w:r>
      <w:r w:rsidRPr="00F16AC4">
        <w:rPr>
          <w:rFonts w:ascii="Times New Roman" w:hAnsi="Times New Roman" w:cs="Times New Roman"/>
          <w:noProof/>
          <w:sz w:val="24"/>
          <w:szCs w:val="24"/>
        </w:rPr>
        <w:t>(1), 1–20. https://doi.org/10.1080/15732479.2014.999794</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Gee, D. G., &amp; Casey, B. J. (2015). The impact of developmental timing for stress and recovery. </w:t>
      </w:r>
      <w:r w:rsidRPr="00F16AC4">
        <w:rPr>
          <w:rFonts w:ascii="Times New Roman" w:hAnsi="Times New Roman" w:cs="Times New Roman"/>
          <w:i/>
          <w:iCs/>
          <w:noProof/>
          <w:sz w:val="24"/>
          <w:szCs w:val="24"/>
        </w:rPr>
        <w:t>Neurobiology of Stress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w:t>
      </w:r>
      <w:r w:rsidRPr="00F16AC4">
        <w:rPr>
          <w:rFonts w:ascii="Times New Roman" w:hAnsi="Times New Roman" w:cs="Times New Roman"/>
          <w:noProof/>
          <w:sz w:val="24"/>
          <w:szCs w:val="24"/>
        </w:rPr>
        <w:t>, 184–194. https://doi.org/10.1016/j.ynstr.2015.02.001</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Ghorbani, S., Khodayari, A., &amp; Mohammadi, S. (2014). The relationship between managerial skills with organizational climate in managers and staff in national Olympic committee of Iran. </w:t>
      </w:r>
      <w:r w:rsidRPr="00F16AC4">
        <w:rPr>
          <w:rFonts w:ascii="Times New Roman" w:hAnsi="Times New Roman" w:cs="Times New Roman"/>
          <w:i/>
          <w:iCs/>
          <w:noProof/>
          <w:sz w:val="24"/>
          <w:szCs w:val="24"/>
        </w:rPr>
        <w:t>European Journal of Experimental Biology</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4</w:t>
      </w:r>
      <w:r w:rsidRPr="00F16AC4">
        <w:rPr>
          <w:rFonts w:ascii="Times New Roman" w:hAnsi="Times New Roman" w:cs="Times New Roman"/>
          <w:noProof/>
          <w:sz w:val="24"/>
          <w:szCs w:val="24"/>
        </w:rPr>
        <w:t>(1), 321–326.</w:t>
      </w:r>
      <w:r w:rsidR="0012669D">
        <w:rPr>
          <w:rFonts w:ascii="Times New Roman" w:hAnsi="Times New Roman" w:cs="Times New Roman"/>
          <w:noProof/>
          <w:sz w:val="24"/>
          <w:szCs w:val="24"/>
        </w:rPr>
        <w:t xml:space="preserve"> </w:t>
      </w:r>
      <w:r w:rsidR="0012669D" w:rsidRPr="0012669D">
        <w:rPr>
          <w:rFonts w:ascii="Times New Roman" w:hAnsi="Times New Roman" w:cs="Times New Roman"/>
          <w:noProof/>
          <w:sz w:val="24"/>
          <w:szCs w:val="24"/>
        </w:rPr>
        <w:t>https://www.primescholars.com/articles/the-relationship-between-managerial-skills-with-organizational-climate-in-managers-and-staff-in-national-olympic-committee-of-iran.pdf</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Gulati, B., &amp; Weiler, S. (2021). Risk, recessions and resilience: towards sustainable local labor markets through employment portfolio analysis. </w:t>
      </w:r>
      <w:r w:rsidRPr="00F16AC4">
        <w:rPr>
          <w:rFonts w:ascii="Times New Roman" w:hAnsi="Times New Roman" w:cs="Times New Roman"/>
          <w:i/>
          <w:iCs/>
          <w:noProof/>
          <w:sz w:val="24"/>
          <w:szCs w:val="24"/>
        </w:rPr>
        <w:t>Sustainability (Switzerland)</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13</w:t>
      </w:r>
      <w:r w:rsidRPr="00F16AC4">
        <w:rPr>
          <w:rFonts w:ascii="Times New Roman" w:hAnsi="Times New Roman" w:cs="Times New Roman"/>
          <w:noProof/>
          <w:sz w:val="24"/>
          <w:szCs w:val="24"/>
        </w:rPr>
        <w:t>(14), 1–20. https://doi.org/10.3390/su13147926</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Krabel, S. (2018). Are entrepreneurs made on campus? The impact of entrepreneurial universities and graduates’ human capital on graduates’ occupational choice. </w:t>
      </w:r>
      <w:r w:rsidRPr="00F16AC4">
        <w:rPr>
          <w:rFonts w:ascii="Times New Roman" w:hAnsi="Times New Roman" w:cs="Times New Roman"/>
          <w:i/>
          <w:iCs/>
          <w:noProof/>
          <w:sz w:val="24"/>
          <w:szCs w:val="24"/>
        </w:rPr>
        <w:t>Journal of International Entrepreneurship</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16</w:t>
      </w:r>
      <w:r w:rsidRPr="00F16AC4">
        <w:rPr>
          <w:rFonts w:ascii="Times New Roman" w:hAnsi="Times New Roman" w:cs="Times New Roman"/>
          <w:noProof/>
          <w:sz w:val="24"/>
          <w:szCs w:val="24"/>
        </w:rPr>
        <w:t>(4), 456–485. https://doi.org/10.1007/s10843-017-0218-z</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lastRenderedPageBreak/>
        <w:t xml:space="preserve">Lonsdorf, T. B., &amp; Merz, C. J. (2017). More than just noise: Inter-individual differences in fear acquisition, extinction and return of fear in humans - Biological, experiential, temperamental factors, and methodological pitfalls. </w:t>
      </w:r>
      <w:r w:rsidRPr="00F16AC4">
        <w:rPr>
          <w:rFonts w:ascii="Times New Roman" w:hAnsi="Times New Roman" w:cs="Times New Roman"/>
          <w:i/>
          <w:iCs/>
          <w:noProof/>
          <w:sz w:val="24"/>
          <w:szCs w:val="24"/>
        </w:rPr>
        <w:t>Neuroscience and Biobehavioral Reviews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80</w:t>
      </w:r>
      <w:r w:rsidRPr="00F16AC4">
        <w:rPr>
          <w:rFonts w:ascii="Times New Roman" w:hAnsi="Times New Roman" w:cs="Times New Roman"/>
          <w:noProof/>
          <w:sz w:val="24"/>
          <w:szCs w:val="24"/>
        </w:rPr>
        <w:t>, 703–728. https://doi.org/10.1016/j.neubiorev.2017.07.007</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Man, T. W. Y., Lau, T., &amp; Chan, K. F. (2002). The competitiveness of small and medium enterprises: A conceptualization with focus on entrepreneurial competencies. </w:t>
      </w:r>
      <w:r w:rsidRPr="00F16AC4">
        <w:rPr>
          <w:rFonts w:ascii="Times New Roman" w:hAnsi="Times New Roman" w:cs="Times New Roman"/>
          <w:i/>
          <w:iCs/>
          <w:noProof/>
          <w:sz w:val="24"/>
          <w:szCs w:val="24"/>
        </w:rPr>
        <w:t>Journal of Business Venturing</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17</w:t>
      </w:r>
      <w:r w:rsidRPr="00F16AC4">
        <w:rPr>
          <w:rFonts w:ascii="Times New Roman" w:hAnsi="Times New Roman" w:cs="Times New Roman"/>
          <w:noProof/>
          <w:sz w:val="24"/>
          <w:szCs w:val="24"/>
        </w:rPr>
        <w:t>(2), 123–142. https://doi.org/10.1016/S0883-9026(00)00058-6</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Mikami, A. Y., &amp; Hinshaw, S. P. (2006). Resilient adolescent adjustment among girls: Buffers of childhood peer rejection and attention-deficit/hyperactivity disorder. </w:t>
      </w:r>
      <w:r w:rsidRPr="00F16AC4">
        <w:rPr>
          <w:rFonts w:ascii="Times New Roman" w:hAnsi="Times New Roman" w:cs="Times New Roman"/>
          <w:i/>
          <w:iCs/>
          <w:noProof/>
          <w:sz w:val="24"/>
          <w:szCs w:val="24"/>
        </w:rPr>
        <w:t>Journal of Abnormal Child Psychology</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34</w:t>
      </w:r>
      <w:r w:rsidRPr="00F16AC4">
        <w:rPr>
          <w:rFonts w:ascii="Times New Roman" w:hAnsi="Times New Roman" w:cs="Times New Roman"/>
          <w:noProof/>
          <w:sz w:val="24"/>
          <w:szCs w:val="24"/>
        </w:rPr>
        <w:t>(6), 825–839. https://doi.org/10.1007/s10802-006-9062-7</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Mitchelmore, S., &amp; Rowley, J. (2010). Entrepreneurial competencies: A literature review and development agenda. </w:t>
      </w:r>
      <w:r w:rsidRPr="00F16AC4">
        <w:rPr>
          <w:rFonts w:ascii="Times New Roman" w:hAnsi="Times New Roman" w:cs="Times New Roman"/>
          <w:i/>
          <w:iCs/>
          <w:noProof/>
          <w:sz w:val="24"/>
          <w:szCs w:val="24"/>
        </w:rPr>
        <w:t>International Journal of Entrepreneurial Behaviour &amp; Research</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16</w:t>
      </w:r>
      <w:r w:rsidRPr="00F16AC4">
        <w:rPr>
          <w:rFonts w:ascii="Times New Roman" w:hAnsi="Times New Roman" w:cs="Times New Roman"/>
          <w:noProof/>
          <w:sz w:val="24"/>
          <w:szCs w:val="24"/>
        </w:rPr>
        <w:t>(2), 92–111. https://doi.org/10.1108/13552551011026995</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Morris, M. H., Webb, J. W., Fu, J., &amp; Singhal, S. (2013). A competency-based perspective on entrepreneurship education: Conceptual and empirical insights. </w:t>
      </w:r>
      <w:r w:rsidRPr="00F16AC4">
        <w:rPr>
          <w:rFonts w:ascii="Times New Roman" w:hAnsi="Times New Roman" w:cs="Times New Roman"/>
          <w:i/>
          <w:iCs/>
          <w:noProof/>
          <w:sz w:val="24"/>
          <w:szCs w:val="24"/>
        </w:rPr>
        <w:t>Journal of Small Business Management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51</w:t>
      </w:r>
      <w:r w:rsidRPr="00F16AC4">
        <w:rPr>
          <w:rFonts w:ascii="Times New Roman" w:hAnsi="Times New Roman" w:cs="Times New Roman"/>
          <w:noProof/>
          <w:sz w:val="24"/>
          <w:szCs w:val="24"/>
        </w:rPr>
        <w:t>(3), 352–369. https://doi.org/10.1111/jsbm.12023</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Petzold, M. B., Bendau, A., Plag, J., Pyrkosch, L., Mascarell Maricic, L., Betzler, F., Rogoll, J., Große, J., &amp; Ströhle, A. (2020). Risk, resilience, psychological distress, and anxiety at the beginning of the COVID-19 pandemic in Germany. </w:t>
      </w:r>
      <w:r w:rsidRPr="00F16AC4">
        <w:rPr>
          <w:rFonts w:ascii="Times New Roman" w:hAnsi="Times New Roman" w:cs="Times New Roman"/>
          <w:i/>
          <w:iCs/>
          <w:noProof/>
          <w:sz w:val="24"/>
          <w:szCs w:val="24"/>
        </w:rPr>
        <w:t>Brain and Behavior</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10</w:t>
      </w:r>
      <w:r w:rsidRPr="00F16AC4">
        <w:rPr>
          <w:rFonts w:ascii="Times New Roman" w:hAnsi="Times New Roman" w:cs="Times New Roman"/>
          <w:noProof/>
          <w:sz w:val="24"/>
          <w:szCs w:val="24"/>
        </w:rPr>
        <w:t>(9), 1–10. https://doi.org/10.1002/brb3.1745</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Phong, N. D., Thao, N. T. P., &amp; Nguyen, N. P. (2020). Entrepreneurial intent of business students: Empirical evidence from a transitional economy. </w:t>
      </w:r>
      <w:r w:rsidRPr="00F16AC4">
        <w:rPr>
          <w:rFonts w:ascii="Times New Roman" w:hAnsi="Times New Roman" w:cs="Times New Roman"/>
          <w:i/>
          <w:iCs/>
          <w:noProof/>
          <w:sz w:val="24"/>
          <w:szCs w:val="24"/>
        </w:rPr>
        <w:t>Cogent Business and Management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7</w:t>
      </w:r>
      <w:r w:rsidRPr="00F16AC4">
        <w:rPr>
          <w:rFonts w:ascii="Times New Roman" w:hAnsi="Times New Roman" w:cs="Times New Roman"/>
          <w:noProof/>
          <w:sz w:val="24"/>
          <w:szCs w:val="24"/>
        </w:rPr>
        <w:t>(1). https://doi.org/10.1080/23311975.2020.1747962</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Rambe, P., Africa, S., Makhalemele, N., &amp; Africa, S. (2015). Emerging Technology Firms And Business Internet Cafés Performance In South Africa. </w:t>
      </w:r>
      <w:r w:rsidRPr="00F16AC4">
        <w:rPr>
          <w:rFonts w:ascii="Times New Roman" w:hAnsi="Times New Roman" w:cs="Times New Roman"/>
          <w:i/>
          <w:iCs/>
          <w:noProof/>
          <w:sz w:val="24"/>
          <w:szCs w:val="24"/>
        </w:rPr>
        <w:t>International Business &amp; Economics Research Journal</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14</w:t>
      </w:r>
      <w:r w:rsidRPr="00F16AC4">
        <w:rPr>
          <w:rFonts w:ascii="Times New Roman" w:hAnsi="Times New Roman" w:cs="Times New Roman"/>
          <w:noProof/>
          <w:sz w:val="24"/>
          <w:szCs w:val="24"/>
        </w:rPr>
        <w:t>(4), 678–692, July/August,.</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Rasmussen, E., Mosey, S., &amp; Wright, M. (2011). The Evolution of Entrepreneurial Competencies: A Longitudinal Study of University Spin-Off Venture Emergence. </w:t>
      </w:r>
      <w:r w:rsidRPr="00F16AC4">
        <w:rPr>
          <w:rFonts w:ascii="Times New Roman" w:hAnsi="Times New Roman" w:cs="Times New Roman"/>
          <w:i/>
          <w:iCs/>
          <w:noProof/>
          <w:sz w:val="24"/>
          <w:szCs w:val="24"/>
        </w:rPr>
        <w:t>Journal of Management Studies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48</w:t>
      </w:r>
      <w:r w:rsidRPr="00F16AC4">
        <w:rPr>
          <w:rFonts w:ascii="Times New Roman" w:hAnsi="Times New Roman" w:cs="Times New Roman"/>
          <w:noProof/>
          <w:sz w:val="24"/>
          <w:szCs w:val="24"/>
        </w:rPr>
        <w:t>(6), 1314–1345. https://doi.org/10.1111/j.1467-6486.2010.00995.x</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Shah, I. A., Amjed, S., &amp; Jaboob, S. (2020). The moderating role of entrepreneurship education in shaping entrepreneurial intentions. </w:t>
      </w:r>
      <w:r w:rsidRPr="00F16AC4">
        <w:rPr>
          <w:rFonts w:ascii="Times New Roman" w:hAnsi="Times New Roman" w:cs="Times New Roman"/>
          <w:i/>
          <w:iCs/>
          <w:noProof/>
          <w:sz w:val="24"/>
          <w:szCs w:val="24"/>
        </w:rPr>
        <w:t>Journal of Economic Structures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9</w:t>
      </w:r>
      <w:r w:rsidRPr="00F16AC4">
        <w:rPr>
          <w:rFonts w:ascii="Times New Roman" w:hAnsi="Times New Roman" w:cs="Times New Roman"/>
          <w:noProof/>
          <w:sz w:val="24"/>
          <w:szCs w:val="24"/>
        </w:rPr>
        <w:t>(1). https://doi.org/10.1186/s40008-020-00195-4</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lastRenderedPageBreak/>
        <w:t xml:space="preserve">Song, S., Hwang, K., &amp; Kwok, Y. K. (2006). Risk-resilient heuristics and genetic algorithms for security-assured grid job scheduling. </w:t>
      </w:r>
      <w:r w:rsidRPr="00F16AC4">
        <w:rPr>
          <w:rFonts w:ascii="Times New Roman" w:hAnsi="Times New Roman" w:cs="Times New Roman"/>
          <w:i/>
          <w:iCs/>
          <w:noProof/>
          <w:sz w:val="24"/>
          <w:szCs w:val="24"/>
        </w:rPr>
        <w:t>IEEE Transactions on Computers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55</w:t>
      </w:r>
      <w:r w:rsidRPr="00F16AC4">
        <w:rPr>
          <w:rFonts w:ascii="Times New Roman" w:hAnsi="Times New Roman" w:cs="Times New Roman"/>
          <w:noProof/>
          <w:sz w:val="24"/>
          <w:szCs w:val="24"/>
        </w:rPr>
        <w:t>(6), 703–719. https://doi.org/10.1109/TC.2006.89</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Vinet, L., &amp; Zhedanov, A. (2011). A “missing” family of classical orthogonal polynomials. </w:t>
      </w:r>
      <w:r w:rsidRPr="00F16AC4">
        <w:rPr>
          <w:rFonts w:ascii="Times New Roman" w:hAnsi="Times New Roman" w:cs="Times New Roman"/>
          <w:i/>
          <w:iCs/>
          <w:noProof/>
          <w:sz w:val="24"/>
          <w:szCs w:val="24"/>
        </w:rPr>
        <w:t>Journal of Physics A: Mathematical and Theoretical</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44</w:t>
      </w:r>
      <w:r w:rsidRPr="00F16AC4">
        <w:rPr>
          <w:rFonts w:ascii="Times New Roman" w:hAnsi="Times New Roman" w:cs="Times New Roman"/>
          <w:noProof/>
          <w:sz w:val="24"/>
          <w:szCs w:val="24"/>
        </w:rPr>
        <w:t>(8), 3–16. https://doi.org/10.1088/1751-8113/44/8/085201</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Wasowska, A. (2019). Social-cognitive antecedents of new venture internationalization: The role of entrepreneur intention, self-efficacy, and positive orientation. </w:t>
      </w:r>
      <w:r w:rsidRPr="00F16AC4">
        <w:rPr>
          <w:rFonts w:ascii="Times New Roman" w:hAnsi="Times New Roman" w:cs="Times New Roman"/>
          <w:i/>
          <w:iCs/>
          <w:noProof/>
          <w:sz w:val="24"/>
          <w:szCs w:val="24"/>
        </w:rPr>
        <w:t>Baltic Journal of Management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14</w:t>
      </w:r>
      <w:r w:rsidRPr="00F16AC4">
        <w:rPr>
          <w:rFonts w:ascii="Times New Roman" w:hAnsi="Times New Roman" w:cs="Times New Roman"/>
          <w:noProof/>
          <w:sz w:val="24"/>
          <w:szCs w:val="24"/>
        </w:rPr>
        <w:t>(3), 462–479. https://doi.org/10.1108/BJM-09-2018-0325</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Wickramasinghe, V., &amp; de Zoyza, N. (2009). A comparative analysis of managerial competency needs across areas of functional specialization. </w:t>
      </w:r>
      <w:r w:rsidRPr="00F16AC4">
        <w:rPr>
          <w:rFonts w:ascii="Times New Roman" w:hAnsi="Times New Roman" w:cs="Times New Roman"/>
          <w:i/>
          <w:iCs/>
          <w:noProof/>
          <w:sz w:val="24"/>
          <w:szCs w:val="24"/>
        </w:rPr>
        <w:t>Journal of Management Development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28</w:t>
      </w:r>
      <w:r w:rsidRPr="00F16AC4">
        <w:rPr>
          <w:rFonts w:ascii="Times New Roman" w:hAnsi="Times New Roman" w:cs="Times New Roman"/>
          <w:noProof/>
          <w:sz w:val="24"/>
          <w:szCs w:val="24"/>
        </w:rPr>
        <w:t>(4), 344–360. https://doi.org/10.1108/02621710910947371</w:t>
      </w:r>
    </w:p>
    <w:p w:rsidR="00F16AC4" w:rsidRPr="00F16AC4" w:rsidRDefault="00F16AC4" w:rsidP="0012669D">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F16AC4">
        <w:rPr>
          <w:rFonts w:ascii="Times New Roman" w:hAnsi="Times New Roman" w:cs="Times New Roman"/>
          <w:noProof/>
          <w:sz w:val="24"/>
          <w:szCs w:val="24"/>
        </w:rPr>
        <w:t xml:space="preserve">Winn, M., Kirchgeorg, M., Griffiths, A., Linnenluecke, M. K., &amp; Gunther, E. (2011). Impacts from climate change on organizations: A conceptual foundation. </w:t>
      </w:r>
      <w:r w:rsidRPr="00F16AC4">
        <w:rPr>
          <w:rFonts w:ascii="Times New Roman" w:hAnsi="Times New Roman" w:cs="Times New Roman"/>
          <w:i/>
          <w:iCs/>
          <w:noProof/>
          <w:sz w:val="24"/>
          <w:szCs w:val="24"/>
        </w:rPr>
        <w:t>Business Strategy and the Environment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20</w:t>
      </w:r>
      <w:r w:rsidRPr="00F16AC4">
        <w:rPr>
          <w:rFonts w:ascii="Times New Roman" w:hAnsi="Times New Roman" w:cs="Times New Roman"/>
          <w:noProof/>
          <w:sz w:val="24"/>
          <w:szCs w:val="24"/>
        </w:rPr>
        <w:t>(3), 157–173. https://doi.org/10.1002/bse.679</w:t>
      </w:r>
    </w:p>
    <w:p w:rsidR="00646B1D" w:rsidRPr="00646B1D" w:rsidRDefault="00030D36" w:rsidP="00646B1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646B1D" w:rsidRPr="00646B1D" w:rsidSect="00712E4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B4389FF" w15:done="0"/>
  <w15:commentEx w15:paraId="7803C37F" w15:done="0"/>
  <w15:commentEx w15:paraId="2F7E6171" w15:done="0"/>
  <w15:commentEx w15:paraId="4C700882" w15:done="0"/>
  <w15:commentEx w15:paraId="43F65F89" w15:done="0"/>
  <w15:commentEx w15:paraId="5A477422" w15:done="0"/>
  <w15:commentEx w15:paraId="345F57FA" w15:done="0"/>
  <w15:commentEx w15:paraId="7C35F65F" w15:done="0"/>
  <w15:commentEx w15:paraId="131FA49B" w15:done="0"/>
  <w15:commentEx w15:paraId="15C5015C" w15:done="0"/>
  <w15:commentEx w15:paraId="4C53BB8F" w15:done="0"/>
  <w15:commentEx w15:paraId="360B20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D8C32" w16cex:dateUtc="2022-01-03T09:22:00Z"/>
  <w16cex:commentExtensible w16cex:durableId="257D8E45" w16cex:dateUtc="2022-01-03T09:31:00Z"/>
  <w16cex:commentExtensible w16cex:durableId="257D8DFA" w16cex:dateUtc="2022-01-03T09:30:00Z"/>
  <w16cex:commentExtensible w16cex:durableId="257D8EA5" w16cex:dateUtc="2022-01-03T09:33:00Z"/>
  <w16cex:commentExtensible w16cex:durableId="257D8EE5" w16cex:dateUtc="2022-01-03T09:34:00Z"/>
  <w16cex:commentExtensible w16cex:durableId="257D9174" w16cex:dateUtc="2022-01-03T09:45:00Z"/>
  <w16cex:commentExtensible w16cex:durableId="257D9244" w16cex:dateUtc="2022-01-03T09:48:00Z"/>
  <w16cex:commentExtensible w16cex:durableId="257D928D" w16cex:dateUtc="2022-01-03T09:49:00Z"/>
  <w16cex:commentExtensible w16cex:durableId="257D95C5" w16cex:dateUtc="2022-01-03T10:03:00Z"/>
  <w16cex:commentExtensible w16cex:durableId="257D95AB" w16cex:dateUtc="2022-01-03T10:02:00Z"/>
  <w16cex:commentExtensible w16cex:durableId="257D9619" w16cex:dateUtc="2022-01-03T10:04:00Z"/>
  <w16cex:commentExtensible w16cex:durableId="257D964C" w16cex:dateUtc="2022-01-03T1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4389FF" w16cid:durableId="257D8C32"/>
  <w16cid:commentId w16cid:paraId="7803C37F" w16cid:durableId="257D8E45"/>
  <w16cid:commentId w16cid:paraId="2F7E6171" w16cid:durableId="257D8DFA"/>
  <w16cid:commentId w16cid:paraId="4C700882" w16cid:durableId="257D8EA5"/>
  <w16cid:commentId w16cid:paraId="43F65F89" w16cid:durableId="257D8EE5"/>
  <w16cid:commentId w16cid:paraId="5A477422" w16cid:durableId="257D9174"/>
  <w16cid:commentId w16cid:paraId="345F57FA" w16cid:durableId="257D9244"/>
  <w16cid:commentId w16cid:paraId="7C35F65F" w16cid:durableId="257D928D"/>
  <w16cid:commentId w16cid:paraId="131FA49B" w16cid:durableId="257D95C5"/>
  <w16cid:commentId w16cid:paraId="15C5015C" w16cid:durableId="257D95AB"/>
  <w16cid:commentId w16cid:paraId="4C53BB8F" w16cid:durableId="257D9619"/>
  <w16cid:commentId w16cid:paraId="360B20D3" w16cid:durableId="257D964C"/>
</w16cid:commentsId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A96B1A"/>
    <w:multiLevelType w:val="hybridMultilevel"/>
    <w:tmpl w:val="0BFC2DE0"/>
    <w:lvl w:ilvl="0" w:tplc="3244DE04">
      <w:start w:val="1"/>
      <w:numFmt w:val="bullet"/>
      <w:lvlText w:val=""/>
      <w:lvlJc w:val="left"/>
      <w:pPr>
        <w:tabs>
          <w:tab w:val="num" w:pos="720"/>
        </w:tabs>
        <w:ind w:left="720" w:hanging="360"/>
      </w:pPr>
      <w:rPr>
        <w:rFonts w:ascii="Wingdings" w:hAnsi="Wingdings" w:hint="default"/>
      </w:rPr>
    </w:lvl>
    <w:lvl w:ilvl="1" w:tplc="E1B09982">
      <w:start w:val="1"/>
      <w:numFmt w:val="bullet"/>
      <w:lvlText w:val=""/>
      <w:lvlJc w:val="left"/>
      <w:pPr>
        <w:tabs>
          <w:tab w:val="num" w:pos="1440"/>
        </w:tabs>
        <w:ind w:left="1440" w:hanging="360"/>
      </w:pPr>
      <w:rPr>
        <w:rFonts w:ascii="Wingdings" w:hAnsi="Wingdings" w:hint="default"/>
      </w:rPr>
    </w:lvl>
    <w:lvl w:ilvl="2" w:tplc="8B7A5042" w:tentative="1">
      <w:start w:val="1"/>
      <w:numFmt w:val="bullet"/>
      <w:lvlText w:val=""/>
      <w:lvlJc w:val="left"/>
      <w:pPr>
        <w:tabs>
          <w:tab w:val="num" w:pos="2160"/>
        </w:tabs>
        <w:ind w:left="2160" w:hanging="360"/>
      </w:pPr>
      <w:rPr>
        <w:rFonts w:ascii="Wingdings" w:hAnsi="Wingdings" w:hint="default"/>
      </w:rPr>
    </w:lvl>
    <w:lvl w:ilvl="3" w:tplc="7418339A" w:tentative="1">
      <w:start w:val="1"/>
      <w:numFmt w:val="bullet"/>
      <w:lvlText w:val=""/>
      <w:lvlJc w:val="left"/>
      <w:pPr>
        <w:tabs>
          <w:tab w:val="num" w:pos="2880"/>
        </w:tabs>
        <w:ind w:left="2880" w:hanging="360"/>
      </w:pPr>
      <w:rPr>
        <w:rFonts w:ascii="Wingdings" w:hAnsi="Wingdings" w:hint="default"/>
      </w:rPr>
    </w:lvl>
    <w:lvl w:ilvl="4" w:tplc="1068CAA0" w:tentative="1">
      <w:start w:val="1"/>
      <w:numFmt w:val="bullet"/>
      <w:lvlText w:val=""/>
      <w:lvlJc w:val="left"/>
      <w:pPr>
        <w:tabs>
          <w:tab w:val="num" w:pos="3600"/>
        </w:tabs>
        <w:ind w:left="3600" w:hanging="360"/>
      </w:pPr>
      <w:rPr>
        <w:rFonts w:ascii="Wingdings" w:hAnsi="Wingdings" w:hint="default"/>
      </w:rPr>
    </w:lvl>
    <w:lvl w:ilvl="5" w:tplc="F14C7110" w:tentative="1">
      <w:start w:val="1"/>
      <w:numFmt w:val="bullet"/>
      <w:lvlText w:val=""/>
      <w:lvlJc w:val="left"/>
      <w:pPr>
        <w:tabs>
          <w:tab w:val="num" w:pos="4320"/>
        </w:tabs>
        <w:ind w:left="4320" w:hanging="360"/>
      </w:pPr>
      <w:rPr>
        <w:rFonts w:ascii="Wingdings" w:hAnsi="Wingdings" w:hint="default"/>
      </w:rPr>
    </w:lvl>
    <w:lvl w:ilvl="6" w:tplc="D35AB898" w:tentative="1">
      <w:start w:val="1"/>
      <w:numFmt w:val="bullet"/>
      <w:lvlText w:val=""/>
      <w:lvlJc w:val="left"/>
      <w:pPr>
        <w:tabs>
          <w:tab w:val="num" w:pos="5040"/>
        </w:tabs>
        <w:ind w:left="5040" w:hanging="360"/>
      </w:pPr>
      <w:rPr>
        <w:rFonts w:ascii="Wingdings" w:hAnsi="Wingdings" w:hint="default"/>
      </w:rPr>
    </w:lvl>
    <w:lvl w:ilvl="7" w:tplc="185A915C" w:tentative="1">
      <w:start w:val="1"/>
      <w:numFmt w:val="bullet"/>
      <w:lvlText w:val=""/>
      <w:lvlJc w:val="left"/>
      <w:pPr>
        <w:tabs>
          <w:tab w:val="num" w:pos="5760"/>
        </w:tabs>
        <w:ind w:left="5760" w:hanging="360"/>
      </w:pPr>
      <w:rPr>
        <w:rFonts w:ascii="Wingdings" w:hAnsi="Wingdings" w:hint="default"/>
      </w:rPr>
    </w:lvl>
    <w:lvl w:ilvl="8" w:tplc="1C2E90B2" w:tentative="1">
      <w:start w:val="1"/>
      <w:numFmt w:val="bullet"/>
      <w:lvlText w:val=""/>
      <w:lvlJc w:val="left"/>
      <w:pPr>
        <w:tabs>
          <w:tab w:val="num" w:pos="6480"/>
        </w:tabs>
        <w:ind w:left="6480" w:hanging="360"/>
      </w:pPr>
      <w:rPr>
        <w:rFonts w:ascii="Wingdings" w:hAnsi="Wingdings" w:hint="default"/>
      </w:rPr>
    </w:lvl>
  </w:abstractNum>
  <w:abstractNum w:abstractNumId="1">
    <w:nsid w:val="73ED1018"/>
    <w:multiLevelType w:val="hybridMultilevel"/>
    <w:tmpl w:val="489E3E3E"/>
    <w:lvl w:ilvl="0" w:tplc="3AD2E4C2">
      <w:start w:val="1"/>
      <w:numFmt w:val="bullet"/>
      <w:lvlText w:val=""/>
      <w:lvlJc w:val="left"/>
      <w:pPr>
        <w:tabs>
          <w:tab w:val="num" w:pos="720"/>
        </w:tabs>
        <w:ind w:left="720" w:hanging="360"/>
      </w:pPr>
      <w:rPr>
        <w:rFonts w:ascii="Wingdings" w:hAnsi="Wingdings" w:hint="default"/>
      </w:rPr>
    </w:lvl>
    <w:lvl w:ilvl="1" w:tplc="63285CE0">
      <w:start w:val="1"/>
      <w:numFmt w:val="bullet"/>
      <w:lvlText w:val=""/>
      <w:lvlJc w:val="left"/>
      <w:pPr>
        <w:tabs>
          <w:tab w:val="num" w:pos="1440"/>
        </w:tabs>
        <w:ind w:left="1440" w:hanging="360"/>
      </w:pPr>
      <w:rPr>
        <w:rFonts w:ascii="Wingdings" w:hAnsi="Wingdings" w:hint="default"/>
      </w:rPr>
    </w:lvl>
    <w:lvl w:ilvl="2" w:tplc="88E8D4E0">
      <w:start w:val="1"/>
      <w:numFmt w:val="decimal"/>
      <w:lvlText w:val="%3."/>
      <w:lvlJc w:val="left"/>
      <w:pPr>
        <w:tabs>
          <w:tab w:val="num" w:pos="2160"/>
        </w:tabs>
        <w:ind w:left="2160" w:hanging="360"/>
      </w:pPr>
    </w:lvl>
    <w:lvl w:ilvl="3" w:tplc="4A529F1C">
      <w:start w:val="1"/>
      <w:numFmt w:val="decimal"/>
      <w:lvlText w:val="%4."/>
      <w:lvlJc w:val="left"/>
      <w:pPr>
        <w:tabs>
          <w:tab w:val="num" w:pos="2880"/>
        </w:tabs>
        <w:ind w:left="2880" w:hanging="360"/>
      </w:pPr>
    </w:lvl>
    <w:lvl w:ilvl="4" w:tplc="7FB6F0D8">
      <w:start w:val="1"/>
      <w:numFmt w:val="decimal"/>
      <w:lvlText w:val="%5."/>
      <w:lvlJc w:val="left"/>
      <w:pPr>
        <w:tabs>
          <w:tab w:val="num" w:pos="3600"/>
        </w:tabs>
        <w:ind w:left="3600" w:hanging="360"/>
      </w:pPr>
    </w:lvl>
    <w:lvl w:ilvl="5" w:tplc="1884DE5A">
      <w:start w:val="1"/>
      <w:numFmt w:val="decimal"/>
      <w:lvlText w:val="%6."/>
      <w:lvlJc w:val="left"/>
      <w:pPr>
        <w:tabs>
          <w:tab w:val="num" w:pos="4320"/>
        </w:tabs>
        <w:ind w:left="4320" w:hanging="360"/>
      </w:pPr>
    </w:lvl>
    <w:lvl w:ilvl="6" w:tplc="CCCE6FCA">
      <w:start w:val="1"/>
      <w:numFmt w:val="decimal"/>
      <w:lvlText w:val="%7."/>
      <w:lvlJc w:val="left"/>
      <w:pPr>
        <w:tabs>
          <w:tab w:val="num" w:pos="5040"/>
        </w:tabs>
        <w:ind w:left="5040" w:hanging="360"/>
      </w:pPr>
    </w:lvl>
    <w:lvl w:ilvl="7" w:tplc="1CBEEC00">
      <w:start w:val="1"/>
      <w:numFmt w:val="decimal"/>
      <w:lvlText w:val="%8."/>
      <w:lvlJc w:val="left"/>
      <w:pPr>
        <w:tabs>
          <w:tab w:val="num" w:pos="5760"/>
        </w:tabs>
        <w:ind w:left="5760" w:hanging="360"/>
      </w:pPr>
    </w:lvl>
    <w:lvl w:ilvl="8" w:tplc="6A047918">
      <w:start w:val="1"/>
      <w:numFmt w:val="decimal"/>
      <w:lvlText w:val="%9."/>
      <w:lvlJc w:val="left"/>
      <w:pPr>
        <w:tabs>
          <w:tab w:val="num" w:pos="6480"/>
        </w:tabs>
        <w:ind w:left="6480" w:hanging="36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ooja Sharma">
    <w15:presenceInfo w15:providerId="Windows Live" w15:userId="d6c812ba3df462c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docVars>
    <w:docVar w:name="__Grammarly_42____i" w:val="H4sIAAAAAAAEAKtWckksSQxILCpxzi/NK1GyMqwFAAEhoTITAAAA"/>
    <w:docVar w:name="__Grammarly_42___1" w:val="H4sIAAAAAAAEAKtWcslP9kxRslIyNDYyt7QwNwASBhZmlpZmpko6SsGpxcWZ+XkgBUamtQB+Z2t/LQAAAA=="/>
  </w:docVars>
  <w:rsids>
    <w:rsidRoot w:val="00916691"/>
    <w:rsid w:val="00030D36"/>
    <w:rsid w:val="00037A9F"/>
    <w:rsid w:val="00046421"/>
    <w:rsid w:val="000566C0"/>
    <w:rsid w:val="00065CD4"/>
    <w:rsid w:val="00083E92"/>
    <w:rsid w:val="00084C08"/>
    <w:rsid w:val="000B55D2"/>
    <w:rsid w:val="000C533D"/>
    <w:rsid w:val="000F2FF6"/>
    <w:rsid w:val="000F3A46"/>
    <w:rsid w:val="001041A7"/>
    <w:rsid w:val="001067CA"/>
    <w:rsid w:val="00123471"/>
    <w:rsid w:val="0012669D"/>
    <w:rsid w:val="00152C5C"/>
    <w:rsid w:val="00161C8C"/>
    <w:rsid w:val="0016461B"/>
    <w:rsid w:val="0017158B"/>
    <w:rsid w:val="0017299D"/>
    <w:rsid w:val="0019213F"/>
    <w:rsid w:val="001A6669"/>
    <w:rsid w:val="001C1741"/>
    <w:rsid w:val="001E13A6"/>
    <w:rsid w:val="001E2695"/>
    <w:rsid w:val="001F077F"/>
    <w:rsid w:val="001F2C3A"/>
    <w:rsid w:val="001F47C8"/>
    <w:rsid w:val="00203B7D"/>
    <w:rsid w:val="00231148"/>
    <w:rsid w:val="00246ECA"/>
    <w:rsid w:val="0025429D"/>
    <w:rsid w:val="00262AAA"/>
    <w:rsid w:val="002A6046"/>
    <w:rsid w:val="002C0812"/>
    <w:rsid w:val="002C7D08"/>
    <w:rsid w:val="0031579E"/>
    <w:rsid w:val="00320900"/>
    <w:rsid w:val="00321FA3"/>
    <w:rsid w:val="003375F9"/>
    <w:rsid w:val="00343E27"/>
    <w:rsid w:val="00381E43"/>
    <w:rsid w:val="00385E3C"/>
    <w:rsid w:val="003931CE"/>
    <w:rsid w:val="003C34C2"/>
    <w:rsid w:val="003E2776"/>
    <w:rsid w:val="003E35BF"/>
    <w:rsid w:val="003F2965"/>
    <w:rsid w:val="00424AEF"/>
    <w:rsid w:val="00444882"/>
    <w:rsid w:val="00467D96"/>
    <w:rsid w:val="00471690"/>
    <w:rsid w:val="00484B50"/>
    <w:rsid w:val="00491ABF"/>
    <w:rsid w:val="004B4432"/>
    <w:rsid w:val="004D4FAA"/>
    <w:rsid w:val="004E6B43"/>
    <w:rsid w:val="004F5C1A"/>
    <w:rsid w:val="00510D18"/>
    <w:rsid w:val="005112CE"/>
    <w:rsid w:val="00530D04"/>
    <w:rsid w:val="00540C5C"/>
    <w:rsid w:val="00557013"/>
    <w:rsid w:val="00582313"/>
    <w:rsid w:val="005C0F50"/>
    <w:rsid w:val="005E43A8"/>
    <w:rsid w:val="0062725D"/>
    <w:rsid w:val="006349E8"/>
    <w:rsid w:val="00641316"/>
    <w:rsid w:val="00641371"/>
    <w:rsid w:val="0064413E"/>
    <w:rsid w:val="00646B1D"/>
    <w:rsid w:val="006541C3"/>
    <w:rsid w:val="006763C9"/>
    <w:rsid w:val="006871E4"/>
    <w:rsid w:val="00695A33"/>
    <w:rsid w:val="006B0663"/>
    <w:rsid w:val="006B0DD4"/>
    <w:rsid w:val="006E7799"/>
    <w:rsid w:val="007037E1"/>
    <w:rsid w:val="00712E47"/>
    <w:rsid w:val="00730872"/>
    <w:rsid w:val="00735A5D"/>
    <w:rsid w:val="00751B69"/>
    <w:rsid w:val="0078380B"/>
    <w:rsid w:val="007B1A78"/>
    <w:rsid w:val="007B75DF"/>
    <w:rsid w:val="007F72C6"/>
    <w:rsid w:val="008112B1"/>
    <w:rsid w:val="00821962"/>
    <w:rsid w:val="0082210E"/>
    <w:rsid w:val="00836895"/>
    <w:rsid w:val="00851288"/>
    <w:rsid w:val="0088031A"/>
    <w:rsid w:val="00886A55"/>
    <w:rsid w:val="00891C20"/>
    <w:rsid w:val="008C5360"/>
    <w:rsid w:val="008D5D59"/>
    <w:rsid w:val="008E37E3"/>
    <w:rsid w:val="008F4DCC"/>
    <w:rsid w:val="009008A7"/>
    <w:rsid w:val="00905564"/>
    <w:rsid w:val="00907610"/>
    <w:rsid w:val="00913A18"/>
    <w:rsid w:val="00916691"/>
    <w:rsid w:val="00917CF6"/>
    <w:rsid w:val="00954BEA"/>
    <w:rsid w:val="00965E9A"/>
    <w:rsid w:val="009845DD"/>
    <w:rsid w:val="009A77B4"/>
    <w:rsid w:val="009B65FE"/>
    <w:rsid w:val="00A01D49"/>
    <w:rsid w:val="00A11C3B"/>
    <w:rsid w:val="00A144B8"/>
    <w:rsid w:val="00A604D9"/>
    <w:rsid w:val="00A90FC4"/>
    <w:rsid w:val="00A93957"/>
    <w:rsid w:val="00AC7388"/>
    <w:rsid w:val="00AD1969"/>
    <w:rsid w:val="00AE073A"/>
    <w:rsid w:val="00B035DF"/>
    <w:rsid w:val="00B31E04"/>
    <w:rsid w:val="00B519C9"/>
    <w:rsid w:val="00B60A29"/>
    <w:rsid w:val="00B77AD9"/>
    <w:rsid w:val="00B8313E"/>
    <w:rsid w:val="00B84FB1"/>
    <w:rsid w:val="00BA6E21"/>
    <w:rsid w:val="00BB4591"/>
    <w:rsid w:val="00BB4679"/>
    <w:rsid w:val="00BB4EAB"/>
    <w:rsid w:val="00C54D93"/>
    <w:rsid w:val="00C55B9B"/>
    <w:rsid w:val="00C65CF5"/>
    <w:rsid w:val="00C66B95"/>
    <w:rsid w:val="00C94A8A"/>
    <w:rsid w:val="00CB150D"/>
    <w:rsid w:val="00CC68B0"/>
    <w:rsid w:val="00CD2022"/>
    <w:rsid w:val="00D01897"/>
    <w:rsid w:val="00D20713"/>
    <w:rsid w:val="00D34B11"/>
    <w:rsid w:val="00D80C58"/>
    <w:rsid w:val="00D944B9"/>
    <w:rsid w:val="00DE78C5"/>
    <w:rsid w:val="00E05ED1"/>
    <w:rsid w:val="00E35FE5"/>
    <w:rsid w:val="00E53149"/>
    <w:rsid w:val="00E6783B"/>
    <w:rsid w:val="00E80589"/>
    <w:rsid w:val="00E9734C"/>
    <w:rsid w:val="00EA75C6"/>
    <w:rsid w:val="00EB39DE"/>
    <w:rsid w:val="00EE56F7"/>
    <w:rsid w:val="00F16AC4"/>
    <w:rsid w:val="00F74E8D"/>
    <w:rsid w:val="00FA33BC"/>
    <w:rsid w:val="00FC306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E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FA3"/>
    <w:pPr>
      <w:ind w:left="720"/>
      <w:contextualSpacing/>
    </w:pPr>
  </w:style>
  <w:style w:type="paragraph" w:styleId="BalloonText">
    <w:name w:val="Balloon Text"/>
    <w:basedOn w:val="Normal"/>
    <w:link w:val="BalloonTextChar"/>
    <w:uiPriority w:val="99"/>
    <w:semiHidden/>
    <w:unhideWhenUsed/>
    <w:rsid w:val="00C9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A8A"/>
    <w:rPr>
      <w:rFonts w:ascii="Tahoma" w:hAnsi="Tahoma" w:cs="Tahoma"/>
      <w:sz w:val="16"/>
      <w:szCs w:val="16"/>
    </w:rPr>
  </w:style>
  <w:style w:type="character" w:styleId="CommentReference">
    <w:name w:val="annotation reference"/>
    <w:basedOn w:val="DefaultParagraphFont"/>
    <w:uiPriority w:val="99"/>
    <w:semiHidden/>
    <w:unhideWhenUsed/>
    <w:rsid w:val="003C34C2"/>
    <w:rPr>
      <w:sz w:val="16"/>
      <w:szCs w:val="16"/>
    </w:rPr>
  </w:style>
  <w:style w:type="paragraph" w:styleId="CommentText">
    <w:name w:val="annotation text"/>
    <w:basedOn w:val="Normal"/>
    <w:link w:val="CommentTextChar"/>
    <w:uiPriority w:val="99"/>
    <w:semiHidden/>
    <w:unhideWhenUsed/>
    <w:rsid w:val="003C34C2"/>
    <w:pPr>
      <w:spacing w:line="240" w:lineRule="auto"/>
    </w:pPr>
    <w:rPr>
      <w:sz w:val="20"/>
      <w:szCs w:val="20"/>
    </w:rPr>
  </w:style>
  <w:style w:type="character" w:customStyle="1" w:styleId="CommentTextChar">
    <w:name w:val="Comment Text Char"/>
    <w:basedOn w:val="DefaultParagraphFont"/>
    <w:link w:val="CommentText"/>
    <w:uiPriority w:val="99"/>
    <w:semiHidden/>
    <w:rsid w:val="003C34C2"/>
    <w:rPr>
      <w:sz w:val="20"/>
      <w:szCs w:val="20"/>
    </w:rPr>
  </w:style>
  <w:style w:type="paragraph" w:styleId="CommentSubject">
    <w:name w:val="annotation subject"/>
    <w:basedOn w:val="CommentText"/>
    <w:next w:val="CommentText"/>
    <w:link w:val="CommentSubjectChar"/>
    <w:uiPriority w:val="99"/>
    <w:semiHidden/>
    <w:unhideWhenUsed/>
    <w:rsid w:val="003C34C2"/>
    <w:rPr>
      <w:b/>
      <w:bCs/>
    </w:rPr>
  </w:style>
  <w:style w:type="character" w:customStyle="1" w:styleId="CommentSubjectChar">
    <w:name w:val="Comment Subject Char"/>
    <w:basedOn w:val="CommentTextChar"/>
    <w:link w:val="CommentSubject"/>
    <w:uiPriority w:val="99"/>
    <w:semiHidden/>
    <w:rsid w:val="003C34C2"/>
    <w:rPr>
      <w:b/>
      <w:bCs/>
      <w:sz w:val="20"/>
      <w:szCs w:val="20"/>
    </w:rPr>
  </w:style>
</w:styles>
</file>

<file path=word/webSettings.xml><?xml version="1.0" encoding="utf-8"?>
<w:webSettings xmlns:r="http://schemas.openxmlformats.org/officeDocument/2006/relationships" xmlns:w="http://schemas.openxmlformats.org/wordprocessingml/2006/main">
  <w:divs>
    <w:div w:id="70153954">
      <w:bodyDiv w:val="1"/>
      <w:marLeft w:val="0"/>
      <w:marRight w:val="0"/>
      <w:marTop w:val="0"/>
      <w:marBottom w:val="0"/>
      <w:divBdr>
        <w:top w:val="none" w:sz="0" w:space="0" w:color="auto"/>
        <w:left w:val="none" w:sz="0" w:space="0" w:color="auto"/>
        <w:bottom w:val="none" w:sz="0" w:space="0" w:color="auto"/>
        <w:right w:val="none" w:sz="0" w:space="0" w:color="auto"/>
      </w:divBdr>
    </w:div>
    <w:div w:id="152456271">
      <w:bodyDiv w:val="1"/>
      <w:marLeft w:val="0"/>
      <w:marRight w:val="0"/>
      <w:marTop w:val="0"/>
      <w:marBottom w:val="0"/>
      <w:divBdr>
        <w:top w:val="none" w:sz="0" w:space="0" w:color="auto"/>
        <w:left w:val="none" w:sz="0" w:space="0" w:color="auto"/>
        <w:bottom w:val="none" w:sz="0" w:space="0" w:color="auto"/>
        <w:right w:val="none" w:sz="0" w:space="0" w:color="auto"/>
      </w:divBdr>
    </w:div>
    <w:div w:id="173418238">
      <w:bodyDiv w:val="1"/>
      <w:marLeft w:val="0"/>
      <w:marRight w:val="0"/>
      <w:marTop w:val="0"/>
      <w:marBottom w:val="0"/>
      <w:divBdr>
        <w:top w:val="none" w:sz="0" w:space="0" w:color="auto"/>
        <w:left w:val="none" w:sz="0" w:space="0" w:color="auto"/>
        <w:bottom w:val="none" w:sz="0" w:space="0" w:color="auto"/>
        <w:right w:val="none" w:sz="0" w:space="0" w:color="auto"/>
      </w:divBdr>
    </w:div>
    <w:div w:id="200821750">
      <w:bodyDiv w:val="1"/>
      <w:marLeft w:val="0"/>
      <w:marRight w:val="0"/>
      <w:marTop w:val="0"/>
      <w:marBottom w:val="0"/>
      <w:divBdr>
        <w:top w:val="none" w:sz="0" w:space="0" w:color="auto"/>
        <w:left w:val="none" w:sz="0" w:space="0" w:color="auto"/>
        <w:bottom w:val="none" w:sz="0" w:space="0" w:color="auto"/>
        <w:right w:val="none" w:sz="0" w:space="0" w:color="auto"/>
      </w:divBdr>
    </w:div>
    <w:div w:id="224881880">
      <w:bodyDiv w:val="1"/>
      <w:marLeft w:val="0"/>
      <w:marRight w:val="0"/>
      <w:marTop w:val="0"/>
      <w:marBottom w:val="0"/>
      <w:divBdr>
        <w:top w:val="none" w:sz="0" w:space="0" w:color="auto"/>
        <w:left w:val="none" w:sz="0" w:space="0" w:color="auto"/>
        <w:bottom w:val="none" w:sz="0" w:space="0" w:color="auto"/>
        <w:right w:val="none" w:sz="0" w:space="0" w:color="auto"/>
      </w:divBdr>
    </w:div>
    <w:div w:id="229849543">
      <w:bodyDiv w:val="1"/>
      <w:marLeft w:val="0"/>
      <w:marRight w:val="0"/>
      <w:marTop w:val="0"/>
      <w:marBottom w:val="0"/>
      <w:divBdr>
        <w:top w:val="none" w:sz="0" w:space="0" w:color="auto"/>
        <w:left w:val="none" w:sz="0" w:space="0" w:color="auto"/>
        <w:bottom w:val="none" w:sz="0" w:space="0" w:color="auto"/>
        <w:right w:val="none" w:sz="0" w:space="0" w:color="auto"/>
      </w:divBdr>
    </w:div>
    <w:div w:id="429550776">
      <w:bodyDiv w:val="1"/>
      <w:marLeft w:val="0"/>
      <w:marRight w:val="0"/>
      <w:marTop w:val="0"/>
      <w:marBottom w:val="0"/>
      <w:divBdr>
        <w:top w:val="none" w:sz="0" w:space="0" w:color="auto"/>
        <w:left w:val="none" w:sz="0" w:space="0" w:color="auto"/>
        <w:bottom w:val="none" w:sz="0" w:space="0" w:color="auto"/>
        <w:right w:val="none" w:sz="0" w:space="0" w:color="auto"/>
      </w:divBdr>
    </w:div>
    <w:div w:id="512575061">
      <w:bodyDiv w:val="1"/>
      <w:marLeft w:val="0"/>
      <w:marRight w:val="0"/>
      <w:marTop w:val="0"/>
      <w:marBottom w:val="0"/>
      <w:divBdr>
        <w:top w:val="none" w:sz="0" w:space="0" w:color="auto"/>
        <w:left w:val="none" w:sz="0" w:space="0" w:color="auto"/>
        <w:bottom w:val="none" w:sz="0" w:space="0" w:color="auto"/>
        <w:right w:val="none" w:sz="0" w:space="0" w:color="auto"/>
      </w:divBdr>
    </w:div>
    <w:div w:id="520709542">
      <w:bodyDiv w:val="1"/>
      <w:marLeft w:val="0"/>
      <w:marRight w:val="0"/>
      <w:marTop w:val="0"/>
      <w:marBottom w:val="0"/>
      <w:divBdr>
        <w:top w:val="none" w:sz="0" w:space="0" w:color="auto"/>
        <w:left w:val="none" w:sz="0" w:space="0" w:color="auto"/>
        <w:bottom w:val="none" w:sz="0" w:space="0" w:color="auto"/>
        <w:right w:val="none" w:sz="0" w:space="0" w:color="auto"/>
      </w:divBdr>
    </w:div>
    <w:div w:id="853344766">
      <w:bodyDiv w:val="1"/>
      <w:marLeft w:val="0"/>
      <w:marRight w:val="0"/>
      <w:marTop w:val="0"/>
      <w:marBottom w:val="0"/>
      <w:divBdr>
        <w:top w:val="none" w:sz="0" w:space="0" w:color="auto"/>
        <w:left w:val="none" w:sz="0" w:space="0" w:color="auto"/>
        <w:bottom w:val="none" w:sz="0" w:space="0" w:color="auto"/>
        <w:right w:val="none" w:sz="0" w:space="0" w:color="auto"/>
      </w:divBdr>
    </w:div>
    <w:div w:id="1023558432">
      <w:bodyDiv w:val="1"/>
      <w:marLeft w:val="0"/>
      <w:marRight w:val="0"/>
      <w:marTop w:val="0"/>
      <w:marBottom w:val="0"/>
      <w:divBdr>
        <w:top w:val="none" w:sz="0" w:space="0" w:color="auto"/>
        <w:left w:val="none" w:sz="0" w:space="0" w:color="auto"/>
        <w:bottom w:val="none" w:sz="0" w:space="0" w:color="auto"/>
        <w:right w:val="none" w:sz="0" w:space="0" w:color="auto"/>
      </w:divBdr>
      <w:divsChild>
        <w:div w:id="1407652971">
          <w:marLeft w:val="1123"/>
          <w:marRight w:val="0"/>
          <w:marTop w:val="96"/>
          <w:marBottom w:val="0"/>
          <w:divBdr>
            <w:top w:val="none" w:sz="0" w:space="0" w:color="auto"/>
            <w:left w:val="none" w:sz="0" w:space="0" w:color="auto"/>
            <w:bottom w:val="none" w:sz="0" w:space="0" w:color="auto"/>
            <w:right w:val="none" w:sz="0" w:space="0" w:color="auto"/>
          </w:divBdr>
        </w:div>
        <w:div w:id="1336372555">
          <w:marLeft w:val="1123"/>
          <w:marRight w:val="0"/>
          <w:marTop w:val="96"/>
          <w:marBottom w:val="0"/>
          <w:divBdr>
            <w:top w:val="none" w:sz="0" w:space="0" w:color="auto"/>
            <w:left w:val="none" w:sz="0" w:space="0" w:color="auto"/>
            <w:bottom w:val="none" w:sz="0" w:space="0" w:color="auto"/>
            <w:right w:val="none" w:sz="0" w:space="0" w:color="auto"/>
          </w:divBdr>
        </w:div>
        <w:div w:id="1975451783">
          <w:marLeft w:val="1123"/>
          <w:marRight w:val="0"/>
          <w:marTop w:val="96"/>
          <w:marBottom w:val="0"/>
          <w:divBdr>
            <w:top w:val="none" w:sz="0" w:space="0" w:color="auto"/>
            <w:left w:val="none" w:sz="0" w:space="0" w:color="auto"/>
            <w:bottom w:val="none" w:sz="0" w:space="0" w:color="auto"/>
            <w:right w:val="none" w:sz="0" w:space="0" w:color="auto"/>
          </w:divBdr>
        </w:div>
      </w:divsChild>
    </w:div>
    <w:div w:id="1029263801">
      <w:bodyDiv w:val="1"/>
      <w:marLeft w:val="0"/>
      <w:marRight w:val="0"/>
      <w:marTop w:val="0"/>
      <w:marBottom w:val="0"/>
      <w:divBdr>
        <w:top w:val="none" w:sz="0" w:space="0" w:color="auto"/>
        <w:left w:val="none" w:sz="0" w:space="0" w:color="auto"/>
        <w:bottom w:val="none" w:sz="0" w:space="0" w:color="auto"/>
        <w:right w:val="none" w:sz="0" w:space="0" w:color="auto"/>
      </w:divBdr>
    </w:div>
    <w:div w:id="1053384922">
      <w:bodyDiv w:val="1"/>
      <w:marLeft w:val="0"/>
      <w:marRight w:val="0"/>
      <w:marTop w:val="0"/>
      <w:marBottom w:val="0"/>
      <w:divBdr>
        <w:top w:val="none" w:sz="0" w:space="0" w:color="auto"/>
        <w:left w:val="none" w:sz="0" w:space="0" w:color="auto"/>
        <w:bottom w:val="none" w:sz="0" w:space="0" w:color="auto"/>
        <w:right w:val="none" w:sz="0" w:space="0" w:color="auto"/>
      </w:divBdr>
    </w:div>
    <w:div w:id="1056707709">
      <w:bodyDiv w:val="1"/>
      <w:marLeft w:val="0"/>
      <w:marRight w:val="0"/>
      <w:marTop w:val="0"/>
      <w:marBottom w:val="0"/>
      <w:divBdr>
        <w:top w:val="none" w:sz="0" w:space="0" w:color="auto"/>
        <w:left w:val="none" w:sz="0" w:space="0" w:color="auto"/>
        <w:bottom w:val="none" w:sz="0" w:space="0" w:color="auto"/>
        <w:right w:val="none" w:sz="0" w:space="0" w:color="auto"/>
      </w:divBdr>
    </w:div>
    <w:div w:id="1155950250">
      <w:bodyDiv w:val="1"/>
      <w:marLeft w:val="0"/>
      <w:marRight w:val="0"/>
      <w:marTop w:val="0"/>
      <w:marBottom w:val="0"/>
      <w:divBdr>
        <w:top w:val="none" w:sz="0" w:space="0" w:color="auto"/>
        <w:left w:val="none" w:sz="0" w:space="0" w:color="auto"/>
        <w:bottom w:val="none" w:sz="0" w:space="0" w:color="auto"/>
        <w:right w:val="none" w:sz="0" w:space="0" w:color="auto"/>
      </w:divBdr>
    </w:div>
    <w:div w:id="1160775239">
      <w:bodyDiv w:val="1"/>
      <w:marLeft w:val="0"/>
      <w:marRight w:val="0"/>
      <w:marTop w:val="0"/>
      <w:marBottom w:val="0"/>
      <w:divBdr>
        <w:top w:val="none" w:sz="0" w:space="0" w:color="auto"/>
        <w:left w:val="none" w:sz="0" w:space="0" w:color="auto"/>
        <w:bottom w:val="none" w:sz="0" w:space="0" w:color="auto"/>
        <w:right w:val="none" w:sz="0" w:space="0" w:color="auto"/>
      </w:divBdr>
    </w:div>
    <w:div w:id="1183938725">
      <w:bodyDiv w:val="1"/>
      <w:marLeft w:val="0"/>
      <w:marRight w:val="0"/>
      <w:marTop w:val="0"/>
      <w:marBottom w:val="0"/>
      <w:divBdr>
        <w:top w:val="none" w:sz="0" w:space="0" w:color="auto"/>
        <w:left w:val="none" w:sz="0" w:space="0" w:color="auto"/>
        <w:bottom w:val="none" w:sz="0" w:space="0" w:color="auto"/>
        <w:right w:val="none" w:sz="0" w:space="0" w:color="auto"/>
      </w:divBdr>
    </w:div>
    <w:div w:id="1402824611">
      <w:bodyDiv w:val="1"/>
      <w:marLeft w:val="0"/>
      <w:marRight w:val="0"/>
      <w:marTop w:val="0"/>
      <w:marBottom w:val="0"/>
      <w:divBdr>
        <w:top w:val="none" w:sz="0" w:space="0" w:color="auto"/>
        <w:left w:val="none" w:sz="0" w:space="0" w:color="auto"/>
        <w:bottom w:val="none" w:sz="0" w:space="0" w:color="auto"/>
        <w:right w:val="none" w:sz="0" w:space="0" w:color="auto"/>
      </w:divBdr>
    </w:div>
    <w:div w:id="1407875179">
      <w:bodyDiv w:val="1"/>
      <w:marLeft w:val="0"/>
      <w:marRight w:val="0"/>
      <w:marTop w:val="0"/>
      <w:marBottom w:val="0"/>
      <w:divBdr>
        <w:top w:val="none" w:sz="0" w:space="0" w:color="auto"/>
        <w:left w:val="none" w:sz="0" w:space="0" w:color="auto"/>
        <w:bottom w:val="none" w:sz="0" w:space="0" w:color="auto"/>
        <w:right w:val="none" w:sz="0" w:space="0" w:color="auto"/>
      </w:divBdr>
    </w:div>
    <w:div w:id="1492134023">
      <w:bodyDiv w:val="1"/>
      <w:marLeft w:val="0"/>
      <w:marRight w:val="0"/>
      <w:marTop w:val="0"/>
      <w:marBottom w:val="0"/>
      <w:divBdr>
        <w:top w:val="none" w:sz="0" w:space="0" w:color="auto"/>
        <w:left w:val="none" w:sz="0" w:space="0" w:color="auto"/>
        <w:bottom w:val="none" w:sz="0" w:space="0" w:color="auto"/>
        <w:right w:val="none" w:sz="0" w:space="0" w:color="auto"/>
      </w:divBdr>
    </w:div>
    <w:div w:id="1517383535">
      <w:bodyDiv w:val="1"/>
      <w:marLeft w:val="0"/>
      <w:marRight w:val="0"/>
      <w:marTop w:val="0"/>
      <w:marBottom w:val="0"/>
      <w:divBdr>
        <w:top w:val="none" w:sz="0" w:space="0" w:color="auto"/>
        <w:left w:val="none" w:sz="0" w:space="0" w:color="auto"/>
        <w:bottom w:val="none" w:sz="0" w:space="0" w:color="auto"/>
        <w:right w:val="none" w:sz="0" w:space="0" w:color="auto"/>
      </w:divBdr>
    </w:div>
    <w:div w:id="1588731521">
      <w:bodyDiv w:val="1"/>
      <w:marLeft w:val="0"/>
      <w:marRight w:val="0"/>
      <w:marTop w:val="0"/>
      <w:marBottom w:val="0"/>
      <w:divBdr>
        <w:top w:val="none" w:sz="0" w:space="0" w:color="auto"/>
        <w:left w:val="none" w:sz="0" w:space="0" w:color="auto"/>
        <w:bottom w:val="none" w:sz="0" w:space="0" w:color="auto"/>
        <w:right w:val="none" w:sz="0" w:space="0" w:color="auto"/>
      </w:divBdr>
    </w:div>
    <w:div w:id="1662806517">
      <w:bodyDiv w:val="1"/>
      <w:marLeft w:val="0"/>
      <w:marRight w:val="0"/>
      <w:marTop w:val="0"/>
      <w:marBottom w:val="0"/>
      <w:divBdr>
        <w:top w:val="none" w:sz="0" w:space="0" w:color="auto"/>
        <w:left w:val="none" w:sz="0" w:space="0" w:color="auto"/>
        <w:bottom w:val="none" w:sz="0" w:space="0" w:color="auto"/>
        <w:right w:val="none" w:sz="0" w:space="0" w:color="auto"/>
      </w:divBdr>
    </w:div>
    <w:div w:id="1789470989">
      <w:bodyDiv w:val="1"/>
      <w:marLeft w:val="0"/>
      <w:marRight w:val="0"/>
      <w:marTop w:val="0"/>
      <w:marBottom w:val="0"/>
      <w:divBdr>
        <w:top w:val="none" w:sz="0" w:space="0" w:color="auto"/>
        <w:left w:val="none" w:sz="0" w:space="0" w:color="auto"/>
        <w:bottom w:val="none" w:sz="0" w:space="0" w:color="auto"/>
        <w:right w:val="none" w:sz="0" w:space="0" w:color="auto"/>
      </w:divBdr>
    </w:div>
    <w:div w:id="180626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microsoft.com/office/2016/09/relationships/commentsIds" Target="commentsIds.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2.xml"/><Relationship Id="rId22" Type="http://schemas.openxmlformats.org/officeDocument/2006/relationships/chart" Target="charts/chart3.xml"/><Relationship Id="rId27" Type="http://schemas.microsoft.com/office/2018/08/relationships/commentsExtensible" Target="commentsExtensible.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title/>
    <c:plotArea>
      <c:layout/>
      <c:pieChart>
        <c:varyColors val="1"/>
        <c:ser>
          <c:idx val="0"/>
          <c:order val="0"/>
          <c:tx>
            <c:strRef>
              <c:f>Sheet1!$B$1</c:f>
              <c:strCache>
                <c:ptCount val="1"/>
                <c:pt idx="0">
                  <c:v>Countries</c:v>
                </c:pt>
              </c:strCache>
            </c:strRef>
          </c:tx>
          <c:dLbls>
            <c:showCatName val="1"/>
            <c:showPercent val="1"/>
          </c:dLbls>
          <c:cat>
            <c:strRef>
              <c:f>Sheet1!$A$2:$A$21</c:f>
              <c:strCache>
                <c:ptCount val="20"/>
                <c:pt idx="0">
                  <c:v>Malaysia</c:v>
                </c:pt>
                <c:pt idx="1">
                  <c:v>Indonesia</c:v>
                </c:pt>
                <c:pt idx="2">
                  <c:v>United Kingdom</c:v>
                </c:pt>
                <c:pt idx="3">
                  <c:v>United States</c:v>
                </c:pt>
                <c:pt idx="4">
                  <c:v>Spain</c:v>
                </c:pt>
                <c:pt idx="5">
                  <c:v>India</c:v>
                </c:pt>
                <c:pt idx="6">
                  <c:v>Russian Federation</c:v>
                </c:pt>
                <c:pt idx="7">
                  <c:v>South Africa</c:v>
                </c:pt>
                <c:pt idx="8">
                  <c:v>China</c:v>
                </c:pt>
                <c:pt idx="9">
                  <c:v>Iran</c:v>
                </c:pt>
                <c:pt idx="10">
                  <c:v>Germany</c:v>
                </c:pt>
                <c:pt idx="11">
                  <c:v>Netherlands</c:v>
                </c:pt>
                <c:pt idx="12">
                  <c:v>Nigeria</c:v>
                </c:pt>
                <c:pt idx="13">
                  <c:v>Australia</c:v>
                </c:pt>
                <c:pt idx="14">
                  <c:v>Belgium</c:v>
                </c:pt>
                <c:pt idx="15">
                  <c:v>Finland</c:v>
                </c:pt>
                <c:pt idx="16">
                  <c:v>Italy</c:v>
                </c:pt>
                <c:pt idx="17">
                  <c:v>Sweden</c:v>
                </c:pt>
                <c:pt idx="18">
                  <c:v>Poland</c:v>
                </c:pt>
                <c:pt idx="19">
                  <c:v>Portugal</c:v>
                </c:pt>
              </c:strCache>
            </c:strRef>
          </c:cat>
          <c:val>
            <c:numRef>
              <c:f>Sheet1!$B$2:$B$21</c:f>
              <c:numCache>
                <c:formatCode>General</c:formatCode>
                <c:ptCount val="20"/>
                <c:pt idx="0">
                  <c:v>48</c:v>
                </c:pt>
                <c:pt idx="1">
                  <c:v>38</c:v>
                </c:pt>
                <c:pt idx="2">
                  <c:v>38</c:v>
                </c:pt>
                <c:pt idx="3">
                  <c:v>32</c:v>
                </c:pt>
                <c:pt idx="4">
                  <c:v>27</c:v>
                </c:pt>
                <c:pt idx="5">
                  <c:v>22</c:v>
                </c:pt>
                <c:pt idx="6">
                  <c:v>21</c:v>
                </c:pt>
                <c:pt idx="7">
                  <c:v>15</c:v>
                </c:pt>
                <c:pt idx="8">
                  <c:v>13</c:v>
                </c:pt>
                <c:pt idx="9">
                  <c:v>13</c:v>
                </c:pt>
                <c:pt idx="10">
                  <c:v>12</c:v>
                </c:pt>
                <c:pt idx="11">
                  <c:v>12</c:v>
                </c:pt>
                <c:pt idx="12">
                  <c:v>12</c:v>
                </c:pt>
                <c:pt idx="13">
                  <c:v>10</c:v>
                </c:pt>
                <c:pt idx="14">
                  <c:v>10</c:v>
                </c:pt>
                <c:pt idx="15">
                  <c:v>9</c:v>
                </c:pt>
                <c:pt idx="16">
                  <c:v>9</c:v>
                </c:pt>
                <c:pt idx="17">
                  <c:v>9</c:v>
                </c:pt>
                <c:pt idx="18">
                  <c:v>8</c:v>
                </c:pt>
                <c:pt idx="19">
                  <c:v>8</c:v>
                </c:pt>
              </c:numCache>
            </c:numRef>
          </c:val>
          <c:extLst xmlns:c16r2="http://schemas.microsoft.com/office/drawing/2015/06/chart">
            <c:ext xmlns:c16="http://schemas.microsoft.com/office/drawing/2014/chart" uri="{C3380CC4-5D6E-409C-BE32-E72D297353CC}">
              <c16:uniqueId val="{00000000-5093-46A1-B581-605806127A4E}"/>
            </c:ext>
          </c:extLst>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US"/>
              <a:t>Affiliation</a:t>
            </a:r>
          </a:p>
        </c:rich>
      </c:tx>
    </c:title>
    <c:plotArea>
      <c:layout/>
      <c:pieChart>
        <c:varyColors val="1"/>
        <c:ser>
          <c:idx val="0"/>
          <c:order val="0"/>
          <c:tx>
            <c:strRef>
              <c:f>Sheet1!$B$1</c:f>
              <c:strCache>
                <c:ptCount val="1"/>
                <c:pt idx="0">
                  <c:v>Afflicatation</c:v>
                </c:pt>
              </c:strCache>
            </c:strRef>
          </c:tx>
          <c:dLbls>
            <c:spPr>
              <a:noFill/>
              <a:ln>
                <a:noFill/>
              </a:ln>
              <a:effectLst/>
            </c:spPr>
            <c:txPr>
              <a:bodyPr/>
              <a:lstStyle/>
              <a:p>
                <a:pPr>
                  <a:defRPr lang="en-US"/>
                </a:pPr>
                <a:endParaRPr lang="en-US"/>
              </a:p>
            </c:txPr>
            <c:showCatName val="1"/>
            <c:showPercent val="1"/>
            <c:extLst xmlns:c16r2="http://schemas.microsoft.com/office/drawing/2015/06/chart">
              <c:ext xmlns:c15="http://schemas.microsoft.com/office/drawing/2012/chart" uri="{CE6537A1-D6FC-4f65-9D91-7224C49458BB}"/>
            </c:extLst>
          </c:dLbls>
          <c:cat>
            <c:strRef>
              <c:f>Sheet1!$A$2:$A$11</c:f>
              <c:strCache>
                <c:ptCount val="10"/>
                <c:pt idx="0">
                  <c:v>Universiti Sains Malaysia</c:v>
                </c:pt>
                <c:pt idx="1">
                  <c:v>Universiti Malaysia Kelantan</c:v>
                </c:pt>
                <c:pt idx="2">
                  <c:v>University of Tehran</c:v>
                </c:pt>
                <c:pt idx="3">
                  <c:v>University of Pretoria</c:v>
                </c:pt>
                <c:pt idx="4">
                  <c:v>Institut Teknologi Bandung</c:v>
                </c:pt>
                <c:pt idx="5">
                  <c:v>Universiteit Gent</c:v>
                </c:pt>
                <c:pt idx="6">
                  <c:v>Covenant University</c:v>
                </c:pt>
                <c:pt idx="7">
                  <c:v>Chalmers University of Technology</c:v>
                </c:pt>
                <c:pt idx="8">
                  <c:v>Universiti Utara Malaysia</c:v>
                </c:pt>
                <c:pt idx="9">
                  <c:v>Wageningen University &amp; Research</c:v>
                </c:pt>
              </c:strCache>
            </c:strRef>
          </c:cat>
          <c:val>
            <c:numRef>
              <c:f>Sheet1!$B$2:$B$11</c:f>
              <c:numCache>
                <c:formatCode>General</c:formatCode>
                <c:ptCount val="10"/>
                <c:pt idx="0">
                  <c:v>13</c:v>
                </c:pt>
                <c:pt idx="1">
                  <c:v>12</c:v>
                </c:pt>
                <c:pt idx="2">
                  <c:v>9</c:v>
                </c:pt>
                <c:pt idx="3">
                  <c:v>7</c:v>
                </c:pt>
                <c:pt idx="4">
                  <c:v>7</c:v>
                </c:pt>
                <c:pt idx="5">
                  <c:v>6</c:v>
                </c:pt>
                <c:pt idx="6">
                  <c:v>5</c:v>
                </c:pt>
                <c:pt idx="7">
                  <c:v>4</c:v>
                </c:pt>
                <c:pt idx="8">
                  <c:v>4</c:v>
                </c:pt>
                <c:pt idx="9">
                  <c:v>4</c:v>
                </c:pt>
              </c:numCache>
            </c:numRef>
          </c:val>
          <c:extLst xmlns:c16r2="http://schemas.microsoft.com/office/drawing/2015/06/chart">
            <c:ext xmlns:c16="http://schemas.microsoft.com/office/drawing/2014/chart" uri="{C3380CC4-5D6E-409C-BE32-E72D297353CC}">
              <c16:uniqueId val="{00000000-2E6E-489F-AEFF-D69986A412A3}"/>
            </c:ext>
          </c:extLst>
        </c:ser>
        <c:dLbls>
          <c:showCatName val="1"/>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US"/>
              <a:t>Prolific</a:t>
            </a:r>
            <a:r>
              <a:rPr lang="en-US" baseline="0"/>
              <a:t> Countries</a:t>
            </a:r>
            <a:endParaRPr lang="en-US"/>
          </a:p>
        </c:rich>
      </c:tx>
    </c:title>
    <c:plotArea>
      <c:layout/>
      <c:pieChart>
        <c:varyColors val="1"/>
        <c:ser>
          <c:idx val="0"/>
          <c:order val="0"/>
          <c:tx>
            <c:strRef>
              <c:f>Sheet1!$B$1</c:f>
              <c:strCache>
                <c:ptCount val="1"/>
                <c:pt idx="0">
                  <c:v>Sales</c:v>
                </c:pt>
              </c:strCache>
            </c:strRef>
          </c:tx>
          <c:dLbls>
            <c:spPr>
              <a:noFill/>
              <a:ln>
                <a:noFill/>
              </a:ln>
              <a:effectLst/>
            </c:spPr>
            <c:txPr>
              <a:bodyPr/>
              <a:lstStyle/>
              <a:p>
                <a:pPr>
                  <a:defRPr lang="en-US"/>
                </a:pPr>
                <a:endParaRPr lang="en-US"/>
              </a:p>
            </c:txPr>
            <c:showCatName val="1"/>
            <c:showPercent val="1"/>
            <c:extLst xmlns:c16r2="http://schemas.microsoft.com/office/drawing/2015/06/chart">
              <c:ext xmlns:c15="http://schemas.microsoft.com/office/drawing/2012/chart" uri="{CE6537A1-D6FC-4f65-9D91-7224C49458BB}"/>
            </c:extLst>
          </c:dLbls>
          <c:cat>
            <c:strRef>
              <c:f>Sheet1!$A$2:$A$21</c:f>
              <c:strCache>
                <c:ptCount val="20"/>
                <c:pt idx="0">
                  <c:v>United States</c:v>
                </c:pt>
                <c:pt idx="1">
                  <c:v>United Kingdom</c:v>
                </c:pt>
                <c:pt idx="2">
                  <c:v>Canada</c:v>
                </c:pt>
                <c:pt idx="3">
                  <c:v>Australia</c:v>
                </c:pt>
                <c:pt idx="4">
                  <c:v>China</c:v>
                </c:pt>
                <c:pt idx="5">
                  <c:v>Germany</c:v>
                </c:pt>
                <c:pt idx="6">
                  <c:v>Italy</c:v>
                </c:pt>
                <c:pt idx="7">
                  <c:v>Hong Kong</c:v>
                </c:pt>
                <c:pt idx="8">
                  <c:v>Israel</c:v>
                </c:pt>
                <c:pt idx="9">
                  <c:v>Japan</c:v>
                </c:pt>
                <c:pt idx="10">
                  <c:v>Netherlands</c:v>
                </c:pt>
                <c:pt idx="11">
                  <c:v>New Zealand</c:v>
                </c:pt>
                <c:pt idx="12">
                  <c:v>India</c:v>
                </c:pt>
                <c:pt idx="13">
                  <c:v>Norway</c:v>
                </c:pt>
                <c:pt idx="14">
                  <c:v>Indonesia</c:v>
                </c:pt>
                <c:pt idx="15">
                  <c:v>Thailand</c:v>
                </c:pt>
                <c:pt idx="16">
                  <c:v>Egypt</c:v>
                </c:pt>
                <c:pt idx="17">
                  <c:v>Greece</c:v>
                </c:pt>
                <c:pt idx="18">
                  <c:v>Poland</c:v>
                </c:pt>
                <c:pt idx="19">
                  <c:v>Sweden</c:v>
                </c:pt>
              </c:strCache>
            </c:strRef>
          </c:cat>
          <c:val>
            <c:numRef>
              <c:f>Sheet1!$B$2:$B$21</c:f>
              <c:numCache>
                <c:formatCode>General</c:formatCode>
                <c:ptCount val="20"/>
                <c:pt idx="0">
                  <c:v>157</c:v>
                </c:pt>
                <c:pt idx="1">
                  <c:v>38</c:v>
                </c:pt>
                <c:pt idx="2">
                  <c:v>33</c:v>
                </c:pt>
                <c:pt idx="3">
                  <c:v>29</c:v>
                </c:pt>
                <c:pt idx="4">
                  <c:v>19</c:v>
                </c:pt>
                <c:pt idx="5">
                  <c:v>15</c:v>
                </c:pt>
                <c:pt idx="6">
                  <c:v>13</c:v>
                </c:pt>
                <c:pt idx="7">
                  <c:v>10</c:v>
                </c:pt>
                <c:pt idx="8">
                  <c:v>9</c:v>
                </c:pt>
                <c:pt idx="9">
                  <c:v>8</c:v>
                </c:pt>
                <c:pt idx="10">
                  <c:v>8</c:v>
                </c:pt>
                <c:pt idx="11">
                  <c:v>8</c:v>
                </c:pt>
                <c:pt idx="12">
                  <c:v>7</c:v>
                </c:pt>
                <c:pt idx="13">
                  <c:v>7</c:v>
                </c:pt>
                <c:pt idx="14">
                  <c:v>5</c:v>
                </c:pt>
                <c:pt idx="15">
                  <c:v>5</c:v>
                </c:pt>
                <c:pt idx="16">
                  <c:v>4</c:v>
                </c:pt>
                <c:pt idx="17">
                  <c:v>4</c:v>
                </c:pt>
                <c:pt idx="18">
                  <c:v>4</c:v>
                </c:pt>
                <c:pt idx="19">
                  <c:v>4</c:v>
                </c:pt>
              </c:numCache>
            </c:numRef>
          </c:val>
          <c:extLst xmlns:c16r2="http://schemas.microsoft.com/office/drawing/2015/06/chart">
            <c:ext xmlns:c16="http://schemas.microsoft.com/office/drawing/2014/chart" uri="{C3380CC4-5D6E-409C-BE32-E72D297353CC}">
              <c16:uniqueId val="{00000000-8EBB-400B-90A4-C4E8CE02E327}"/>
            </c:ext>
          </c:extLst>
        </c:ser>
        <c:dLbls>
          <c:showCatName val="1"/>
          <c:showPercent val="1"/>
        </c:dLbls>
        <c:firstSliceAng val="0"/>
      </c:pie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pieChart>
        <c:varyColors val="1"/>
        <c:ser>
          <c:idx val="0"/>
          <c:order val="0"/>
          <c:tx>
            <c:strRef>
              <c:f>Sheet1!$B$1</c:f>
              <c:strCache>
                <c:ptCount val="1"/>
                <c:pt idx="0">
                  <c:v>Afflication</c:v>
                </c:pt>
              </c:strCache>
            </c:strRef>
          </c:tx>
          <c:dLbls>
            <c:spPr>
              <a:noFill/>
              <a:ln>
                <a:noFill/>
              </a:ln>
              <a:effectLst/>
            </c:spPr>
            <c:txPr>
              <a:bodyPr/>
              <a:lstStyle/>
              <a:p>
                <a:pPr>
                  <a:defRPr lang="en-US"/>
                </a:pPr>
                <a:endParaRPr lang="en-US"/>
              </a:p>
            </c:txPr>
            <c:showVal val="1"/>
            <c:showCatName val="1"/>
            <c:extLst xmlns:c16r2="http://schemas.microsoft.com/office/drawing/2015/06/chart">
              <c:ext xmlns:c15="http://schemas.microsoft.com/office/drawing/2012/chart" uri="{CE6537A1-D6FC-4f65-9D91-7224C49458BB}"/>
            </c:extLst>
          </c:dLbls>
          <c:cat>
            <c:strRef>
              <c:f>Sheet1!$A$2:$A$21</c:f>
              <c:strCache>
                <c:ptCount val="20"/>
                <c:pt idx="0">
                  <c:v>Lehigh University</c:v>
                </c:pt>
                <c:pt idx="1">
                  <c:v>Pennsylvania State University</c:v>
                </c:pt>
                <c:pt idx="2">
                  <c:v>University of Pennsylvania</c:v>
                </c:pt>
                <c:pt idx="3">
                  <c:v>University of Toronto</c:v>
                </c:pt>
                <c:pt idx="4">
                  <c:v>National Institutes of Health NIH</c:v>
                </c:pt>
                <c:pt idx="5">
                  <c:v>King's College London</c:v>
                </c:pt>
                <c:pt idx="6">
                  <c:v>University of Denver</c:v>
                </c:pt>
                <c:pt idx="7">
                  <c:v>National Institute on Alcohol Abuse and Alcoholism NIAAA</c:v>
                </c:pt>
                <c:pt idx="8">
                  <c:v>Virginia Commonwealth University</c:v>
                </c:pt>
                <c:pt idx="9">
                  <c:v>Hong Kong Polytechnic University</c:v>
                </c:pt>
                <c:pt idx="10">
                  <c:v>VA Medical Center</c:v>
                </c:pt>
                <c:pt idx="11">
                  <c:v>Dalhousie University</c:v>
                </c:pt>
                <c:pt idx="12">
                  <c:v>The University of North Carolina at Chapel Hill</c:v>
                </c:pt>
                <c:pt idx="13">
                  <c:v>University of Michigan, Ann Arbor</c:v>
                </c:pt>
                <c:pt idx="14">
                  <c:v>Ben-Gurion University of the Negev</c:v>
                </c:pt>
                <c:pt idx="15">
                  <c:v>University of Minnesota Twin Cities</c:v>
                </c:pt>
                <c:pt idx="16">
                  <c:v>Columbia University</c:v>
                </c:pt>
                <c:pt idx="17">
                  <c:v>The University of Manchester</c:v>
                </c:pt>
                <c:pt idx="18">
                  <c:v>Arizona State University</c:v>
                </c:pt>
                <c:pt idx="19">
                  <c:v>Massey University</c:v>
                </c:pt>
              </c:strCache>
            </c:strRef>
          </c:cat>
          <c:val>
            <c:numRef>
              <c:f>Sheet1!$B$2:$B$21</c:f>
              <c:numCache>
                <c:formatCode>General</c:formatCode>
                <c:ptCount val="20"/>
                <c:pt idx="0">
                  <c:v>9</c:v>
                </c:pt>
                <c:pt idx="1">
                  <c:v>7</c:v>
                </c:pt>
                <c:pt idx="2">
                  <c:v>7</c:v>
                </c:pt>
                <c:pt idx="3">
                  <c:v>7</c:v>
                </c:pt>
                <c:pt idx="4">
                  <c:v>6</c:v>
                </c:pt>
                <c:pt idx="5">
                  <c:v>6</c:v>
                </c:pt>
                <c:pt idx="6">
                  <c:v>6</c:v>
                </c:pt>
                <c:pt idx="7">
                  <c:v>6</c:v>
                </c:pt>
                <c:pt idx="8">
                  <c:v>5</c:v>
                </c:pt>
                <c:pt idx="9">
                  <c:v>5</c:v>
                </c:pt>
                <c:pt idx="10">
                  <c:v>5</c:v>
                </c:pt>
                <c:pt idx="11">
                  <c:v>5</c:v>
                </c:pt>
                <c:pt idx="12">
                  <c:v>5</c:v>
                </c:pt>
                <c:pt idx="13">
                  <c:v>5</c:v>
                </c:pt>
                <c:pt idx="14">
                  <c:v>5</c:v>
                </c:pt>
                <c:pt idx="15">
                  <c:v>5</c:v>
                </c:pt>
                <c:pt idx="16">
                  <c:v>5</c:v>
                </c:pt>
                <c:pt idx="17">
                  <c:v>4</c:v>
                </c:pt>
                <c:pt idx="18">
                  <c:v>4</c:v>
                </c:pt>
                <c:pt idx="19">
                  <c:v>4</c:v>
                </c:pt>
              </c:numCache>
            </c:numRef>
          </c:val>
          <c:extLst xmlns:c16r2="http://schemas.microsoft.com/office/drawing/2015/06/chart">
            <c:ext xmlns:c16="http://schemas.microsoft.com/office/drawing/2014/chart" uri="{C3380CC4-5D6E-409C-BE32-E72D297353CC}">
              <c16:uniqueId val="{00000000-EC4E-4DC0-B714-329DFF7A8B8B}"/>
            </c:ext>
          </c:extLst>
        </c:ser>
        <c:dLbls>
          <c:showVal val="1"/>
          <c:showCatName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9B1A5-665E-425A-9B5C-7944BFEE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27</Pages>
  <Words>14728</Words>
  <Characters>83950</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34</cp:revision>
  <dcterms:created xsi:type="dcterms:W3CDTF">2022-01-03T09:21:00Z</dcterms:created>
  <dcterms:modified xsi:type="dcterms:W3CDTF">2023-08-24T13:37:00Z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1d47d08c-60dc-3f77-8e4a-5e3a3633e188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