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416E0" w14:textId="1478E62B" w:rsidR="001E6B45" w:rsidRPr="001E6B45" w:rsidRDefault="001E6B45" w:rsidP="001E6B45">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b/>
          <w:bCs/>
          <w:sz w:val="28"/>
          <w:szCs w:val="28"/>
        </w:rPr>
      </w:pPr>
      <w:r w:rsidRPr="001E6B45">
        <w:rPr>
          <w:b/>
          <w:bCs/>
          <w:sz w:val="28"/>
          <w:szCs w:val="28"/>
        </w:rPr>
        <w:t>"Futuristic Trends in Medical Sciences</w:t>
      </w:r>
      <w:r w:rsidR="00881A34">
        <w:rPr>
          <w:b/>
          <w:bCs/>
          <w:sz w:val="28"/>
          <w:szCs w:val="28"/>
        </w:rPr>
        <w:t xml:space="preserve"> : An Overview ” </w:t>
      </w:r>
    </w:p>
    <w:p w14:paraId="007E0CC6" w14:textId="230CB54D" w:rsidR="00707D1B" w:rsidRPr="001E6B45" w:rsidRDefault="00707D1B" w:rsidP="00707D1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b/>
          <w:bCs/>
          <w:sz w:val="28"/>
          <w:szCs w:val="28"/>
        </w:rPr>
      </w:pPr>
      <w:r w:rsidRPr="001E6B45">
        <w:rPr>
          <w:b/>
          <w:bCs/>
          <w:sz w:val="28"/>
          <w:szCs w:val="28"/>
        </w:rPr>
        <w:t>Preface:</w:t>
      </w:r>
    </w:p>
    <w:p w14:paraId="7EBCB4CF" w14:textId="52E27238"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Welcome to "Futuristic Trends in Medical Sciences." This book </w:t>
      </w:r>
      <w:r w:rsidR="00881A34">
        <w:t xml:space="preserve">chapters </w:t>
      </w:r>
      <w:r>
        <w:t>explores the exciting advancements, ground breaking technologies, and innovative approaches that are shaping the future of healthcare. As we stand at the forefront of a new era in medicine, where science fiction is becoming a reality, it is crucial to understand and embrace the transformative potential of these emerging trends. From artificial intelligence and robotics to regenerative medicine and telemedicine, this book aims to provide a comprehensive overview of the futuristic landscape in medical sciences. Join us on this captivating journey as we explore the possibilities that lie ahead and envision a future where healthcare is revolutionized to benefit all humankind.</w:t>
      </w:r>
    </w:p>
    <w:p w14:paraId="287161D6" w14:textId="77777777" w:rsidR="00707D1B" w:rsidRPr="001E6B45"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sz w:val="28"/>
          <w:szCs w:val="28"/>
        </w:rPr>
      </w:pPr>
      <w:r w:rsidRPr="001E6B45">
        <w:rPr>
          <w:b/>
          <w:bCs/>
          <w:sz w:val="28"/>
          <w:szCs w:val="28"/>
        </w:rPr>
        <w:t>Introduction:</w:t>
      </w:r>
    </w:p>
    <w:p w14:paraId="20C31EB1"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field of medical sciences is undergoing a remarkable transformation, fuelled by rapid advancements in technology, ground breaking research, and a deepening understanding of the intricacies of the human body. As we embark on this new chapter in the history of medicine, it is essential to recognize the transformative power of futuristic trends that are reshaping healthcare.</w:t>
      </w:r>
    </w:p>
    <w:p w14:paraId="787D3ED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This book, "Futuristic Trends in Medical Sciences," delves into the cutting-edge innovations and visionary concepts that are driving the future of healthcare. By examining a wide range of topics, from genomics and precision medicine to virtual reality and nanotechnology, we aim to shed light on the profound impact these trends will have on medical practice, patient care, and the overall healthcare ecosystem.</w:t>
      </w:r>
    </w:p>
    <w:p w14:paraId="77E1D14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chapters in this book are carefully curated to explore the forefront of medical sciences, showcasing the interdisciplinary nature of these advancements. We have gathered expert insights, research findings, and real-world examples to provide a comprehensive understanding of the futuristic trends shaping the future of healthcare.</w:t>
      </w:r>
    </w:p>
    <w:p w14:paraId="2D2713D2"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Our journey begins by examining the transformative potential of artificial intelligence (AI) and machine learning in healthcare. AI algorithms have the capability to </w:t>
      </w:r>
      <w:proofErr w:type="spellStart"/>
      <w:r>
        <w:t>analyze</w:t>
      </w:r>
      <w:proofErr w:type="spellEnd"/>
      <w:r>
        <w:t xml:space="preserve"> vast amounts of data, identify patterns, and make accurate predictions, leading to improved diagnostics, personalized treatment plans, and enhanced patient outcomes. We will explore the integration of AI in various medical specialties and its potential for revolutionizing clinical decision-making.</w:t>
      </w:r>
    </w:p>
    <w:p w14:paraId="4F30369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Next, we delve into the realm of robotics and automation in medicine. From surgical robots that enhance precision and minimize invasiveness to assistive robots that aid in rehabilitation and elderly care, robotics is poised to revolutionize medical procedures, patient care, and healthcare delivery. We will discuss the latest advancements in robotic technologies and their potential implications for the future.</w:t>
      </w:r>
    </w:p>
    <w:p w14:paraId="07AABD1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Advancements in genomics and personalized medicine are also shaping the future of healthcare. The ability to analyse an individual's genetic makeup and tailor medical interventions accordingly holds immense promise for more targeted therapies, disease </w:t>
      </w:r>
      <w:r>
        <w:lastRenderedPageBreak/>
        <w:t>prevention, and improved patient outcomes. We will explore the potential of precision medicine, genetic engineering, and gene editing techniques to transform the landscape of healthcare.</w:t>
      </w:r>
    </w:p>
    <w:p w14:paraId="3C23B481"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book will further explore futuristic trends in regenerative medicine, where the focus shifts from managing symptoms to restoring and regenerating damaged tissues and organs. Stem cell therapies, tissue engineering, and 3D printing hold great potential for addressing previously incurable conditions and revolutionizing the field of transplantation.</w:t>
      </w:r>
    </w:p>
    <w:p w14:paraId="40D07A5A"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We will also delve into the expanding realm of telemedicine and digital health. The convergence of technology and healthcare has opened up new avenues for remote patient monitoring, teleconsultations, and the democratization of healthcare access. We will examine the challenges and opportunities presented by telemedicine and explore the potential for connected health technologies to improve healthcare delivery and patient outcomes.</w:t>
      </w:r>
    </w:p>
    <w:p w14:paraId="18F29F19"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Finally, we will explore emerging technologies such as nanotechnology, virtual reality, and wearable devices, which are pushing the boundaries of medical innovation. These futuristic trends offer novel approaches to diagnostics, drug delivery, patient engagement, and immersive medical training.</w:t>
      </w:r>
    </w:p>
    <w:p w14:paraId="2ECE31B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As we embark on this journey into the future of medical sciences, it is essential to acknowledge the ethical, regulatory, and societal implications that accompany these advancements. We must address questions of privacy, data security, equity, and the responsible use of emerging technologies to ensure that these futuristic trends benefit all individuals, regardless of socioeconomic background or geographic location.</w:t>
      </w:r>
    </w:p>
    <w:p w14:paraId="0576CB43" w14:textId="7544FA0F"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pPr>
      <w:r>
        <w:t>We invite you to join us on this exploration of the extraordinary advancements and futuristic trends that are revolutionizing the field of medical sciences. Let us collectively envision a future where healthcare becomes more personalized, precise, accessible, and impactful. Together, we can shape a brighter future for healthcare, where innovative technologies and visionary approaches enhance the well-being of individuals and communities worldwide.</w:t>
      </w:r>
    </w:p>
    <w:p w14:paraId="1C7DED15" w14:textId="71AC070E" w:rsidR="00707D1B" w:rsidRDefault="00707D1B" w:rsidP="00707D1B">
      <w:r>
        <w:t xml:space="preserve"> </w:t>
      </w:r>
    </w:p>
    <w:p w14:paraId="04454D2E" w14:textId="4933D082" w:rsidR="001E6B45" w:rsidRPr="001E6B45" w:rsidRDefault="00707D1B" w:rsidP="00707D1B">
      <w:pPr>
        <w:rPr>
          <w:b/>
          <w:bCs/>
          <w:sz w:val="28"/>
          <w:szCs w:val="28"/>
        </w:rPr>
      </w:pPr>
      <w:r w:rsidRPr="001E6B45">
        <w:rPr>
          <w:b/>
          <w:bCs/>
          <w:sz w:val="28"/>
          <w:szCs w:val="28"/>
        </w:rPr>
        <w:t xml:space="preserve">Chapter 1: Precision Medicine </w:t>
      </w:r>
    </w:p>
    <w:p w14:paraId="63D2E73D" w14:textId="77777777" w:rsidR="001E6B45" w:rsidRDefault="001E6B45" w:rsidP="00707D1B"/>
    <w:p w14:paraId="507D9630" w14:textId="77777777" w:rsidR="001E6B45" w:rsidRDefault="00707D1B" w:rsidP="00707D1B">
      <w:r>
        <w:t xml:space="preserve">1.1 Principles of Precision Medicine </w:t>
      </w:r>
    </w:p>
    <w:p w14:paraId="3F93B7E1" w14:textId="77777777" w:rsidR="001E6B45" w:rsidRDefault="00707D1B" w:rsidP="00707D1B">
      <w:r>
        <w:t xml:space="preserve">1.2 Applications of Precision Medicine </w:t>
      </w:r>
    </w:p>
    <w:p w14:paraId="65C365C8" w14:textId="77777777" w:rsidR="001E6B45" w:rsidRDefault="00707D1B" w:rsidP="00707D1B">
      <w:r>
        <w:t xml:space="preserve">1.3 Challenges and Ethical Considerations </w:t>
      </w:r>
    </w:p>
    <w:p w14:paraId="255990A2" w14:textId="0022917B" w:rsidR="00707D1B" w:rsidRDefault="00707D1B" w:rsidP="001E6B45">
      <w:r>
        <w:t>1.4 Future Prospects</w:t>
      </w:r>
    </w:p>
    <w:p w14:paraId="780E4D06" w14:textId="77777777" w:rsidR="00707D1B" w:rsidRPr="001E6B45"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rPr>
      </w:pPr>
      <w:r w:rsidRPr="001E6B45">
        <w:rPr>
          <w:b/>
          <w:bCs/>
        </w:rPr>
        <w:t>1.1 Principles of Precision Medicine</w:t>
      </w:r>
    </w:p>
    <w:p w14:paraId="57ADC588"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Precision medicine, also known as personalized medicine or individualized medicine, is a revolutionary approach to healthcare that involves tailoring medical treatments to an individual's unique genetic makeup, lifestyle, and environmental factors. The principles of precision medicine are based on the understanding that each person's genetic code and biological characteristics can influence their susceptibility to diseases, response to treatments, and overall health outcomes.</w:t>
      </w:r>
    </w:p>
    <w:p w14:paraId="407FD10A"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key principles of precision medicine include:</w:t>
      </w:r>
    </w:p>
    <w:p w14:paraId="02835649"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sidRPr="001E6B45">
        <w:rPr>
          <w:b/>
          <w:bCs/>
        </w:rPr>
        <w:lastRenderedPageBreak/>
        <w:t>1.1.1 Genetic and Genomic Profiling:</w:t>
      </w:r>
      <w:r>
        <w:t xml:space="preserve"> Precision medicine relies on the analysis of an individual's genetic information, including DNA sequencing, to identify specific genetic variations or mutations that may impact their health. Genomic profiling allows for a comprehensive assessment of an individual's genetic makeup, including the identification of disease-associated genes and genetic markers.</w:t>
      </w:r>
    </w:p>
    <w:p w14:paraId="0391E658"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sidRPr="001E6B45">
        <w:rPr>
          <w:b/>
          <w:bCs/>
        </w:rPr>
        <w:t>1.1.2 Molecular Profiling:</w:t>
      </w:r>
      <w:r>
        <w:t xml:space="preserve"> In addition to genetic profiling, precision medicine utilizes molecular profiling techniques to examine the expression levels of genes, proteins, and other molecules within an individual's cells or tissues. This analysis provides insights into the underlying molecular mechanisms of diseases and helps guide targeted treatment strategies.</w:t>
      </w:r>
    </w:p>
    <w:p w14:paraId="0F3E7DD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sidRPr="001E6B45">
        <w:rPr>
          <w:b/>
          <w:bCs/>
        </w:rPr>
        <w:t>1.1.3 Integration of Clinical and Omics Data:</w:t>
      </w:r>
      <w:r>
        <w:t xml:space="preserve"> Precision medicine integrates clinical data, such as medical history, diagnostic tests, and imaging results, with omics data (genomics, transcriptomics, proteomics, etc.) to gain a comprehensive understanding of an individual's health status. By combining these datasets, healthcare providers can make more informed decisions regarding diagnosis, treatment selection, and disease monitoring.</w:t>
      </w:r>
    </w:p>
    <w:p w14:paraId="6B6D55BD" w14:textId="7722DB25"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sidRPr="001E6B45">
        <w:rPr>
          <w:b/>
          <w:bCs/>
        </w:rPr>
        <w:t xml:space="preserve">1.1.4 Predictive </w:t>
      </w:r>
      <w:r w:rsidRPr="001E6B45">
        <w:rPr>
          <w:b/>
          <w:bCs/>
        </w:rPr>
        <w:t>Modelling</w:t>
      </w:r>
      <w:r w:rsidRPr="001E6B45">
        <w:rPr>
          <w:b/>
          <w:bCs/>
        </w:rPr>
        <w:t xml:space="preserve"> and Risk Stratification:</w:t>
      </w:r>
      <w:r>
        <w:t xml:space="preserve"> Precision medicine utilizes advanced computational tools and predictive </w:t>
      </w:r>
      <w:r>
        <w:t>modelling</w:t>
      </w:r>
      <w:r>
        <w:t xml:space="preserve"> algorithms to assess an individual's risk of developing certain diseases. By considering genetic, lifestyle, and environmental factors, predictive models can identify individuals at higher risk and enable early interventions or preventive measures.</w:t>
      </w:r>
    </w:p>
    <w:p w14:paraId="5C7F25AA" w14:textId="77777777" w:rsidR="00707D1B" w:rsidRPr="001E6B45"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rPr>
      </w:pPr>
      <w:r w:rsidRPr="001E6B45">
        <w:rPr>
          <w:b/>
          <w:bCs/>
        </w:rPr>
        <w:t>1.2 Applications of Precision Medicine</w:t>
      </w:r>
    </w:p>
    <w:p w14:paraId="14D4BF81"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Precision medicine holds immense potential in various medical specialties, including:</w:t>
      </w:r>
    </w:p>
    <w:p w14:paraId="40C37C0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sidRPr="001E6B45">
        <w:rPr>
          <w:b/>
          <w:bCs/>
        </w:rPr>
        <w:t>1.2.1 Oncology:</w:t>
      </w:r>
      <w:r>
        <w:t xml:space="preserve"> In cancer care, precision medicine is transforming treatment approaches by targeting specific genetic mutations or molecular abnormalities within </w:t>
      </w:r>
      <w:proofErr w:type="spellStart"/>
      <w:r>
        <w:t>tumors</w:t>
      </w:r>
      <w:proofErr w:type="spellEnd"/>
      <w:r>
        <w:t>. Biomarker testing allows for the identification of patients who may benefit from targeted therapies, immunotherapies, or personalized treatment regimens.</w:t>
      </w:r>
    </w:p>
    <w:p w14:paraId="267ABD71"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sidRPr="001E6B45">
        <w:rPr>
          <w:b/>
          <w:bCs/>
        </w:rPr>
        <w:t>1.2.2 Pharmacogenomics:</w:t>
      </w:r>
      <w:r>
        <w:t xml:space="preserve"> Precision medicine can optimize drug selection and dosing based on an individual's genetic profile. Pharmacogenomic testing helps predict how a person may respond to specific medications, reducing the risk of adverse drug reactions and improving treatment outcomes.</w:t>
      </w:r>
    </w:p>
    <w:p w14:paraId="4DC24CC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sidRPr="001E6B45">
        <w:rPr>
          <w:b/>
          <w:bCs/>
        </w:rPr>
        <w:t>1.2.3 Rare Genetic Disorders:</w:t>
      </w:r>
      <w:r>
        <w:t xml:space="preserve"> Precision medicine offers hope for individuals with rare genetic disorders by providing accurate diagnosis, tailored therapies, and targeted interventions. Gene therapy and gene editing techniques are being explored as potential treatments for these conditions.</w:t>
      </w:r>
    </w:p>
    <w:p w14:paraId="3209298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sidRPr="001E6B45">
        <w:rPr>
          <w:b/>
          <w:bCs/>
        </w:rPr>
        <w:t>1.2.4 Infectious Diseases:</w:t>
      </w:r>
      <w:r>
        <w:t xml:space="preserve"> Precision medicine can improve the management of infectious diseases by identifying genetic variations that influence an individual's response to infections or their susceptibility to drug resistance. This knowledge can guide the selection of appropriate antimicrobial therapies and preventive strategies.</w:t>
      </w:r>
    </w:p>
    <w:p w14:paraId="248A8D03" w14:textId="30C6CB19" w:rsidR="00707D1B" w:rsidRPr="001E6B45"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b/>
          <w:bCs/>
        </w:rPr>
      </w:pPr>
      <w:r w:rsidRPr="001E6B45">
        <w:rPr>
          <w:b/>
          <w:bCs/>
        </w:rPr>
        <w:t>1.3 Challenges and Ethical Considerations</w:t>
      </w:r>
      <w:r w:rsidR="001E6B45">
        <w:rPr>
          <w:b/>
          <w:bCs/>
        </w:rPr>
        <w:t xml:space="preserve"> :</w:t>
      </w:r>
    </w:p>
    <w:p w14:paraId="725080A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lastRenderedPageBreak/>
        <w:t>While precision medicine offers great promise, it also presents challenges and ethical considerations that need to be addressed:</w:t>
      </w:r>
    </w:p>
    <w:p w14:paraId="1565963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sidRPr="001E6B45">
        <w:rPr>
          <w:b/>
          <w:bCs/>
        </w:rPr>
        <w:t>1.3.1 Data Privacy and Security:</w:t>
      </w:r>
      <w:r>
        <w:t xml:space="preserve"> Precision medicine relies on the collection, storage, and analysis of vast amounts of personal health data, including genomic information. Safeguarding patient privacy and ensuring data security are crucial to maintaining trust and preventing unauthorized access or misuse of sensitive information.</w:t>
      </w:r>
    </w:p>
    <w:p w14:paraId="753F766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sidRPr="001E6B45">
        <w:rPr>
          <w:b/>
          <w:bCs/>
        </w:rPr>
        <w:t>1.3.2 Access and Equity:</w:t>
      </w:r>
      <w:r>
        <w:t xml:space="preserve"> The widespread implementation of precision medicine must address issues of accessibility and equity. Ensuring that all individuals, regardless of socioeconomic background or geographic location, have equitable access to genetic testing, targeted therapies, and personalized healthcare is essential.</w:t>
      </w:r>
    </w:p>
    <w:p w14:paraId="7861BC93" w14:textId="56979CE0" w:rsidR="00496AB0" w:rsidRDefault="00707D1B" w:rsidP="00496AB0">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pPr>
      <w:r w:rsidRPr="001E6B45">
        <w:rPr>
          <w:b/>
          <w:bCs/>
        </w:rPr>
        <w:t>1.3.3 Ethical Use of Genetic Information:</w:t>
      </w:r>
      <w:r>
        <w:t xml:space="preserve"> Precision medicine raises ethical concerns regarding the use of genetic information for purposes such as insurance coverage, employment decisions</w:t>
      </w:r>
      <w:r w:rsidR="001E6B45">
        <w:t>.</w:t>
      </w:r>
    </w:p>
    <w:p w14:paraId="39B87DD2" w14:textId="77777777" w:rsidR="001E6B45" w:rsidRPr="001E6B45" w:rsidRDefault="001E6B45" w:rsidP="00496AB0">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rPr>
          <w:rStyle w:val="Strong"/>
          <w:b w:val="0"/>
          <w:bCs w:val="0"/>
        </w:rPr>
      </w:pPr>
    </w:p>
    <w:p w14:paraId="7E162EA1" w14:textId="77777777" w:rsidR="00707D1B" w:rsidRPr="001E6B45" w:rsidRDefault="00707D1B" w:rsidP="00707D1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sz w:val="28"/>
          <w:szCs w:val="28"/>
        </w:rPr>
      </w:pPr>
      <w:r w:rsidRPr="001E6B45">
        <w:rPr>
          <w:rStyle w:val="Strong"/>
          <w:sz w:val="28"/>
          <w:szCs w:val="28"/>
          <w:bdr w:val="single" w:sz="2" w:space="0" w:color="D9D9E3" w:frame="1"/>
        </w:rPr>
        <w:t>Chapter 2: Gene Editing and Gene Therapy</w:t>
      </w:r>
    </w:p>
    <w:p w14:paraId="3407C575"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2.1 Gene Editing Technologies (e.g., CRISPR-Cas9)</w:t>
      </w:r>
    </w:p>
    <w:p w14:paraId="292EF3C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In recent years, gene editing technologies have revolutionized the field of genetics and medicine. Among these technologies, CRISPR-Cas9 stands out as a remarkable tool that enables precise modifications to an organism's DNA. CRISPR-Cas9, short for "Clustered Regularly Interspaced Short Palindromic Repeats-CRISPR associated protein 9," is a revolutionary gene editing technique inspired by the immune systems of bacteria.</w:t>
      </w:r>
    </w:p>
    <w:p w14:paraId="094B87D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CRISPR-Cas9 system consists of two main components: the Cas9 protein and a guide RNA molecule. The guide RNA is engineered to target a specific sequence of DNA within the genome. The Cas9 protein acts as molecular scissors, cutting the DNA at the target site. This break triggers the cell's natural repair mechanisms, which can lead to either the introduction of specific genetic changes or the disruption of a target gene's function.</w:t>
      </w:r>
    </w:p>
    <w:p w14:paraId="31A8105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2.2 Applications of Gene Editing in Treating Genetic Disorders</w:t>
      </w:r>
    </w:p>
    <w:p w14:paraId="17869D8A" w14:textId="521C250A"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Gene editing technologies like CRISPR-Cas9 hold immense potential for treating genetic disorders. In cases where a genetic mutation is known to cause a disease, CRISPR-Cas9 can be used to correct the mutation. For instance, conditions like sickle cell </w:t>
      </w:r>
      <w:r w:rsidR="00496AB0">
        <w:t>anaemia</w:t>
      </w:r>
      <w:r>
        <w:t xml:space="preserve"> and cystic fibrosis are caused by specific mutations, and researchers are exploring CRISPR-Cas9 to correct these mutations in patient cells. This approach, known as "gene therapy," aims to replace the faulty gene with a healthy version, potentially offering a long-lasting or even permanent cure.</w:t>
      </w:r>
    </w:p>
    <w:p w14:paraId="22566DC2"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2.3 Gene Therapy for Disease Prevention</w:t>
      </w:r>
    </w:p>
    <w:p w14:paraId="68BD6EE9"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Gene therapy involves introducing genetic material into a patient's cells to treat or prevent disease. In addition to directly editing genes, gene therapy can also involve the delivery of therapeutic genes to compensate for missing or dysfunctional proteins. This approach has </w:t>
      </w:r>
      <w:r>
        <w:lastRenderedPageBreak/>
        <w:t>shown promise in treating conditions like severe combined immunodeficiency (SCID), commonly known as "bubble boy" disease. By inserting a functional copy of the gene responsible for immune system development, researchers have successfully restored immune function in affected individuals.</w:t>
      </w:r>
    </w:p>
    <w:p w14:paraId="4654CCC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Moreover, gene therapy holds potential for preventing diseases before they manifest. For instance, individuals with a high genetic risk of certain cancers could receive gene therapy to introduce protective genetic modifications, reducing their susceptibility to cancer development.</w:t>
      </w:r>
    </w:p>
    <w:p w14:paraId="3E40592A"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2.4 Ethical and Regulatory Considerations</w:t>
      </w:r>
    </w:p>
    <w:p w14:paraId="45A9718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While gene editing and gene therapy offer ground breaking possibilities, they also raise important ethical and regulatory questions. One major concern is the potential for unintended off-target effects when using gene editing technologies like CRISPR-Cas9. These off-target effects could lead to unforeseen consequences, including the activation of harmful genes or disruption of essential cellular functions.</w:t>
      </w:r>
    </w:p>
    <w:p w14:paraId="1076318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Furthermore, the hereditary nature of gene edits is a critical consideration. Changes made to an individual's germline cells (sperm or egg cells) could be passed on to future generations. This raises ethical dilemmas about the long-term effects on human evolution, consent, and the potential for unintended societal consequences.</w:t>
      </w:r>
    </w:p>
    <w:p w14:paraId="2155B7F8"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To address these concerns, international guidelines and regulations have been proposed to ensure responsible use of gene editing technologies. These frameworks emphasize rigorous testing, transparency, and a cautious approach when editing genes in ways that could be passed on to offspring.</w:t>
      </w:r>
    </w:p>
    <w:p w14:paraId="707F6EF8"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Conclusion</w:t>
      </w:r>
    </w:p>
    <w:p w14:paraId="63D1240A"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pPr>
      <w:r>
        <w:t>Gene editing technologies and gene therapy are at the forefront of medical innovation, holding the potential to transform the treatment and prevention of genetic disorders. As research progresses, striking a balance between scientific advancement, ethical considerations, and regulatory oversight will be essential to fully realize the benefits of these ground breaking technologies while minimizing risks and ethical dilemmas.</w:t>
      </w:r>
    </w:p>
    <w:p w14:paraId="69608EE3" w14:textId="77777777" w:rsidR="00707D1B" w:rsidRDefault="00707D1B" w:rsidP="00707D1B">
      <w:pPr>
        <w:pStyle w:val="z-TopofForm"/>
      </w:pPr>
      <w:r>
        <w:t>Top of Form</w:t>
      </w:r>
    </w:p>
    <w:p w14:paraId="385692F3" w14:textId="77777777" w:rsidR="00707D1B" w:rsidRDefault="00707D1B" w:rsidP="00707D1B">
      <w:pPr>
        <w:rPr>
          <w:rFonts w:ascii="Segoe UI" w:hAnsi="Segoe UI" w:cs="Segoe UI"/>
          <w:color w:val="000000"/>
          <w:sz w:val="27"/>
          <w:szCs w:val="27"/>
        </w:rPr>
      </w:pPr>
    </w:p>
    <w:p w14:paraId="6C50511C" w14:textId="77777777" w:rsidR="00707D1B" w:rsidRDefault="00707D1B" w:rsidP="00707D1B">
      <w:pPr>
        <w:pStyle w:val="z-BottomofForm"/>
        <w:rPr>
          <w:vanish w:val="0"/>
        </w:rPr>
      </w:pPr>
      <w:r>
        <w:t>Bottom of Form</w:t>
      </w:r>
    </w:p>
    <w:p w14:paraId="6044A165" w14:textId="77777777" w:rsidR="00707D1B" w:rsidRDefault="00707D1B" w:rsidP="00707D1B"/>
    <w:p w14:paraId="43F0943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pPr>
      <w:r>
        <w:rPr>
          <w:rStyle w:val="Strong"/>
          <w:bdr w:val="single" w:sz="2" w:space="0" w:color="D9D9E3" w:frame="1"/>
        </w:rPr>
        <w:t>Chapter 3: Artificial Intelligence (AI) and Machine Learning in Healthcare</w:t>
      </w:r>
    </w:p>
    <w:p w14:paraId="7F727A09"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3.1 AI in Medical Data Analysis and Diagnosis</w:t>
      </w:r>
    </w:p>
    <w:p w14:paraId="65C0A1BB" w14:textId="32E03D90"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Artificial Intelligence (AI) and Machine Learning (ML) have emerged as powerful tools in healthcare, revolutionizing the way medical data is </w:t>
      </w:r>
      <w:r w:rsidR="00496AB0">
        <w:t>analysed</w:t>
      </w:r>
      <w:r>
        <w:t xml:space="preserve"> and diagnoses are made. AI systems can process and </w:t>
      </w:r>
      <w:r w:rsidR="00496AB0">
        <w:t>analyse</w:t>
      </w:r>
      <w:r>
        <w:t xml:space="preserve"> vast amounts of medical data, including medical images, electronic health records (EHRs), and genetic information, to assist healthcare professionals in making accurate and timely diagnoses. For instance, AI algorithms can </w:t>
      </w:r>
      <w:r w:rsidR="00496AB0">
        <w:t>analyse</w:t>
      </w:r>
      <w:r>
        <w:t xml:space="preserve"> medical images like X-rays, MRIs, and CT scans, aiding radiologists in detecting subtle anomalies that might be missed by the human eye.</w:t>
      </w:r>
    </w:p>
    <w:p w14:paraId="2A096385"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lastRenderedPageBreak/>
        <w:t>3.2 Predictive Analytics and Outcome Prediction</w:t>
      </w:r>
    </w:p>
    <w:p w14:paraId="453B9DF6"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AI-driven predictive analytics leverage historical data to forecast future health outcomes. These algorithms can help identify patients at risk of developing certain conditions or complications, enabling proactive interventions. For instance, AI can predict the likelihood of hospital readmissions, allowing healthcare providers to allocate resources efficiently and provide targeted care to high-risk patients. Furthermore, AI-powered predictive models are being used to estimate disease progression trajectories, informing treatment plans and patient management strategies.</w:t>
      </w:r>
    </w:p>
    <w:p w14:paraId="1B27CC7F"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3.3 AI in Drug Discovery and Personalized Medicine</w:t>
      </w:r>
    </w:p>
    <w:p w14:paraId="60DCEDB7" w14:textId="7A0B646E"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AI has also made significant contributions to drug discovery and personalized medicine. Traditional drug discovery is a time-consuming and costly process, but AI algorithms can rapidly </w:t>
      </w:r>
      <w:r w:rsidR="007F0018">
        <w:t>analyse</w:t>
      </w:r>
      <w:r>
        <w:t xml:space="preserve"> large datasets to identify potential drug candidates. Machine Learning models can predict the interactions between molecules and biological targets, aiding in the design of new drugs. Additionally, AI enables personalized medicine by </w:t>
      </w:r>
      <w:r w:rsidR="007F0018">
        <w:t>analysing</w:t>
      </w:r>
      <w:r>
        <w:t xml:space="preserve"> an individual's genetic, molecular, and clinical data to tailor treatment plans for optimal efficacy and minimal side effects.</w:t>
      </w:r>
    </w:p>
    <w:p w14:paraId="16986D8F"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3.4 Ethical Implications and Challenges of AI in Healthcare</w:t>
      </w:r>
    </w:p>
    <w:p w14:paraId="70AFC5E3"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While AI holds tremendous promise for improving healthcare, it also presents ethical challenges that must be carefully addressed.</w:t>
      </w:r>
    </w:p>
    <w:p w14:paraId="2247857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3.4.1 Data Privacy and Security</w:t>
      </w:r>
    </w:p>
    <w:p w14:paraId="2CD8AEC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use of AI in healthcare involves handling sensitive patient data, raising concerns about data privacy and security. Safeguarding patient information from breaches and unauthorized access is crucial to maintain patient trust and comply with regulations such as HIPAA.</w:t>
      </w:r>
    </w:p>
    <w:p w14:paraId="0FB6D6A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3.4.2 Bias and Fairness</w:t>
      </w:r>
    </w:p>
    <w:p w14:paraId="74547E08"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AI algorithms can inadvertently perpetuate biases present in the data they're trained on, leading to disparities in healthcare outcomes. Ensuring that AI systems are fair and unbiased requires careful curation of diverse and representative datasets and ongoing monitoring for bias.</w:t>
      </w:r>
    </w:p>
    <w:p w14:paraId="6873E4C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 xml:space="preserve">3.4.3 Transparency and </w:t>
      </w:r>
      <w:proofErr w:type="spellStart"/>
      <w:r>
        <w:rPr>
          <w:rStyle w:val="Strong"/>
          <w:bdr w:val="single" w:sz="2" w:space="0" w:color="D9D9E3" w:frame="1"/>
        </w:rPr>
        <w:t>Explainability</w:t>
      </w:r>
      <w:proofErr w:type="spellEnd"/>
    </w:p>
    <w:p w14:paraId="411D7BE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AI models, particularly deep learning algorithms, can be challenging to interpret. Healthcare professionals need explanations for the decisions made by AI systems to trust and understand their recommendations. Developing methods to make AI systems more transparent and explainable is essential.</w:t>
      </w:r>
    </w:p>
    <w:p w14:paraId="2326B77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3.4.4 Clinical Adoption and Regulation</w:t>
      </w:r>
    </w:p>
    <w:p w14:paraId="1F5A1233"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lastRenderedPageBreak/>
        <w:t>Integrating AI into clinical practice requires rigorous testing and validation to ensure patient safety and effectiveness. Regulatory bodies like the FDA are working to establish guidelines for the approval and monitoring of AI-based medical devices and algorithms.</w:t>
      </w:r>
    </w:p>
    <w:p w14:paraId="5D78F58F"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References</w:t>
      </w:r>
    </w:p>
    <w:p w14:paraId="04715049" w14:textId="77777777" w:rsidR="00707D1B" w:rsidRDefault="00707D1B" w:rsidP="00707D1B">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Esteva</w:t>
      </w:r>
      <w:proofErr w:type="spellEnd"/>
      <w:r>
        <w:t xml:space="preserve">, A., </w:t>
      </w:r>
      <w:proofErr w:type="spellStart"/>
      <w:r>
        <w:t>Kuprel</w:t>
      </w:r>
      <w:proofErr w:type="spellEnd"/>
      <w:r>
        <w:t xml:space="preserve">, B., </w:t>
      </w:r>
      <w:proofErr w:type="spellStart"/>
      <w:r>
        <w:t>Novoa</w:t>
      </w:r>
      <w:proofErr w:type="spellEnd"/>
      <w:r>
        <w:t xml:space="preserve">, R. A., Ko, J., </w:t>
      </w:r>
      <w:proofErr w:type="spellStart"/>
      <w:r>
        <w:t>Swetter</w:t>
      </w:r>
      <w:proofErr w:type="spellEnd"/>
      <w:r>
        <w:t xml:space="preserve">, S. M., </w:t>
      </w:r>
      <w:proofErr w:type="spellStart"/>
      <w:r>
        <w:t>Blau</w:t>
      </w:r>
      <w:proofErr w:type="spellEnd"/>
      <w:r>
        <w:t xml:space="preserve">, H. M., &amp; </w:t>
      </w:r>
      <w:proofErr w:type="spellStart"/>
      <w:r>
        <w:t>Thrun</w:t>
      </w:r>
      <w:proofErr w:type="spellEnd"/>
      <w:r>
        <w:t>, S. (2017). Dermatologist-level classification of skin cancer with deep neural networks. Nature, 542(7639), 115-118.</w:t>
      </w:r>
    </w:p>
    <w:p w14:paraId="0A21B220" w14:textId="77777777" w:rsidR="00707D1B" w:rsidRDefault="00707D1B" w:rsidP="00707D1B">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Rajkomar</w:t>
      </w:r>
      <w:proofErr w:type="spellEnd"/>
      <w:r>
        <w:t xml:space="preserve">, A., Dean, J., &amp; </w:t>
      </w:r>
      <w:proofErr w:type="spellStart"/>
      <w:r>
        <w:t>Kohane</w:t>
      </w:r>
      <w:proofErr w:type="spellEnd"/>
      <w:r>
        <w:t>, I. (2019). Machine learning in medicine. The New England Journal of Medicine, 380(14), 1347-1358.</w:t>
      </w:r>
    </w:p>
    <w:p w14:paraId="49BB328B" w14:textId="77777777" w:rsidR="00707D1B" w:rsidRDefault="00707D1B" w:rsidP="00707D1B">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pPr>
      <w:r>
        <w:t>Ching, T., Himmelstein, D. S., Beaulieu-Jones, B. K., Kalinin, A. A., Do, B. T., Way, G. P., ... &amp; Greene, C. S. (2018). Opportunities and obstacles for deep learning in biology and medicine. Journal of The Royal Society Interface, 15(141), 20170387.</w:t>
      </w:r>
    </w:p>
    <w:p w14:paraId="2D8ECBD3" w14:textId="77777777" w:rsidR="00707D1B" w:rsidRDefault="00707D1B" w:rsidP="00707D1B">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pPr>
      <w:r>
        <w:t>Price, W. N., &amp; Cohen, I. G. (2019). Privacy in the age of medical big data. Nature Medicine, 25(1), 37-43.</w:t>
      </w:r>
    </w:p>
    <w:p w14:paraId="5A2E2283" w14:textId="77777777" w:rsidR="00707D1B" w:rsidRDefault="00707D1B" w:rsidP="00707D1B">
      <w:pPr>
        <w:pStyle w:val="NormalWeb"/>
        <w:numPr>
          <w:ilvl w:val="0"/>
          <w:numId w:val="2"/>
        </w:numPr>
        <w:pBdr>
          <w:top w:val="single" w:sz="2" w:space="0" w:color="D9D9E3"/>
          <w:left w:val="single" w:sz="2" w:space="5" w:color="D9D9E3"/>
          <w:bottom w:val="single" w:sz="2" w:space="0" w:color="D9D9E3"/>
          <w:right w:val="single" w:sz="2" w:space="0" w:color="D9D9E3"/>
        </w:pBdr>
        <w:spacing w:before="0" w:beforeAutospacing="0" w:after="0" w:afterAutospacing="0"/>
      </w:pPr>
      <w:r>
        <w:t>Obermeyer, Z., &amp; Emanuel, E. J. (2016). Predicting the future—big data, machine learning, and clinical medicine. The New England Journal of Medicine, 375(13), 1216-1219.</w:t>
      </w:r>
    </w:p>
    <w:p w14:paraId="1EE8D819" w14:textId="77777777" w:rsidR="006D668F" w:rsidRDefault="006D668F" w:rsidP="00707D1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Style w:val="Strong"/>
          <w:bdr w:val="single" w:sz="2" w:space="0" w:color="D9D9E3" w:frame="1"/>
        </w:rPr>
      </w:pPr>
    </w:p>
    <w:p w14:paraId="36EED2A8" w14:textId="5316708E"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pPr>
      <w:r>
        <w:rPr>
          <w:rStyle w:val="Strong"/>
          <w:bdr w:val="single" w:sz="2" w:space="0" w:color="D9D9E3" w:frame="1"/>
        </w:rPr>
        <w:t>Chapter 4: Robotics and Minimally Invasive Surgery</w:t>
      </w:r>
    </w:p>
    <w:p w14:paraId="0314536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4.1 Robotic Surgical Systems</w:t>
      </w:r>
    </w:p>
    <w:p w14:paraId="3DD10849"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integration of robotics into surgical procedures has transformed the landscape of medical interventions. Robotic surgical systems combine precision engineering with advanced computer technology to enhance surgical capabilities. These systems, such as the da Vinci Surgical System, enable surgeons to perform complex procedures with greater dexterity, control, and visualization. The surgeon operates the robot's arms from a console, translating their hand movements into precise movements of the robotic instruments inside the patient's body.</w:t>
      </w:r>
    </w:p>
    <w:p w14:paraId="1737BF4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4.2 Advancements in Minimally Invasive Surgery</w:t>
      </w:r>
    </w:p>
    <w:p w14:paraId="50B0C5DA" w14:textId="3A4347D1"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Minimally invasive surgery (MIS) techniques have gained popularity due to their reduced trauma, faster recovery times, and shorter hospital stays. Robotic systems have further enhanced MIS by addressing the limitations of traditional laparoscopic instruments. The increased range of motion and improved visualization offered by robotic surgical systems make them particularly suitable for delicate and intricate procedures. Surgeons can navigate tight spaces and perform complex </w:t>
      </w:r>
      <w:r w:rsidR="007F0018">
        <w:t>manoeuvres</w:t>
      </w:r>
      <w:r>
        <w:t xml:space="preserve"> with greater ease, making surgeries more precise and effective.</w:t>
      </w:r>
    </w:p>
    <w:p w14:paraId="28A3209A"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4.3 Robotics in Rehabilitation and Assistive Devices</w:t>
      </w:r>
    </w:p>
    <w:p w14:paraId="152676B6"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Beyond the operating room, robotics has found applications in rehabilitation and assistive devices. Robotic exoskeletons, for example, are wearable devices designed to aid individuals with mobility impairments. These devices provide support and assistance to patients in relearning motor skills and regaining independence. Additionally, robotic prosthetics </w:t>
      </w:r>
      <w:r>
        <w:lastRenderedPageBreak/>
        <w:t>equipped with sensors and AI algorithms can mimic natural movement, improving the quality of life for amputees.</w:t>
      </w:r>
    </w:p>
    <w:p w14:paraId="7FA4D185"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4.4 Ethical Considerations in Robotic Surgery</w:t>
      </w:r>
    </w:p>
    <w:p w14:paraId="7106DE5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While robotics in surgery brings numerous benefits, ethical considerations must be taken into account:</w:t>
      </w:r>
    </w:p>
    <w:p w14:paraId="2F8D8A26"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4.4.1 Surgeon Training and Skill Maintenance</w:t>
      </w:r>
    </w:p>
    <w:p w14:paraId="63F9B117"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proficiency of surgeons in operating robotic systems is critical for patient safety. Proper training and ongoing skill maintenance are essential to ensure that surgeons can use these technologies effectively and safely.</w:t>
      </w:r>
    </w:p>
    <w:p w14:paraId="7D0B9EA9"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4.4.2 Cost and Access</w:t>
      </w:r>
    </w:p>
    <w:p w14:paraId="41D2BB65"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Robotic surgical systems can be expensive to acquire and maintain. Ensuring equitable access to these technologies across different healthcare settings is a concern to prevent disparities in patient outcomes.</w:t>
      </w:r>
    </w:p>
    <w:p w14:paraId="4C6BF139"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4.4.3 Autonomy and Decision-Making</w:t>
      </w:r>
    </w:p>
    <w:p w14:paraId="6412083F"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Robotic systems can offer assistance, but the ultimate decision-making remains with the surgeon. Balancing the autonomy of the surgeon with the capabilities of the robot raises questions about responsibility and accountability in case of errors.</w:t>
      </w:r>
    </w:p>
    <w:p w14:paraId="22D35259"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4.4.4 Informed Consent</w:t>
      </w:r>
    </w:p>
    <w:p w14:paraId="200AE4A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Patients must be fully informed about the involvement of robotic systems in their surgery. Surgeons should communicate the benefits, risks, and potential outcomes accurately to obtain informed consent.</w:t>
      </w:r>
    </w:p>
    <w:p w14:paraId="5CF340C5"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References</w:t>
      </w:r>
    </w:p>
    <w:p w14:paraId="7B08BECC" w14:textId="77777777" w:rsidR="00707D1B" w:rsidRDefault="00707D1B" w:rsidP="00707D1B">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Intuitive Surgical. (n.d.). </w:t>
      </w:r>
      <w:r>
        <w:rPr>
          <w:rStyle w:val="Strong"/>
          <w:bdr w:val="single" w:sz="2" w:space="0" w:color="D9D9E3" w:frame="1"/>
        </w:rPr>
        <w:t>da Vinci Surgical System</w:t>
      </w:r>
      <w:r>
        <w:t xml:space="preserve">. </w:t>
      </w:r>
      <w:hyperlink r:id="rId5" w:tgtFrame="_new" w:history="1">
        <w:r>
          <w:rPr>
            <w:rStyle w:val="Hyperlink"/>
            <w:bdr w:val="single" w:sz="2" w:space="0" w:color="D9D9E3" w:frame="1"/>
          </w:rPr>
          <w:t>https://www.intuitive.com/en-us/products-and-services/da-vinci</w:t>
        </w:r>
      </w:hyperlink>
    </w:p>
    <w:p w14:paraId="198C9445" w14:textId="77777777" w:rsidR="00707D1B" w:rsidRDefault="00707D1B" w:rsidP="00707D1B">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Weinstein, L. M., &amp; </w:t>
      </w:r>
      <w:proofErr w:type="spellStart"/>
      <w:r>
        <w:t>Clayman</w:t>
      </w:r>
      <w:proofErr w:type="spellEnd"/>
      <w:r>
        <w:t xml:space="preserve">, R. V. (2018). </w:t>
      </w:r>
      <w:r>
        <w:rPr>
          <w:rStyle w:val="Strong"/>
          <w:bdr w:val="single" w:sz="2" w:space="0" w:color="D9D9E3" w:frame="1"/>
        </w:rPr>
        <w:t>Robotic Surgery in Urology: The Past, Present, and Future.</w:t>
      </w:r>
      <w:r>
        <w:t xml:space="preserve"> Urologic Clinics of North America, 45(2), 149–156. </w:t>
      </w:r>
      <w:hyperlink r:id="rId6" w:tgtFrame="_new" w:history="1">
        <w:r>
          <w:rPr>
            <w:rStyle w:val="Hyperlink"/>
            <w:bdr w:val="single" w:sz="2" w:space="0" w:color="D9D9E3" w:frame="1"/>
          </w:rPr>
          <w:t>https://doi.org/10.1016/j.ucl.2017.11.006</w:t>
        </w:r>
      </w:hyperlink>
    </w:p>
    <w:p w14:paraId="4120CDCB" w14:textId="77777777" w:rsidR="00707D1B" w:rsidRDefault="00707D1B" w:rsidP="00707D1B">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Vukomanovic</w:t>
      </w:r>
      <w:proofErr w:type="spellEnd"/>
      <w:r>
        <w:t xml:space="preserve">, V., &amp; </w:t>
      </w:r>
      <w:proofErr w:type="spellStart"/>
      <w:r>
        <w:t>Plaisant</w:t>
      </w:r>
      <w:proofErr w:type="spellEnd"/>
      <w:r>
        <w:t xml:space="preserve">, C. (2020). </w:t>
      </w:r>
      <w:r>
        <w:rPr>
          <w:rStyle w:val="Strong"/>
          <w:bdr w:val="single" w:sz="2" w:space="0" w:color="D9D9E3" w:frame="1"/>
        </w:rPr>
        <w:t>Ethics of Surgical Robots: A Study with Expert Surgeons.</w:t>
      </w:r>
      <w:r>
        <w:t xml:space="preserve"> Healthcare, 8(2), 87. </w:t>
      </w:r>
      <w:hyperlink r:id="rId7" w:tgtFrame="_new" w:history="1">
        <w:r>
          <w:rPr>
            <w:rStyle w:val="Hyperlink"/>
            <w:bdr w:val="single" w:sz="2" w:space="0" w:color="D9D9E3" w:frame="1"/>
          </w:rPr>
          <w:t>https://doi.org/10.3390/healthcare8020087</w:t>
        </w:r>
      </w:hyperlink>
    </w:p>
    <w:p w14:paraId="2283BD77" w14:textId="77777777" w:rsidR="00707D1B" w:rsidRDefault="00707D1B" w:rsidP="00707D1B">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Marchal</w:t>
      </w:r>
      <w:proofErr w:type="spellEnd"/>
      <w:r>
        <w:t xml:space="preserve">-Crespo, L., Schneider, J., Jaeger, L., &amp; </w:t>
      </w:r>
      <w:proofErr w:type="spellStart"/>
      <w:r>
        <w:t>Riener</w:t>
      </w:r>
      <w:proofErr w:type="spellEnd"/>
      <w:r>
        <w:t xml:space="preserve">, R. (2014). </w:t>
      </w:r>
      <w:r>
        <w:rPr>
          <w:rStyle w:val="Strong"/>
          <w:bdr w:val="single" w:sz="2" w:space="0" w:color="D9D9E3" w:frame="1"/>
        </w:rPr>
        <w:t>Learning a locomotor task: With or without errors?</w:t>
      </w:r>
      <w:r>
        <w:t xml:space="preserve"> Journal of </w:t>
      </w:r>
      <w:proofErr w:type="spellStart"/>
      <w:r>
        <w:t>NeuroEngineering</w:t>
      </w:r>
      <w:proofErr w:type="spellEnd"/>
      <w:r>
        <w:t xml:space="preserve"> and Rehabilitation, 11(1), 25. </w:t>
      </w:r>
      <w:hyperlink r:id="rId8" w:tgtFrame="_new" w:history="1">
        <w:r>
          <w:rPr>
            <w:rStyle w:val="Hyperlink"/>
            <w:bdr w:val="single" w:sz="2" w:space="0" w:color="D9D9E3" w:frame="1"/>
          </w:rPr>
          <w:t>https://doi.org/10.1186/1743-0003-11-25</w:t>
        </w:r>
      </w:hyperlink>
    </w:p>
    <w:p w14:paraId="3308341B" w14:textId="77777777" w:rsidR="00707D1B" w:rsidRDefault="00707D1B" w:rsidP="00707D1B">
      <w:pPr>
        <w:pStyle w:val="NormalWeb"/>
        <w:numPr>
          <w:ilvl w:val="0"/>
          <w:numId w:val="3"/>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Biddiss</w:t>
      </w:r>
      <w:proofErr w:type="spellEnd"/>
      <w:r>
        <w:t xml:space="preserve">, E., &amp; Chau, T. (2007). </w:t>
      </w:r>
      <w:r>
        <w:rPr>
          <w:rStyle w:val="Strong"/>
          <w:bdr w:val="single" w:sz="2" w:space="0" w:color="D9D9E3" w:frame="1"/>
        </w:rPr>
        <w:t>Upper-limb prosthetics: Critical factors in device abandonment.</w:t>
      </w:r>
      <w:r>
        <w:t xml:space="preserve"> American Journal of Physical Medicine &amp; Rehabilitation, 86(12), 977-987. </w:t>
      </w:r>
      <w:hyperlink r:id="rId9" w:tgtFrame="_new" w:history="1">
        <w:r>
          <w:rPr>
            <w:rStyle w:val="Hyperlink"/>
            <w:bdr w:val="single" w:sz="2" w:space="0" w:color="D9D9E3" w:frame="1"/>
          </w:rPr>
          <w:t>https://doi.org/10.1097/PHM.0b013e3181587f6c</w:t>
        </w:r>
      </w:hyperlink>
    </w:p>
    <w:p w14:paraId="5CC3BA49" w14:textId="77777777" w:rsidR="00707D1B" w:rsidRDefault="00707D1B" w:rsidP="00707D1B">
      <w:pPr>
        <w:pStyle w:val="z-TopofForm"/>
      </w:pPr>
      <w:r>
        <w:t>Top of Form</w:t>
      </w:r>
    </w:p>
    <w:p w14:paraId="5BCE717D" w14:textId="77777777" w:rsidR="00707D1B" w:rsidRDefault="00707D1B" w:rsidP="00707D1B">
      <w:pPr>
        <w:rPr>
          <w:rFonts w:ascii="Segoe UI" w:hAnsi="Segoe UI" w:cs="Segoe UI"/>
          <w:color w:val="000000"/>
          <w:sz w:val="27"/>
          <w:szCs w:val="27"/>
        </w:rPr>
      </w:pPr>
    </w:p>
    <w:p w14:paraId="19E4A2A0" w14:textId="77777777" w:rsidR="00707D1B" w:rsidRDefault="00707D1B" w:rsidP="00707D1B">
      <w:pPr>
        <w:pStyle w:val="z-BottomofForm"/>
      </w:pPr>
      <w:r>
        <w:lastRenderedPageBreak/>
        <w:t>Bottom of Form</w:t>
      </w:r>
    </w:p>
    <w:p w14:paraId="733FA246" w14:textId="77777777" w:rsidR="00707D1B" w:rsidRDefault="00707D1B" w:rsidP="00707D1B">
      <w:pPr>
        <w:pStyle w:val="z-TopofForm"/>
      </w:pPr>
      <w:r>
        <w:t>Top of Form</w:t>
      </w:r>
    </w:p>
    <w:p w14:paraId="41A3F804" w14:textId="67A6828E" w:rsidR="00707D1B" w:rsidRDefault="00707D1B" w:rsidP="008E0953">
      <w:pPr>
        <w:pStyle w:val="z-BottomofForm"/>
        <w:jc w:val="left"/>
        <w:rPr>
          <w:vanish w:val="0"/>
        </w:rPr>
      </w:pPr>
      <w:r>
        <w:t>Bottom of Form</w:t>
      </w:r>
    </w:p>
    <w:p w14:paraId="79EB6F0E" w14:textId="58105463" w:rsidR="008E0953" w:rsidRDefault="008E0953" w:rsidP="008E0953"/>
    <w:p w14:paraId="05822DD0" w14:textId="6E2441DA" w:rsidR="008E0953" w:rsidRDefault="008E0953" w:rsidP="008E0953"/>
    <w:p w14:paraId="7FFF385C" w14:textId="77777777" w:rsidR="008E0953" w:rsidRPr="008E0953" w:rsidRDefault="008E0953" w:rsidP="008E0953"/>
    <w:p w14:paraId="4A6E799C" w14:textId="77777777" w:rsidR="00707D1B" w:rsidRDefault="00707D1B" w:rsidP="00707D1B"/>
    <w:p w14:paraId="0B3C2C71"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000000"/>
        </w:rPr>
      </w:pPr>
      <w:r w:rsidRPr="00911CE9">
        <w:rPr>
          <w:rStyle w:val="Strong"/>
          <w:color w:val="000000"/>
          <w:bdr w:val="single" w:sz="2" w:space="0" w:color="D9D9E3" w:frame="1"/>
        </w:rPr>
        <w:t>Chapter 5: Nanomedicine</w:t>
      </w:r>
    </w:p>
    <w:p w14:paraId="1E81AB91"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rStyle w:val="Strong"/>
          <w:color w:val="000000"/>
          <w:bdr w:val="single" w:sz="2" w:space="0" w:color="D9D9E3" w:frame="1"/>
        </w:rPr>
        <w:t>5.1 Nanoparticles in Drug Delivery</w:t>
      </w:r>
    </w:p>
    <w:p w14:paraId="6F9F9C36"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color w:val="000000"/>
        </w:rPr>
        <w:t xml:space="preserve">Nanomedicine harnesses the power of nanotechnology to revolutionize healthcare at the molecular level. Nanoparticles, with sizes ranging from 1 to 100 </w:t>
      </w:r>
      <w:proofErr w:type="spellStart"/>
      <w:r w:rsidRPr="00911CE9">
        <w:rPr>
          <w:color w:val="000000"/>
        </w:rPr>
        <w:t>nanometers</w:t>
      </w:r>
      <w:proofErr w:type="spellEnd"/>
      <w:r w:rsidRPr="00911CE9">
        <w:rPr>
          <w:color w:val="000000"/>
        </w:rPr>
        <w:t>, offer unique properties that have enabled innovative approaches in drug delivery. These particles can encapsulate drugs, protecting them from degradation and improving their targeting and release profiles. By modifying the surface properties of nanoparticles, researchers can enhance their circulation time, target specific cells or tissues, and enable controlled drug release, reducing side effects and improving therapeutic outcomes.</w:t>
      </w:r>
    </w:p>
    <w:p w14:paraId="5938A8D8"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rStyle w:val="Strong"/>
          <w:color w:val="000000"/>
          <w:bdr w:val="single" w:sz="2" w:space="0" w:color="D9D9E3" w:frame="1"/>
        </w:rPr>
        <w:t>5.2 Nanotechnology for Imaging and Diagnostics</w:t>
      </w:r>
    </w:p>
    <w:p w14:paraId="6DB24F97"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color w:val="000000"/>
        </w:rPr>
        <w:t>Nanotechnology has significantly enhanced the field of medical imaging and diagnostics. Nanoparticles can be engineered to carry contrast agents, making them highly visible under imaging modalities like MRI, CT scans, and ultrasound. This enables earlier and more accurate disease detection. Moreover, nanoparticles can act as molecular probes, detecting specific biomarkers associated with diseases like cancer. These advances in nanotechnology enable non-invasive, precise, and early disease diagnosis.</w:t>
      </w:r>
    </w:p>
    <w:p w14:paraId="6CA44DFC"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rStyle w:val="Strong"/>
          <w:color w:val="000000"/>
          <w:bdr w:val="single" w:sz="2" w:space="0" w:color="D9D9E3" w:frame="1"/>
        </w:rPr>
        <w:t>5.3 Nanomaterials in Tissue Engineering</w:t>
      </w:r>
    </w:p>
    <w:p w14:paraId="7650BFBE"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color w:val="000000"/>
        </w:rPr>
        <w:t>Nanomaterials play a crucial role in tissue engineering, where researchers aim to create functional tissue constructs for transplantation or regenerative medicine. Nanoscale scaffolds provide a supportive structure for cells to adhere, proliferate, and differentiate. The unique properties of nanomaterials, such as their high surface area-to-volume ratio, can promote cellular interactions and guide tissue growth. Additionally, nanoparticles can be used to deliver growth factors and other bioactive molecules to enhance tissue regeneration.</w:t>
      </w:r>
    </w:p>
    <w:p w14:paraId="12D8DE54"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rStyle w:val="Strong"/>
          <w:color w:val="000000"/>
          <w:bdr w:val="single" w:sz="2" w:space="0" w:color="D9D9E3" w:frame="1"/>
        </w:rPr>
        <w:t>5.4 Regulatory Challenges and Safety Considerations</w:t>
      </w:r>
    </w:p>
    <w:p w14:paraId="24D5EB33"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color w:val="000000"/>
        </w:rPr>
        <w:t>While nanomedicine offers remarkable potential, it also raises important regulatory and safety considerations:</w:t>
      </w:r>
    </w:p>
    <w:p w14:paraId="3DACBD39"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rStyle w:val="Strong"/>
          <w:color w:val="000000"/>
          <w:bdr w:val="single" w:sz="2" w:space="0" w:color="D9D9E3" w:frame="1"/>
        </w:rPr>
        <w:t>5.4.1 Regulatory Challenges</w:t>
      </w:r>
    </w:p>
    <w:p w14:paraId="26E4084E"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color w:val="000000"/>
        </w:rPr>
        <w:t>Nanomedicine products often straddle the line between pharmaceuticals and medical devices, making their regulatory approval complex. Regulatory agencies worldwide, such as the FDA and EMA, are working to establish clear guidelines for the approval and oversight of nanomedicine products.</w:t>
      </w:r>
    </w:p>
    <w:p w14:paraId="151F4E96"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rStyle w:val="Strong"/>
          <w:color w:val="000000"/>
          <w:bdr w:val="single" w:sz="2" w:space="0" w:color="D9D9E3" w:frame="1"/>
        </w:rPr>
        <w:t>5.4.2 Safety Considerations</w:t>
      </w:r>
    </w:p>
    <w:p w14:paraId="6D169772"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color w:val="000000"/>
        </w:rPr>
        <w:lastRenderedPageBreak/>
        <w:t>The small size of nanoparticles can lead to unique interactions with biological systems. Understanding the potential toxicity and biocompatibility of nanomaterials is crucial to ensure patient safety. Researchers must thoroughly investigate the effects of nanoparticles on cells, tissues, and organs.</w:t>
      </w:r>
    </w:p>
    <w:p w14:paraId="16BCF125"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rStyle w:val="Strong"/>
          <w:color w:val="000000"/>
          <w:bdr w:val="single" w:sz="2" w:space="0" w:color="D9D9E3" w:frame="1"/>
        </w:rPr>
        <w:t>5.4.3 Biodistribution and Clearance</w:t>
      </w:r>
    </w:p>
    <w:p w14:paraId="697BCE50"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color w:val="000000"/>
        </w:rPr>
        <w:t>Nanoparticles can exhibit prolonged circulation in the body, affecting their biodistribution and potential accumulation in certain tissues. This can have implications for long-term safety and potential adverse effects.</w:t>
      </w:r>
    </w:p>
    <w:p w14:paraId="4DA6C3E7"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rStyle w:val="Strong"/>
          <w:color w:val="000000"/>
          <w:bdr w:val="single" w:sz="2" w:space="0" w:color="D9D9E3" w:frame="1"/>
        </w:rPr>
        <w:t>5.4.4 Environmental Impact</w:t>
      </w:r>
    </w:p>
    <w:p w14:paraId="11B663E4"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color w:val="000000"/>
        </w:rPr>
        <w:t>The widespread use of nanomaterials in medicine raises questions about their environmental impact. Ensuring proper disposal methods and assessing potential ecological consequences are important aspects to address.</w:t>
      </w:r>
    </w:p>
    <w:p w14:paraId="1D22D5AE" w14:textId="77777777" w:rsidR="00707D1B" w:rsidRPr="00911CE9"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000000"/>
        </w:rPr>
      </w:pPr>
      <w:r w:rsidRPr="00911CE9">
        <w:rPr>
          <w:rStyle w:val="Strong"/>
          <w:color w:val="000000"/>
          <w:bdr w:val="single" w:sz="2" w:space="0" w:color="D9D9E3" w:frame="1"/>
        </w:rPr>
        <w:t>References</w:t>
      </w:r>
    </w:p>
    <w:p w14:paraId="5C6C425C" w14:textId="77777777" w:rsidR="00707D1B" w:rsidRPr="00911CE9" w:rsidRDefault="00707D1B" w:rsidP="00707D1B">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color w:val="000000"/>
        </w:rPr>
      </w:pPr>
      <w:proofErr w:type="spellStart"/>
      <w:r w:rsidRPr="00911CE9">
        <w:rPr>
          <w:color w:val="000000"/>
        </w:rPr>
        <w:t>Farokhzad</w:t>
      </w:r>
      <w:proofErr w:type="spellEnd"/>
      <w:r w:rsidRPr="00911CE9">
        <w:rPr>
          <w:color w:val="000000"/>
        </w:rPr>
        <w:t xml:space="preserve">, O. C., &amp; Langer, R. (2009). </w:t>
      </w:r>
      <w:r w:rsidRPr="00911CE9">
        <w:rPr>
          <w:rStyle w:val="Strong"/>
          <w:color w:val="000000"/>
          <w:bdr w:val="single" w:sz="2" w:space="0" w:color="D9D9E3" w:frame="1"/>
        </w:rPr>
        <w:t>Impact of nanotechnology on drug delivery.</w:t>
      </w:r>
      <w:r w:rsidRPr="00911CE9">
        <w:rPr>
          <w:color w:val="000000"/>
        </w:rPr>
        <w:t xml:space="preserve"> ACS Nano, 3(1), 16-20.</w:t>
      </w:r>
    </w:p>
    <w:p w14:paraId="403AAE92" w14:textId="77777777" w:rsidR="00707D1B" w:rsidRPr="00911CE9" w:rsidRDefault="00707D1B" w:rsidP="00707D1B">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color w:val="000000"/>
        </w:rPr>
      </w:pPr>
      <w:proofErr w:type="spellStart"/>
      <w:r w:rsidRPr="00911CE9">
        <w:rPr>
          <w:color w:val="000000"/>
        </w:rPr>
        <w:t>Weissleder</w:t>
      </w:r>
      <w:proofErr w:type="spellEnd"/>
      <w:r w:rsidRPr="00911CE9">
        <w:rPr>
          <w:color w:val="000000"/>
        </w:rPr>
        <w:t xml:space="preserve">, R., &amp; </w:t>
      </w:r>
      <w:proofErr w:type="spellStart"/>
      <w:r w:rsidRPr="00911CE9">
        <w:rPr>
          <w:color w:val="000000"/>
        </w:rPr>
        <w:t>Pittet</w:t>
      </w:r>
      <w:proofErr w:type="spellEnd"/>
      <w:r w:rsidRPr="00911CE9">
        <w:rPr>
          <w:color w:val="000000"/>
        </w:rPr>
        <w:t xml:space="preserve">, M. J. (2008). </w:t>
      </w:r>
      <w:r w:rsidRPr="00911CE9">
        <w:rPr>
          <w:rStyle w:val="Strong"/>
          <w:color w:val="000000"/>
          <w:bdr w:val="single" w:sz="2" w:space="0" w:color="D9D9E3" w:frame="1"/>
        </w:rPr>
        <w:t>Imaging in the era of molecular oncology.</w:t>
      </w:r>
      <w:r w:rsidRPr="00911CE9">
        <w:rPr>
          <w:color w:val="000000"/>
        </w:rPr>
        <w:t xml:space="preserve"> Nature, 452(7187), 580-589.</w:t>
      </w:r>
    </w:p>
    <w:p w14:paraId="2647E724" w14:textId="77777777" w:rsidR="00707D1B" w:rsidRPr="00911CE9" w:rsidRDefault="00707D1B" w:rsidP="00707D1B">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color w:val="000000"/>
        </w:rPr>
      </w:pPr>
      <w:r w:rsidRPr="00911CE9">
        <w:rPr>
          <w:color w:val="000000"/>
        </w:rPr>
        <w:t xml:space="preserve">Langer, R., &amp; Vacanti, J. P. (1993). </w:t>
      </w:r>
      <w:r w:rsidRPr="00911CE9">
        <w:rPr>
          <w:rStyle w:val="Strong"/>
          <w:color w:val="000000"/>
          <w:bdr w:val="single" w:sz="2" w:space="0" w:color="D9D9E3" w:frame="1"/>
        </w:rPr>
        <w:t>Tissue engineering.</w:t>
      </w:r>
      <w:r w:rsidRPr="00911CE9">
        <w:rPr>
          <w:color w:val="000000"/>
        </w:rPr>
        <w:t xml:space="preserve"> Science, 260(5110), 920-926.</w:t>
      </w:r>
    </w:p>
    <w:p w14:paraId="2F7B0A39" w14:textId="77777777" w:rsidR="00707D1B" w:rsidRPr="00911CE9" w:rsidRDefault="00707D1B" w:rsidP="00707D1B">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color w:val="000000"/>
        </w:rPr>
      </w:pPr>
      <w:r w:rsidRPr="00911CE9">
        <w:rPr>
          <w:color w:val="000000"/>
        </w:rPr>
        <w:t xml:space="preserve">Nel, A. E., </w:t>
      </w:r>
      <w:proofErr w:type="spellStart"/>
      <w:r w:rsidRPr="00911CE9">
        <w:rPr>
          <w:color w:val="000000"/>
        </w:rPr>
        <w:t>Mädler</w:t>
      </w:r>
      <w:proofErr w:type="spellEnd"/>
      <w:r w:rsidRPr="00911CE9">
        <w:rPr>
          <w:color w:val="000000"/>
        </w:rPr>
        <w:t xml:space="preserve">, L., </w:t>
      </w:r>
      <w:proofErr w:type="spellStart"/>
      <w:r w:rsidRPr="00911CE9">
        <w:rPr>
          <w:color w:val="000000"/>
        </w:rPr>
        <w:t>Velegol</w:t>
      </w:r>
      <w:proofErr w:type="spellEnd"/>
      <w:r w:rsidRPr="00911CE9">
        <w:rPr>
          <w:color w:val="000000"/>
        </w:rPr>
        <w:t xml:space="preserve">, D., Xia, T., Hoek, E. M., </w:t>
      </w:r>
      <w:proofErr w:type="spellStart"/>
      <w:r w:rsidRPr="00911CE9">
        <w:rPr>
          <w:color w:val="000000"/>
        </w:rPr>
        <w:t>Somasundaran</w:t>
      </w:r>
      <w:proofErr w:type="spellEnd"/>
      <w:r w:rsidRPr="00911CE9">
        <w:rPr>
          <w:color w:val="000000"/>
        </w:rPr>
        <w:t xml:space="preserve">, P., ... &amp; Thompson, M. (2009). </w:t>
      </w:r>
      <w:r w:rsidRPr="00911CE9">
        <w:rPr>
          <w:rStyle w:val="Strong"/>
          <w:color w:val="000000"/>
          <w:bdr w:val="single" w:sz="2" w:space="0" w:color="D9D9E3" w:frame="1"/>
        </w:rPr>
        <w:t xml:space="preserve">Understanding </w:t>
      </w:r>
      <w:proofErr w:type="spellStart"/>
      <w:r w:rsidRPr="00911CE9">
        <w:rPr>
          <w:rStyle w:val="Strong"/>
          <w:color w:val="000000"/>
          <w:bdr w:val="single" w:sz="2" w:space="0" w:color="D9D9E3" w:frame="1"/>
        </w:rPr>
        <w:t>biophysicochemical</w:t>
      </w:r>
      <w:proofErr w:type="spellEnd"/>
      <w:r w:rsidRPr="00911CE9">
        <w:rPr>
          <w:rStyle w:val="Strong"/>
          <w:color w:val="000000"/>
          <w:bdr w:val="single" w:sz="2" w:space="0" w:color="D9D9E3" w:frame="1"/>
        </w:rPr>
        <w:t xml:space="preserve"> interactions at the nano-bio interface.</w:t>
      </w:r>
      <w:r w:rsidRPr="00911CE9">
        <w:rPr>
          <w:color w:val="000000"/>
        </w:rPr>
        <w:t xml:space="preserve"> Nature Materials, 8(7), 543-557.</w:t>
      </w:r>
    </w:p>
    <w:p w14:paraId="1E4404C0" w14:textId="77777777" w:rsidR="00707D1B" w:rsidRPr="00911CE9" w:rsidRDefault="00707D1B" w:rsidP="00707D1B">
      <w:pPr>
        <w:pStyle w:val="NormalWeb"/>
        <w:numPr>
          <w:ilvl w:val="0"/>
          <w:numId w:val="4"/>
        </w:numPr>
        <w:pBdr>
          <w:top w:val="single" w:sz="2" w:space="0" w:color="D9D9E3"/>
          <w:left w:val="single" w:sz="2" w:space="5" w:color="D9D9E3"/>
          <w:bottom w:val="single" w:sz="2" w:space="0" w:color="D9D9E3"/>
          <w:right w:val="single" w:sz="2" w:space="0" w:color="D9D9E3"/>
        </w:pBdr>
        <w:spacing w:before="0" w:beforeAutospacing="0" w:after="0" w:afterAutospacing="0"/>
        <w:rPr>
          <w:color w:val="000000"/>
        </w:rPr>
      </w:pPr>
      <w:r w:rsidRPr="00911CE9">
        <w:rPr>
          <w:color w:val="000000"/>
        </w:rPr>
        <w:t xml:space="preserve">Monteiro-Riviere, N. A., &amp; Inman, A. O. (2006). </w:t>
      </w:r>
      <w:r w:rsidRPr="00911CE9">
        <w:rPr>
          <w:rStyle w:val="Strong"/>
          <w:color w:val="000000"/>
          <w:bdr w:val="single" w:sz="2" w:space="0" w:color="D9D9E3" w:frame="1"/>
        </w:rPr>
        <w:t>Challenges for assessing carbon nanomaterial toxicity to the skin.</w:t>
      </w:r>
      <w:r w:rsidRPr="00911CE9">
        <w:rPr>
          <w:color w:val="000000"/>
        </w:rPr>
        <w:t xml:space="preserve"> Carbon, 44(6), 1070-1078.</w:t>
      </w:r>
    </w:p>
    <w:p w14:paraId="3276FDA3" w14:textId="77777777" w:rsidR="00707D1B" w:rsidRPr="00911CE9" w:rsidRDefault="00707D1B" w:rsidP="00707D1B">
      <w:pPr>
        <w:pStyle w:val="z-TopofForm"/>
        <w:rPr>
          <w:rFonts w:ascii="Times New Roman" w:hAnsi="Times New Roman" w:cs="Times New Roman"/>
          <w:sz w:val="24"/>
          <w:szCs w:val="24"/>
        </w:rPr>
      </w:pPr>
      <w:r w:rsidRPr="00911CE9">
        <w:rPr>
          <w:rFonts w:ascii="Times New Roman" w:hAnsi="Times New Roman" w:cs="Times New Roman"/>
          <w:sz w:val="24"/>
          <w:szCs w:val="24"/>
        </w:rPr>
        <w:t>Top of Form</w:t>
      </w:r>
    </w:p>
    <w:p w14:paraId="19ED1F6C" w14:textId="77777777" w:rsidR="00707D1B" w:rsidRPr="00911CE9" w:rsidRDefault="00707D1B" w:rsidP="00707D1B">
      <w:pPr>
        <w:pStyle w:val="z-BottomofForm"/>
        <w:rPr>
          <w:rFonts w:ascii="Times New Roman" w:hAnsi="Times New Roman" w:cs="Times New Roman"/>
          <w:sz w:val="24"/>
          <w:szCs w:val="24"/>
        </w:rPr>
      </w:pPr>
      <w:r w:rsidRPr="00911CE9">
        <w:rPr>
          <w:rFonts w:ascii="Times New Roman" w:hAnsi="Times New Roman" w:cs="Times New Roman"/>
          <w:sz w:val="24"/>
          <w:szCs w:val="24"/>
        </w:rPr>
        <w:t>Bottom of Form</w:t>
      </w:r>
    </w:p>
    <w:p w14:paraId="38DB3778" w14:textId="77777777" w:rsidR="00707D1B" w:rsidRPr="00911CE9" w:rsidRDefault="00707D1B" w:rsidP="00707D1B"/>
    <w:p w14:paraId="4CEBCA23" w14:textId="77777777" w:rsidR="00707D1B" w:rsidRDefault="00707D1B" w:rsidP="00707D1B"/>
    <w:p w14:paraId="0CB68ED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pPr>
      <w:r>
        <w:rPr>
          <w:rStyle w:val="Strong"/>
          <w:bdr w:val="single" w:sz="2" w:space="0" w:color="D9D9E3" w:frame="1"/>
        </w:rPr>
        <w:t>Chapter 6: Virtual Reality (VR) and Augmented Reality (AR) in Healthcare</w:t>
      </w:r>
    </w:p>
    <w:p w14:paraId="52936836"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6.1 VR and AR in Medical Education and Training</w:t>
      </w:r>
    </w:p>
    <w:p w14:paraId="7C11B4B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Virtual Reality (VR) and Augmented Reality (AR) have transformed medical education and training. Medical students and healthcare professionals can immerse themselves in realistic simulations of surgical procedures, patient interactions, and diagnostic scenarios. VR allows for interactive learning experiences, enabling users to practice skills and decision-making in a controlled environment. AR overlays digital information onto the real world, enhancing anatomy education and aiding in understanding complex medical concepts.</w:t>
      </w:r>
    </w:p>
    <w:p w14:paraId="4E4F7753"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6.2 Surgical Planning and Navigation with VR and AR</w:t>
      </w:r>
    </w:p>
    <w:p w14:paraId="59A17BB3"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VR and AR technologies are revolutionizing surgical planning and navigation. Surgeons can visualize 3D reconstructions of patient-specific anatomy from medical imaging data, aiding in preoperative planning. During surgery, AR overlays relevant information onto the surgeon's field of view, providing real-time guidance and enhancing precision. These </w:t>
      </w:r>
      <w:r>
        <w:lastRenderedPageBreak/>
        <w:t>technologies are particularly valuable in complex procedures, minimizing risks and improving surgical outcomes.</w:t>
      </w:r>
    </w:p>
    <w:p w14:paraId="231365F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6.3 VR and AR in Rehabilitation and Mental Health</w:t>
      </w:r>
    </w:p>
    <w:p w14:paraId="3A3C33D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VR and AR have found applications in rehabilitation and mental health therapies. In physical rehabilitation, VR environments can simulate real-life scenarios to aid patients in regaining mobility and coordination. AR can provide visual cues and feedback to assist patients in performing rehabilitation exercises accurately. Additionally, VR is being used in exposure therapy for mental health conditions such as phobias, PTSD, and anxiety disorders, allowing patients to confront and manage their fears in a controlled and safe environment.</w:t>
      </w:r>
    </w:p>
    <w:p w14:paraId="329E6B6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6.4 Ethical Considerations and Future Potential of VR and AR</w:t>
      </w:r>
    </w:p>
    <w:p w14:paraId="028BC25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As VR and AR technologies continue to advance in healthcare, ethical considerations come to the forefront:</w:t>
      </w:r>
    </w:p>
    <w:p w14:paraId="46AA33C1"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6.4.1 Patient Privacy</w:t>
      </w:r>
    </w:p>
    <w:p w14:paraId="0A9051E7"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Using VR and AR involves collecting and storing patient data. Ensuring patient privacy and data security is paramount to comply with regulations such as HIPAA.</w:t>
      </w:r>
    </w:p>
    <w:p w14:paraId="5DA2CCC7"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6.4.2 Realism and Desensitization</w:t>
      </w:r>
    </w:p>
    <w:p w14:paraId="4996E188"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In immersive therapeutic applications, there is a concern that repeated exposure to intense virtual scenarios might desensitize patients, affecting real-world emotional responses.</w:t>
      </w:r>
    </w:p>
    <w:p w14:paraId="3C57062F"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6.4.3 Healthcare Equity</w:t>
      </w:r>
    </w:p>
    <w:p w14:paraId="7195028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Ensuring equal access to VR and AR technologies is crucial to prevent disparities in healthcare outcomes based on patients' socioeconomic status or geographical location.</w:t>
      </w:r>
    </w:p>
    <w:p w14:paraId="7C8DE90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6.4.4 Long-Term Effects</w:t>
      </w:r>
    </w:p>
    <w:p w14:paraId="6B30929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long-term effects of extended VR and AR use on human cognition, sensory perception, and mental health are areas that require further research.</w:t>
      </w:r>
    </w:p>
    <w:p w14:paraId="4175ADB6"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References</w:t>
      </w:r>
    </w:p>
    <w:p w14:paraId="5A95F1C3" w14:textId="77777777" w:rsidR="00707D1B" w:rsidRDefault="00707D1B" w:rsidP="00707D1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Seymour, N. E., Gallagher, A. G., Roman, S. A., O'Brien, M. K., Bansal, V. K., Andersen, D. K., &amp; </w:t>
      </w:r>
      <w:proofErr w:type="spellStart"/>
      <w:r>
        <w:t>Satava</w:t>
      </w:r>
      <w:proofErr w:type="spellEnd"/>
      <w:r>
        <w:t xml:space="preserve">, R. M. (2002). </w:t>
      </w:r>
      <w:r>
        <w:rPr>
          <w:rStyle w:val="Strong"/>
          <w:bdr w:val="single" w:sz="2" w:space="0" w:color="D9D9E3" w:frame="1"/>
        </w:rPr>
        <w:t>Virtual reality training improves operating room performance: results of a randomized, double-blinded study.</w:t>
      </w:r>
      <w:r>
        <w:t xml:space="preserve"> Annals of Surgery, 236(4), 458-464.</w:t>
      </w:r>
    </w:p>
    <w:p w14:paraId="4568AD17" w14:textId="77777777" w:rsidR="00707D1B" w:rsidRDefault="00707D1B" w:rsidP="00707D1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Pratt, P., Hill, R., Cameron, D., &amp; </w:t>
      </w:r>
      <w:proofErr w:type="spellStart"/>
      <w:r>
        <w:t>Lannin</w:t>
      </w:r>
      <w:proofErr w:type="spellEnd"/>
      <w:r>
        <w:t xml:space="preserve">, N. A. (2014). </w:t>
      </w:r>
      <w:r>
        <w:rPr>
          <w:rStyle w:val="Strong"/>
          <w:bdr w:val="single" w:sz="2" w:space="0" w:color="D9D9E3" w:frame="1"/>
        </w:rPr>
        <w:t>A review of the use of virtual reality head-mounted displays in rehabilitation.</w:t>
      </w:r>
      <w:r>
        <w:t xml:space="preserve"> Disability and Rehabilitation: Assistive Technology, 9(2), 93-103.</w:t>
      </w:r>
    </w:p>
    <w:p w14:paraId="5BC530BB" w14:textId="77777777" w:rsidR="00707D1B" w:rsidRDefault="00707D1B" w:rsidP="00707D1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Riva, G., </w:t>
      </w:r>
      <w:proofErr w:type="spellStart"/>
      <w:r>
        <w:t>Baños</w:t>
      </w:r>
      <w:proofErr w:type="spellEnd"/>
      <w:r>
        <w:t xml:space="preserve">, R. M., </w:t>
      </w:r>
      <w:proofErr w:type="spellStart"/>
      <w:r>
        <w:t>Botella</w:t>
      </w:r>
      <w:proofErr w:type="spellEnd"/>
      <w:r>
        <w:t xml:space="preserve">, C., </w:t>
      </w:r>
      <w:proofErr w:type="spellStart"/>
      <w:r>
        <w:t>Mantovani</w:t>
      </w:r>
      <w:proofErr w:type="spellEnd"/>
      <w:r>
        <w:t xml:space="preserve">, F., </w:t>
      </w:r>
      <w:proofErr w:type="spellStart"/>
      <w:r>
        <w:t>Gaggioli</w:t>
      </w:r>
      <w:proofErr w:type="spellEnd"/>
      <w:r>
        <w:t xml:space="preserve">, A., &amp; García-Palacios, A. (2012). </w:t>
      </w:r>
      <w:r>
        <w:rPr>
          <w:rStyle w:val="Strong"/>
          <w:bdr w:val="single" w:sz="2" w:space="0" w:color="D9D9E3" w:frame="1"/>
        </w:rPr>
        <w:t xml:space="preserve">Transforming experience: The potential of augmented reality and </w:t>
      </w:r>
      <w:r>
        <w:rPr>
          <w:rStyle w:val="Strong"/>
          <w:bdr w:val="single" w:sz="2" w:space="0" w:color="D9D9E3" w:frame="1"/>
        </w:rPr>
        <w:lastRenderedPageBreak/>
        <w:t>virtual reality for enhancing personal and clinical change.</w:t>
      </w:r>
      <w:r>
        <w:t xml:space="preserve"> Frontiers in Psychiatry, 3, 1-4.</w:t>
      </w:r>
    </w:p>
    <w:p w14:paraId="36EB6CEC" w14:textId="77777777" w:rsidR="00707D1B" w:rsidRDefault="00707D1B" w:rsidP="00707D1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Wiederhold</w:t>
      </w:r>
      <w:proofErr w:type="spellEnd"/>
      <w:r>
        <w:t xml:space="preserve">, B. K., &amp; Riva, G. (2019). </w:t>
      </w:r>
      <w:r>
        <w:rPr>
          <w:rStyle w:val="Strong"/>
          <w:bdr w:val="single" w:sz="2" w:space="0" w:color="D9D9E3" w:frame="1"/>
        </w:rPr>
        <w:t>Virtual Reality Therapy: Emerging Topics and Future Challenges.</w:t>
      </w:r>
      <w:r>
        <w:t xml:space="preserve"> Frontiers in Psychiatry, 10, 879.</w:t>
      </w:r>
    </w:p>
    <w:p w14:paraId="00BE5E4C" w14:textId="77777777" w:rsidR="00707D1B" w:rsidRDefault="00707D1B" w:rsidP="00707D1B">
      <w:pPr>
        <w:pStyle w:val="NormalWeb"/>
        <w:numPr>
          <w:ilvl w:val="0"/>
          <w:numId w:val="5"/>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Bohil</w:t>
      </w:r>
      <w:proofErr w:type="spellEnd"/>
      <w:r>
        <w:t xml:space="preserve">, C. J., </w:t>
      </w:r>
      <w:proofErr w:type="spellStart"/>
      <w:r>
        <w:t>Alicea</w:t>
      </w:r>
      <w:proofErr w:type="spellEnd"/>
      <w:r>
        <w:t xml:space="preserve">, B., &amp; </w:t>
      </w:r>
      <w:proofErr w:type="spellStart"/>
      <w:r>
        <w:t>Biocca</w:t>
      </w:r>
      <w:proofErr w:type="spellEnd"/>
      <w:r>
        <w:t xml:space="preserve">, F. A. (2011). </w:t>
      </w:r>
      <w:r>
        <w:rPr>
          <w:rStyle w:val="Strong"/>
          <w:bdr w:val="single" w:sz="2" w:space="0" w:color="D9D9E3" w:frame="1"/>
        </w:rPr>
        <w:t>Virtual reality in neuroscience research and therapy.</w:t>
      </w:r>
      <w:r>
        <w:t xml:space="preserve"> Nature Reviews Neuroscience, 12(12), 752-762.</w:t>
      </w:r>
    </w:p>
    <w:p w14:paraId="223444CE" w14:textId="77777777" w:rsidR="00707D1B" w:rsidRDefault="00707D1B" w:rsidP="00707D1B">
      <w:pPr>
        <w:pStyle w:val="z-TopofForm"/>
      </w:pPr>
      <w:r>
        <w:t>Top of Form</w:t>
      </w:r>
    </w:p>
    <w:p w14:paraId="4A405958" w14:textId="77777777" w:rsidR="00707D1B" w:rsidRDefault="00707D1B" w:rsidP="00707D1B">
      <w:pPr>
        <w:rPr>
          <w:rFonts w:ascii="Segoe UI" w:hAnsi="Segoe UI" w:cs="Segoe UI"/>
          <w:color w:val="000000"/>
          <w:sz w:val="27"/>
          <w:szCs w:val="27"/>
        </w:rPr>
      </w:pPr>
    </w:p>
    <w:p w14:paraId="21B0676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pPr>
      <w:r>
        <w:rPr>
          <w:rStyle w:val="Strong"/>
          <w:bdr w:val="single" w:sz="2" w:space="0" w:color="D9D9E3" w:frame="1"/>
        </w:rPr>
        <w:t>Chapter 7: 3D Printing in Medicine</w:t>
      </w:r>
    </w:p>
    <w:p w14:paraId="077B1E08"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7.1 Applications of 3D Printing in Medicine</w:t>
      </w:r>
    </w:p>
    <w:p w14:paraId="193BBCF3"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3D printing, also known as additive manufacturing, has revolutionized various aspects of medicine. This technology enables the creation of complex three-dimensional structures layer by layer, opening up new possibilities for customization and innovation in healthcare. From implants to tissue engineering, 3D printing is transforming the medical landscape.</w:t>
      </w:r>
    </w:p>
    <w:p w14:paraId="23CC77E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7.2 Patient-Specific Implants and Prosthetics</w:t>
      </w:r>
    </w:p>
    <w:p w14:paraId="76212A57" w14:textId="32B55CC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One of the most impactful applications of 3D printing in medicine is the production of patient-specific implants and prosthetics. Using medical imaging data, clinicians can design implants and prosthetics tailored to an individual's anatomy. This ensures a better fit, improved functionality, and reduced risk of complications. Customized implants can be created for craniofacial reconstruction, </w:t>
      </w:r>
      <w:r w:rsidR="006D668F">
        <w:t>orthopaedic</w:t>
      </w:r>
      <w:r>
        <w:t xml:space="preserve"> surgery, and dental procedures, among others.</w:t>
      </w:r>
    </w:p>
    <w:p w14:paraId="71623FB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7.3 3D Bioprinting and Organ Regeneration</w:t>
      </w:r>
    </w:p>
    <w:p w14:paraId="61344AD7"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3D bioprinting is a cutting-edge field that aims to create functional, living tissues and even organs. By combining cells, biomaterials, and growth factors, scientists can fabricate intricate tissue structures layer by layer. While the challenge of printing complex organs like the heart remains, progress is being made in creating simpler tissues such as skin, cartilage, and blood vessels. This holds the potential to address the organ shortage crisis and provide personalized solutions for patients in need of transplantation.</w:t>
      </w:r>
    </w:p>
    <w:p w14:paraId="2E280CD2"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7.4 Regulatory Challenges and Future Directions</w:t>
      </w:r>
    </w:p>
    <w:p w14:paraId="5180B1A6"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As 3D printing continues to advance in medicine, regulatory challenges and future directions need to be considered:</w:t>
      </w:r>
    </w:p>
    <w:p w14:paraId="512C1395"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7.4.1 Regulatory Pathways</w:t>
      </w:r>
    </w:p>
    <w:p w14:paraId="22F812A6"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introduction of 3D-printed medical devices and implants requires regulatory approval to ensure safety and efficacy. Regulatory agencies are adapting their approval processes to accommodate the unique features of 3D printing.</w:t>
      </w:r>
    </w:p>
    <w:p w14:paraId="21F023C7"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7.4.2 Material Biocompatibility</w:t>
      </w:r>
    </w:p>
    <w:p w14:paraId="149948F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lastRenderedPageBreak/>
        <w:t>The choice of materials for 3D printing medical devices is critical. Ensuring the biocompatibility of printed materials with the human body is essential to prevent adverse reactions and ensure long-term success.</w:t>
      </w:r>
    </w:p>
    <w:p w14:paraId="5791AE28"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7.4.3 Quality Control</w:t>
      </w:r>
    </w:p>
    <w:p w14:paraId="0AD320B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Maintaining consistent and high-quality 3D-printed medical products is a challenge. Robust quality control measures are necessary to ensure that each printed device meets stringent standards.</w:t>
      </w:r>
    </w:p>
    <w:p w14:paraId="609B647F"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7.4.4 Future Directions</w:t>
      </w:r>
    </w:p>
    <w:p w14:paraId="446B4FA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future of 3D printing in medicine holds exciting possibilities. Researchers are working on improving printing speed, accuracy, and the range of printable materials. Additionally, advancements in 3D bioprinting may eventually lead to the fabrication of functional replacement organs.</w:t>
      </w:r>
    </w:p>
    <w:p w14:paraId="63DC7D22"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References</w:t>
      </w:r>
    </w:p>
    <w:p w14:paraId="1CB960AA" w14:textId="77777777" w:rsidR="00707D1B" w:rsidRDefault="00707D1B" w:rsidP="00707D1B">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Murphy, S. V., &amp; Atala, A. (2014). </w:t>
      </w:r>
      <w:r>
        <w:rPr>
          <w:rStyle w:val="Strong"/>
          <w:bdr w:val="single" w:sz="2" w:space="0" w:color="D9D9E3" w:frame="1"/>
        </w:rPr>
        <w:t>3D bioprinting of tissues and organs.</w:t>
      </w:r>
      <w:r>
        <w:t xml:space="preserve"> Nature Biotechnology, 32(8), 773-785.</w:t>
      </w:r>
    </w:p>
    <w:p w14:paraId="0EBE0F09" w14:textId="77777777" w:rsidR="00707D1B" w:rsidRDefault="00707D1B" w:rsidP="00707D1B">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Ventola</w:t>
      </w:r>
      <w:proofErr w:type="spellEnd"/>
      <w:r>
        <w:t xml:space="preserve">, C. L. (2014). </w:t>
      </w:r>
      <w:r>
        <w:rPr>
          <w:rStyle w:val="Strong"/>
          <w:bdr w:val="single" w:sz="2" w:space="0" w:color="D9D9E3" w:frame="1"/>
        </w:rPr>
        <w:t>Medical applications for 3D printing: Current and projected uses.</w:t>
      </w:r>
      <w:r>
        <w:t xml:space="preserve"> P&amp;T: a Peer-Reviewed Journal for Formulary Management, 39(10), 704-711.</w:t>
      </w:r>
    </w:p>
    <w:p w14:paraId="2C53855E" w14:textId="77777777" w:rsidR="00707D1B" w:rsidRDefault="00707D1B" w:rsidP="00707D1B">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Wang, M. O., </w:t>
      </w:r>
      <w:proofErr w:type="spellStart"/>
      <w:r>
        <w:t>Piard</w:t>
      </w:r>
      <w:proofErr w:type="spellEnd"/>
      <w:r>
        <w:t xml:space="preserve">, C. M., &amp; Melchiorri, A. J. (2018). </w:t>
      </w:r>
      <w:r>
        <w:rPr>
          <w:rStyle w:val="Strong"/>
          <w:bdr w:val="single" w:sz="2" w:space="0" w:color="D9D9E3" w:frame="1"/>
        </w:rPr>
        <w:t>Advances in 3D bioprinting: A year in review.</w:t>
      </w:r>
      <w:r>
        <w:t xml:space="preserve"> Journal of Biomedical Materials Research Part B: Applied Biomaterials, 106(1), 385-399.</w:t>
      </w:r>
    </w:p>
    <w:p w14:paraId="1B302A5D" w14:textId="77777777" w:rsidR="00707D1B" w:rsidRDefault="00707D1B" w:rsidP="00707D1B">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Ngo, T. D., </w:t>
      </w:r>
      <w:proofErr w:type="spellStart"/>
      <w:r>
        <w:t>Kashani</w:t>
      </w:r>
      <w:proofErr w:type="spellEnd"/>
      <w:r>
        <w:t xml:space="preserve">, A., </w:t>
      </w:r>
      <w:proofErr w:type="spellStart"/>
      <w:r>
        <w:t>Imbalzano</w:t>
      </w:r>
      <w:proofErr w:type="spellEnd"/>
      <w:r>
        <w:t xml:space="preserve">, G., &amp; Hui, D. (2018). </w:t>
      </w:r>
      <w:r>
        <w:rPr>
          <w:rStyle w:val="Strong"/>
          <w:bdr w:val="single" w:sz="2" w:space="0" w:color="D9D9E3" w:frame="1"/>
        </w:rPr>
        <w:t>Additive manufacturing (3D printing): A review of materials, methods, applications and challenges.</w:t>
      </w:r>
      <w:r>
        <w:t xml:space="preserve"> Composites Part B: Engineering, 143, 172-196.</w:t>
      </w:r>
    </w:p>
    <w:p w14:paraId="21D5E2A4" w14:textId="77777777" w:rsidR="00707D1B" w:rsidRDefault="00707D1B" w:rsidP="00707D1B">
      <w:pPr>
        <w:pStyle w:val="NormalWeb"/>
        <w:numPr>
          <w:ilvl w:val="0"/>
          <w:numId w:val="6"/>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Food and Drug Administration (FDA). (2017). </w:t>
      </w:r>
      <w:r>
        <w:rPr>
          <w:rStyle w:val="Strong"/>
          <w:bdr w:val="single" w:sz="2" w:space="0" w:color="D9D9E3" w:frame="1"/>
        </w:rPr>
        <w:t>Technical Considerations for Additive Manufactured Medical Devices: Guidance for Industry and Food and Drug Administration Staff.</w:t>
      </w:r>
      <w:r>
        <w:t xml:space="preserve"> </w:t>
      </w:r>
      <w:hyperlink r:id="rId10" w:tgtFrame="_new" w:history="1">
        <w:r>
          <w:rPr>
            <w:rStyle w:val="Hyperlink"/>
            <w:bdr w:val="single" w:sz="2" w:space="0" w:color="D9D9E3" w:frame="1"/>
          </w:rPr>
          <w:t>https://www.fda.gov/regulatory-information/search-fda-guidance-documents/technical-considerations-additive-manufactured-medical-devices</w:t>
        </w:r>
      </w:hyperlink>
    </w:p>
    <w:p w14:paraId="2564718A" w14:textId="77777777" w:rsidR="00707D1B" w:rsidRDefault="00707D1B" w:rsidP="00707D1B">
      <w:pPr>
        <w:pStyle w:val="z-TopofForm"/>
      </w:pPr>
      <w:r>
        <w:t>Top of Form</w:t>
      </w:r>
    </w:p>
    <w:p w14:paraId="19648B4F" w14:textId="77777777" w:rsidR="00707D1B" w:rsidRDefault="00707D1B" w:rsidP="00707D1B">
      <w:pPr>
        <w:rPr>
          <w:rFonts w:ascii="Segoe UI" w:hAnsi="Segoe UI" w:cs="Segoe UI"/>
          <w:color w:val="000000"/>
          <w:sz w:val="27"/>
          <w:szCs w:val="27"/>
        </w:rPr>
      </w:pPr>
    </w:p>
    <w:p w14:paraId="414116D0" w14:textId="77777777" w:rsidR="00707D1B" w:rsidRDefault="00707D1B" w:rsidP="00707D1B">
      <w:pPr>
        <w:pStyle w:val="z-BottomofForm"/>
      </w:pPr>
      <w:r>
        <w:t>Bottom of Form</w:t>
      </w:r>
    </w:p>
    <w:p w14:paraId="7914FD7B" w14:textId="77777777" w:rsidR="00707D1B" w:rsidRDefault="00707D1B" w:rsidP="00707D1B">
      <w:pPr>
        <w:pStyle w:val="z-BottomofForm"/>
      </w:pPr>
      <w:r>
        <w:t>Bottom of Form</w:t>
      </w:r>
    </w:p>
    <w:p w14:paraId="354D424F" w14:textId="77777777" w:rsidR="00707D1B" w:rsidRDefault="00707D1B" w:rsidP="00707D1B"/>
    <w:p w14:paraId="6FF5967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pPr>
      <w:r>
        <w:rPr>
          <w:rStyle w:val="Strong"/>
          <w:bdr w:val="single" w:sz="2" w:space="0" w:color="D9D9E3" w:frame="1"/>
        </w:rPr>
        <w:t>Chapter 8: Telemedicine and Remote Healthcare</w:t>
      </w:r>
    </w:p>
    <w:p w14:paraId="3B99E477"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8.1 Teleconsultations and Remote Monitoring</w:t>
      </w:r>
    </w:p>
    <w:p w14:paraId="19DE7AA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Telemedicine has transformed healthcare by enabling patients and healthcare providers to communicate remotely, bridging geographical barriers and improving access to medical expertise. Teleconsultations involve real-time video or audio interactions between patients and healthcare professionals. Remote monitoring technologies allow providers to remotely track patients' vital signs, chronic conditions, and recovery progress, enhancing patient care and reducing hospital readmissions.</w:t>
      </w:r>
    </w:p>
    <w:p w14:paraId="071529B3"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8.2 Digital Health Platforms and Wearable Devices</w:t>
      </w:r>
    </w:p>
    <w:p w14:paraId="51ED6C4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lastRenderedPageBreak/>
        <w:t>Digital health platforms and wearable devices play a crucial role in remote healthcare. Wearable devices, such as smartwatches and fitness trackers, can collect real-time data on a patient's activity, heart rate, sleep patterns, and more. These devices provide valuable insights to both patients and healthcare providers, aiding in early disease detection and promoting proactive health management.</w:t>
      </w:r>
    </w:p>
    <w:p w14:paraId="1C5EC43F"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8.3 Telemedicine in Rural and Underserved Areas</w:t>
      </w:r>
    </w:p>
    <w:p w14:paraId="7A9B551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Telemedicine has the potential to address healthcare disparities in rural and underserved areas. These regions often face challenges in accessing medical facilities and specialists. Telemedicine brings essential medical services directly to patients' homes, ensuring they receive timely care and reducing the need for travel. This has a significant impact on improving health outcomes in remote communities.</w:t>
      </w:r>
    </w:p>
    <w:p w14:paraId="341B3F26"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8.4 Legal and Privacy Considerations in Telemedicine</w:t>
      </w:r>
    </w:p>
    <w:p w14:paraId="145263D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As telemedicine becomes more prevalent, legal and privacy considerations become increasingly important:</w:t>
      </w:r>
    </w:p>
    <w:p w14:paraId="37CD943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8.4.1 Licensure and Jurisdiction</w:t>
      </w:r>
    </w:p>
    <w:p w14:paraId="64BCAD2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Telemedicine often involves providing care across state or even international borders. Determining the appropriate licensure and regulatory framework for telemedicine practitioners is a complex issue.</w:t>
      </w:r>
    </w:p>
    <w:p w14:paraId="354C2FA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8.4.2 Privacy and Data Security</w:t>
      </w:r>
    </w:p>
    <w:p w14:paraId="46CBE145"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Remote healthcare relies on the exchange of sensitive patient information. Ensuring the privacy and security of patient data is critical to comply with regulations such as HIPAA and GDPR.</w:t>
      </w:r>
    </w:p>
    <w:p w14:paraId="168DED3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8.4.3 Informed Consent</w:t>
      </w:r>
    </w:p>
    <w:p w14:paraId="5DD2D01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Providers must obtain informed consent from patients for telemedicine services. Patients should be aware of the potential risks, benefits, and limitations of remote healthcare.</w:t>
      </w:r>
    </w:p>
    <w:p w14:paraId="7B86E703"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References</w:t>
      </w:r>
    </w:p>
    <w:p w14:paraId="01594F50" w14:textId="77777777" w:rsidR="00707D1B" w:rsidRDefault="00707D1B" w:rsidP="00707D1B">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Yellowlees</w:t>
      </w:r>
      <w:proofErr w:type="spellEnd"/>
      <w:r>
        <w:t xml:space="preserve">, P. M., </w:t>
      </w:r>
      <w:proofErr w:type="spellStart"/>
      <w:r>
        <w:t>Odor</w:t>
      </w:r>
      <w:proofErr w:type="spellEnd"/>
      <w:r>
        <w:t xml:space="preserve">, A., Parish, M. B., &amp; </w:t>
      </w:r>
      <w:proofErr w:type="spellStart"/>
      <w:r>
        <w:t>Iosif</w:t>
      </w:r>
      <w:proofErr w:type="spellEnd"/>
      <w:r>
        <w:t xml:space="preserve">, A. M. (2018). </w:t>
      </w:r>
      <w:r>
        <w:rPr>
          <w:rStyle w:val="Strong"/>
          <w:bdr w:val="single" w:sz="2" w:space="0" w:color="D9D9E3" w:frame="1"/>
        </w:rPr>
        <w:t>Remote Telemedical Management of Polysomnography in Sleep Disordered Breathing—A Position Paper of the American Academy of Sleep Medicine.</w:t>
      </w:r>
      <w:r>
        <w:t xml:space="preserve"> Journal of Clinical Sleep Medicine, 14(7), 1205–1209.</w:t>
      </w:r>
    </w:p>
    <w:p w14:paraId="5A444EDB" w14:textId="77777777" w:rsidR="00707D1B" w:rsidRDefault="00707D1B" w:rsidP="00707D1B">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Chung, A. E., Sandler, R. S., Long, M. D., Ahrens, S., &amp; Burris, J. L. (2017). </w:t>
      </w:r>
      <w:r>
        <w:rPr>
          <w:rStyle w:val="Strong"/>
          <w:bdr w:val="single" w:sz="2" w:space="0" w:color="D9D9E3" w:frame="1"/>
        </w:rPr>
        <w:t>Prospective Evaluation of Digital Health Platform in Severe Active Ulcerative Colitis: Click2IBD.</w:t>
      </w:r>
      <w:r>
        <w:t xml:space="preserve"> Inflammatory Bowel Diseases, 23(12), 2048–2055.</w:t>
      </w:r>
    </w:p>
    <w:p w14:paraId="09921A81" w14:textId="77777777" w:rsidR="00707D1B" w:rsidRDefault="00707D1B" w:rsidP="00707D1B">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World Health Organization. (2010). </w:t>
      </w:r>
      <w:r>
        <w:rPr>
          <w:rStyle w:val="Strong"/>
          <w:bdr w:val="single" w:sz="2" w:space="0" w:color="D9D9E3" w:frame="1"/>
        </w:rPr>
        <w:t>Telemedicine: Opportunities and developments in Member States: Report on the second global survey on eHealth.</w:t>
      </w:r>
      <w:r>
        <w:t xml:space="preserve"> </w:t>
      </w:r>
      <w:hyperlink r:id="rId11" w:tgtFrame="_new" w:history="1">
        <w:r>
          <w:rPr>
            <w:rStyle w:val="Hyperlink"/>
            <w:bdr w:val="single" w:sz="2" w:space="0" w:color="D9D9E3" w:frame="1"/>
          </w:rPr>
          <w:t>https://apps.who.int/iris/bitstream/handle/10665/44497/9789241564144_eng.pdf</w:t>
        </w:r>
      </w:hyperlink>
    </w:p>
    <w:p w14:paraId="450F77DE" w14:textId="77777777" w:rsidR="00707D1B" w:rsidRDefault="00707D1B" w:rsidP="00707D1B">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lastRenderedPageBreak/>
        <w:t>Perednia</w:t>
      </w:r>
      <w:proofErr w:type="spellEnd"/>
      <w:r>
        <w:t xml:space="preserve">, D. A., &amp; Allen, A. (1995). </w:t>
      </w:r>
      <w:r>
        <w:rPr>
          <w:rStyle w:val="Strong"/>
          <w:bdr w:val="single" w:sz="2" w:space="0" w:color="D9D9E3" w:frame="1"/>
        </w:rPr>
        <w:t>Telemedicine technology and clinical applications.</w:t>
      </w:r>
      <w:r>
        <w:t xml:space="preserve"> JAMA, 273(6), 483–488.</w:t>
      </w:r>
    </w:p>
    <w:p w14:paraId="7D76518B" w14:textId="77777777" w:rsidR="00707D1B" w:rsidRDefault="00707D1B" w:rsidP="00707D1B">
      <w:pPr>
        <w:pStyle w:val="NormalWeb"/>
        <w:numPr>
          <w:ilvl w:val="0"/>
          <w:numId w:val="7"/>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American Telemedicine Association. (2020). </w:t>
      </w:r>
      <w:r>
        <w:rPr>
          <w:rStyle w:val="Strong"/>
          <w:bdr w:val="single" w:sz="2" w:space="0" w:color="D9D9E3" w:frame="1"/>
        </w:rPr>
        <w:t>State Telemedicine Gaps Analysis: Coverage &amp; Reimbursement.</w:t>
      </w:r>
      <w:r>
        <w:t xml:space="preserve"> </w:t>
      </w:r>
      <w:hyperlink r:id="rId12" w:tgtFrame="_new" w:history="1">
        <w:r>
          <w:rPr>
            <w:rStyle w:val="Hyperlink"/>
            <w:bdr w:val="single" w:sz="2" w:space="0" w:color="D9D9E3" w:frame="1"/>
          </w:rPr>
          <w:t>https://www.americantelemed.org/resource/coverage-and-reimbursement/state-telemedicine-gaps-analysis/</w:t>
        </w:r>
      </w:hyperlink>
    </w:p>
    <w:p w14:paraId="3F232FCA" w14:textId="77777777" w:rsidR="00707D1B" w:rsidRDefault="00707D1B" w:rsidP="00707D1B">
      <w:pPr>
        <w:pStyle w:val="z-TopofForm"/>
      </w:pPr>
      <w:r>
        <w:t>Top of Form</w:t>
      </w:r>
    </w:p>
    <w:p w14:paraId="43ED409C" w14:textId="77777777" w:rsidR="00707D1B" w:rsidRDefault="00707D1B" w:rsidP="00707D1B">
      <w:pPr>
        <w:rPr>
          <w:rFonts w:ascii="Segoe UI" w:hAnsi="Segoe UI" w:cs="Segoe UI"/>
          <w:color w:val="000000"/>
          <w:sz w:val="27"/>
          <w:szCs w:val="27"/>
        </w:rPr>
      </w:pPr>
    </w:p>
    <w:p w14:paraId="7FD46D8B" w14:textId="77777777" w:rsidR="00707D1B" w:rsidRDefault="00707D1B" w:rsidP="00707D1B">
      <w:pPr>
        <w:pStyle w:val="z-BottomofForm"/>
      </w:pPr>
      <w:r>
        <w:t>Bottom of Form</w:t>
      </w:r>
    </w:p>
    <w:p w14:paraId="137B7BA3" w14:textId="77777777" w:rsidR="00707D1B" w:rsidRDefault="00707D1B" w:rsidP="00707D1B"/>
    <w:p w14:paraId="0342E5B9"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pPr>
      <w:r>
        <w:rPr>
          <w:rStyle w:val="Strong"/>
          <w:bdr w:val="single" w:sz="2" w:space="0" w:color="D9D9E3" w:frame="1"/>
        </w:rPr>
        <w:t>Chapter 9: Neurotechnology</w:t>
      </w:r>
    </w:p>
    <w:p w14:paraId="3873A4F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9.1 Brain-Computer Interfaces and Neural Implants</w:t>
      </w:r>
    </w:p>
    <w:p w14:paraId="478BE7B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Neurotechnology encompasses a range of innovations aimed at interfacing with the nervous system. Brain-Computer Interfaces (BCIs) and neural implants allow direct communication between the brain and external devices. BCIs enable individuals with paralysis or neurological disorders to control computers, robotic limbs, and other devices using their thoughts. Neural implants, such as deep brain stimulators, deliver electrical impulses to specific brain regions, offering therapeutic interventions for conditions like Parkinson's disease and epilepsy.</w:t>
      </w:r>
    </w:p>
    <w:p w14:paraId="5D44C4A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9.2 Neurostimulation in Treating Neurological Disorders</w:t>
      </w:r>
    </w:p>
    <w:p w14:paraId="3239E3F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Neurostimulation involves delivering electrical or magnetic signals to the nervous system to modulate its activity. Transcranial magnetic stimulation (TMS) and transcranial direct current stimulation (</w:t>
      </w:r>
      <w:proofErr w:type="spellStart"/>
      <w:r>
        <w:t>tDCS</w:t>
      </w:r>
      <w:proofErr w:type="spellEnd"/>
      <w:r>
        <w:t>) are non-invasive techniques used to treat depression, anxiety, and pain. Invasive techniques like spinal cord stimulation provide relief for chronic pain conditions and improve motor function in spinal cord injury patients.</w:t>
      </w:r>
    </w:p>
    <w:p w14:paraId="71EC0AC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 xml:space="preserve">9.3 </w:t>
      </w:r>
      <w:proofErr w:type="spellStart"/>
      <w:r>
        <w:rPr>
          <w:rStyle w:val="Strong"/>
          <w:bdr w:val="single" w:sz="2" w:space="0" w:color="D9D9E3" w:frame="1"/>
        </w:rPr>
        <w:t>Neuroprosthetics</w:t>
      </w:r>
      <w:proofErr w:type="spellEnd"/>
      <w:r>
        <w:rPr>
          <w:rStyle w:val="Strong"/>
          <w:bdr w:val="single" w:sz="2" w:space="0" w:color="D9D9E3" w:frame="1"/>
        </w:rPr>
        <w:t xml:space="preserve"> for Restoring Motor Function</w:t>
      </w:r>
    </w:p>
    <w:p w14:paraId="0766FC32"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proofErr w:type="spellStart"/>
      <w:r>
        <w:t>Neuroprosthetics</w:t>
      </w:r>
      <w:proofErr w:type="spellEnd"/>
      <w:r>
        <w:t xml:space="preserve"> are devices that restore lost sensory or motor function by interfacing with the nervous system. Cochlear implants, for instance, provide hearing to individuals with severe hearing loss, while retinal implants aim to restore vision in those with retinal degenerative diseases. Additionally, motorized prosthetic limbs can be controlled by the user's brain signals, enabling amputees to regain dexterity and mobility.</w:t>
      </w:r>
    </w:p>
    <w:p w14:paraId="14E5B3C1"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9.4 Ethical and Social Implications of Neurotechnology</w:t>
      </w:r>
    </w:p>
    <w:p w14:paraId="4B2D9F52"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Neurotechnology raises profound ethical and social questions:</w:t>
      </w:r>
    </w:p>
    <w:p w14:paraId="3045ED13"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9.4.1 Informed Consent</w:t>
      </w:r>
    </w:p>
    <w:p w14:paraId="05A4B50B"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Implanting devices in the brain raises complex questions about informed consent, autonomy, and the potential for coercion, especially in vulnerable populations.</w:t>
      </w:r>
    </w:p>
    <w:p w14:paraId="1AC210E2"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9.4.2 Privacy and Cognitive Liberty</w:t>
      </w:r>
    </w:p>
    <w:p w14:paraId="220E762F"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BCIs have the potential to decode an individual's thoughts and emotions. Protecting individuals' cognitive privacy and maintaining their cognitive liberty becomes crucial.</w:t>
      </w:r>
    </w:p>
    <w:p w14:paraId="1FD8B8E0"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lastRenderedPageBreak/>
        <w:t>9.4.3 Enhancement and Identity</w:t>
      </w:r>
    </w:p>
    <w:p w14:paraId="58392E02"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As neurotechnology advances, the line between medical treatment and human enhancement blurs. Discussions about whether to enhance cognitive or sensory abilities for non-medical reasons raise questions about identity and fairness.</w:t>
      </w:r>
    </w:p>
    <w:p w14:paraId="24A6EB41"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References</w:t>
      </w:r>
    </w:p>
    <w:p w14:paraId="329BDF00" w14:textId="77777777" w:rsidR="00707D1B" w:rsidRDefault="00707D1B" w:rsidP="00707D1B">
      <w:pPr>
        <w:pStyle w:val="NormalWeb"/>
        <w:numPr>
          <w:ilvl w:val="0"/>
          <w:numId w:val="8"/>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Lebedev, M. A., &amp; Nicolelis, M. A. L. (2006). </w:t>
      </w:r>
      <w:r>
        <w:rPr>
          <w:rStyle w:val="Strong"/>
          <w:bdr w:val="single" w:sz="2" w:space="0" w:color="D9D9E3" w:frame="1"/>
        </w:rPr>
        <w:t>Brain–machine interfaces: Past, present and future.</w:t>
      </w:r>
      <w:r>
        <w:t xml:space="preserve"> Trends in Neurosciences, 29(9), 536–546.</w:t>
      </w:r>
    </w:p>
    <w:p w14:paraId="20C6DA4B" w14:textId="77777777" w:rsidR="00707D1B" w:rsidRDefault="00707D1B" w:rsidP="00707D1B">
      <w:pPr>
        <w:pStyle w:val="NormalWeb"/>
        <w:numPr>
          <w:ilvl w:val="0"/>
          <w:numId w:val="8"/>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Fregni</w:t>
      </w:r>
      <w:proofErr w:type="spellEnd"/>
      <w:r>
        <w:t xml:space="preserve">, F., &amp; Pascual-Leone, A. (2007). </w:t>
      </w:r>
      <w:r>
        <w:rPr>
          <w:rStyle w:val="Strong"/>
          <w:bdr w:val="single" w:sz="2" w:space="0" w:color="D9D9E3" w:frame="1"/>
        </w:rPr>
        <w:t xml:space="preserve">Technology Insight: </w:t>
      </w:r>
      <w:proofErr w:type="spellStart"/>
      <w:r>
        <w:rPr>
          <w:rStyle w:val="Strong"/>
          <w:bdr w:val="single" w:sz="2" w:space="0" w:color="D9D9E3" w:frame="1"/>
        </w:rPr>
        <w:t>Noninvasive</w:t>
      </w:r>
      <w:proofErr w:type="spellEnd"/>
      <w:r>
        <w:rPr>
          <w:rStyle w:val="Strong"/>
          <w:bdr w:val="single" w:sz="2" w:space="0" w:color="D9D9E3" w:frame="1"/>
        </w:rPr>
        <w:t xml:space="preserve"> brain stimulation in neurology-perspectives on the therapeutic potential of </w:t>
      </w:r>
      <w:proofErr w:type="spellStart"/>
      <w:r>
        <w:rPr>
          <w:rStyle w:val="Strong"/>
          <w:bdr w:val="single" w:sz="2" w:space="0" w:color="D9D9E3" w:frame="1"/>
        </w:rPr>
        <w:t>rTMS</w:t>
      </w:r>
      <w:proofErr w:type="spellEnd"/>
      <w:r>
        <w:rPr>
          <w:rStyle w:val="Strong"/>
          <w:bdr w:val="single" w:sz="2" w:space="0" w:color="D9D9E3" w:frame="1"/>
        </w:rPr>
        <w:t xml:space="preserve"> and </w:t>
      </w:r>
      <w:proofErr w:type="spellStart"/>
      <w:r>
        <w:rPr>
          <w:rStyle w:val="Strong"/>
          <w:bdr w:val="single" w:sz="2" w:space="0" w:color="D9D9E3" w:frame="1"/>
        </w:rPr>
        <w:t>tDCS</w:t>
      </w:r>
      <w:proofErr w:type="spellEnd"/>
      <w:r>
        <w:rPr>
          <w:rStyle w:val="Strong"/>
          <w:bdr w:val="single" w:sz="2" w:space="0" w:color="D9D9E3" w:frame="1"/>
        </w:rPr>
        <w:t>.</w:t>
      </w:r>
      <w:r>
        <w:t xml:space="preserve"> Nature Clinical Practice Neurology, 3(7), 383–393.</w:t>
      </w:r>
    </w:p>
    <w:p w14:paraId="07B13A2E" w14:textId="77777777" w:rsidR="00707D1B" w:rsidRDefault="00707D1B" w:rsidP="00707D1B">
      <w:pPr>
        <w:pStyle w:val="NormalWeb"/>
        <w:numPr>
          <w:ilvl w:val="0"/>
          <w:numId w:val="8"/>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Pei, Z., Che, A., Liao, Y., Zhang, J., Wu, C., Li, Y., &amp; Fang, Y. (2020). </w:t>
      </w:r>
      <w:r>
        <w:rPr>
          <w:rStyle w:val="Strong"/>
          <w:bdr w:val="single" w:sz="2" w:space="0" w:color="D9D9E3" w:frame="1"/>
        </w:rPr>
        <w:t>Neurostimulation Technologies for Treating Refractory Epilepsy: A Review of Clinical Applications and Future Directions.</w:t>
      </w:r>
      <w:r>
        <w:t xml:space="preserve"> Frontiers in Neuroscience, 14, 193.</w:t>
      </w:r>
    </w:p>
    <w:p w14:paraId="35119C67" w14:textId="77777777" w:rsidR="00707D1B" w:rsidRDefault="00707D1B" w:rsidP="00707D1B">
      <w:pPr>
        <w:pStyle w:val="NormalWeb"/>
        <w:numPr>
          <w:ilvl w:val="0"/>
          <w:numId w:val="8"/>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Zhang, F., &amp; </w:t>
      </w:r>
      <w:proofErr w:type="spellStart"/>
      <w:r>
        <w:t>Koppes</w:t>
      </w:r>
      <w:proofErr w:type="spellEnd"/>
      <w:r>
        <w:t xml:space="preserve">, A. N. (2017). </w:t>
      </w:r>
      <w:r>
        <w:rPr>
          <w:rStyle w:val="Strong"/>
          <w:bdr w:val="single" w:sz="2" w:space="0" w:color="D9D9E3" w:frame="1"/>
        </w:rPr>
        <w:t xml:space="preserve">Regenerative Strategies in </w:t>
      </w:r>
      <w:proofErr w:type="spellStart"/>
      <w:r>
        <w:rPr>
          <w:rStyle w:val="Strong"/>
          <w:bdr w:val="single" w:sz="2" w:space="0" w:color="D9D9E3" w:frame="1"/>
        </w:rPr>
        <w:t>Neuroengineering</w:t>
      </w:r>
      <w:proofErr w:type="spellEnd"/>
      <w:r>
        <w:rPr>
          <w:rStyle w:val="Strong"/>
          <w:bdr w:val="single" w:sz="2" w:space="0" w:color="D9D9E3" w:frame="1"/>
        </w:rPr>
        <w:t>.</w:t>
      </w:r>
      <w:r>
        <w:t xml:space="preserve"> Annual Review of Biomedical Engineering, 19(1), 171–193.</w:t>
      </w:r>
    </w:p>
    <w:p w14:paraId="7FA9DCE7" w14:textId="77777777" w:rsidR="00707D1B" w:rsidRDefault="00707D1B" w:rsidP="00707D1B">
      <w:pPr>
        <w:pStyle w:val="NormalWeb"/>
        <w:numPr>
          <w:ilvl w:val="0"/>
          <w:numId w:val="8"/>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Chao, Z., &amp; Meng, E. (2020). </w:t>
      </w:r>
      <w:r>
        <w:rPr>
          <w:rStyle w:val="Strong"/>
          <w:bdr w:val="single" w:sz="2" w:space="0" w:color="D9D9E3" w:frame="1"/>
        </w:rPr>
        <w:t>Ethics of brain-computer interfaces: A scoping review.</w:t>
      </w:r>
      <w:r>
        <w:t xml:space="preserve"> BMC Medical Ethics, 21(1), 32.</w:t>
      </w:r>
    </w:p>
    <w:p w14:paraId="328C80A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Chapter 10: Regenerative Medicine</w:t>
      </w:r>
    </w:p>
    <w:p w14:paraId="5331694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10.1 Stem Cell Research and Therapies</w:t>
      </w:r>
    </w:p>
    <w:p w14:paraId="29A1A3D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Regenerative medicine aims to replace or restore damaged tissues and organs through the use of stem cells and other advanced therapies. Stem cell research holds promise for treating various diseases, including Parkinson's disease, heart disease, and diabetes. Induced pluripotent stem cells (iPSCs) can be generated from a patient's own cells, offering personalized treatments without the risk of immune rejection.</w:t>
      </w:r>
    </w:p>
    <w:p w14:paraId="3918168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10.2 Tissue Engineering and Organ Regeneration</w:t>
      </w:r>
    </w:p>
    <w:p w14:paraId="6C25DAB7" w14:textId="3AA4462C"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Tissue engineering combines biomaterials, cells, and growth factors to create functional tissues or organs. Techniques like 3D bioprinting enable precise control over tissue architecture. Organoids, miniaturized organ-like structures grown from stem cells, are revolutionizing drug testing and disease </w:t>
      </w:r>
      <w:r w:rsidR="00BB243C">
        <w:t>modelling</w:t>
      </w:r>
      <w:r>
        <w:t>.</w:t>
      </w:r>
    </w:p>
    <w:p w14:paraId="034480DE"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10.3 Challenges and Ethical Considerations in Regenerative Medicine</w:t>
      </w:r>
    </w:p>
    <w:p w14:paraId="761064CA"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field of regenerative medicine faces several challenges and ethical considerations:</w:t>
      </w:r>
    </w:p>
    <w:p w14:paraId="6DF796AA"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10.3.1 Safety and Efficacy</w:t>
      </w:r>
    </w:p>
    <w:p w14:paraId="4E5BDD49"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Ensuring the safety and effectiveness of regenerative therapies is crucial. Rigorous preclinical and clinical testing is necessary to minimize risks and ensure positive outcomes.</w:t>
      </w:r>
    </w:p>
    <w:p w14:paraId="35451828"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10.3.2 Ethical Sourcing of Cells</w:t>
      </w:r>
    </w:p>
    <w:p w14:paraId="36BC79D1"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lastRenderedPageBreak/>
        <w:t xml:space="preserve">The source of stem cells raises ethical concerns. Embryonic stem cells and </w:t>
      </w:r>
      <w:proofErr w:type="spellStart"/>
      <w:r>
        <w:t>fetal</w:t>
      </w:r>
      <w:proofErr w:type="spellEnd"/>
      <w:r>
        <w:t xml:space="preserve"> tissues are associated with ethical dilemmas, while iPSCs and adult stem cells offer alternatives.</w:t>
      </w:r>
    </w:p>
    <w:p w14:paraId="779A251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10.3.3 Long-Term Effects and Unintended Consequences</w:t>
      </w:r>
    </w:p>
    <w:p w14:paraId="6F8E895F" w14:textId="6036633B"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The long-term effects of regenerative therapies and the potential for unintended consequences, such as </w:t>
      </w:r>
      <w:r w:rsidR="00BB243C">
        <w:t>tumour</w:t>
      </w:r>
      <w:r>
        <w:t xml:space="preserve"> formation, need careful consideration.</w:t>
      </w:r>
    </w:p>
    <w:p w14:paraId="4A38F86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10.4 Future Perspectives in Regenerative Medicine</w:t>
      </w:r>
    </w:p>
    <w:p w14:paraId="069F2B44"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future of regenerative medicine holds significant promise:</w:t>
      </w:r>
    </w:p>
    <w:p w14:paraId="234B95F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10.4.1 Organ Transplant Alternatives</w:t>
      </w:r>
    </w:p>
    <w:p w14:paraId="25C5CCED"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Advances in tissue engineering and organoids may eventually lead to the development of functional organs for transplantation, addressing the organ shortage crisis.</w:t>
      </w:r>
    </w:p>
    <w:p w14:paraId="3053548C"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10.4.2 Personalized Medicine</w:t>
      </w:r>
    </w:p>
    <w:p w14:paraId="07DF5E66"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The use of patient-specific cells and tissues in regenerative therapies aligns with the principles of personalized medicine, tailoring treatments to individual needs.</w:t>
      </w:r>
    </w:p>
    <w:p w14:paraId="1F3512DF" w14:textId="27D7FA52"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 xml:space="preserve">10.4.3 Drug Development and Disease </w:t>
      </w:r>
      <w:r w:rsidR="00BB243C">
        <w:rPr>
          <w:rStyle w:val="Strong"/>
          <w:bdr w:val="single" w:sz="2" w:space="0" w:color="D9D9E3" w:frame="1"/>
        </w:rPr>
        <w:t>Modelling</w:t>
      </w:r>
    </w:p>
    <w:p w14:paraId="5221C81B" w14:textId="0BBD17AA"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t xml:space="preserve">Organoids and tissue models offer valuable tools for drug testing, disease </w:t>
      </w:r>
      <w:r w:rsidR="007D6765">
        <w:t>modelling</w:t>
      </w:r>
      <w:r>
        <w:t>, and understanding the mechanisms underlying various diseases.</w:t>
      </w:r>
    </w:p>
    <w:p w14:paraId="75069E81" w14:textId="77777777" w:rsidR="00707D1B" w:rsidRDefault="00707D1B" w:rsidP="00707D1B">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pPr>
      <w:r>
        <w:rPr>
          <w:rStyle w:val="Strong"/>
          <w:bdr w:val="single" w:sz="2" w:space="0" w:color="D9D9E3" w:frame="1"/>
        </w:rPr>
        <w:t>References</w:t>
      </w:r>
    </w:p>
    <w:p w14:paraId="19FBADE2" w14:textId="77777777" w:rsidR="00707D1B" w:rsidRDefault="00707D1B" w:rsidP="00707D1B">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Trounson, A., &amp; McDonald, C. (2015). </w:t>
      </w:r>
      <w:r>
        <w:rPr>
          <w:rStyle w:val="Strong"/>
          <w:bdr w:val="single" w:sz="2" w:space="0" w:color="D9D9E3" w:frame="1"/>
        </w:rPr>
        <w:t>Stem Cell Therapies in Clinical Trials: Progress and Challenges.</w:t>
      </w:r>
      <w:r>
        <w:t xml:space="preserve"> Cell Stem Cell, 17(1), 11–22.</w:t>
      </w:r>
    </w:p>
    <w:p w14:paraId="674A63AF" w14:textId="77777777" w:rsidR="00707D1B" w:rsidRDefault="00707D1B" w:rsidP="00707D1B">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Wang, J., Hao, J., Bai, D., Gu, Q., Han, W., &amp; Wang, L. (2020). </w:t>
      </w:r>
      <w:r>
        <w:rPr>
          <w:rStyle w:val="Strong"/>
          <w:bdr w:val="single" w:sz="2" w:space="0" w:color="D9D9E3" w:frame="1"/>
        </w:rPr>
        <w:t>Applications of 3D printing in the management of severe spinal tuberculosis.</w:t>
      </w:r>
      <w:r>
        <w:t xml:space="preserve"> Bioactive Materials, 5(4), 817–825.</w:t>
      </w:r>
    </w:p>
    <w:p w14:paraId="2BDF0D56" w14:textId="77777777" w:rsidR="00707D1B" w:rsidRDefault="00707D1B" w:rsidP="00707D1B">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Lancaster, M. A., &amp; </w:t>
      </w:r>
      <w:proofErr w:type="spellStart"/>
      <w:r>
        <w:t>Huch</w:t>
      </w:r>
      <w:proofErr w:type="spellEnd"/>
      <w:r>
        <w:t xml:space="preserve">, M. (2019). </w:t>
      </w:r>
      <w:r>
        <w:rPr>
          <w:rStyle w:val="Strong"/>
          <w:bdr w:val="single" w:sz="2" w:space="0" w:color="D9D9E3" w:frame="1"/>
        </w:rPr>
        <w:t>Disease modelling in human organoids.</w:t>
      </w:r>
      <w:r>
        <w:t xml:space="preserve"> Disease Models &amp; Mechanisms, 12(7), dmm039347.</w:t>
      </w:r>
    </w:p>
    <w:p w14:paraId="270F7123" w14:textId="77777777" w:rsidR="00707D1B" w:rsidRDefault="00707D1B" w:rsidP="00707D1B">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pPr>
      <w:r>
        <w:t xml:space="preserve">Baylis, F. (2013). </w:t>
      </w:r>
      <w:r>
        <w:rPr>
          <w:rStyle w:val="Strong"/>
          <w:bdr w:val="single" w:sz="2" w:space="0" w:color="D9D9E3" w:frame="1"/>
        </w:rPr>
        <w:t>The Ethics of Creating and Using Human-animal Chimeras.</w:t>
      </w:r>
      <w:r>
        <w:t xml:space="preserve"> Cambridge Quarterly of Healthcare Ethics, 22(03), 310–319.</w:t>
      </w:r>
    </w:p>
    <w:p w14:paraId="16741DD7" w14:textId="77777777" w:rsidR="00707D1B" w:rsidRDefault="00707D1B" w:rsidP="00707D1B">
      <w:pPr>
        <w:pStyle w:val="NormalWeb"/>
        <w:numPr>
          <w:ilvl w:val="0"/>
          <w:numId w:val="9"/>
        </w:numPr>
        <w:pBdr>
          <w:top w:val="single" w:sz="2" w:space="0" w:color="D9D9E3"/>
          <w:left w:val="single" w:sz="2" w:space="5" w:color="D9D9E3"/>
          <w:bottom w:val="single" w:sz="2" w:space="0" w:color="D9D9E3"/>
          <w:right w:val="single" w:sz="2" w:space="0" w:color="D9D9E3"/>
        </w:pBdr>
        <w:spacing w:before="0" w:beforeAutospacing="0" w:after="0" w:afterAutospacing="0"/>
      </w:pPr>
      <w:proofErr w:type="spellStart"/>
      <w:r>
        <w:t>Cyranoski</w:t>
      </w:r>
      <w:proofErr w:type="spellEnd"/>
      <w:r>
        <w:t xml:space="preserve">, D. (2019). </w:t>
      </w:r>
      <w:r>
        <w:rPr>
          <w:rStyle w:val="Strong"/>
          <w:bdr w:val="single" w:sz="2" w:space="0" w:color="D9D9E3" w:frame="1"/>
        </w:rPr>
        <w:t>Mini human-brains grown in test tubes.</w:t>
      </w:r>
      <w:r>
        <w:t xml:space="preserve"> Nature, 573(7773), 15–17.</w:t>
      </w:r>
    </w:p>
    <w:p w14:paraId="7FA97793" w14:textId="77777777" w:rsidR="00707D1B" w:rsidRDefault="00707D1B" w:rsidP="00707D1B">
      <w:pPr>
        <w:pStyle w:val="z-TopofForm"/>
      </w:pPr>
      <w:r>
        <w:t>Top of Form</w:t>
      </w:r>
    </w:p>
    <w:p w14:paraId="235D44A1" w14:textId="77777777" w:rsidR="00707D1B" w:rsidRDefault="00707D1B" w:rsidP="00707D1B">
      <w:pPr>
        <w:rPr>
          <w:rFonts w:ascii="Segoe UI" w:hAnsi="Segoe UI" w:cs="Segoe UI"/>
          <w:color w:val="000000"/>
          <w:sz w:val="27"/>
          <w:szCs w:val="27"/>
        </w:rPr>
      </w:pPr>
    </w:p>
    <w:p w14:paraId="4C1EA2A3" w14:textId="77777777" w:rsidR="00707D1B" w:rsidRDefault="00707D1B" w:rsidP="00707D1B">
      <w:pPr>
        <w:pStyle w:val="z-BottomofForm"/>
      </w:pPr>
      <w:r>
        <w:t>Bottom of Form</w:t>
      </w:r>
    </w:p>
    <w:p w14:paraId="32BD3B98" w14:textId="77777777" w:rsidR="00707D1B" w:rsidRDefault="00707D1B" w:rsidP="00707D1B"/>
    <w:p w14:paraId="20A40259" w14:textId="77777777" w:rsidR="00707D1B" w:rsidRDefault="00707D1B" w:rsidP="00707D1B"/>
    <w:p w14:paraId="4EFAD8C9" w14:textId="77777777" w:rsidR="00707D1B" w:rsidRPr="001B3830" w:rsidRDefault="00707D1B" w:rsidP="00707D1B"/>
    <w:p w14:paraId="085B89AA" w14:textId="77777777" w:rsidR="00707D1B" w:rsidRDefault="00707D1B" w:rsidP="00707D1B"/>
    <w:p w14:paraId="3DCDDD31" w14:textId="77777777" w:rsidR="003654CF" w:rsidRDefault="00000000"/>
    <w:sectPr w:rsidR="003654CF" w:rsidSect="007F32B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24E19"/>
    <w:multiLevelType w:val="multilevel"/>
    <w:tmpl w:val="9C4C8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767DD"/>
    <w:multiLevelType w:val="multilevel"/>
    <w:tmpl w:val="9B245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6A2518"/>
    <w:multiLevelType w:val="multilevel"/>
    <w:tmpl w:val="73E0C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4B3D3A"/>
    <w:multiLevelType w:val="multilevel"/>
    <w:tmpl w:val="556E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607CA7"/>
    <w:multiLevelType w:val="multilevel"/>
    <w:tmpl w:val="A838F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884421"/>
    <w:multiLevelType w:val="multilevel"/>
    <w:tmpl w:val="EEF0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F86256"/>
    <w:multiLevelType w:val="multilevel"/>
    <w:tmpl w:val="7EDAF5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D26526"/>
    <w:multiLevelType w:val="multilevel"/>
    <w:tmpl w:val="81065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3E78CB"/>
    <w:multiLevelType w:val="multilevel"/>
    <w:tmpl w:val="A31E5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5431328">
    <w:abstractNumId w:val="5"/>
  </w:num>
  <w:num w:numId="2" w16cid:durableId="153188569">
    <w:abstractNumId w:val="2"/>
  </w:num>
  <w:num w:numId="3" w16cid:durableId="1856457946">
    <w:abstractNumId w:val="3"/>
  </w:num>
  <w:num w:numId="4" w16cid:durableId="2077891215">
    <w:abstractNumId w:val="6"/>
  </w:num>
  <w:num w:numId="5" w16cid:durableId="582031345">
    <w:abstractNumId w:val="0"/>
  </w:num>
  <w:num w:numId="6" w16cid:durableId="964769549">
    <w:abstractNumId w:val="8"/>
  </w:num>
  <w:num w:numId="7" w16cid:durableId="606886050">
    <w:abstractNumId w:val="7"/>
  </w:num>
  <w:num w:numId="8" w16cid:durableId="448356759">
    <w:abstractNumId w:val="1"/>
  </w:num>
  <w:num w:numId="9" w16cid:durableId="503204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D1B"/>
    <w:rsid w:val="00121C7F"/>
    <w:rsid w:val="001E62AA"/>
    <w:rsid w:val="001E6B45"/>
    <w:rsid w:val="002748BD"/>
    <w:rsid w:val="00286E93"/>
    <w:rsid w:val="00360638"/>
    <w:rsid w:val="003C3A14"/>
    <w:rsid w:val="00496AB0"/>
    <w:rsid w:val="004E0ED8"/>
    <w:rsid w:val="006D668F"/>
    <w:rsid w:val="00707D1B"/>
    <w:rsid w:val="007211C6"/>
    <w:rsid w:val="00742285"/>
    <w:rsid w:val="007A6053"/>
    <w:rsid w:val="007D6765"/>
    <w:rsid w:val="007F0018"/>
    <w:rsid w:val="007F32B0"/>
    <w:rsid w:val="00807E5A"/>
    <w:rsid w:val="00837E30"/>
    <w:rsid w:val="00881A34"/>
    <w:rsid w:val="00897C13"/>
    <w:rsid w:val="008E0953"/>
    <w:rsid w:val="00911CE9"/>
    <w:rsid w:val="009A5847"/>
    <w:rsid w:val="00B7239B"/>
    <w:rsid w:val="00BB243C"/>
    <w:rsid w:val="00D03602"/>
    <w:rsid w:val="00D0515C"/>
    <w:rsid w:val="00D83B8E"/>
    <w:rsid w:val="00F73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170810"/>
  <w14:defaultImageDpi w14:val="32767"/>
  <w15:chartTrackingRefBased/>
  <w15:docId w15:val="{14AB0533-6A43-6F41-A21A-FFC873D3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07D1B"/>
    <w:rPr>
      <w:rFonts w:ascii="Times New Roman" w:eastAsia="Times New Roman" w:hAnsi="Times New Roman" w:cs="Times New Roman"/>
      <w:kern w:val="0"/>
      <w:lang w:val="en-IN"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7D1B"/>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707D1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07D1B"/>
    <w:rPr>
      <w:rFonts w:ascii="Arial" w:eastAsia="Times New Roman" w:hAnsi="Arial" w:cs="Arial"/>
      <w:vanish/>
      <w:kern w:val="0"/>
      <w:sz w:val="16"/>
      <w:szCs w:val="16"/>
      <w:lang w:val="en-IN" w:eastAsia="en-GB"/>
      <w14:ligatures w14:val="none"/>
    </w:rPr>
  </w:style>
  <w:style w:type="paragraph" w:styleId="z-BottomofForm">
    <w:name w:val="HTML Bottom of Form"/>
    <w:basedOn w:val="Normal"/>
    <w:next w:val="Normal"/>
    <w:link w:val="z-BottomofFormChar"/>
    <w:hidden/>
    <w:uiPriority w:val="99"/>
    <w:semiHidden/>
    <w:unhideWhenUsed/>
    <w:rsid w:val="00707D1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707D1B"/>
    <w:rPr>
      <w:rFonts w:ascii="Arial" w:eastAsia="Times New Roman" w:hAnsi="Arial" w:cs="Arial"/>
      <w:vanish/>
      <w:kern w:val="0"/>
      <w:sz w:val="16"/>
      <w:szCs w:val="16"/>
      <w:lang w:val="en-IN" w:eastAsia="en-GB"/>
      <w14:ligatures w14:val="none"/>
    </w:rPr>
  </w:style>
  <w:style w:type="character" w:styleId="Strong">
    <w:name w:val="Strong"/>
    <w:basedOn w:val="DefaultParagraphFont"/>
    <w:uiPriority w:val="22"/>
    <w:qFormat/>
    <w:rsid w:val="00707D1B"/>
    <w:rPr>
      <w:b/>
      <w:bCs/>
    </w:rPr>
  </w:style>
  <w:style w:type="character" w:styleId="Hyperlink">
    <w:name w:val="Hyperlink"/>
    <w:basedOn w:val="DefaultParagraphFont"/>
    <w:uiPriority w:val="99"/>
    <w:semiHidden/>
    <w:unhideWhenUsed/>
    <w:rsid w:val="00707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1743-0003-11-2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healthcare8020087" TargetMode="External"/><Relationship Id="rId12" Type="http://schemas.openxmlformats.org/officeDocument/2006/relationships/hyperlink" Target="https://www.americantelemed.org/resource/coverage-and-reimbursement/state-telemedicine-gaps-analys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ucl.2017.11.006" TargetMode="External"/><Relationship Id="rId11" Type="http://schemas.openxmlformats.org/officeDocument/2006/relationships/hyperlink" Target="https://apps.who.int/iris/bitstream/handle/10665/44497/9789241564144_eng.pdf" TargetMode="External"/><Relationship Id="rId5" Type="http://schemas.openxmlformats.org/officeDocument/2006/relationships/hyperlink" Target="https://www.intuitive.com/en-us/products-and-services/da-vinci" TargetMode="External"/><Relationship Id="rId10" Type="http://schemas.openxmlformats.org/officeDocument/2006/relationships/hyperlink" Target="https://www.fda.gov/regulatory-information/search-fda-guidance-documents/technical-considerations-additive-manufactured-medical-devices" TargetMode="External"/><Relationship Id="rId4" Type="http://schemas.openxmlformats.org/officeDocument/2006/relationships/webSettings" Target="webSettings.xml"/><Relationship Id="rId9" Type="http://schemas.openxmlformats.org/officeDocument/2006/relationships/hyperlink" Target="https://doi.org/10.1097/PHM.0b013e3181587f6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6516</Words>
  <Characters>37145</Characters>
  <Application>Microsoft Office Word</Application>
  <DocSecurity>0</DocSecurity>
  <Lines>309</Lines>
  <Paragraphs>87</Paragraphs>
  <ScaleCrop>false</ScaleCrop>
  <Company/>
  <LinksUpToDate>false</LinksUpToDate>
  <CharactersWithSpaces>43574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Bedi</dc:creator>
  <cp:keywords/>
  <dc:description/>
  <cp:lastModifiedBy>Neeraj Bedi</cp:lastModifiedBy>
  <cp:revision>11</cp:revision>
  <dcterms:created xsi:type="dcterms:W3CDTF">2023-08-31T16:17:00Z</dcterms:created>
  <dcterms:modified xsi:type="dcterms:W3CDTF">2023-08-31T16:33:00Z</dcterms:modified>
</cp:coreProperties>
</file>