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861" w:rsidRDefault="00503A37">
      <w:pPr>
        <w:pStyle w:val="Heading1"/>
        <w:spacing w:before="81" w:line="309" w:lineRule="auto"/>
        <w:ind w:right="1016" w:firstLine="165"/>
        <w:rPr>
          <w:rFonts w:ascii="Caladea"/>
        </w:rPr>
      </w:pPr>
      <w:r>
        <w:rPr>
          <w:rFonts w:ascii="Caladea"/>
        </w:rPr>
        <w:t xml:space="preserve">Elastic scattering and electron capture processes in collisions of </w:t>
      </w:r>
      <w:r>
        <w:rPr>
          <w:rFonts w:ascii="Caladea"/>
          <w:position w:val="13"/>
          <w:sz w:val="34"/>
        </w:rPr>
        <w:t>3</w:t>
      </w:r>
      <w:r>
        <w:rPr>
          <w:rFonts w:ascii="Caladea"/>
        </w:rPr>
        <w:t>He</w:t>
      </w:r>
      <w:r>
        <w:rPr>
          <w:rFonts w:ascii="Caladea"/>
          <w:position w:val="13"/>
          <w:sz w:val="34"/>
        </w:rPr>
        <w:t xml:space="preserve">2+ </w:t>
      </w:r>
      <w:r>
        <w:rPr>
          <w:rFonts w:ascii="Caladea"/>
        </w:rPr>
        <w:t>ion with CO molecule below 5 keV</w:t>
      </w:r>
    </w:p>
    <w:p w:rsidR="00723861" w:rsidRDefault="00503A37">
      <w:pPr>
        <w:spacing w:before="222" w:line="422" w:lineRule="auto"/>
        <w:ind w:left="557" w:right="546" w:firstLine="991"/>
        <w:rPr>
          <w:rFonts w:ascii="Caladea"/>
          <w:sz w:val="28"/>
        </w:rPr>
      </w:pPr>
      <w:r>
        <w:rPr>
          <w:rFonts w:ascii="Caladea"/>
          <w:sz w:val="28"/>
        </w:rPr>
        <w:t>Ashok Kumar Jha*, Shankar Kumar and Tinku Kumar Department of Physics, Patna Science College, Patna University, Patna</w:t>
      </w:r>
    </w:p>
    <w:p w:rsidR="00723861" w:rsidRDefault="00503A37">
      <w:pPr>
        <w:spacing w:line="327" w:lineRule="exact"/>
        <w:ind w:left="1978"/>
        <w:rPr>
          <w:rFonts w:ascii="Caladea"/>
          <w:sz w:val="28"/>
        </w:rPr>
      </w:pPr>
      <w:r>
        <w:rPr>
          <w:rFonts w:ascii="Caladea"/>
          <w:sz w:val="28"/>
        </w:rPr>
        <w:t xml:space="preserve">*e-mail: </w:t>
      </w:r>
      <w:hyperlink r:id="rId7">
        <w:r>
          <w:rPr>
            <w:rFonts w:ascii="Caladea"/>
            <w:sz w:val="28"/>
          </w:rPr>
          <w:t>ashok-physics@patnauniversity.ac.in</w:t>
        </w:r>
      </w:hyperlink>
    </w:p>
    <w:p w:rsidR="00723861" w:rsidRDefault="00723861">
      <w:pPr>
        <w:pStyle w:val="BodyText"/>
        <w:ind w:left="0"/>
        <w:rPr>
          <w:rFonts w:ascii="Caladea"/>
          <w:sz w:val="32"/>
        </w:rPr>
      </w:pPr>
    </w:p>
    <w:p w:rsidR="00723861" w:rsidRDefault="00723861">
      <w:pPr>
        <w:pStyle w:val="BodyText"/>
        <w:spacing w:before="6"/>
        <w:ind w:left="0"/>
        <w:rPr>
          <w:rFonts w:ascii="Caladea"/>
        </w:rPr>
      </w:pPr>
    </w:p>
    <w:p w:rsidR="0043675E" w:rsidRDefault="0043675E" w:rsidP="0043675E">
      <w:pPr>
        <w:pStyle w:val="BodyText"/>
        <w:spacing w:line="360" w:lineRule="auto"/>
        <w:ind w:right="122" w:firstLine="360"/>
        <w:jc w:val="both"/>
      </w:pPr>
    </w:p>
    <w:p w:rsidR="00723861" w:rsidRDefault="0043675E" w:rsidP="0043675E">
      <w:pPr>
        <w:pStyle w:val="BodyText"/>
        <w:spacing w:line="360" w:lineRule="auto"/>
        <w:ind w:right="122" w:firstLine="360"/>
        <w:jc w:val="both"/>
      </w:pPr>
      <w:r>
        <w:t>Theoretical investigations have been executed on the process of single electron capture occurring in collisions between 3He2+ ions and CO molecules. Semiclassical collision methods were employed in this study, where adiabatic potentials and nonadiabatic couplings were derived using the multireference single- and double-excitation configuration-interaction (MRDCI) approach. Cross sections for single electron capture, both partial and total, were computed over a range of energies from 0.6 to 6 keV. The calculated results demonstrate a notable sensitivity to molecular configuration, emphasizing a significant steric influence. Notably, the computed single electron capture cross sections closely match the experimental data reported by Kusakabe et al. [Phys. Rev. A 73, 022706 (2006)] and Čadež et al. [J. Phys. B: At. Mol. Opt. Phys. 35, 2515 (2002)]. This study contributes valuable theoretical insights into the underlying collision dynamics, enhancing our comprehension of the experimental measurements.</w:t>
      </w:r>
    </w:p>
    <w:p w:rsidR="0043675E" w:rsidRPr="00422F6B" w:rsidRDefault="0043675E" w:rsidP="0043675E">
      <w:pPr>
        <w:pStyle w:val="BodyText"/>
        <w:spacing w:line="360" w:lineRule="auto"/>
        <w:ind w:right="122" w:firstLine="360"/>
        <w:jc w:val="both"/>
      </w:pPr>
    </w:p>
    <w:p w:rsidR="00723861" w:rsidRDefault="00503A37">
      <w:pPr>
        <w:pStyle w:val="Heading1"/>
        <w:numPr>
          <w:ilvl w:val="0"/>
          <w:numId w:val="5"/>
        </w:numPr>
        <w:tabs>
          <w:tab w:val="left" w:pos="483"/>
        </w:tabs>
      </w:pPr>
      <w:r>
        <w:t>INTRODUCTION</w:t>
      </w:r>
    </w:p>
    <w:p w:rsidR="00723861" w:rsidRDefault="00723861">
      <w:pPr>
        <w:pStyle w:val="BodyText"/>
        <w:spacing w:before="4"/>
        <w:ind w:left="0"/>
        <w:rPr>
          <w:b/>
          <w:sz w:val="33"/>
        </w:rPr>
      </w:pPr>
    </w:p>
    <w:p w:rsidR="00C10F35" w:rsidRDefault="00257B09" w:rsidP="00C10F35">
      <w:pPr>
        <w:pStyle w:val="BodyText"/>
        <w:spacing w:line="360" w:lineRule="auto"/>
        <w:ind w:right="121" w:firstLine="360"/>
        <w:jc w:val="both"/>
      </w:pPr>
      <w:r w:rsidRPr="00257B09">
        <w:t>In recent decades, considerable progress has been achieved in both experimental and theoretical approaches, significantly advancing our understanding of various phenomena occurring within astrophysical plasma [1]. Of particular importance is the phenomenon of electron capture taking place during the interactions between slow, multiply charged ions and atomic or molecular targets. This process plays a crucial role in unraveling the mechanisms accountable for the emission of x-rays and extreme ultraviolet (EUV) photons from astrophysical plasmas [2, 3]. The spectral lines emitted by these multiply charged ions serve as invaluable tools for directly probing the ionization structure of celestial entities.</w:t>
      </w:r>
    </w:p>
    <w:p w:rsidR="00257B09" w:rsidRPr="00C10F35" w:rsidRDefault="00257B09" w:rsidP="00C10F35">
      <w:pPr>
        <w:pStyle w:val="BodyText"/>
        <w:spacing w:line="360" w:lineRule="auto"/>
        <w:ind w:right="121" w:firstLine="360"/>
        <w:jc w:val="both"/>
      </w:pPr>
    </w:p>
    <w:p w:rsidR="00257B09" w:rsidRDefault="00257B09" w:rsidP="002351EB">
      <w:pPr>
        <w:pStyle w:val="BodyText"/>
        <w:spacing w:before="152" w:line="360" w:lineRule="auto"/>
        <w:ind w:right="124"/>
        <w:jc w:val="both"/>
      </w:pPr>
      <w:r w:rsidRPr="00257B09">
        <w:lastRenderedPageBreak/>
        <w:t>Cosmic rays and solar wind predominantly consist of protons and doubly ionized helium (He2+), commonly known as α particles. Helium ions have been detected in outer space using an Extreme Ultraviolet (EUV) scanner aboard the Mars Orbiter Planet-B [4]. This EUV satellite has conducted extensive spectroscopic analyses of comets across the Vacuum Ultraviolet (VUV) spectral range [5, 6]. Examination of the observed spectral lines has validated the occurrence of electron capture processes within comets. Among these lines, specific helium spectral lines display remarkable brightness and distinct isolation from others. These particular lines arise from de-excitation following electron capture, leading to excited states of singly charged or neutral helium. The determination of the luminosities of these lines has been achieved through careful observations. However, a profound understanding of the underlying electron capture processes and the subsequent emission of spectral lines is essential for interpreting these observations.</w:t>
      </w:r>
    </w:p>
    <w:p w:rsidR="00257B09" w:rsidRPr="00257B09" w:rsidRDefault="00257B09" w:rsidP="00257B09">
      <w:pPr>
        <w:spacing w:line="360" w:lineRule="auto"/>
        <w:ind w:left="1234"/>
        <w:jc w:val="both"/>
        <w:rPr>
          <w:position w:val="2"/>
          <w:sz w:val="24"/>
          <w:szCs w:val="24"/>
        </w:rPr>
      </w:pPr>
    </w:p>
    <w:p w:rsidR="00257B09" w:rsidRDefault="00257B09" w:rsidP="00257B09">
      <w:pPr>
        <w:spacing w:line="360" w:lineRule="auto"/>
        <w:jc w:val="both"/>
        <w:rPr>
          <w:position w:val="2"/>
          <w:sz w:val="24"/>
          <w:szCs w:val="24"/>
        </w:rPr>
      </w:pPr>
      <w:r w:rsidRPr="00257B09">
        <w:rPr>
          <w:position w:val="2"/>
          <w:sz w:val="24"/>
          <w:szCs w:val="24"/>
        </w:rPr>
        <w:t>Given that CO molecules constitute a significant portion of the neutral atmosphere of the comet in close proximity to the sun, we have successfully calculated both total and partial cross sections for the collision between He2+ ions and CO molecules, facilitated by the recently recorded He+ emission lines from the comet Hyakutake [5]. These processes align with our areas of interest [7].</w:t>
      </w:r>
    </w:p>
    <w:p w:rsidR="00257B09" w:rsidRDefault="00257B09" w:rsidP="00257B09">
      <w:pPr>
        <w:spacing w:before="22"/>
        <w:ind w:left="1234"/>
        <w:jc w:val="both"/>
        <w:rPr>
          <w:position w:val="2"/>
          <w:sz w:val="24"/>
          <w:szCs w:val="24"/>
        </w:rPr>
      </w:pPr>
    </w:p>
    <w:p w:rsidR="00723861" w:rsidRDefault="00503A37" w:rsidP="00257B09">
      <w:pPr>
        <w:spacing w:before="22"/>
        <w:ind w:left="1234"/>
        <w:jc w:val="both"/>
      </w:pPr>
      <w:r>
        <w:rPr>
          <w:spacing w:val="3"/>
          <w:w w:val="130"/>
        </w:rPr>
        <w:t>He</w:t>
      </w:r>
      <w:r>
        <w:rPr>
          <w:spacing w:val="3"/>
          <w:w w:val="130"/>
          <w:vertAlign w:val="superscript"/>
        </w:rPr>
        <w:t>2+</w:t>
      </w:r>
      <w:r>
        <w:rPr>
          <w:spacing w:val="3"/>
          <w:w w:val="130"/>
        </w:rPr>
        <w:t xml:space="preserve"> </w:t>
      </w:r>
      <w:r>
        <w:rPr>
          <w:w w:val="130"/>
        </w:rPr>
        <w:t xml:space="preserve">+ CO </w:t>
      </w:r>
      <w:r>
        <w:rPr>
          <w:rFonts w:ascii="Symbol" w:hAnsi="Symbol"/>
          <w:w w:val="130"/>
        </w:rPr>
        <w:t></w:t>
      </w:r>
      <w:r>
        <w:rPr>
          <w:w w:val="130"/>
        </w:rPr>
        <w:t xml:space="preserve"> </w:t>
      </w:r>
      <w:r>
        <w:rPr>
          <w:spacing w:val="2"/>
          <w:w w:val="130"/>
        </w:rPr>
        <w:t>He</w:t>
      </w:r>
      <w:r>
        <w:rPr>
          <w:spacing w:val="2"/>
          <w:w w:val="130"/>
          <w:vertAlign w:val="superscript"/>
        </w:rPr>
        <w:t>+</w:t>
      </w:r>
      <w:r>
        <w:rPr>
          <w:spacing w:val="2"/>
          <w:w w:val="130"/>
        </w:rPr>
        <w:t xml:space="preserve"> </w:t>
      </w:r>
      <w:r>
        <w:rPr>
          <w:spacing w:val="-6"/>
          <w:w w:val="130"/>
        </w:rPr>
        <w:t>(1</w:t>
      </w:r>
      <w:r>
        <w:rPr>
          <w:i/>
          <w:spacing w:val="-6"/>
          <w:w w:val="130"/>
        </w:rPr>
        <w:t xml:space="preserve">s </w:t>
      </w:r>
      <w:r>
        <w:rPr>
          <w:spacing w:val="6"/>
          <w:w w:val="130"/>
          <w:vertAlign w:val="superscript"/>
        </w:rPr>
        <w:t>2</w:t>
      </w:r>
      <w:r>
        <w:rPr>
          <w:i/>
          <w:spacing w:val="6"/>
          <w:w w:val="130"/>
        </w:rPr>
        <w:t>S</w:t>
      </w:r>
      <w:r>
        <w:rPr>
          <w:i/>
          <w:spacing w:val="-48"/>
          <w:w w:val="130"/>
        </w:rPr>
        <w:t xml:space="preserve"> </w:t>
      </w:r>
      <w:r>
        <w:rPr>
          <w:w w:val="130"/>
        </w:rPr>
        <w:t xml:space="preserve">) + </w:t>
      </w:r>
      <w:r>
        <w:rPr>
          <w:spacing w:val="3"/>
          <w:w w:val="130"/>
        </w:rPr>
        <w:t>CO</w:t>
      </w:r>
      <w:r>
        <w:rPr>
          <w:spacing w:val="3"/>
          <w:w w:val="130"/>
          <w:vertAlign w:val="superscript"/>
        </w:rPr>
        <w:t>+</w:t>
      </w:r>
      <w:r>
        <w:rPr>
          <w:spacing w:val="3"/>
          <w:w w:val="130"/>
        </w:rPr>
        <w:t xml:space="preserve"> </w:t>
      </w:r>
      <w:r>
        <w:rPr>
          <w:w w:val="130"/>
        </w:rPr>
        <w:t>(Σ) + ΔE</w:t>
      </w:r>
      <w:r>
        <w:rPr>
          <w:spacing w:val="55"/>
          <w:w w:val="130"/>
        </w:rPr>
        <w:t xml:space="preserve"> </w:t>
      </w:r>
      <w:r>
        <w:rPr>
          <w:w w:val="130"/>
        </w:rPr>
        <w:t>(dissociative),</w:t>
      </w:r>
    </w:p>
    <w:p w:rsidR="00723861" w:rsidRDefault="00503A37">
      <w:pPr>
        <w:spacing w:before="91"/>
        <w:ind w:left="2504"/>
        <w:jc w:val="both"/>
        <w:rPr>
          <w:w w:val="130"/>
        </w:rPr>
      </w:pPr>
      <w:r>
        <w:rPr>
          <w:rFonts w:ascii="Symbol" w:hAnsi="Symbol"/>
          <w:w w:val="130"/>
        </w:rPr>
        <w:t></w:t>
      </w:r>
      <w:r>
        <w:rPr>
          <w:w w:val="130"/>
        </w:rPr>
        <w:t xml:space="preserve"> He</w:t>
      </w:r>
      <w:r>
        <w:rPr>
          <w:w w:val="130"/>
          <w:vertAlign w:val="superscript"/>
        </w:rPr>
        <w:t>+</w:t>
      </w:r>
      <w:r>
        <w:rPr>
          <w:w w:val="130"/>
        </w:rPr>
        <w:t xml:space="preserve"> (</w:t>
      </w:r>
      <w:r>
        <w:rPr>
          <w:i/>
          <w:w w:val="130"/>
        </w:rPr>
        <w:t xml:space="preserve">n </w:t>
      </w:r>
      <w:r>
        <w:rPr>
          <w:rFonts w:ascii="Symbol" w:hAnsi="Symbol"/>
          <w:w w:val="130"/>
        </w:rPr>
        <w:t></w:t>
      </w:r>
      <w:r>
        <w:rPr>
          <w:w w:val="130"/>
        </w:rPr>
        <w:t xml:space="preserve"> 2) + CO</w:t>
      </w:r>
      <w:r>
        <w:rPr>
          <w:w w:val="130"/>
          <w:vertAlign w:val="superscript"/>
        </w:rPr>
        <w:t>+</w:t>
      </w:r>
      <w:r>
        <w:rPr>
          <w:w w:val="130"/>
        </w:rPr>
        <w:t xml:space="preserve"> (Σ) </w:t>
      </w:r>
      <w:r>
        <w:rPr>
          <w:rFonts w:ascii="Symbol" w:hAnsi="Symbol"/>
          <w:w w:val="130"/>
        </w:rPr>
        <w:t></w:t>
      </w:r>
      <w:r>
        <w:rPr>
          <w:w w:val="130"/>
        </w:rPr>
        <w:t xml:space="preserve"> ΔE</w:t>
      </w:r>
      <w:r>
        <w:rPr>
          <w:w w:val="130"/>
          <w:position w:val="-5"/>
          <w:sz w:val="13"/>
        </w:rPr>
        <w:t xml:space="preserve">1 </w:t>
      </w:r>
      <w:r>
        <w:rPr>
          <w:w w:val="130"/>
        </w:rPr>
        <w:t>(non - dissociative).</w:t>
      </w:r>
    </w:p>
    <w:p w:rsidR="00257B09" w:rsidRDefault="00257B09">
      <w:pPr>
        <w:spacing w:before="91"/>
        <w:ind w:left="2504"/>
        <w:jc w:val="both"/>
      </w:pPr>
    </w:p>
    <w:p w:rsidR="00391601" w:rsidRDefault="00391601">
      <w:pPr>
        <w:pStyle w:val="BodyText"/>
        <w:spacing w:line="360" w:lineRule="auto"/>
        <w:ind w:right="118" w:firstLine="360"/>
        <w:jc w:val="both"/>
      </w:pPr>
      <w:r w:rsidRPr="00391601">
        <w:t>In this context, "n" represents the principal quantum number, while ∆E and ∆E1 denote the energy deficits pertaining to individual product channels. CO+ (Σ) encompasses the inclusion of final bound or dissociative molecular states. Extensive experimental investigations have been conducted on the collision between He2+ ions and CO molecules [7-12]. However, the corresponding systematic theoretical research has remained somewhat limited [8]. It's worth noting that the alignment between experimental observations and theoretical computations has proven to be unsatisfactory, leading to the absence of a clear explanation for the observed outcomes in previous studies [8].</w:t>
      </w:r>
    </w:p>
    <w:p w:rsidR="00257B09" w:rsidRPr="00391601" w:rsidRDefault="00257B09">
      <w:pPr>
        <w:pStyle w:val="BodyText"/>
        <w:spacing w:line="360" w:lineRule="auto"/>
        <w:ind w:right="118" w:firstLine="360"/>
        <w:jc w:val="both"/>
      </w:pPr>
    </w:p>
    <w:p w:rsidR="00257B09" w:rsidRDefault="00257B09">
      <w:pPr>
        <w:pStyle w:val="BodyText"/>
        <w:spacing w:line="360" w:lineRule="auto"/>
        <w:ind w:right="120" w:firstLine="360"/>
        <w:jc w:val="both"/>
      </w:pPr>
      <w:r w:rsidRPr="00257B09">
        <w:t>Thus, in this ongoing inquiry, we have applied the impact-parameter method [13] to scrutinize the single electron capture (SEC) process. The adiabatic potentials and nonadiabatic couplings were ascertained using the multireference single- and double-excitation configuration interaction (MRDCI) approach [14-21]. To ensure the precision of our outcomes, an optimization technique for the atomic basis sets employed in the MRDCI calculations for multiply charged ions has been implemented. The computation of ion-molecule collisions adheres to the perturbed stationary state (PSS) model [22], where the basis functions are constructed from the molecular orbitals.</w:t>
      </w:r>
    </w:p>
    <w:p w:rsidR="00257B09" w:rsidRPr="00D324A2" w:rsidRDefault="00257B09">
      <w:pPr>
        <w:pStyle w:val="BodyText"/>
        <w:spacing w:line="360" w:lineRule="auto"/>
        <w:ind w:right="120" w:firstLine="360"/>
        <w:jc w:val="both"/>
      </w:pPr>
    </w:p>
    <w:p w:rsidR="00723861" w:rsidRDefault="00257B09">
      <w:pPr>
        <w:pStyle w:val="BodyText"/>
        <w:spacing w:before="79" w:line="360" w:lineRule="auto"/>
        <w:ind w:right="121"/>
        <w:jc w:val="both"/>
      </w:pPr>
      <w:r w:rsidRPr="00257B09">
        <w:t>The SEC cross sections, both partial and total, have been computed for collision energies ranging from 0.6 to 6 keV, correlating with a solar-wind ion velocity of approximately 3 keV at low heliographic latitudes [23]. A comparison between the calculated electron capture cross sections and existing experimental data [7, 8] reveals that the impact parameter method yields cross sections that closely align with experimental measurements [7, 8] within the energy range considered in this study.</w:t>
      </w:r>
    </w:p>
    <w:p w:rsidR="00723861" w:rsidRDefault="00723861">
      <w:pPr>
        <w:pStyle w:val="BodyText"/>
        <w:spacing w:before="10"/>
        <w:ind w:left="0"/>
        <w:rPr>
          <w:sz w:val="20"/>
        </w:rPr>
      </w:pPr>
    </w:p>
    <w:p w:rsidR="00723861" w:rsidRDefault="00503A37">
      <w:pPr>
        <w:pStyle w:val="Heading1"/>
        <w:numPr>
          <w:ilvl w:val="0"/>
          <w:numId w:val="5"/>
        </w:numPr>
        <w:tabs>
          <w:tab w:val="left" w:pos="608"/>
        </w:tabs>
        <w:ind w:left="607" w:hanging="488"/>
      </w:pPr>
      <w:r>
        <w:t>THEORETICAL MODELS</w:t>
      </w:r>
    </w:p>
    <w:p w:rsidR="00723861" w:rsidRDefault="00723861">
      <w:pPr>
        <w:pStyle w:val="BodyText"/>
        <w:spacing w:before="10"/>
        <w:ind w:left="0"/>
        <w:rPr>
          <w:b/>
          <w:sz w:val="36"/>
        </w:rPr>
      </w:pPr>
    </w:p>
    <w:p w:rsidR="00723861" w:rsidRDefault="00503A37">
      <w:pPr>
        <w:pStyle w:val="ListParagraph"/>
        <w:numPr>
          <w:ilvl w:val="0"/>
          <w:numId w:val="4"/>
        </w:numPr>
        <w:tabs>
          <w:tab w:val="left" w:pos="589"/>
        </w:tabs>
        <w:ind w:hanging="469"/>
        <w:rPr>
          <w:b/>
          <w:sz w:val="32"/>
        </w:rPr>
      </w:pPr>
      <w:r>
        <w:rPr>
          <w:b/>
          <w:sz w:val="32"/>
        </w:rPr>
        <w:t>Molecular state</w:t>
      </w:r>
    </w:p>
    <w:p w:rsidR="00723861" w:rsidRDefault="00723861">
      <w:pPr>
        <w:pStyle w:val="BodyText"/>
        <w:spacing w:before="5"/>
        <w:ind w:left="0"/>
        <w:rPr>
          <w:b/>
          <w:sz w:val="33"/>
        </w:rPr>
      </w:pPr>
    </w:p>
    <w:p w:rsidR="000D2734" w:rsidRPr="000D2734" w:rsidRDefault="000D2734">
      <w:pPr>
        <w:pStyle w:val="BodyText"/>
        <w:spacing w:line="360" w:lineRule="auto"/>
        <w:ind w:right="125" w:firstLine="360"/>
        <w:jc w:val="both"/>
      </w:pPr>
      <w:r w:rsidRPr="000D2734">
        <w:t>The schematic representation of the collision between the He2+ ion and the CO molecule is depicted in Fig. 1. The He2+ + CO system is characterized using the internal Jacobi coordinates {R, r, α}, with the reference point located at the center of mass of the CO molecule. Employing the MRDCI method [14-21], ab initio calculations have been conducted for three distinct approaches of the He2+ ion toward the CO molecule. In the linear conformation, the He2+ ion approaches the carbon and oxygen ends of the CO molecule at angles of α = 0 and 180°, respectively. For these scenarios, the computations are conducted within the C2v subgroup, which represents the highest Abelian subgroup within the C∞v point group. In the perpendicular approach (α = 90°), the He2+ ion approaches the center of mass of CO in a vertical alignment along the Z-axis. The system exhibits a single symmetry plane in this configuration, namely the YZ plane (belonging to the Cs point group), and the electronic states are categorized based on the two irreducible representations, A' and A”, of the Cs point group. In this case, interactions primarily involve radial couplings between A' states, the X component of rotational couplings between A' states, and the Y and Z components of rotational couplings between the A' and A” states. Other interactions are excluded due to symmetry constraints.</w:t>
      </w:r>
    </w:p>
    <w:p w:rsidR="00222C5F" w:rsidRPr="00222C5F" w:rsidRDefault="00222C5F">
      <w:pPr>
        <w:pStyle w:val="BodyText"/>
        <w:spacing w:line="350" w:lineRule="auto"/>
        <w:ind w:right="122" w:firstLine="360"/>
        <w:jc w:val="both"/>
      </w:pPr>
      <w:r w:rsidRPr="00222C5F">
        <w:t>In each of the three approach directions, the reference point for the scattering coordinates is positioned at the center of mass of the [HeCO]2+ system. Within the collision energy range examined in this study, it is noteworthy that the collision time is significantly shorter than the relaxation time of the CO target. Consequently, the molecular state calculations have been executed with the internuclear distance of CO held constant at 2.13222 a0, aligning with the equilibrium configuration of the CO molecule's ground state.</w:t>
      </w:r>
    </w:p>
    <w:p w:rsidR="00723861" w:rsidRDefault="00EC34DF" w:rsidP="00EC34DF">
      <w:pPr>
        <w:pStyle w:val="BodyText"/>
        <w:spacing w:line="360" w:lineRule="auto"/>
        <w:ind w:left="0"/>
        <w:rPr>
          <w:sz w:val="20"/>
        </w:rPr>
      </w:pPr>
      <w:r w:rsidRPr="00EC34DF">
        <w:t>In this study, a basis set of contracted Cartesian Gaussian functions is used. The basis set of aug-cc-pVQZ [24] for carbon is condensed to [6s, 5p, 4d, 3f, 2g]. It is then enhanced with two diffuse s (αs = 0.0230000 and 0.0055000 a0-2), two diffuse p (αp = 0.021000 and 0.0049000 a0-2), and two diffuse d (αd = 0.0150000 and 0.0032000 a0-2). The basis set for oxygen, aug-cc-pVQZ [24], is contracted to [6s, 5p, 4d, 3f, 2g]. This contracted basis set is then enhanced with two diffuse s (αs = 0.0320000 and 0.0022000 a0-2), two diffuse p (αp = 0.0310000 and 0.0011000 a0-2), and two diffuse d (αd = 0.0150000 and 0.0032000 a0-2). Aug-cc-pVQZ [25] designed for helium uses the basis set [10s, 5p, 2d, 1f].</w:t>
      </w:r>
    </w:p>
    <w:p w:rsidR="00723861" w:rsidRDefault="00503A37">
      <w:pPr>
        <w:pStyle w:val="BodyText"/>
        <w:spacing w:before="7"/>
        <w:ind w:left="0"/>
        <w:rPr>
          <w:sz w:val="21"/>
        </w:rPr>
      </w:pPr>
      <w:r>
        <w:rPr>
          <w:noProof/>
          <w:lang w:val="en-IN" w:eastAsia="en-IN"/>
        </w:rPr>
        <w:drawing>
          <wp:anchor distT="0" distB="0" distL="0" distR="0" simplePos="0" relativeHeight="251658240" behindDoc="0" locked="0" layoutInCell="1" allowOverlap="1">
            <wp:simplePos x="0" y="0"/>
            <wp:positionH relativeFrom="page">
              <wp:posOffset>1478802</wp:posOffset>
            </wp:positionH>
            <wp:positionV relativeFrom="paragraph">
              <wp:posOffset>183160</wp:posOffset>
            </wp:positionV>
            <wp:extent cx="4591145" cy="362407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591145" cy="3624072"/>
                    </a:xfrm>
                    <a:prstGeom prst="rect">
                      <a:avLst/>
                    </a:prstGeom>
                  </pic:spPr>
                </pic:pic>
              </a:graphicData>
            </a:graphic>
          </wp:anchor>
        </w:drawing>
      </w:r>
    </w:p>
    <w:p w:rsidR="00723861" w:rsidRDefault="00723861">
      <w:pPr>
        <w:pStyle w:val="BodyText"/>
        <w:spacing w:before="9"/>
        <w:ind w:left="0"/>
        <w:rPr>
          <w:sz w:val="22"/>
        </w:rPr>
      </w:pPr>
    </w:p>
    <w:p w:rsidR="00723861" w:rsidRDefault="00503A37">
      <w:pPr>
        <w:pStyle w:val="BodyText"/>
        <w:tabs>
          <w:tab w:val="left" w:pos="902"/>
        </w:tabs>
        <w:ind w:left="0" w:right="8"/>
        <w:jc w:val="center"/>
      </w:pPr>
      <w:r>
        <w:t>FIG.</w:t>
      </w:r>
      <w:r>
        <w:rPr>
          <w:spacing w:val="-2"/>
        </w:rPr>
        <w:t xml:space="preserve"> </w:t>
      </w:r>
      <w:r>
        <w:t>1.</w:t>
      </w:r>
      <w:r>
        <w:tab/>
        <w:t>Internal coordinates for the [HeCO]</w:t>
      </w:r>
      <w:r>
        <w:rPr>
          <w:vertAlign w:val="superscript"/>
        </w:rPr>
        <w:t>2+</w:t>
      </w:r>
      <w:r>
        <w:rPr>
          <w:spacing w:val="-1"/>
        </w:rPr>
        <w:t xml:space="preserve"> </w:t>
      </w:r>
      <w:r>
        <w:t>system.</w:t>
      </w:r>
    </w:p>
    <w:p w:rsidR="00723861" w:rsidRDefault="00723861">
      <w:pPr>
        <w:pStyle w:val="BodyText"/>
        <w:ind w:left="0"/>
        <w:rPr>
          <w:sz w:val="28"/>
        </w:rPr>
      </w:pPr>
    </w:p>
    <w:p w:rsidR="00723861" w:rsidRDefault="00723861">
      <w:pPr>
        <w:pStyle w:val="BodyText"/>
        <w:ind w:left="0"/>
        <w:rPr>
          <w:sz w:val="28"/>
        </w:rPr>
      </w:pPr>
    </w:p>
    <w:p w:rsidR="00723861" w:rsidRDefault="00723861">
      <w:pPr>
        <w:pStyle w:val="BodyText"/>
        <w:spacing w:before="10"/>
        <w:ind w:left="0"/>
        <w:rPr>
          <w:sz w:val="27"/>
        </w:rPr>
      </w:pPr>
    </w:p>
    <w:p w:rsidR="00175D8E" w:rsidRPr="00175D8E" w:rsidRDefault="00175D8E" w:rsidP="00175D8E">
      <w:pPr>
        <w:pStyle w:val="BodyText"/>
        <w:spacing w:before="3" w:line="350" w:lineRule="auto"/>
        <w:ind w:right="124" w:firstLine="360"/>
        <w:jc w:val="both"/>
      </w:pPr>
      <w:r w:rsidRPr="00175D8E">
        <w:t>For each of the three approach directions, a self-consistent field (SCF) computation was conducted to determine the lowest-energy 1A1 state at various internuclear distances. The resulting molecular orbitals (MOs) from these calculations serve as the orthonormal one-electron basis for the subsequent configuration interaction (CI) analyses.</w:t>
      </w:r>
    </w:p>
    <w:p w:rsidR="00175D8E" w:rsidRDefault="00175D8E">
      <w:pPr>
        <w:pStyle w:val="BodyText"/>
        <w:spacing w:before="3" w:line="350" w:lineRule="auto"/>
        <w:ind w:right="124" w:firstLine="360"/>
        <w:jc w:val="both"/>
      </w:pPr>
    </w:p>
    <w:p w:rsidR="00382022" w:rsidRPr="00382022" w:rsidRDefault="00382022" w:rsidP="00382022">
      <w:pPr>
        <w:pStyle w:val="BodyText"/>
        <w:spacing w:before="3" w:line="350" w:lineRule="auto"/>
        <w:ind w:right="124" w:firstLine="360"/>
        <w:jc w:val="both"/>
      </w:pPr>
      <w:r w:rsidRPr="00382022">
        <w:t>The adiabatic MRDCI energies have been computed at 173 different internuclear distances within the range of 1.5 ≤ R ≤ 50.0 a0, where R represents the distance of He2+ from the center of CO. The MRDCI method was employed, utilizing configuration selection and perturbative energy corrections [14-21].</w:t>
      </w:r>
    </w:p>
    <w:p w:rsidR="00382022" w:rsidRPr="00382022" w:rsidRDefault="00382022" w:rsidP="00382022">
      <w:pPr>
        <w:pStyle w:val="BodyText"/>
        <w:spacing w:before="3" w:line="350" w:lineRule="auto"/>
        <w:ind w:right="124" w:firstLine="360"/>
        <w:jc w:val="both"/>
      </w:pPr>
      <w:r w:rsidRPr="00382022">
        <w:t>Table I: This table provides information on the number of reference configurations (Nref) and the number of roots (Nroot) treated in each irreducible representation, along with the corresponding counts of generated (Ntot) and selected (Nsel) symmetry-adapted functions. These calculations include an analog of the Davidson-Langhoff correction with a threshold of 1.0×10-6 hartree. Please note that R denotes the distance between the He2+ ion and the CO center of mass.</w:t>
      </w:r>
    </w:p>
    <w:p w:rsidR="00723861" w:rsidRDefault="00723861">
      <w:pPr>
        <w:pStyle w:val="BodyText"/>
        <w:ind w:left="0"/>
        <w:rPr>
          <w:sz w:val="13"/>
        </w:rPr>
      </w:pPr>
    </w:p>
    <w:tbl>
      <w:tblPr>
        <w:tblW w:w="0" w:type="auto"/>
        <w:tblInd w:w="125" w:type="dxa"/>
        <w:tblLayout w:type="fixed"/>
        <w:tblCellMar>
          <w:left w:w="0" w:type="dxa"/>
          <w:right w:w="0" w:type="dxa"/>
        </w:tblCellMar>
        <w:tblLook w:val="01E0" w:firstRow="1" w:lastRow="1" w:firstColumn="1" w:lastColumn="1" w:noHBand="0" w:noVBand="0"/>
      </w:tblPr>
      <w:tblGrid>
        <w:gridCol w:w="1880"/>
        <w:gridCol w:w="1742"/>
        <w:gridCol w:w="1687"/>
        <w:gridCol w:w="1173"/>
        <w:gridCol w:w="1099"/>
        <w:gridCol w:w="1597"/>
      </w:tblGrid>
      <w:tr w:rsidR="00723861">
        <w:trPr>
          <w:trHeight w:val="890"/>
        </w:trPr>
        <w:tc>
          <w:tcPr>
            <w:tcW w:w="1880" w:type="dxa"/>
            <w:tcBorders>
              <w:top w:val="single" w:sz="4" w:space="0" w:color="000000"/>
              <w:left w:val="single" w:sz="4" w:space="0" w:color="000000"/>
              <w:bottom w:val="single" w:sz="4" w:space="0" w:color="000000"/>
            </w:tcBorders>
          </w:tcPr>
          <w:p w:rsidR="00723861" w:rsidRDefault="00723861">
            <w:pPr>
              <w:pStyle w:val="TableParagraph"/>
              <w:spacing w:before="9"/>
              <w:jc w:val="left"/>
              <w:rPr>
                <w:sz w:val="35"/>
              </w:rPr>
            </w:pPr>
          </w:p>
          <w:p w:rsidR="00723861" w:rsidRDefault="00503A37">
            <w:pPr>
              <w:pStyle w:val="TableParagraph"/>
              <w:spacing w:before="0"/>
              <w:ind w:left="839"/>
              <w:jc w:val="left"/>
              <w:rPr>
                <w:sz w:val="24"/>
              </w:rPr>
            </w:pPr>
            <w:r>
              <w:rPr>
                <w:sz w:val="24"/>
              </w:rPr>
              <w:t>State</w:t>
            </w:r>
          </w:p>
        </w:tc>
        <w:tc>
          <w:tcPr>
            <w:tcW w:w="1742" w:type="dxa"/>
            <w:tcBorders>
              <w:top w:val="single" w:sz="4" w:space="0" w:color="000000"/>
              <w:bottom w:val="single" w:sz="4" w:space="0" w:color="000000"/>
            </w:tcBorders>
          </w:tcPr>
          <w:p w:rsidR="00723861" w:rsidRDefault="00723861">
            <w:pPr>
              <w:pStyle w:val="TableParagraph"/>
              <w:spacing w:before="8"/>
              <w:jc w:val="left"/>
              <w:rPr>
                <w:sz w:val="35"/>
              </w:rPr>
            </w:pPr>
          </w:p>
          <w:p w:rsidR="00723861" w:rsidRDefault="00503A37">
            <w:pPr>
              <w:pStyle w:val="TableParagraph"/>
              <w:spacing w:before="0"/>
              <w:ind w:right="426"/>
              <w:jc w:val="right"/>
              <w:rPr>
                <w:sz w:val="16"/>
              </w:rPr>
            </w:pPr>
            <w:r>
              <w:rPr>
                <w:position w:val="2"/>
                <w:sz w:val="24"/>
              </w:rPr>
              <w:t>N</w:t>
            </w:r>
            <w:r>
              <w:rPr>
                <w:sz w:val="16"/>
              </w:rPr>
              <w:t>ref</w:t>
            </w:r>
          </w:p>
        </w:tc>
        <w:tc>
          <w:tcPr>
            <w:tcW w:w="1687" w:type="dxa"/>
            <w:tcBorders>
              <w:top w:val="single" w:sz="4" w:space="0" w:color="000000"/>
              <w:bottom w:val="single" w:sz="4" w:space="0" w:color="000000"/>
            </w:tcBorders>
          </w:tcPr>
          <w:p w:rsidR="00723861" w:rsidRDefault="00723861">
            <w:pPr>
              <w:pStyle w:val="TableParagraph"/>
              <w:spacing w:before="8"/>
              <w:jc w:val="left"/>
              <w:rPr>
                <w:sz w:val="35"/>
              </w:rPr>
            </w:pPr>
          </w:p>
          <w:p w:rsidR="00723861" w:rsidRDefault="00503A37">
            <w:pPr>
              <w:pStyle w:val="TableParagraph"/>
              <w:spacing w:before="0"/>
              <w:ind w:left="799"/>
              <w:jc w:val="left"/>
              <w:rPr>
                <w:sz w:val="16"/>
              </w:rPr>
            </w:pPr>
            <w:r>
              <w:rPr>
                <w:position w:val="2"/>
                <w:sz w:val="24"/>
              </w:rPr>
              <w:t>N</w:t>
            </w:r>
            <w:r>
              <w:rPr>
                <w:sz w:val="16"/>
              </w:rPr>
              <w:t>tot</w:t>
            </w:r>
          </w:p>
        </w:tc>
        <w:tc>
          <w:tcPr>
            <w:tcW w:w="1173" w:type="dxa"/>
            <w:tcBorders>
              <w:top w:val="single" w:sz="4" w:space="0" w:color="000000"/>
              <w:bottom w:val="single" w:sz="4" w:space="0" w:color="000000"/>
            </w:tcBorders>
          </w:tcPr>
          <w:p w:rsidR="00723861" w:rsidRDefault="00723861">
            <w:pPr>
              <w:pStyle w:val="TableParagraph"/>
              <w:spacing w:before="8"/>
              <w:jc w:val="left"/>
              <w:rPr>
                <w:sz w:val="35"/>
              </w:rPr>
            </w:pPr>
          </w:p>
          <w:p w:rsidR="00723861" w:rsidRDefault="00503A37">
            <w:pPr>
              <w:pStyle w:val="TableParagraph"/>
              <w:spacing w:before="0"/>
              <w:ind w:left="166" w:right="246"/>
              <w:rPr>
                <w:sz w:val="16"/>
              </w:rPr>
            </w:pPr>
            <w:r>
              <w:rPr>
                <w:position w:val="2"/>
                <w:sz w:val="24"/>
              </w:rPr>
              <w:t>N</w:t>
            </w:r>
            <w:r>
              <w:rPr>
                <w:sz w:val="16"/>
              </w:rPr>
              <w:t>sel</w:t>
            </w:r>
          </w:p>
        </w:tc>
        <w:tc>
          <w:tcPr>
            <w:tcW w:w="1099" w:type="dxa"/>
            <w:tcBorders>
              <w:top w:val="single" w:sz="4" w:space="0" w:color="000000"/>
              <w:bottom w:val="single" w:sz="4" w:space="0" w:color="000000"/>
            </w:tcBorders>
          </w:tcPr>
          <w:p w:rsidR="00723861" w:rsidRDefault="00723861">
            <w:pPr>
              <w:pStyle w:val="TableParagraph"/>
              <w:spacing w:before="8"/>
              <w:jc w:val="left"/>
              <w:rPr>
                <w:sz w:val="35"/>
              </w:rPr>
            </w:pPr>
          </w:p>
          <w:p w:rsidR="00723861" w:rsidRDefault="00503A37">
            <w:pPr>
              <w:pStyle w:val="TableParagraph"/>
              <w:spacing w:before="0"/>
              <w:ind w:left="259" w:right="367"/>
              <w:rPr>
                <w:sz w:val="16"/>
              </w:rPr>
            </w:pPr>
            <w:r>
              <w:rPr>
                <w:position w:val="2"/>
                <w:sz w:val="24"/>
              </w:rPr>
              <w:t>N</w:t>
            </w:r>
            <w:r>
              <w:rPr>
                <w:sz w:val="16"/>
              </w:rPr>
              <w:t>root</w:t>
            </w:r>
          </w:p>
        </w:tc>
        <w:tc>
          <w:tcPr>
            <w:tcW w:w="1597" w:type="dxa"/>
            <w:tcBorders>
              <w:top w:val="single" w:sz="4" w:space="0" w:color="000000"/>
              <w:bottom w:val="single" w:sz="4" w:space="0" w:color="000000"/>
              <w:right w:val="single" w:sz="4" w:space="0" w:color="000000"/>
            </w:tcBorders>
          </w:tcPr>
          <w:p w:rsidR="00723861" w:rsidRDefault="00723861">
            <w:pPr>
              <w:pStyle w:val="TableParagraph"/>
              <w:spacing w:before="4"/>
              <w:jc w:val="left"/>
              <w:rPr>
                <w:sz w:val="34"/>
              </w:rPr>
            </w:pPr>
          </w:p>
          <w:p w:rsidR="00723861" w:rsidRDefault="00503A37">
            <w:pPr>
              <w:pStyle w:val="TableParagraph"/>
              <w:spacing w:before="0"/>
              <w:ind w:left="385" w:right="385"/>
              <w:rPr>
                <w:i/>
                <w:sz w:val="16"/>
              </w:rPr>
            </w:pPr>
            <w:r>
              <w:rPr>
                <w:i/>
                <w:position w:val="2"/>
                <w:sz w:val="24"/>
              </w:rPr>
              <w:t>Σ</w:t>
            </w:r>
            <w:r>
              <w:rPr>
                <w:i/>
                <w:sz w:val="16"/>
              </w:rPr>
              <w:t xml:space="preserve">p </w:t>
            </w:r>
            <w:r>
              <w:rPr>
                <w:i/>
                <w:position w:val="2"/>
                <w:sz w:val="24"/>
              </w:rPr>
              <w:t>c</w:t>
            </w:r>
            <w:r>
              <w:rPr>
                <w:i/>
                <w:sz w:val="16"/>
              </w:rPr>
              <w:t>p</w:t>
            </w:r>
            <w:r>
              <w:rPr>
                <w:i/>
                <w:position w:val="11"/>
                <w:sz w:val="16"/>
              </w:rPr>
              <w:t>2</w:t>
            </w:r>
          </w:p>
        </w:tc>
      </w:tr>
      <w:tr w:rsidR="00723861">
        <w:trPr>
          <w:trHeight w:val="753"/>
        </w:trPr>
        <w:tc>
          <w:tcPr>
            <w:tcW w:w="1880" w:type="dxa"/>
            <w:tcBorders>
              <w:top w:val="single" w:sz="4" w:space="0" w:color="000000"/>
              <w:left w:val="single" w:sz="4" w:space="0" w:color="000000"/>
            </w:tcBorders>
          </w:tcPr>
          <w:p w:rsidR="00723861" w:rsidRDefault="00723861">
            <w:pPr>
              <w:pStyle w:val="TableParagraph"/>
              <w:spacing w:before="9"/>
              <w:jc w:val="left"/>
              <w:rPr>
                <w:sz w:val="35"/>
              </w:rPr>
            </w:pPr>
          </w:p>
          <w:p w:rsidR="00723861" w:rsidRDefault="00503A37">
            <w:pPr>
              <w:pStyle w:val="TableParagraph"/>
              <w:spacing w:before="0"/>
              <w:ind w:left="107"/>
              <w:jc w:val="left"/>
              <w:rPr>
                <w:sz w:val="24"/>
              </w:rPr>
            </w:pPr>
            <w:r>
              <w:rPr>
                <w:sz w:val="24"/>
              </w:rPr>
              <w:t>carbon end</w:t>
            </w:r>
          </w:p>
        </w:tc>
        <w:tc>
          <w:tcPr>
            <w:tcW w:w="1742" w:type="dxa"/>
            <w:tcBorders>
              <w:top w:val="single" w:sz="4" w:space="0" w:color="000000"/>
            </w:tcBorders>
          </w:tcPr>
          <w:p w:rsidR="00723861" w:rsidRDefault="00723861">
            <w:pPr>
              <w:pStyle w:val="TableParagraph"/>
              <w:spacing w:before="8"/>
              <w:jc w:val="left"/>
              <w:rPr>
                <w:sz w:val="35"/>
              </w:rPr>
            </w:pPr>
          </w:p>
          <w:p w:rsidR="00723861" w:rsidRDefault="00503A37">
            <w:pPr>
              <w:pStyle w:val="TableParagraph"/>
              <w:spacing w:before="0"/>
              <w:ind w:right="385"/>
              <w:jc w:val="right"/>
              <w:rPr>
                <w:sz w:val="16"/>
              </w:rPr>
            </w:pPr>
            <w:r>
              <w:rPr>
                <w:position w:val="2"/>
                <w:sz w:val="24"/>
              </w:rPr>
              <w:t>R = 2.1 a</w:t>
            </w:r>
            <w:r>
              <w:rPr>
                <w:sz w:val="16"/>
              </w:rPr>
              <w:t>0</w:t>
            </w:r>
          </w:p>
        </w:tc>
        <w:tc>
          <w:tcPr>
            <w:tcW w:w="1687" w:type="dxa"/>
            <w:tcBorders>
              <w:top w:val="single" w:sz="4" w:space="0" w:color="000000"/>
            </w:tcBorders>
          </w:tcPr>
          <w:p w:rsidR="00723861" w:rsidRDefault="00723861">
            <w:pPr>
              <w:pStyle w:val="TableParagraph"/>
              <w:spacing w:before="0"/>
              <w:jc w:val="left"/>
            </w:pPr>
          </w:p>
        </w:tc>
        <w:tc>
          <w:tcPr>
            <w:tcW w:w="1173" w:type="dxa"/>
            <w:tcBorders>
              <w:top w:val="single" w:sz="4" w:space="0" w:color="000000"/>
            </w:tcBorders>
          </w:tcPr>
          <w:p w:rsidR="00723861" w:rsidRDefault="00723861">
            <w:pPr>
              <w:pStyle w:val="TableParagraph"/>
              <w:spacing w:before="0"/>
              <w:jc w:val="left"/>
            </w:pPr>
          </w:p>
        </w:tc>
        <w:tc>
          <w:tcPr>
            <w:tcW w:w="1099" w:type="dxa"/>
            <w:tcBorders>
              <w:top w:val="single" w:sz="4" w:space="0" w:color="000000"/>
            </w:tcBorders>
          </w:tcPr>
          <w:p w:rsidR="00723861" w:rsidRDefault="00723861">
            <w:pPr>
              <w:pStyle w:val="TableParagraph"/>
              <w:spacing w:before="0"/>
              <w:jc w:val="left"/>
            </w:pPr>
          </w:p>
        </w:tc>
        <w:tc>
          <w:tcPr>
            <w:tcW w:w="1597" w:type="dxa"/>
            <w:tcBorders>
              <w:top w:val="single" w:sz="4" w:space="0" w:color="000000"/>
              <w:right w:val="single" w:sz="4" w:space="0" w:color="000000"/>
            </w:tcBorders>
          </w:tcPr>
          <w:p w:rsidR="00723861" w:rsidRDefault="00723861">
            <w:pPr>
              <w:pStyle w:val="TableParagraph"/>
              <w:spacing w:before="0"/>
              <w:jc w:val="left"/>
            </w:pPr>
          </w:p>
        </w:tc>
      </w:tr>
      <w:tr w:rsidR="00723861">
        <w:trPr>
          <w:trHeight w:val="414"/>
        </w:trPr>
        <w:tc>
          <w:tcPr>
            <w:tcW w:w="1880" w:type="dxa"/>
            <w:tcBorders>
              <w:left w:val="single" w:sz="4" w:space="0" w:color="000000"/>
            </w:tcBorders>
          </w:tcPr>
          <w:p w:rsidR="00723861" w:rsidRDefault="00503A37">
            <w:pPr>
              <w:pStyle w:val="TableParagraph"/>
              <w:ind w:left="840" w:right="555"/>
              <w:rPr>
                <w:sz w:val="16"/>
              </w:rPr>
            </w:pPr>
            <w:r>
              <w:rPr>
                <w:sz w:val="24"/>
                <w:vertAlign w:val="superscript"/>
              </w:rPr>
              <w:t>1</w:t>
            </w:r>
            <w:r>
              <w:rPr>
                <w:i/>
                <w:position w:val="2"/>
                <w:sz w:val="24"/>
              </w:rPr>
              <w:t>A</w:t>
            </w:r>
            <w:r>
              <w:rPr>
                <w:sz w:val="16"/>
              </w:rPr>
              <w:t>1</w:t>
            </w:r>
          </w:p>
        </w:tc>
        <w:tc>
          <w:tcPr>
            <w:tcW w:w="1742" w:type="dxa"/>
          </w:tcPr>
          <w:p w:rsidR="00723861" w:rsidRDefault="00503A37">
            <w:pPr>
              <w:pStyle w:val="TableParagraph"/>
              <w:spacing w:before="74"/>
              <w:ind w:right="420"/>
              <w:jc w:val="right"/>
              <w:rPr>
                <w:sz w:val="24"/>
              </w:rPr>
            </w:pPr>
            <w:r>
              <w:rPr>
                <w:sz w:val="24"/>
              </w:rPr>
              <w:t>117</w:t>
            </w:r>
          </w:p>
        </w:tc>
        <w:tc>
          <w:tcPr>
            <w:tcW w:w="1687" w:type="dxa"/>
          </w:tcPr>
          <w:p w:rsidR="00723861" w:rsidRDefault="00503A37">
            <w:pPr>
              <w:pStyle w:val="TableParagraph"/>
              <w:spacing w:before="74"/>
              <w:ind w:left="492"/>
              <w:jc w:val="left"/>
              <w:rPr>
                <w:sz w:val="24"/>
              </w:rPr>
            </w:pPr>
            <w:r>
              <w:rPr>
                <w:sz w:val="24"/>
              </w:rPr>
              <w:t>25107571</w:t>
            </w:r>
          </w:p>
        </w:tc>
        <w:tc>
          <w:tcPr>
            <w:tcW w:w="1173" w:type="dxa"/>
          </w:tcPr>
          <w:p w:rsidR="00723861" w:rsidRDefault="00503A37">
            <w:pPr>
              <w:pStyle w:val="TableParagraph"/>
              <w:spacing w:before="74"/>
              <w:ind w:left="167" w:right="246"/>
              <w:rPr>
                <w:sz w:val="24"/>
              </w:rPr>
            </w:pPr>
            <w:r>
              <w:rPr>
                <w:sz w:val="24"/>
              </w:rPr>
              <w:t>152860</w:t>
            </w:r>
          </w:p>
        </w:tc>
        <w:tc>
          <w:tcPr>
            <w:tcW w:w="1099" w:type="dxa"/>
          </w:tcPr>
          <w:p w:rsidR="00723861" w:rsidRDefault="00503A37">
            <w:pPr>
              <w:pStyle w:val="TableParagraph"/>
              <w:spacing w:before="74"/>
              <w:ind w:right="105"/>
              <w:rPr>
                <w:sz w:val="24"/>
              </w:rPr>
            </w:pPr>
            <w:r>
              <w:rPr>
                <w:sz w:val="24"/>
              </w:rPr>
              <w:t>8</w:t>
            </w:r>
          </w:p>
        </w:tc>
        <w:tc>
          <w:tcPr>
            <w:tcW w:w="1597" w:type="dxa"/>
            <w:tcBorders>
              <w:right w:val="single" w:sz="4" w:space="0" w:color="000000"/>
            </w:tcBorders>
          </w:tcPr>
          <w:p w:rsidR="00723861" w:rsidRDefault="00503A37">
            <w:pPr>
              <w:pStyle w:val="TableParagraph"/>
              <w:spacing w:before="74"/>
              <w:ind w:left="385" w:right="386"/>
              <w:rPr>
                <w:sz w:val="24"/>
              </w:rPr>
            </w:pPr>
            <w:r>
              <w:rPr>
                <w:sz w:val="24"/>
              </w:rPr>
              <w:t>0.91925</w:t>
            </w:r>
          </w:p>
        </w:tc>
      </w:tr>
      <w:tr w:rsidR="00723861">
        <w:trPr>
          <w:trHeight w:val="414"/>
        </w:trPr>
        <w:tc>
          <w:tcPr>
            <w:tcW w:w="1880" w:type="dxa"/>
            <w:tcBorders>
              <w:left w:val="single" w:sz="4" w:space="0" w:color="000000"/>
            </w:tcBorders>
          </w:tcPr>
          <w:p w:rsidR="00723861" w:rsidRDefault="00503A37">
            <w:pPr>
              <w:pStyle w:val="TableParagraph"/>
              <w:spacing w:before="71"/>
              <w:ind w:left="840" w:right="555"/>
              <w:rPr>
                <w:sz w:val="16"/>
              </w:rPr>
            </w:pPr>
            <w:r>
              <w:rPr>
                <w:sz w:val="24"/>
                <w:vertAlign w:val="superscript"/>
              </w:rPr>
              <w:t>1</w:t>
            </w:r>
            <w:r>
              <w:rPr>
                <w:i/>
                <w:position w:val="2"/>
                <w:sz w:val="24"/>
              </w:rPr>
              <w:t>B</w:t>
            </w:r>
            <w:r>
              <w:rPr>
                <w:sz w:val="16"/>
              </w:rPr>
              <w:t>1</w:t>
            </w:r>
          </w:p>
        </w:tc>
        <w:tc>
          <w:tcPr>
            <w:tcW w:w="1742" w:type="dxa"/>
          </w:tcPr>
          <w:p w:rsidR="00723861" w:rsidRDefault="00503A37">
            <w:pPr>
              <w:pStyle w:val="TableParagraph"/>
              <w:spacing w:before="72"/>
              <w:ind w:right="420"/>
              <w:jc w:val="right"/>
              <w:rPr>
                <w:sz w:val="24"/>
              </w:rPr>
            </w:pPr>
            <w:r>
              <w:rPr>
                <w:sz w:val="24"/>
              </w:rPr>
              <w:t>131</w:t>
            </w:r>
          </w:p>
        </w:tc>
        <w:tc>
          <w:tcPr>
            <w:tcW w:w="1687" w:type="dxa"/>
          </w:tcPr>
          <w:p w:rsidR="00723861" w:rsidRDefault="00503A37">
            <w:pPr>
              <w:pStyle w:val="TableParagraph"/>
              <w:spacing w:before="72"/>
              <w:ind w:left="492"/>
              <w:jc w:val="left"/>
              <w:rPr>
                <w:sz w:val="24"/>
              </w:rPr>
            </w:pPr>
            <w:r>
              <w:rPr>
                <w:sz w:val="24"/>
              </w:rPr>
              <w:t>36530868</w:t>
            </w:r>
          </w:p>
        </w:tc>
        <w:tc>
          <w:tcPr>
            <w:tcW w:w="1173" w:type="dxa"/>
          </w:tcPr>
          <w:p w:rsidR="00723861" w:rsidRDefault="00503A37">
            <w:pPr>
              <w:pStyle w:val="TableParagraph"/>
              <w:spacing w:before="72"/>
              <w:ind w:left="167" w:right="246"/>
              <w:rPr>
                <w:sz w:val="24"/>
              </w:rPr>
            </w:pPr>
            <w:r>
              <w:rPr>
                <w:sz w:val="24"/>
              </w:rPr>
              <w:t>130437</w:t>
            </w:r>
          </w:p>
        </w:tc>
        <w:tc>
          <w:tcPr>
            <w:tcW w:w="1099" w:type="dxa"/>
          </w:tcPr>
          <w:p w:rsidR="00723861" w:rsidRDefault="00503A37">
            <w:pPr>
              <w:pStyle w:val="TableParagraph"/>
              <w:spacing w:before="72"/>
              <w:ind w:right="105"/>
              <w:rPr>
                <w:sz w:val="24"/>
              </w:rPr>
            </w:pPr>
            <w:r>
              <w:rPr>
                <w:sz w:val="24"/>
              </w:rPr>
              <w:t>5</w:t>
            </w:r>
          </w:p>
        </w:tc>
        <w:tc>
          <w:tcPr>
            <w:tcW w:w="1597" w:type="dxa"/>
            <w:tcBorders>
              <w:right w:val="single" w:sz="4" w:space="0" w:color="000000"/>
            </w:tcBorders>
          </w:tcPr>
          <w:p w:rsidR="00723861" w:rsidRDefault="00503A37">
            <w:pPr>
              <w:pStyle w:val="TableParagraph"/>
              <w:spacing w:before="72"/>
              <w:ind w:left="385" w:right="386"/>
              <w:rPr>
                <w:sz w:val="24"/>
              </w:rPr>
            </w:pPr>
            <w:r>
              <w:rPr>
                <w:sz w:val="24"/>
              </w:rPr>
              <w:t>0.91400</w:t>
            </w:r>
          </w:p>
        </w:tc>
      </w:tr>
      <w:tr w:rsidR="00723861">
        <w:trPr>
          <w:trHeight w:val="413"/>
        </w:trPr>
        <w:tc>
          <w:tcPr>
            <w:tcW w:w="1880" w:type="dxa"/>
            <w:tcBorders>
              <w:left w:val="single" w:sz="4" w:space="0" w:color="000000"/>
            </w:tcBorders>
          </w:tcPr>
          <w:p w:rsidR="00723861" w:rsidRDefault="00503A37">
            <w:pPr>
              <w:pStyle w:val="TableParagraph"/>
              <w:ind w:left="840" w:right="555"/>
              <w:rPr>
                <w:sz w:val="16"/>
              </w:rPr>
            </w:pPr>
            <w:r>
              <w:rPr>
                <w:sz w:val="24"/>
                <w:vertAlign w:val="superscript"/>
              </w:rPr>
              <w:t>1</w:t>
            </w:r>
            <w:r>
              <w:rPr>
                <w:i/>
                <w:position w:val="2"/>
                <w:sz w:val="24"/>
              </w:rPr>
              <w:t>A</w:t>
            </w:r>
            <w:r>
              <w:rPr>
                <w:sz w:val="16"/>
              </w:rPr>
              <w:t>2</w:t>
            </w:r>
          </w:p>
        </w:tc>
        <w:tc>
          <w:tcPr>
            <w:tcW w:w="1742" w:type="dxa"/>
          </w:tcPr>
          <w:p w:rsidR="00723861" w:rsidRDefault="00503A37">
            <w:pPr>
              <w:pStyle w:val="TableParagraph"/>
              <w:ind w:right="480"/>
              <w:jc w:val="right"/>
              <w:rPr>
                <w:sz w:val="24"/>
              </w:rPr>
            </w:pPr>
            <w:r>
              <w:rPr>
                <w:sz w:val="24"/>
              </w:rPr>
              <w:t>58</w:t>
            </w:r>
          </w:p>
        </w:tc>
        <w:tc>
          <w:tcPr>
            <w:tcW w:w="1687" w:type="dxa"/>
          </w:tcPr>
          <w:p w:rsidR="00723861" w:rsidRDefault="00503A37">
            <w:pPr>
              <w:pStyle w:val="TableParagraph"/>
              <w:ind w:left="492"/>
              <w:jc w:val="left"/>
              <w:rPr>
                <w:sz w:val="24"/>
              </w:rPr>
            </w:pPr>
            <w:r>
              <w:rPr>
                <w:sz w:val="24"/>
              </w:rPr>
              <w:t>19913451</w:t>
            </w:r>
          </w:p>
        </w:tc>
        <w:tc>
          <w:tcPr>
            <w:tcW w:w="1173" w:type="dxa"/>
          </w:tcPr>
          <w:p w:rsidR="00723861" w:rsidRDefault="00503A37">
            <w:pPr>
              <w:pStyle w:val="TableParagraph"/>
              <w:ind w:left="167" w:right="246"/>
              <w:rPr>
                <w:sz w:val="24"/>
              </w:rPr>
            </w:pPr>
            <w:r>
              <w:rPr>
                <w:sz w:val="24"/>
              </w:rPr>
              <w:t>100128</w:t>
            </w:r>
          </w:p>
        </w:tc>
        <w:tc>
          <w:tcPr>
            <w:tcW w:w="1099" w:type="dxa"/>
          </w:tcPr>
          <w:p w:rsidR="00723861" w:rsidRDefault="00503A37">
            <w:pPr>
              <w:pStyle w:val="TableParagraph"/>
              <w:ind w:right="105"/>
              <w:rPr>
                <w:sz w:val="24"/>
              </w:rPr>
            </w:pPr>
            <w:r>
              <w:rPr>
                <w:sz w:val="24"/>
              </w:rPr>
              <w:t>4</w:t>
            </w:r>
          </w:p>
        </w:tc>
        <w:tc>
          <w:tcPr>
            <w:tcW w:w="1597" w:type="dxa"/>
            <w:tcBorders>
              <w:right w:val="single" w:sz="4" w:space="0" w:color="000000"/>
            </w:tcBorders>
          </w:tcPr>
          <w:p w:rsidR="00723861" w:rsidRDefault="00503A37">
            <w:pPr>
              <w:pStyle w:val="TableParagraph"/>
              <w:ind w:left="385" w:right="386"/>
              <w:rPr>
                <w:sz w:val="24"/>
              </w:rPr>
            </w:pPr>
            <w:r>
              <w:rPr>
                <w:sz w:val="24"/>
              </w:rPr>
              <w:t>0.91925</w:t>
            </w:r>
          </w:p>
        </w:tc>
      </w:tr>
      <w:tr w:rsidR="00723861">
        <w:trPr>
          <w:trHeight w:val="413"/>
        </w:trPr>
        <w:tc>
          <w:tcPr>
            <w:tcW w:w="1880" w:type="dxa"/>
            <w:tcBorders>
              <w:left w:val="single" w:sz="4" w:space="0" w:color="000000"/>
            </w:tcBorders>
          </w:tcPr>
          <w:p w:rsidR="00723861" w:rsidRDefault="00503A37">
            <w:pPr>
              <w:pStyle w:val="TableParagraph"/>
              <w:spacing w:before="71"/>
              <w:ind w:left="840" w:right="555"/>
              <w:rPr>
                <w:sz w:val="16"/>
              </w:rPr>
            </w:pPr>
            <w:r>
              <w:rPr>
                <w:sz w:val="24"/>
                <w:vertAlign w:val="superscript"/>
              </w:rPr>
              <w:t>3</w:t>
            </w:r>
            <w:r>
              <w:rPr>
                <w:i/>
                <w:position w:val="2"/>
                <w:sz w:val="24"/>
              </w:rPr>
              <w:t>A</w:t>
            </w:r>
            <w:r>
              <w:rPr>
                <w:sz w:val="16"/>
              </w:rPr>
              <w:t>1</w:t>
            </w:r>
          </w:p>
        </w:tc>
        <w:tc>
          <w:tcPr>
            <w:tcW w:w="1742" w:type="dxa"/>
          </w:tcPr>
          <w:p w:rsidR="00723861" w:rsidRDefault="00503A37">
            <w:pPr>
              <w:pStyle w:val="TableParagraph"/>
              <w:spacing w:before="72"/>
              <w:ind w:right="420"/>
              <w:jc w:val="right"/>
              <w:rPr>
                <w:sz w:val="24"/>
              </w:rPr>
            </w:pPr>
            <w:r>
              <w:rPr>
                <w:sz w:val="24"/>
              </w:rPr>
              <w:t>122</w:t>
            </w:r>
          </w:p>
        </w:tc>
        <w:tc>
          <w:tcPr>
            <w:tcW w:w="1687" w:type="dxa"/>
          </w:tcPr>
          <w:p w:rsidR="00723861" w:rsidRDefault="00503A37">
            <w:pPr>
              <w:pStyle w:val="TableParagraph"/>
              <w:spacing w:before="72"/>
              <w:ind w:left="492"/>
              <w:jc w:val="left"/>
              <w:rPr>
                <w:sz w:val="24"/>
              </w:rPr>
            </w:pPr>
            <w:r>
              <w:rPr>
                <w:sz w:val="24"/>
              </w:rPr>
              <w:t>56874767</w:t>
            </w:r>
          </w:p>
        </w:tc>
        <w:tc>
          <w:tcPr>
            <w:tcW w:w="1173" w:type="dxa"/>
          </w:tcPr>
          <w:p w:rsidR="00723861" w:rsidRDefault="00503A37">
            <w:pPr>
              <w:pStyle w:val="TableParagraph"/>
              <w:spacing w:before="72"/>
              <w:ind w:left="167" w:right="246"/>
              <w:rPr>
                <w:sz w:val="24"/>
              </w:rPr>
            </w:pPr>
            <w:r>
              <w:rPr>
                <w:sz w:val="24"/>
              </w:rPr>
              <w:t>132811</w:t>
            </w:r>
          </w:p>
        </w:tc>
        <w:tc>
          <w:tcPr>
            <w:tcW w:w="1099" w:type="dxa"/>
          </w:tcPr>
          <w:p w:rsidR="00723861" w:rsidRDefault="00503A37">
            <w:pPr>
              <w:pStyle w:val="TableParagraph"/>
              <w:spacing w:before="72"/>
              <w:ind w:right="105"/>
              <w:rPr>
                <w:sz w:val="24"/>
              </w:rPr>
            </w:pPr>
            <w:r>
              <w:rPr>
                <w:sz w:val="24"/>
              </w:rPr>
              <w:t>6</w:t>
            </w:r>
          </w:p>
        </w:tc>
        <w:tc>
          <w:tcPr>
            <w:tcW w:w="1597" w:type="dxa"/>
            <w:tcBorders>
              <w:right w:val="single" w:sz="4" w:space="0" w:color="000000"/>
            </w:tcBorders>
          </w:tcPr>
          <w:p w:rsidR="00723861" w:rsidRDefault="00503A37">
            <w:pPr>
              <w:pStyle w:val="TableParagraph"/>
              <w:spacing w:before="72"/>
              <w:ind w:left="385" w:right="386"/>
              <w:rPr>
                <w:sz w:val="24"/>
              </w:rPr>
            </w:pPr>
            <w:r>
              <w:rPr>
                <w:sz w:val="24"/>
              </w:rPr>
              <w:t>0.91783</w:t>
            </w:r>
          </w:p>
        </w:tc>
      </w:tr>
      <w:tr w:rsidR="00723861">
        <w:trPr>
          <w:trHeight w:val="413"/>
        </w:trPr>
        <w:tc>
          <w:tcPr>
            <w:tcW w:w="1880" w:type="dxa"/>
            <w:tcBorders>
              <w:left w:val="single" w:sz="4" w:space="0" w:color="000000"/>
            </w:tcBorders>
          </w:tcPr>
          <w:p w:rsidR="00723861" w:rsidRDefault="00503A37">
            <w:pPr>
              <w:pStyle w:val="TableParagraph"/>
              <w:ind w:left="840" w:right="555"/>
              <w:rPr>
                <w:sz w:val="16"/>
              </w:rPr>
            </w:pPr>
            <w:r>
              <w:rPr>
                <w:sz w:val="24"/>
                <w:vertAlign w:val="superscript"/>
              </w:rPr>
              <w:t>3</w:t>
            </w:r>
            <w:r>
              <w:rPr>
                <w:i/>
                <w:position w:val="2"/>
                <w:sz w:val="24"/>
              </w:rPr>
              <w:t>B</w:t>
            </w:r>
            <w:r>
              <w:rPr>
                <w:sz w:val="16"/>
              </w:rPr>
              <w:t>1</w:t>
            </w:r>
          </w:p>
        </w:tc>
        <w:tc>
          <w:tcPr>
            <w:tcW w:w="1742" w:type="dxa"/>
          </w:tcPr>
          <w:p w:rsidR="00723861" w:rsidRDefault="00503A37">
            <w:pPr>
              <w:pStyle w:val="TableParagraph"/>
              <w:ind w:right="420"/>
              <w:jc w:val="right"/>
              <w:rPr>
                <w:sz w:val="24"/>
              </w:rPr>
            </w:pPr>
            <w:r>
              <w:rPr>
                <w:sz w:val="24"/>
              </w:rPr>
              <w:t>131</w:t>
            </w:r>
          </w:p>
        </w:tc>
        <w:tc>
          <w:tcPr>
            <w:tcW w:w="1687" w:type="dxa"/>
          </w:tcPr>
          <w:p w:rsidR="00723861" w:rsidRDefault="00503A37">
            <w:pPr>
              <w:pStyle w:val="TableParagraph"/>
              <w:ind w:left="492"/>
              <w:jc w:val="left"/>
              <w:rPr>
                <w:sz w:val="24"/>
              </w:rPr>
            </w:pPr>
            <w:r>
              <w:rPr>
                <w:sz w:val="24"/>
              </w:rPr>
              <w:t>66373749</w:t>
            </w:r>
          </w:p>
        </w:tc>
        <w:tc>
          <w:tcPr>
            <w:tcW w:w="1173" w:type="dxa"/>
          </w:tcPr>
          <w:p w:rsidR="00723861" w:rsidRDefault="00503A37">
            <w:pPr>
              <w:pStyle w:val="TableParagraph"/>
              <w:ind w:left="167" w:right="246"/>
              <w:rPr>
                <w:sz w:val="24"/>
              </w:rPr>
            </w:pPr>
            <w:r>
              <w:rPr>
                <w:sz w:val="24"/>
              </w:rPr>
              <w:t>123435</w:t>
            </w:r>
          </w:p>
        </w:tc>
        <w:tc>
          <w:tcPr>
            <w:tcW w:w="1099" w:type="dxa"/>
          </w:tcPr>
          <w:p w:rsidR="00723861" w:rsidRDefault="00503A37">
            <w:pPr>
              <w:pStyle w:val="TableParagraph"/>
              <w:ind w:right="105"/>
              <w:rPr>
                <w:sz w:val="24"/>
              </w:rPr>
            </w:pPr>
            <w:r>
              <w:rPr>
                <w:sz w:val="24"/>
              </w:rPr>
              <w:t>5</w:t>
            </w:r>
          </w:p>
        </w:tc>
        <w:tc>
          <w:tcPr>
            <w:tcW w:w="1597" w:type="dxa"/>
            <w:tcBorders>
              <w:right w:val="single" w:sz="4" w:space="0" w:color="000000"/>
            </w:tcBorders>
          </w:tcPr>
          <w:p w:rsidR="00723861" w:rsidRDefault="00503A37">
            <w:pPr>
              <w:pStyle w:val="TableParagraph"/>
              <w:ind w:left="385" w:right="386"/>
              <w:rPr>
                <w:sz w:val="24"/>
              </w:rPr>
            </w:pPr>
            <w:r>
              <w:rPr>
                <w:sz w:val="24"/>
              </w:rPr>
              <w:t>0.91880</w:t>
            </w:r>
          </w:p>
        </w:tc>
      </w:tr>
      <w:tr w:rsidR="00723861">
        <w:trPr>
          <w:trHeight w:val="484"/>
        </w:trPr>
        <w:tc>
          <w:tcPr>
            <w:tcW w:w="1880" w:type="dxa"/>
            <w:tcBorders>
              <w:left w:val="single" w:sz="4" w:space="0" w:color="000000"/>
            </w:tcBorders>
          </w:tcPr>
          <w:p w:rsidR="00723861" w:rsidRDefault="00503A37">
            <w:pPr>
              <w:pStyle w:val="TableParagraph"/>
              <w:spacing w:before="71"/>
              <w:ind w:left="840" w:right="555"/>
              <w:rPr>
                <w:sz w:val="16"/>
              </w:rPr>
            </w:pPr>
            <w:r>
              <w:rPr>
                <w:sz w:val="24"/>
                <w:vertAlign w:val="superscript"/>
              </w:rPr>
              <w:t>3</w:t>
            </w:r>
            <w:r>
              <w:rPr>
                <w:i/>
                <w:position w:val="2"/>
                <w:sz w:val="24"/>
              </w:rPr>
              <w:t>A</w:t>
            </w:r>
            <w:r>
              <w:rPr>
                <w:sz w:val="16"/>
              </w:rPr>
              <w:t>2</w:t>
            </w:r>
          </w:p>
        </w:tc>
        <w:tc>
          <w:tcPr>
            <w:tcW w:w="1742" w:type="dxa"/>
          </w:tcPr>
          <w:p w:rsidR="00723861" w:rsidRDefault="00503A37">
            <w:pPr>
              <w:pStyle w:val="TableParagraph"/>
              <w:spacing w:before="72"/>
              <w:ind w:right="480"/>
              <w:jc w:val="right"/>
              <w:rPr>
                <w:sz w:val="24"/>
              </w:rPr>
            </w:pPr>
            <w:r>
              <w:rPr>
                <w:sz w:val="24"/>
              </w:rPr>
              <w:t>58</w:t>
            </w:r>
          </w:p>
        </w:tc>
        <w:tc>
          <w:tcPr>
            <w:tcW w:w="1687" w:type="dxa"/>
          </w:tcPr>
          <w:p w:rsidR="00723861" w:rsidRDefault="00503A37">
            <w:pPr>
              <w:pStyle w:val="TableParagraph"/>
              <w:spacing w:before="72"/>
              <w:ind w:left="492"/>
              <w:jc w:val="left"/>
              <w:rPr>
                <w:sz w:val="24"/>
              </w:rPr>
            </w:pPr>
            <w:r>
              <w:rPr>
                <w:sz w:val="24"/>
              </w:rPr>
              <w:t>36315855</w:t>
            </w:r>
          </w:p>
        </w:tc>
        <w:tc>
          <w:tcPr>
            <w:tcW w:w="1173" w:type="dxa"/>
          </w:tcPr>
          <w:p w:rsidR="00723861" w:rsidRDefault="00503A37">
            <w:pPr>
              <w:pStyle w:val="TableParagraph"/>
              <w:spacing w:before="72"/>
              <w:ind w:left="167" w:right="246"/>
              <w:rPr>
                <w:sz w:val="24"/>
              </w:rPr>
            </w:pPr>
            <w:r>
              <w:rPr>
                <w:sz w:val="24"/>
              </w:rPr>
              <w:t>100829</w:t>
            </w:r>
          </w:p>
        </w:tc>
        <w:tc>
          <w:tcPr>
            <w:tcW w:w="1099" w:type="dxa"/>
          </w:tcPr>
          <w:p w:rsidR="00723861" w:rsidRDefault="00503A37">
            <w:pPr>
              <w:pStyle w:val="TableParagraph"/>
              <w:spacing w:before="72"/>
              <w:ind w:right="105"/>
              <w:rPr>
                <w:sz w:val="24"/>
              </w:rPr>
            </w:pPr>
            <w:r>
              <w:rPr>
                <w:sz w:val="24"/>
              </w:rPr>
              <w:t>4</w:t>
            </w:r>
          </w:p>
        </w:tc>
        <w:tc>
          <w:tcPr>
            <w:tcW w:w="1597" w:type="dxa"/>
            <w:tcBorders>
              <w:right w:val="single" w:sz="4" w:space="0" w:color="000000"/>
            </w:tcBorders>
          </w:tcPr>
          <w:p w:rsidR="00723861" w:rsidRDefault="00503A37">
            <w:pPr>
              <w:pStyle w:val="TableParagraph"/>
              <w:spacing w:before="72"/>
              <w:ind w:left="385" w:right="386"/>
              <w:rPr>
                <w:sz w:val="24"/>
              </w:rPr>
            </w:pPr>
            <w:r>
              <w:rPr>
                <w:sz w:val="24"/>
              </w:rPr>
              <w:t>0.91825</w:t>
            </w:r>
          </w:p>
        </w:tc>
      </w:tr>
      <w:tr w:rsidR="00723861">
        <w:trPr>
          <w:trHeight w:val="463"/>
        </w:trPr>
        <w:tc>
          <w:tcPr>
            <w:tcW w:w="1880" w:type="dxa"/>
            <w:tcBorders>
              <w:left w:val="single" w:sz="4" w:space="0" w:color="000000"/>
            </w:tcBorders>
          </w:tcPr>
          <w:p w:rsidR="00723861" w:rsidRDefault="00503A37">
            <w:pPr>
              <w:pStyle w:val="TableParagraph"/>
              <w:spacing w:before="123"/>
              <w:ind w:left="107"/>
              <w:jc w:val="left"/>
              <w:rPr>
                <w:sz w:val="24"/>
              </w:rPr>
            </w:pPr>
            <w:r>
              <w:rPr>
                <w:sz w:val="24"/>
              </w:rPr>
              <w:t>oxygen end</w:t>
            </w:r>
          </w:p>
        </w:tc>
        <w:tc>
          <w:tcPr>
            <w:tcW w:w="1742" w:type="dxa"/>
          </w:tcPr>
          <w:p w:rsidR="00723861" w:rsidRDefault="00503A37">
            <w:pPr>
              <w:pStyle w:val="TableParagraph"/>
              <w:spacing w:before="122"/>
              <w:ind w:right="385"/>
              <w:jc w:val="right"/>
              <w:rPr>
                <w:sz w:val="16"/>
              </w:rPr>
            </w:pPr>
            <w:r>
              <w:rPr>
                <w:position w:val="2"/>
                <w:sz w:val="24"/>
              </w:rPr>
              <w:t>R = 2.7 a</w:t>
            </w:r>
            <w:r>
              <w:rPr>
                <w:sz w:val="16"/>
              </w:rPr>
              <w:t>0</w:t>
            </w:r>
          </w:p>
        </w:tc>
        <w:tc>
          <w:tcPr>
            <w:tcW w:w="1687" w:type="dxa"/>
          </w:tcPr>
          <w:p w:rsidR="00723861" w:rsidRDefault="00723861">
            <w:pPr>
              <w:pStyle w:val="TableParagraph"/>
              <w:spacing w:before="0"/>
              <w:jc w:val="left"/>
            </w:pPr>
          </w:p>
        </w:tc>
        <w:tc>
          <w:tcPr>
            <w:tcW w:w="1173" w:type="dxa"/>
          </w:tcPr>
          <w:p w:rsidR="00723861" w:rsidRDefault="00723861">
            <w:pPr>
              <w:pStyle w:val="TableParagraph"/>
              <w:spacing w:before="0"/>
              <w:jc w:val="left"/>
            </w:pPr>
          </w:p>
        </w:tc>
        <w:tc>
          <w:tcPr>
            <w:tcW w:w="1099" w:type="dxa"/>
          </w:tcPr>
          <w:p w:rsidR="00723861" w:rsidRDefault="00723861">
            <w:pPr>
              <w:pStyle w:val="TableParagraph"/>
              <w:spacing w:before="0"/>
              <w:jc w:val="left"/>
            </w:pPr>
          </w:p>
        </w:tc>
        <w:tc>
          <w:tcPr>
            <w:tcW w:w="1597" w:type="dxa"/>
            <w:tcBorders>
              <w:right w:val="single" w:sz="4" w:space="0" w:color="000000"/>
            </w:tcBorders>
          </w:tcPr>
          <w:p w:rsidR="00723861" w:rsidRDefault="00723861">
            <w:pPr>
              <w:pStyle w:val="TableParagraph"/>
              <w:spacing w:before="0"/>
              <w:jc w:val="left"/>
            </w:pPr>
          </w:p>
        </w:tc>
      </w:tr>
      <w:tr w:rsidR="00723861">
        <w:trPr>
          <w:trHeight w:val="414"/>
        </w:trPr>
        <w:tc>
          <w:tcPr>
            <w:tcW w:w="1880" w:type="dxa"/>
            <w:tcBorders>
              <w:left w:val="single" w:sz="4" w:space="0" w:color="000000"/>
            </w:tcBorders>
          </w:tcPr>
          <w:p w:rsidR="00723861" w:rsidRDefault="00503A37">
            <w:pPr>
              <w:pStyle w:val="TableParagraph"/>
              <w:spacing w:before="71"/>
              <w:ind w:left="840" w:right="555"/>
              <w:rPr>
                <w:sz w:val="16"/>
              </w:rPr>
            </w:pPr>
            <w:r>
              <w:rPr>
                <w:sz w:val="24"/>
                <w:vertAlign w:val="superscript"/>
              </w:rPr>
              <w:t>1</w:t>
            </w:r>
            <w:r>
              <w:rPr>
                <w:i/>
                <w:position w:val="2"/>
                <w:sz w:val="24"/>
              </w:rPr>
              <w:t>A</w:t>
            </w:r>
            <w:r>
              <w:rPr>
                <w:sz w:val="16"/>
              </w:rPr>
              <w:t>1</w:t>
            </w:r>
          </w:p>
        </w:tc>
        <w:tc>
          <w:tcPr>
            <w:tcW w:w="1742" w:type="dxa"/>
          </w:tcPr>
          <w:p w:rsidR="00723861" w:rsidRDefault="00503A37">
            <w:pPr>
              <w:pStyle w:val="TableParagraph"/>
              <w:spacing w:before="72"/>
              <w:ind w:right="420"/>
              <w:jc w:val="right"/>
              <w:rPr>
                <w:sz w:val="24"/>
              </w:rPr>
            </w:pPr>
            <w:r>
              <w:rPr>
                <w:sz w:val="24"/>
              </w:rPr>
              <w:t>108</w:t>
            </w:r>
          </w:p>
        </w:tc>
        <w:tc>
          <w:tcPr>
            <w:tcW w:w="1687" w:type="dxa"/>
          </w:tcPr>
          <w:p w:rsidR="00723861" w:rsidRDefault="00503A37">
            <w:pPr>
              <w:pStyle w:val="TableParagraph"/>
              <w:spacing w:before="72"/>
              <w:ind w:left="492"/>
              <w:jc w:val="left"/>
              <w:rPr>
                <w:sz w:val="24"/>
              </w:rPr>
            </w:pPr>
            <w:r>
              <w:rPr>
                <w:sz w:val="24"/>
              </w:rPr>
              <w:t>24130542</w:t>
            </w:r>
          </w:p>
        </w:tc>
        <w:tc>
          <w:tcPr>
            <w:tcW w:w="1173" w:type="dxa"/>
          </w:tcPr>
          <w:p w:rsidR="00723861" w:rsidRDefault="00503A37">
            <w:pPr>
              <w:pStyle w:val="TableParagraph"/>
              <w:spacing w:before="72"/>
              <w:ind w:left="167" w:right="246"/>
              <w:rPr>
                <w:sz w:val="24"/>
              </w:rPr>
            </w:pPr>
            <w:r>
              <w:rPr>
                <w:sz w:val="24"/>
              </w:rPr>
              <w:t>159236</w:t>
            </w:r>
          </w:p>
        </w:tc>
        <w:tc>
          <w:tcPr>
            <w:tcW w:w="1099" w:type="dxa"/>
          </w:tcPr>
          <w:p w:rsidR="00723861" w:rsidRDefault="00503A37">
            <w:pPr>
              <w:pStyle w:val="TableParagraph"/>
              <w:spacing w:before="72"/>
              <w:ind w:right="105"/>
              <w:rPr>
                <w:sz w:val="24"/>
              </w:rPr>
            </w:pPr>
            <w:r>
              <w:rPr>
                <w:sz w:val="24"/>
              </w:rPr>
              <w:t>8</w:t>
            </w:r>
          </w:p>
        </w:tc>
        <w:tc>
          <w:tcPr>
            <w:tcW w:w="1597" w:type="dxa"/>
            <w:tcBorders>
              <w:right w:val="single" w:sz="4" w:space="0" w:color="000000"/>
            </w:tcBorders>
          </w:tcPr>
          <w:p w:rsidR="00723861" w:rsidRDefault="00503A37">
            <w:pPr>
              <w:pStyle w:val="TableParagraph"/>
              <w:spacing w:before="72"/>
              <w:ind w:left="385" w:right="386"/>
              <w:rPr>
                <w:sz w:val="24"/>
              </w:rPr>
            </w:pPr>
            <w:r>
              <w:rPr>
                <w:sz w:val="24"/>
              </w:rPr>
              <w:t>0.92560</w:t>
            </w:r>
          </w:p>
        </w:tc>
      </w:tr>
      <w:tr w:rsidR="00723861">
        <w:trPr>
          <w:trHeight w:val="414"/>
        </w:trPr>
        <w:tc>
          <w:tcPr>
            <w:tcW w:w="1880" w:type="dxa"/>
            <w:tcBorders>
              <w:left w:val="single" w:sz="4" w:space="0" w:color="000000"/>
            </w:tcBorders>
          </w:tcPr>
          <w:p w:rsidR="00723861" w:rsidRDefault="00503A37">
            <w:pPr>
              <w:pStyle w:val="TableParagraph"/>
              <w:ind w:left="840" w:right="555"/>
              <w:rPr>
                <w:sz w:val="16"/>
              </w:rPr>
            </w:pPr>
            <w:r>
              <w:rPr>
                <w:sz w:val="24"/>
                <w:vertAlign w:val="superscript"/>
              </w:rPr>
              <w:t>1</w:t>
            </w:r>
            <w:r>
              <w:rPr>
                <w:i/>
                <w:position w:val="2"/>
                <w:sz w:val="24"/>
              </w:rPr>
              <w:t>B</w:t>
            </w:r>
            <w:r>
              <w:rPr>
                <w:sz w:val="16"/>
              </w:rPr>
              <w:t>1</w:t>
            </w:r>
          </w:p>
        </w:tc>
        <w:tc>
          <w:tcPr>
            <w:tcW w:w="1742" w:type="dxa"/>
          </w:tcPr>
          <w:p w:rsidR="00723861" w:rsidRDefault="00503A37">
            <w:pPr>
              <w:pStyle w:val="TableParagraph"/>
              <w:spacing w:before="74"/>
              <w:ind w:right="480"/>
              <w:jc w:val="right"/>
              <w:rPr>
                <w:sz w:val="24"/>
              </w:rPr>
            </w:pPr>
            <w:r>
              <w:rPr>
                <w:sz w:val="24"/>
              </w:rPr>
              <w:t>72</w:t>
            </w:r>
          </w:p>
        </w:tc>
        <w:tc>
          <w:tcPr>
            <w:tcW w:w="1687" w:type="dxa"/>
          </w:tcPr>
          <w:p w:rsidR="00723861" w:rsidRDefault="00503A37">
            <w:pPr>
              <w:pStyle w:val="TableParagraph"/>
              <w:spacing w:before="74"/>
              <w:ind w:left="492"/>
              <w:jc w:val="left"/>
              <w:rPr>
                <w:sz w:val="24"/>
              </w:rPr>
            </w:pPr>
            <w:r>
              <w:rPr>
                <w:sz w:val="24"/>
              </w:rPr>
              <w:t>19081874</w:t>
            </w:r>
          </w:p>
        </w:tc>
        <w:tc>
          <w:tcPr>
            <w:tcW w:w="1173" w:type="dxa"/>
          </w:tcPr>
          <w:p w:rsidR="00723861" w:rsidRDefault="00503A37">
            <w:pPr>
              <w:pStyle w:val="TableParagraph"/>
              <w:spacing w:before="74"/>
              <w:ind w:left="167" w:right="246"/>
              <w:rPr>
                <w:sz w:val="24"/>
              </w:rPr>
            </w:pPr>
            <w:r>
              <w:rPr>
                <w:sz w:val="24"/>
              </w:rPr>
              <w:t>141719</w:t>
            </w:r>
          </w:p>
        </w:tc>
        <w:tc>
          <w:tcPr>
            <w:tcW w:w="1099" w:type="dxa"/>
          </w:tcPr>
          <w:p w:rsidR="00723861" w:rsidRDefault="00503A37">
            <w:pPr>
              <w:pStyle w:val="TableParagraph"/>
              <w:spacing w:before="74"/>
              <w:ind w:right="105"/>
              <w:rPr>
                <w:sz w:val="24"/>
              </w:rPr>
            </w:pPr>
            <w:r>
              <w:rPr>
                <w:sz w:val="24"/>
              </w:rPr>
              <w:t>5</w:t>
            </w:r>
          </w:p>
        </w:tc>
        <w:tc>
          <w:tcPr>
            <w:tcW w:w="1597" w:type="dxa"/>
            <w:tcBorders>
              <w:right w:val="single" w:sz="4" w:space="0" w:color="000000"/>
            </w:tcBorders>
          </w:tcPr>
          <w:p w:rsidR="00723861" w:rsidRDefault="00503A37">
            <w:pPr>
              <w:pStyle w:val="TableParagraph"/>
              <w:spacing w:before="74"/>
              <w:ind w:left="385" w:right="386"/>
              <w:rPr>
                <w:sz w:val="24"/>
              </w:rPr>
            </w:pPr>
            <w:r>
              <w:rPr>
                <w:sz w:val="24"/>
              </w:rPr>
              <w:t>0.92100</w:t>
            </w:r>
          </w:p>
        </w:tc>
      </w:tr>
      <w:tr w:rsidR="00723861">
        <w:trPr>
          <w:trHeight w:val="414"/>
        </w:trPr>
        <w:tc>
          <w:tcPr>
            <w:tcW w:w="1880" w:type="dxa"/>
            <w:tcBorders>
              <w:left w:val="single" w:sz="4" w:space="0" w:color="000000"/>
            </w:tcBorders>
          </w:tcPr>
          <w:p w:rsidR="00723861" w:rsidRDefault="00503A37">
            <w:pPr>
              <w:pStyle w:val="TableParagraph"/>
              <w:spacing w:before="71"/>
              <w:ind w:left="840" w:right="555"/>
              <w:rPr>
                <w:sz w:val="16"/>
              </w:rPr>
            </w:pPr>
            <w:r>
              <w:rPr>
                <w:sz w:val="24"/>
                <w:vertAlign w:val="superscript"/>
              </w:rPr>
              <w:t>1</w:t>
            </w:r>
            <w:r>
              <w:rPr>
                <w:i/>
                <w:position w:val="2"/>
                <w:sz w:val="24"/>
              </w:rPr>
              <w:t>A</w:t>
            </w:r>
            <w:r>
              <w:rPr>
                <w:sz w:val="16"/>
              </w:rPr>
              <w:t>2</w:t>
            </w:r>
          </w:p>
        </w:tc>
        <w:tc>
          <w:tcPr>
            <w:tcW w:w="1742" w:type="dxa"/>
          </w:tcPr>
          <w:p w:rsidR="00723861" w:rsidRDefault="00503A37">
            <w:pPr>
              <w:pStyle w:val="TableParagraph"/>
              <w:spacing w:before="72"/>
              <w:ind w:right="480"/>
              <w:jc w:val="right"/>
              <w:rPr>
                <w:sz w:val="24"/>
              </w:rPr>
            </w:pPr>
            <w:r>
              <w:rPr>
                <w:sz w:val="24"/>
              </w:rPr>
              <w:t>41</w:t>
            </w:r>
          </w:p>
        </w:tc>
        <w:tc>
          <w:tcPr>
            <w:tcW w:w="1687" w:type="dxa"/>
          </w:tcPr>
          <w:p w:rsidR="00723861" w:rsidRDefault="00503A37">
            <w:pPr>
              <w:pStyle w:val="TableParagraph"/>
              <w:spacing w:before="72"/>
              <w:ind w:left="492"/>
              <w:jc w:val="left"/>
              <w:rPr>
                <w:sz w:val="24"/>
              </w:rPr>
            </w:pPr>
            <w:r>
              <w:rPr>
                <w:sz w:val="24"/>
              </w:rPr>
              <w:t>12479242</w:t>
            </w:r>
          </w:p>
        </w:tc>
        <w:tc>
          <w:tcPr>
            <w:tcW w:w="1173" w:type="dxa"/>
          </w:tcPr>
          <w:p w:rsidR="00723861" w:rsidRDefault="00503A37">
            <w:pPr>
              <w:pStyle w:val="TableParagraph"/>
              <w:spacing w:before="72"/>
              <w:ind w:left="167" w:right="246"/>
              <w:rPr>
                <w:sz w:val="24"/>
              </w:rPr>
            </w:pPr>
            <w:r>
              <w:rPr>
                <w:sz w:val="24"/>
              </w:rPr>
              <w:t>114371</w:t>
            </w:r>
          </w:p>
        </w:tc>
        <w:tc>
          <w:tcPr>
            <w:tcW w:w="1099" w:type="dxa"/>
          </w:tcPr>
          <w:p w:rsidR="00723861" w:rsidRDefault="00503A37">
            <w:pPr>
              <w:pStyle w:val="TableParagraph"/>
              <w:spacing w:before="72"/>
              <w:ind w:right="105"/>
              <w:rPr>
                <w:sz w:val="24"/>
              </w:rPr>
            </w:pPr>
            <w:r>
              <w:rPr>
                <w:sz w:val="24"/>
              </w:rPr>
              <w:t>4</w:t>
            </w:r>
          </w:p>
        </w:tc>
        <w:tc>
          <w:tcPr>
            <w:tcW w:w="1597" w:type="dxa"/>
            <w:tcBorders>
              <w:right w:val="single" w:sz="4" w:space="0" w:color="000000"/>
            </w:tcBorders>
          </w:tcPr>
          <w:p w:rsidR="00723861" w:rsidRDefault="00503A37">
            <w:pPr>
              <w:pStyle w:val="TableParagraph"/>
              <w:spacing w:before="72"/>
              <w:ind w:left="385" w:right="386"/>
              <w:rPr>
                <w:sz w:val="24"/>
              </w:rPr>
            </w:pPr>
            <w:r>
              <w:rPr>
                <w:sz w:val="24"/>
              </w:rPr>
              <w:t>0.91875</w:t>
            </w:r>
          </w:p>
        </w:tc>
      </w:tr>
      <w:tr w:rsidR="00723861">
        <w:trPr>
          <w:trHeight w:val="413"/>
        </w:trPr>
        <w:tc>
          <w:tcPr>
            <w:tcW w:w="1880" w:type="dxa"/>
            <w:tcBorders>
              <w:left w:val="single" w:sz="4" w:space="0" w:color="000000"/>
            </w:tcBorders>
          </w:tcPr>
          <w:p w:rsidR="00723861" w:rsidRDefault="00503A37">
            <w:pPr>
              <w:pStyle w:val="TableParagraph"/>
              <w:ind w:left="840" w:right="555"/>
              <w:rPr>
                <w:sz w:val="16"/>
              </w:rPr>
            </w:pPr>
            <w:r>
              <w:rPr>
                <w:sz w:val="24"/>
                <w:vertAlign w:val="superscript"/>
              </w:rPr>
              <w:t>3</w:t>
            </w:r>
            <w:r>
              <w:rPr>
                <w:i/>
                <w:position w:val="2"/>
                <w:sz w:val="24"/>
              </w:rPr>
              <w:t>A</w:t>
            </w:r>
            <w:r>
              <w:rPr>
                <w:sz w:val="16"/>
              </w:rPr>
              <w:t>1</w:t>
            </w:r>
          </w:p>
        </w:tc>
        <w:tc>
          <w:tcPr>
            <w:tcW w:w="1742" w:type="dxa"/>
          </w:tcPr>
          <w:p w:rsidR="00723861" w:rsidRDefault="00503A37">
            <w:pPr>
              <w:pStyle w:val="TableParagraph"/>
              <w:ind w:right="420"/>
              <w:jc w:val="right"/>
              <w:rPr>
                <w:sz w:val="24"/>
              </w:rPr>
            </w:pPr>
            <w:r>
              <w:rPr>
                <w:sz w:val="24"/>
              </w:rPr>
              <w:t>113</w:t>
            </w:r>
          </w:p>
        </w:tc>
        <w:tc>
          <w:tcPr>
            <w:tcW w:w="1687" w:type="dxa"/>
          </w:tcPr>
          <w:p w:rsidR="00723861" w:rsidRDefault="00503A37">
            <w:pPr>
              <w:pStyle w:val="TableParagraph"/>
              <w:ind w:left="492"/>
              <w:jc w:val="left"/>
              <w:rPr>
                <w:sz w:val="24"/>
              </w:rPr>
            </w:pPr>
            <w:r>
              <w:rPr>
                <w:sz w:val="24"/>
              </w:rPr>
              <w:t>54168588</w:t>
            </w:r>
          </w:p>
        </w:tc>
        <w:tc>
          <w:tcPr>
            <w:tcW w:w="1173" w:type="dxa"/>
          </w:tcPr>
          <w:p w:rsidR="00723861" w:rsidRDefault="00503A37">
            <w:pPr>
              <w:pStyle w:val="TableParagraph"/>
              <w:ind w:left="167" w:right="246"/>
              <w:rPr>
                <w:sz w:val="24"/>
              </w:rPr>
            </w:pPr>
            <w:r>
              <w:rPr>
                <w:sz w:val="24"/>
              </w:rPr>
              <w:t>128649</w:t>
            </w:r>
          </w:p>
        </w:tc>
        <w:tc>
          <w:tcPr>
            <w:tcW w:w="1099" w:type="dxa"/>
          </w:tcPr>
          <w:p w:rsidR="00723861" w:rsidRDefault="00503A37">
            <w:pPr>
              <w:pStyle w:val="TableParagraph"/>
              <w:ind w:right="105"/>
              <w:rPr>
                <w:sz w:val="24"/>
              </w:rPr>
            </w:pPr>
            <w:r>
              <w:rPr>
                <w:sz w:val="24"/>
              </w:rPr>
              <w:t>6</w:t>
            </w:r>
          </w:p>
        </w:tc>
        <w:tc>
          <w:tcPr>
            <w:tcW w:w="1597" w:type="dxa"/>
            <w:tcBorders>
              <w:right w:val="single" w:sz="4" w:space="0" w:color="000000"/>
            </w:tcBorders>
          </w:tcPr>
          <w:p w:rsidR="00723861" w:rsidRDefault="00503A37">
            <w:pPr>
              <w:pStyle w:val="TableParagraph"/>
              <w:ind w:left="385" w:right="386"/>
              <w:rPr>
                <w:sz w:val="24"/>
              </w:rPr>
            </w:pPr>
            <w:r>
              <w:rPr>
                <w:sz w:val="24"/>
              </w:rPr>
              <w:t>0.92980</w:t>
            </w:r>
          </w:p>
        </w:tc>
      </w:tr>
      <w:tr w:rsidR="00723861">
        <w:trPr>
          <w:trHeight w:val="413"/>
        </w:trPr>
        <w:tc>
          <w:tcPr>
            <w:tcW w:w="1880" w:type="dxa"/>
            <w:tcBorders>
              <w:left w:val="single" w:sz="4" w:space="0" w:color="000000"/>
            </w:tcBorders>
          </w:tcPr>
          <w:p w:rsidR="00723861" w:rsidRDefault="00503A37">
            <w:pPr>
              <w:pStyle w:val="TableParagraph"/>
              <w:spacing w:before="71"/>
              <w:ind w:left="840" w:right="555"/>
              <w:rPr>
                <w:sz w:val="16"/>
              </w:rPr>
            </w:pPr>
            <w:r>
              <w:rPr>
                <w:sz w:val="24"/>
                <w:vertAlign w:val="superscript"/>
              </w:rPr>
              <w:t>3</w:t>
            </w:r>
            <w:r>
              <w:rPr>
                <w:i/>
                <w:position w:val="2"/>
                <w:sz w:val="24"/>
              </w:rPr>
              <w:t>B</w:t>
            </w:r>
            <w:r>
              <w:rPr>
                <w:sz w:val="16"/>
              </w:rPr>
              <w:t>1</w:t>
            </w:r>
          </w:p>
        </w:tc>
        <w:tc>
          <w:tcPr>
            <w:tcW w:w="1742" w:type="dxa"/>
          </w:tcPr>
          <w:p w:rsidR="00723861" w:rsidRDefault="00503A37">
            <w:pPr>
              <w:pStyle w:val="TableParagraph"/>
              <w:spacing w:before="72"/>
              <w:ind w:right="420"/>
              <w:jc w:val="right"/>
              <w:rPr>
                <w:sz w:val="24"/>
              </w:rPr>
            </w:pPr>
            <w:r>
              <w:rPr>
                <w:sz w:val="24"/>
              </w:rPr>
              <w:t>124</w:t>
            </w:r>
          </w:p>
        </w:tc>
        <w:tc>
          <w:tcPr>
            <w:tcW w:w="1687" w:type="dxa"/>
          </w:tcPr>
          <w:p w:rsidR="00723861" w:rsidRDefault="00503A37">
            <w:pPr>
              <w:pStyle w:val="TableParagraph"/>
              <w:spacing w:before="72"/>
              <w:ind w:left="492"/>
              <w:jc w:val="left"/>
              <w:rPr>
                <w:sz w:val="24"/>
              </w:rPr>
            </w:pPr>
            <w:r>
              <w:rPr>
                <w:sz w:val="24"/>
              </w:rPr>
              <w:t>65232445</w:t>
            </w:r>
          </w:p>
        </w:tc>
        <w:tc>
          <w:tcPr>
            <w:tcW w:w="1173" w:type="dxa"/>
          </w:tcPr>
          <w:p w:rsidR="00723861" w:rsidRDefault="00503A37">
            <w:pPr>
              <w:pStyle w:val="TableParagraph"/>
              <w:spacing w:before="72"/>
              <w:ind w:left="167" w:right="246"/>
              <w:rPr>
                <w:sz w:val="24"/>
              </w:rPr>
            </w:pPr>
            <w:r>
              <w:rPr>
                <w:sz w:val="24"/>
              </w:rPr>
              <w:t>150152</w:t>
            </w:r>
          </w:p>
        </w:tc>
        <w:tc>
          <w:tcPr>
            <w:tcW w:w="1099" w:type="dxa"/>
          </w:tcPr>
          <w:p w:rsidR="00723861" w:rsidRDefault="00503A37">
            <w:pPr>
              <w:pStyle w:val="TableParagraph"/>
              <w:spacing w:before="72"/>
              <w:ind w:right="105"/>
              <w:rPr>
                <w:sz w:val="24"/>
              </w:rPr>
            </w:pPr>
            <w:r>
              <w:rPr>
                <w:sz w:val="24"/>
              </w:rPr>
              <w:t>5</w:t>
            </w:r>
          </w:p>
        </w:tc>
        <w:tc>
          <w:tcPr>
            <w:tcW w:w="1597" w:type="dxa"/>
            <w:tcBorders>
              <w:right w:val="single" w:sz="4" w:space="0" w:color="000000"/>
            </w:tcBorders>
          </w:tcPr>
          <w:p w:rsidR="00723861" w:rsidRDefault="00503A37">
            <w:pPr>
              <w:pStyle w:val="TableParagraph"/>
              <w:spacing w:before="72"/>
              <w:ind w:left="385" w:right="386"/>
              <w:rPr>
                <w:sz w:val="24"/>
              </w:rPr>
            </w:pPr>
            <w:r>
              <w:rPr>
                <w:sz w:val="24"/>
              </w:rPr>
              <w:t>0.92960</w:t>
            </w:r>
          </w:p>
        </w:tc>
      </w:tr>
      <w:tr w:rsidR="00723861">
        <w:trPr>
          <w:trHeight w:val="465"/>
        </w:trPr>
        <w:tc>
          <w:tcPr>
            <w:tcW w:w="1880" w:type="dxa"/>
            <w:tcBorders>
              <w:left w:val="single" w:sz="4" w:space="0" w:color="000000"/>
            </w:tcBorders>
          </w:tcPr>
          <w:p w:rsidR="00723861" w:rsidRDefault="00503A37">
            <w:pPr>
              <w:pStyle w:val="TableParagraph"/>
              <w:ind w:left="840" w:right="555"/>
              <w:rPr>
                <w:sz w:val="16"/>
              </w:rPr>
            </w:pPr>
            <w:r>
              <w:rPr>
                <w:sz w:val="24"/>
                <w:vertAlign w:val="superscript"/>
              </w:rPr>
              <w:t>3</w:t>
            </w:r>
            <w:r>
              <w:rPr>
                <w:i/>
                <w:position w:val="2"/>
                <w:sz w:val="24"/>
              </w:rPr>
              <w:t>A</w:t>
            </w:r>
            <w:r>
              <w:rPr>
                <w:sz w:val="16"/>
              </w:rPr>
              <w:t>2</w:t>
            </w:r>
          </w:p>
        </w:tc>
        <w:tc>
          <w:tcPr>
            <w:tcW w:w="1742" w:type="dxa"/>
          </w:tcPr>
          <w:p w:rsidR="00723861" w:rsidRDefault="00503A37">
            <w:pPr>
              <w:pStyle w:val="TableParagraph"/>
              <w:ind w:right="480"/>
              <w:jc w:val="right"/>
              <w:rPr>
                <w:sz w:val="24"/>
              </w:rPr>
            </w:pPr>
            <w:r>
              <w:rPr>
                <w:sz w:val="24"/>
              </w:rPr>
              <w:t>70</w:t>
            </w:r>
          </w:p>
        </w:tc>
        <w:tc>
          <w:tcPr>
            <w:tcW w:w="1687" w:type="dxa"/>
          </w:tcPr>
          <w:p w:rsidR="00723861" w:rsidRDefault="00503A37">
            <w:pPr>
              <w:pStyle w:val="TableParagraph"/>
              <w:ind w:left="492"/>
              <w:jc w:val="left"/>
              <w:rPr>
                <w:sz w:val="24"/>
              </w:rPr>
            </w:pPr>
            <w:r>
              <w:rPr>
                <w:sz w:val="24"/>
              </w:rPr>
              <w:t>46421304</w:t>
            </w:r>
          </w:p>
        </w:tc>
        <w:tc>
          <w:tcPr>
            <w:tcW w:w="1173" w:type="dxa"/>
          </w:tcPr>
          <w:p w:rsidR="00723861" w:rsidRDefault="00503A37">
            <w:pPr>
              <w:pStyle w:val="TableParagraph"/>
              <w:ind w:left="167" w:right="246"/>
              <w:rPr>
                <w:sz w:val="24"/>
              </w:rPr>
            </w:pPr>
            <w:r>
              <w:rPr>
                <w:sz w:val="24"/>
              </w:rPr>
              <w:t>119775</w:t>
            </w:r>
          </w:p>
        </w:tc>
        <w:tc>
          <w:tcPr>
            <w:tcW w:w="1099" w:type="dxa"/>
          </w:tcPr>
          <w:p w:rsidR="00723861" w:rsidRDefault="00503A37">
            <w:pPr>
              <w:pStyle w:val="TableParagraph"/>
              <w:ind w:right="105"/>
              <w:rPr>
                <w:sz w:val="24"/>
              </w:rPr>
            </w:pPr>
            <w:r>
              <w:rPr>
                <w:sz w:val="24"/>
              </w:rPr>
              <w:t>4</w:t>
            </w:r>
          </w:p>
        </w:tc>
        <w:tc>
          <w:tcPr>
            <w:tcW w:w="1597" w:type="dxa"/>
            <w:tcBorders>
              <w:right w:val="single" w:sz="4" w:space="0" w:color="000000"/>
            </w:tcBorders>
          </w:tcPr>
          <w:p w:rsidR="00723861" w:rsidRDefault="00503A37">
            <w:pPr>
              <w:pStyle w:val="TableParagraph"/>
              <w:ind w:left="385" w:right="386"/>
              <w:rPr>
                <w:sz w:val="24"/>
              </w:rPr>
            </w:pPr>
            <w:r>
              <w:rPr>
                <w:sz w:val="24"/>
              </w:rPr>
              <w:t>0.92790</w:t>
            </w:r>
          </w:p>
        </w:tc>
      </w:tr>
      <w:tr w:rsidR="00723861">
        <w:trPr>
          <w:trHeight w:val="444"/>
        </w:trPr>
        <w:tc>
          <w:tcPr>
            <w:tcW w:w="1880" w:type="dxa"/>
            <w:tcBorders>
              <w:left w:val="single" w:sz="4" w:space="0" w:color="000000"/>
            </w:tcBorders>
          </w:tcPr>
          <w:p w:rsidR="00723861" w:rsidRDefault="00503A37">
            <w:pPr>
              <w:pStyle w:val="TableParagraph"/>
              <w:spacing w:before="103"/>
              <w:ind w:left="107"/>
              <w:jc w:val="left"/>
              <w:rPr>
                <w:sz w:val="24"/>
              </w:rPr>
            </w:pPr>
            <w:r>
              <w:rPr>
                <w:sz w:val="24"/>
              </w:rPr>
              <w:t>center of mass</w:t>
            </w:r>
          </w:p>
        </w:tc>
        <w:tc>
          <w:tcPr>
            <w:tcW w:w="1742" w:type="dxa"/>
          </w:tcPr>
          <w:p w:rsidR="00723861" w:rsidRDefault="00503A37">
            <w:pPr>
              <w:pStyle w:val="TableParagraph"/>
              <w:spacing w:before="102"/>
              <w:ind w:right="385"/>
              <w:jc w:val="right"/>
              <w:rPr>
                <w:sz w:val="16"/>
              </w:rPr>
            </w:pPr>
            <w:r>
              <w:rPr>
                <w:position w:val="2"/>
                <w:sz w:val="24"/>
              </w:rPr>
              <w:t>R = 3.5 a</w:t>
            </w:r>
            <w:r>
              <w:rPr>
                <w:sz w:val="16"/>
              </w:rPr>
              <w:t>0</w:t>
            </w:r>
          </w:p>
        </w:tc>
        <w:tc>
          <w:tcPr>
            <w:tcW w:w="1687" w:type="dxa"/>
          </w:tcPr>
          <w:p w:rsidR="00723861" w:rsidRDefault="00723861">
            <w:pPr>
              <w:pStyle w:val="TableParagraph"/>
              <w:spacing w:before="0"/>
              <w:jc w:val="left"/>
            </w:pPr>
          </w:p>
        </w:tc>
        <w:tc>
          <w:tcPr>
            <w:tcW w:w="1173" w:type="dxa"/>
          </w:tcPr>
          <w:p w:rsidR="00723861" w:rsidRDefault="00723861">
            <w:pPr>
              <w:pStyle w:val="TableParagraph"/>
              <w:spacing w:before="0"/>
              <w:jc w:val="left"/>
            </w:pPr>
          </w:p>
        </w:tc>
        <w:tc>
          <w:tcPr>
            <w:tcW w:w="1099" w:type="dxa"/>
          </w:tcPr>
          <w:p w:rsidR="00723861" w:rsidRDefault="00723861">
            <w:pPr>
              <w:pStyle w:val="TableParagraph"/>
              <w:spacing w:before="0"/>
              <w:jc w:val="left"/>
            </w:pPr>
          </w:p>
        </w:tc>
        <w:tc>
          <w:tcPr>
            <w:tcW w:w="1597" w:type="dxa"/>
            <w:tcBorders>
              <w:right w:val="single" w:sz="4" w:space="0" w:color="000000"/>
            </w:tcBorders>
          </w:tcPr>
          <w:p w:rsidR="00723861" w:rsidRDefault="00723861">
            <w:pPr>
              <w:pStyle w:val="TableParagraph"/>
              <w:spacing w:before="0"/>
              <w:jc w:val="left"/>
            </w:pPr>
          </w:p>
        </w:tc>
      </w:tr>
      <w:tr w:rsidR="00723861">
        <w:trPr>
          <w:trHeight w:val="412"/>
        </w:trPr>
        <w:tc>
          <w:tcPr>
            <w:tcW w:w="1880" w:type="dxa"/>
            <w:tcBorders>
              <w:left w:val="single" w:sz="4" w:space="0" w:color="000000"/>
            </w:tcBorders>
          </w:tcPr>
          <w:p w:rsidR="00723861" w:rsidRDefault="00503A37">
            <w:pPr>
              <w:pStyle w:val="TableParagraph"/>
              <w:ind w:left="772" w:right="622"/>
              <w:rPr>
                <w:i/>
                <w:sz w:val="24"/>
              </w:rPr>
            </w:pPr>
            <w:r>
              <w:rPr>
                <w:sz w:val="24"/>
                <w:vertAlign w:val="superscript"/>
              </w:rPr>
              <w:t>1</w:t>
            </w:r>
            <w:r>
              <w:rPr>
                <w:i/>
                <w:sz w:val="24"/>
              </w:rPr>
              <w:t>A’</w:t>
            </w:r>
          </w:p>
        </w:tc>
        <w:tc>
          <w:tcPr>
            <w:tcW w:w="1742" w:type="dxa"/>
          </w:tcPr>
          <w:p w:rsidR="00723861" w:rsidRDefault="00503A37">
            <w:pPr>
              <w:pStyle w:val="TableParagraph"/>
              <w:ind w:right="420"/>
              <w:jc w:val="right"/>
              <w:rPr>
                <w:sz w:val="24"/>
              </w:rPr>
            </w:pPr>
            <w:r>
              <w:rPr>
                <w:sz w:val="24"/>
              </w:rPr>
              <w:t>214</w:t>
            </w:r>
          </w:p>
        </w:tc>
        <w:tc>
          <w:tcPr>
            <w:tcW w:w="1687" w:type="dxa"/>
          </w:tcPr>
          <w:p w:rsidR="00723861" w:rsidRDefault="00503A37">
            <w:pPr>
              <w:pStyle w:val="TableParagraph"/>
              <w:ind w:left="492"/>
              <w:jc w:val="left"/>
              <w:rPr>
                <w:sz w:val="24"/>
              </w:rPr>
            </w:pPr>
            <w:r>
              <w:rPr>
                <w:sz w:val="24"/>
              </w:rPr>
              <w:t>76191198</w:t>
            </w:r>
          </w:p>
        </w:tc>
        <w:tc>
          <w:tcPr>
            <w:tcW w:w="1173" w:type="dxa"/>
          </w:tcPr>
          <w:p w:rsidR="00723861" w:rsidRDefault="00503A37">
            <w:pPr>
              <w:pStyle w:val="TableParagraph"/>
              <w:ind w:left="167" w:right="246"/>
              <w:rPr>
                <w:sz w:val="24"/>
              </w:rPr>
            </w:pPr>
            <w:r>
              <w:rPr>
                <w:sz w:val="24"/>
              </w:rPr>
              <w:t>193952</w:t>
            </w:r>
          </w:p>
        </w:tc>
        <w:tc>
          <w:tcPr>
            <w:tcW w:w="1099" w:type="dxa"/>
          </w:tcPr>
          <w:p w:rsidR="00723861" w:rsidRDefault="00503A37">
            <w:pPr>
              <w:pStyle w:val="TableParagraph"/>
              <w:ind w:left="259" w:right="364"/>
              <w:rPr>
                <w:sz w:val="24"/>
              </w:rPr>
            </w:pPr>
            <w:r>
              <w:rPr>
                <w:sz w:val="24"/>
              </w:rPr>
              <w:t>10</w:t>
            </w:r>
          </w:p>
        </w:tc>
        <w:tc>
          <w:tcPr>
            <w:tcW w:w="1597" w:type="dxa"/>
            <w:tcBorders>
              <w:right w:val="single" w:sz="4" w:space="0" w:color="000000"/>
            </w:tcBorders>
          </w:tcPr>
          <w:p w:rsidR="00723861" w:rsidRDefault="00503A37">
            <w:pPr>
              <w:pStyle w:val="TableParagraph"/>
              <w:ind w:left="385" w:right="386"/>
              <w:rPr>
                <w:sz w:val="24"/>
              </w:rPr>
            </w:pPr>
            <w:r>
              <w:rPr>
                <w:sz w:val="24"/>
              </w:rPr>
              <w:t>0.92620</w:t>
            </w:r>
          </w:p>
        </w:tc>
      </w:tr>
      <w:tr w:rsidR="00723861">
        <w:trPr>
          <w:trHeight w:val="414"/>
        </w:trPr>
        <w:tc>
          <w:tcPr>
            <w:tcW w:w="1880" w:type="dxa"/>
            <w:tcBorders>
              <w:left w:val="single" w:sz="4" w:space="0" w:color="000000"/>
            </w:tcBorders>
          </w:tcPr>
          <w:p w:rsidR="00723861" w:rsidRDefault="00503A37">
            <w:pPr>
              <w:pStyle w:val="TableParagraph"/>
              <w:ind w:left="909"/>
              <w:jc w:val="left"/>
              <w:rPr>
                <w:i/>
                <w:sz w:val="24"/>
              </w:rPr>
            </w:pPr>
            <w:r>
              <w:rPr>
                <w:sz w:val="24"/>
                <w:vertAlign w:val="superscript"/>
              </w:rPr>
              <w:t>1</w:t>
            </w:r>
            <w:r>
              <w:rPr>
                <w:i/>
                <w:sz w:val="24"/>
              </w:rPr>
              <w:t>A”</w:t>
            </w:r>
          </w:p>
        </w:tc>
        <w:tc>
          <w:tcPr>
            <w:tcW w:w="1742" w:type="dxa"/>
          </w:tcPr>
          <w:p w:rsidR="00723861" w:rsidRDefault="00503A37">
            <w:pPr>
              <w:pStyle w:val="TableParagraph"/>
              <w:ind w:right="420"/>
              <w:jc w:val="right"/>
              <w:rPr>
                <w:sz w:val="24"/>
              </w:rPr>
            </w:pPr>
            <w:r>
              <w:rPr>
                <w:sz w:val="24"/>
              </w:rPr>
              <w:t>127</w:t>
            </w:r>
          </w:p>
        </w:tc>
        <w:tc>
          <w:tcPr>
            <w:tcW w:w="1687" w:type="dxa"/>
          </w:tcPr>
          <w:p w:rsidR="00723861" w:rsidRDefault="00503A37">
            <w:pPr>
              <w:pStyle w:val="TableParagraph"/>
              <w:ind w:left="492"/>
              <w:jc w:val="left"/>
              <w:rPr>
                <w:sz w:val="24"/>
              </w:rPr>
            </w:pPr>
            <w:r>
              <w:rPr>
                <w:sz w:val="24"/>
              </w:rPr>
              <w:t>60828104</w:t>
            </w:r>
          </w:p>
        </w:tc>
        <w:tc>
          <w:tcPr>
            <w:tcW w:w="1173" w:type="dxa"/>
          </w:tcPr>
          <w:p w:rsidR="00723861" w:rsidRDefault="00503A37">
            <w:pPr>
              <w:pStyle w:val="TableParagraph"/>
              <w:ind w:left="167" w:right="246"/>
              <w:rPr>
                <w:sz w:val="24"/>
              </w:rPr>
            </w:pPr>
            <w:r>
              <w:rPr>
                <w:sz w:val="24"/>
              </w:rPr>
              <w:t>160514</w:t>
            </w:r>
          </w:p>
        </w:tc>
        <w:tc>
          <w:tcPr>
            <w:tcW w:w="1099" w:type="dxa"/>
          </w:tcPr>
          <w:p w:rsidR="00723861" w:rsidRDefault="00503A37">
            <w:pPr>
              <w:pStyle w:val="TableParagraph"/>
              <w:ind w:right="105"/>
              <w:rPr>
                <w:sz w:val="24"/>
              </w:rPr>
            </w:pPr>
            <w:r>
              <w:rPr>
                <w:sz w:val="24"/>
              </w:rPr>
              <w:t>6</w:t>
            </w:r>
          </w:p>
        </w:tc>
        <w:tc>
          <w:tcPr>
            <w:tcW w:w="1597" w:type="dxa"/>
            <w:tcBorders>
              <w:right w:val="single" w:sz="4" w:space="0" w:color="000000"/>
            </w:tcBorders>
          </w:tcPr>
          <w:p w:rsidR="00723861" w:rsidRDefault="00503A37">
            <w:pPr>
              <w:pStyle w:val="TableParagraph"/>
              <w:ind w:left="385" w:right="386"/>
              <w:rPr>
                <w:sz w:val="24"/>
              </w:rPr>
            </w:pPr>
            <w:r>
              <w:rPr>
                <w:sz w:val="24"/>
              </w:rPr>
              <w:t>0.92050</w:t>
            </w:r>
          </w:p>
        </w:tc>
      </w:tr>
      <w:tr w:rsidR="00723861">
        <w:trPr>
          <w:trHeight w:val="414"/>
        </w:trPr>
        <w:tc>
          <w:tcPr>
            <w:tcW w:w="1880" w:type="dxa"/>
            <w:tcBorders>
              <w:left w:val="single" w:sz="4" w:space="0" w:color="000000"/>
            </w:tcBorders>
          </w:tcPr>
          <w:p w:rsidR="00723861" w:rsidRDefault="00503A37">
            <w:pPr>
              <w:pStyle w:val="TableParagraph"/>
              <w:spacing w:before="75"/>
              <w:ind w:left="840" w:right="589"/>
              <w:rPr>
                <w:i/>
                <w:sz w:val="24"/>
              </w:rPr>
            </w:pPr>
            <w:r>
              <w:rPr>
                <w:sz w:val="24"/>
                <w:vertAlign w:val="superscript"/>
              </w:rPr>
              <w:t>3</w:t>
            </w:r>
            <w:r>
              <w:rPr>
                <w:i/>
                <w:sz w:val="24"/>
              </w:rPr>
              <w:t>A’</w:t>
            </w:r>
          </w:p>
        </w:tc>
        <w:tc>
          <w:tcPr>
            <w:tcW w:w="1742" w:type="dxa"/>
          </w:tcPr>
          <w:p w:rsidR="00723861" w:rsidRDefault="00503A37">
            <w:pPr>
              <w:pStyle w:val="TableParagraph"/>
              <w:spacing w:before="75"/>
              <w:ind w:right="420"/>
              <w:jc w:val="right"/>
              <w:rPr>
                <w:sz w:val="24"/>
              </w:rPr>
            </w:pPr>
            <w:r>
              <w:rPr>
                <w:sz w:val="24"/>
              </w:rPr>
              <w:t>217</w:t>
            </w:r>
          </w:p>
        </w:tc>
        <w:tc>
          <w:tcPr>
            <w:tcW w:w="1687" w:type="dxa"/>
          </w:tcPr>
          <w:p w:rsidR="00723861" w:rsidRDefault="00503A37">
            <w:pPr>
              <w:pStyle w:val="TableParagraph"/>
              <w:spacing w:before="75"/>
              <w:ind w:left="432"/>
              <w:jc w:val="left"/>
              <w:rPr>
                <w:sz w:val="24"/>
              </w:rPr>
            </w:pPr>
            <w:r>
              <w:rPr>
                <w:sz w:val="24"/>
              </w:rPr>
              <w:t>149263062</w:t>
            </w:r>
          </w:p>
        </w:tc>
        <w:tc>
          <w:tcPr>
            <w:tcW w:w="1173" w:type="dxa"/>
          </w:tcPr>
          <w:p w:rsidR="00723861" w:rsidRDefault="00503A37">
            <w:pPr>
              <w:pStyle w:val="TableParagraph"/>
              <w:spacing w:before="75"/>
              <w:ind w:left="167" w:right="246"/>
              <w:rPr>
                <w:sz w:val="24"/>
              </w:rPr>
            </w:pPr>
            <w:r>
              <w:rPr>
                <w:sz w:val="24"/>
              </w:rPr>
              <w:t>201955</w:t>
            </w:r>
          </w:p>
        </w:tc>
        <w:tc>
          <w:tcPr>
            <w:tcW w:w="1099" w:type="dxa"/>
          </w:tcPr>
          <w:p w:rsidR="00723861" w:rsidRDefault="00503A37">
            <w:pPr>
              <w:pStyle w:val="TableParagraph"/>
              <w:spacing w:before="75"/>
              <w:ind w:left="259" w:right="364"/>
              <w:rPr>
                <w:sz w:val="24"/>
              </w:rPr>
            </w:pPr>
            <w:r>
              <w:rPr>
                <w:sz w:val="24"/>
              </w:rPr>
              <w:t>10</w:t>
            </w:r>
          </w:p>
        </w:tc>
        <w:tc>
          <w:tcPr>
            <w:tcW w:w="1597" w:type="dxa"/>
            <w:tcBorders>
              <w:right w:val="single" w:sz="4" w:space="0" w:color="000000"/>
            </w:tcBorders>
          </w:tcPr>
          <w:p w:rsidR="00723861" w:rsidRDefault="00503A37">
            <w:pPr>
              <w:pStyle w:val="TableParagraph"/>
              <w:spacing w:before="75"/>
              <w:ind w:left="385" w:right="386"/>
              <w:rPr>
                <w:sz w:val="24"/>
              </w:rPr>
            </w:pPr>
            <w:r>
              <w:rPr>
                <w:sz w:val="24"/>
              </w:rPr>
              <w:t>0.92740</w:t>
            </w:r>
          </w:p>
        </w:tc>
      </w:tr>
      <w:tr w:rsidR="00723861">
        <w:trPr>
          <w:trHeight w:val="489"/>
        </w:trPr>
        <w:tc>
          <w:tcPr>
            <w:tcW w:w="1880" w:type="dxa"/>
            <w:tcBorders>
              <w:left w:val="single" w:sz="4" w:space="0" w:color="000000"/>
              <w:bottom w:val="single" w:sz="4" w:space="0" w:color="000000"/>
            </w:tcBorders>
          </w:tcPr>
          <w:p w:rsidR="00723861" w:rsidRDefault="00503A37">
            <w:pPr>
              <w:pStyle w:val="TableParagraph"/>
              <w:ind w:left="909"/>
              <w:jc w:val="left"/>
              <w:rPr>
                <w:i/>
                <w:sz w:val="24"/>
              </w:rPr>
            </w:pPr>
            <w:r>
              <w:rPr>
                <w:sz w:val="24"/>
                <w:vertAlign w:val="superscript"/>
              </w:rPr>
              <w:t>3</w:t>
            </w:r>
            <w:r>
              <w:rPr>
                <w:i/>
                <w:sz w:val="24"/>
              </w:rPr>
              <w:t>A”</w:t>
            </w:r>
          </w:p>
        </w:tc>
        <w:tc>
          <w:tcPr>
            <w:tcW w:w="1742" w:type="dxa"/>
            <w:tcBorders>
              <w:bottom w:val="single" w:sz="4" w:space="0" w:color="000000"/>
            </w:tcBorders>
          </w:tcPr>
          <w:p w:rsidR="00723861" w:rsidRDefault="00503A37">
            <w:pPr>
              <w:pStyle w:val="TableParagraph"/>
              <w:ind w:right="420"/>
              <w:jc w:val="right"/>
              <w:rPr>
                <w:sz w:val="24"/>
              </w:rPr>
            </w:pPr>
            <w:r>
              <w:rPr>
                <w:sz w:val="24"/>
              </w:rPr>
              <w:t>154</w:t>
            </w:r>
          </w:p>
        </w:tc>
        <w:tc>
          <w:tcPr>
            <w:tcW w:w="1687" w:type="dxa"/>
            <w:tcBorders>
              <w:bottom w:val="single" w:sz="4" w:space="0" w:color="000000"/>
            </w:tcBorders>
          </w:tcPr>
          <w:p w:rsidR="00723861" w:rsidRDefault="00503A37">
            <w:pPr>
              <w:pStyle w:val="TableParagraph"/>
              <w:ind w:left="432"/>
              <w:jc w:val="left"/>
              <w:rPr>
                <w:sz w:val="24"/>
              </w:rPr>
            </w:pPr>
            <w:r>
              <w:rPr>
                <w:sz w:val="24"/>
              </w:rPr>
              <w:t>134429332</w:t>
            </w:r>
          </w:p>
        </w:tc>
        <w:tc>
          <w:tcPr>
            <w:tcW w:w="1173" w:type="dxa"/>
            <w:tcBorders>
              <w:bottom w:val="single" w:sz="4" w:space="0" w:color="000000"/>
            </w:tcBorders>
          </w:tcPr>
          <w:p w:rsidR="00723861" w:rsidRDefault="00503A37">
            <w:pPr>
              <w:pStyle w:val="TableParagraph"/>
              <w:ind w:left="167" w:right="246"/>
              <w:rPr>
                <w:sz w:val="24"/>
              </w:rPr>
            </w:pPr>
            <w:r>
              <w:rPr>
                <w:sz w:val="24"/>
              </w:rPr>
              <w:t>149371</w:t>
            </w:r>
          </w:p>
        </w:tc>
        <w:tc>
          <w:tcPr>
            <w:tcW w:w="1099" w:type="dxa"/>
            <w:tcBorders>
              <w:bottom w:val="single" w:sz="4" w:space="0" w:color="000000"/>
            </w:tcBorders>
          </w:tcPr>
          <w:p w:rsidR="00723861" w:rsidRDefault="00503A37">
            <w:pPr>
              <w:pStyle w:val="TableParagraph"/>
              <w:ind w:right="105"/>
              <w:rPr>
                <w:sz w:val="24"/>
              </w:rPr>
            </w:pPr>
            <w:r>
              <w:rPr>
                <w:sz w:val="24"/>
              </w:rPr>
              <w:t>6</w:t>
            </w:r>
          </w:p>
        </w:tc>
        <w:tc>
          <w:tcPr>
            <w:tcW w:w="1597" w:type="dxa"/>
            <w:tcBorders>
              <w:bottom w:val="single" w:sz="4" w:space="0" w:color="000000"/>
              <w:right w:val="single" w:sz="4" w:space="0" w:color="000000"/>
            </w:tcBorders>
          </w:tcPr>
          <w:p w:rsidR="00723861" w:rsidRDefault="00503A37">
            <w:pPr>
              <w:pStyle w:val="TableParagraph"/>
              <w:ind w:left="385" w:right="386"/>
              <w:rPr>
                <w:sz w:val="24"/>
              </w:rPr>
            </w:pPr>
            <w:r>
              <w:rPr>
                <w:sz w:val="24"/>
              </w:rPr>
              <w:t>0.92616</w:t>
            </w:r>
          </w:p>
        </w:tc>
      </w:tr>
    </w:tbl>
    <w:p w:rsidR="00723861" w:rsidRDefault="00723861">
      <w:pPr>
        <w:rPr>
          <w:sz w:val="24"/>
        </w:rPr>
        <w:sectPr w:rsidR="00723861">
          <w:footerReference w:type="default" r:id="rId9"/>
          <w:pgSz w:w="12240" w:h="15840"/>
          <w:pgMar w:top="1360" w:right="1500" w:bottom="1200" w:left="1320" w:header="0" w:footer="1012" w:gutter="0"/>
          <w:cols w:space="720"/>
        </w:sectPr>
      </w:pPr>
    </w:p>
    <w:p w:rsidR="00754B14" w:rsidRDefault="00754B14">
      <w:pPr>
        <w:pStyle w:val="BodyText"/>
        <w:spacing w:line="357" w:lineRule="auto"/>
        <w:ind w:right="124" w:firstLine="360"/>
        <w:jc w:val="both"/>
      </w:pPr>
      <w:r w:rsidRPr="00754B14">
        <w:t>After an initial analysis of the wave functions associated with the lowest roots of a specific symmetry at various representative internuclear distances, a group of reference configurations is chosen. To effectively categorize the generated configurations, a selection threshold of T = 1.0 × 10-6 hartree is applied, discerning them based on their ability to reduce the total energy of a specific root compared to what is achieved in the reference secular equations with smaller configurations. Detailed information regarding the counts of reference configurations, selected roots, and the respective sizes of the generated and selected CI spaces can be found in Table I. These calculations are conducted within the C2v subgroup of the C∞v point group, although the molecular orbitals themselves adhere to the irreducible representations of D∞h linear symmetry, facilitating the identification of resulting CI eigenfunctions.</w:t>
      </w:r>
    </w:p>
    <w:p w:rsidR="00754B14" w:rsidRPr="00966B98" w:rsidRDefault="00754B14">
      <w:pPr>
        <w:pStyle w:val="BodyText"/>
        <w:spacing w:line="357" w:lineRule="auto"/>
        <w:ind w:right="124" w:firstLine="360"/>
        <w:jc w:val="both"/>
      </w:pPr>
    </w:p>
    <w:p w:rsidR="0032325D" w:rsidRPr="0032325D" w:rsidRDefault="0032325D" w:rsidP="0032325D">
      <w:pPr>
        <w:pStyle w:val="BodyText"/>
        <w:spacing w:line="357" w:lineRule="auto"/>
        <w:ind w:right="121" w:firstLine="360"/>
        <w:jc w:val="both"/>
      </w:pPr>
      <w:r w:rsidRPr="0032325D">
        <w:t>The configuration interaction (CI) treatment was conducted using the Table CI method [19-21] to efficiently address various open-shell situations that arise due to single and double substitutions in relation to the reference configurations. Table I also provides the sums of squared coefficients of reference configurations Σp cp2 for each of the lowest roots, which serves as an indicator of the appropriateness of the chosen reference species in each case. Typically, values in the range of 0.929–0.914 were observed, falling within an acceptable range for CI treatments involving only ten active electrons (since the carbon 1s shell and oxygen 1s shell are always doubly occupied). These Σp cp2 values were also utilized in the multireference analogue to the Davidson correction [26, 27] for estimating the impact of higher excitations on the energy of each root, consequently obtaining a reasonably accurate full CI energy.</w:t>
      </w:r>
    </w:p>
    <w:p w:rsidR="0032325D" w:rsidRDefault="0032325D">
      <w:pPr>
        <w:pStyle w:val="BodyText"/>
        <w:spacing w:line="357" w:lineRule="auto"/>
        <w:ind w:right="121" w:firstLine="360"/>
        <w:jc w:val="both"/>
      </w:pPr>
    </w:p>
    <w:p w:rsidR="00754B14" w:rsidRDefault="00754B14" w:rsidP="00754B14">
      <w:pPr>
        <w:pStyle w:val="BodyText"/>
        <w:spacing w:before="79" w:line="360" w:lineRule="auto"/>
        <w:ind w:firstLine="360"/>
        <w:jc w:val="both"/>
      </w:pPr>
      <w:r w:rsidRPr="00754B14">
        <w:rPr>
          <w:sz w:val="22"/>
          <w:szCs w:val="22"/>
        </w:rPr>
        <w:t>The computed first ionization potential of the CO molecule, resulting in CO+ (2Σ+), is determined to be 13.6692 eV, demonstrating good agreement with the experimental value of 13.99 eV obtained through photoelectron spectroscopy [28]. Energy differences between the single electron capture channel, He+ (1s 2S) + CO+ (X 2Σ+), and the entry channel, He2+ + CO (X 1Σ+), at R = 50 a0 are calculated to be 2.20786 and 2.24599 eV when the He2+ ion approaches the carbon and oxygen ends, respectively. Regarding the triplet manifold, the calculated energy differences for the single electron capture channel, He+ (1s 2S) + CO+ (X 2Σ+), and the entry channel, He2+ + CO (X 3Σ+), are 9.2834 and 9.2913 eV for the He2+ ion approaching the carbon and oxygen ends, respectively. However, for the perpendicular approach, the asymptotic energy difference could not be computed since the entry channel lies significantly above the calculated adiabatic potentials.</w:t>
      </w:r>
    </w:p>
    <w:p w:rsidR="00754B14" w:rsidRDefault="00754B14">
      <w:pPr>
        <w:pStyle w:val="BodyText"/>
        <w:spacing w:before="79" w:line="360" w:lineRule="auto"/>
        <w:ind w:firstLine="360"/>
      </w:pPr>
    </w:p>
    <w:p w:rsidR="00754B14" w:rsidRDefault="00754B14">
      <w:pPr>
        <w:pStyle w:val="BodyText"/>
        <w:spacing w:before="79" w:line="360" w:lineRule="auto"/>
        <w:ind w:firstLine="360"/>
      </w:pPr>
    </w:p>
    <w:p w:rsidR="00754B14" w:rsidRPr="00754B14" w:rsidRDefault="00754B14" w:rsidP="00754B14">
      <w:pPr>
        <w:spacing w:line="360" w:lineRule="auto"/>
        <w:rPr>
          <w:sz w:val="24"/>
          <w:szCs w:val="24"/>
        </w:rPr>
      </w:pPr>
    </w:p>
    <w:p w:rsidR="00723861" w:rsidRDefault="00754B14" w:rsidP="00754B14">
      <w:pPr>
        <w:spacing w:line="360" w:lineRule="auto"/>
        <w:sectPr w:rsidR="00723861">
          <w:pgSz w:w="12240" w:h="15840"/>
          <w:pgMar w:top="1360" w:right="1500" w:bottom="1200" w:left="1320" w:header="0" w:footer="1012" w:gutter="0"/>
          <w:cols w:space="720"/>
        </w:sectPr>
      </w:pPr>
      <w:r w:rsidRPr="00754B14">
        <w:rPr>
          <w:sz w:val="24"/>
          <w:szCs w:val="24"/>
        </w:rPr>
        <w:t>Utilizing the optimized basis, the radial coupling matrix elements between all pairs of states of the same symmetry have been computed through the application of a finite-difference method [29].</w:t>
      </w:r>
    </w:p>
    <w:p w:rsidR="00723861" w:rsidRDefault="00503A37">
      <w:pPr>
        <w:spacing w:line="297" w:lineRule="exact"/>
        <w:ind w:left="2065"/>
        <w:rPr>
          <w:sz w:val="23"/>
        </w:rPr>
      </w:pPr>
      <w:r>
        <w:rPr>
          <w:w w:val="105"/>
          <w:sz w:val="23"/>
        </w:rPr>
        <w:t>A = &lt; ψ |</w:t>
      </w:r>
      <w:r>
        <w:rPr>
          <w:w w:val="105"/>
          <w:position w:val="15"/>
          <w:sz w:val="23"/>
          <w:u w:val="single"/>
        </w:rPr>
        <w:t xml:space="preserve"> </w:t>
      </w:r>
      <w:r>
        <w:rPr>
          <w:rFonts w:ascii="Arial" w:hAnsi="Arial"/>
          <w:i/>
          <w:w w:val="105"/>
          <w:position w:val="15"/>
          <w:sz w:val="25"/>
          <w:u w:val="single"/>
        </w:rPr>
        <w:t>∂</w:t>
      </w:r>
      <w:r>
        <w:rPr>
          <w:rFonts w:ascii="Arial" w:hAnsi="Arial"/>
          <w:i/>
          <w:w w:val="105"/>
          <w:position w:val="15"/>
          <w:sz w:val="25"/>
        </w:rPr>
        <w:t xml:space="preserve"> </w:t>
      </w:r>
      <w:r>
        <w:rPr>
          <w:w w:val="105"/>
          <w:sz w:val="23"/>
        </w:rPr>
        <w:t>| ψ &gt; = lim</w:t>
      </w:r>
    </w:p>
    <w:p w:rsidR="00723861" w:rsidRDefault="00503A37">
      <w:pPr>
        <w:spacing w:before="14" w:line="282" w:lineRule="exact"/>
        <w:ind w:left="150"/>
        <w:rPr>
          <w:sz w:val="23"/>
        </w:rPr>
      </w:pPr>
      <w:r>
        <w:br w:type="column"/>
      </w:r>
      <w:r>
        <w:rPr>
          <w:w w:val="105"/>
          <w:position w:val="15"/>
          <w:sz w:val="23"/>
        </w:rPr>
        <w:t xml:space="preserve">1 </w:t>
      </w:r>
      <w:r>
        <w:rPr>
          <w:w w:val="105"/>
          <w:sz w:val="23"/>
        </w:rPr>
        <w:t>&lt; ψ (R) | ψ (R + ΔR) &gt;,</w:t>
      </w:r>
    </w:p>
    <w:p w:rsidR="00723861" w:rsidRDefault="0060340B">
      <w:pPr>
        <w:pStyle w:val="BodyText"/>
        <w:spacing w:line="20" w:lineRule="exact"/>
        <w:ind w:left="30"/>
        <w:rPr>
          <w:sz w:val="2"/>
        </w:rPr>
      </w:pPr>
      <w:r>
        <w:rPr>
          <w:noProof/>
          <w:sz w:val="2"/>
          <w:lang w:val="en-IN" w:eastAsia="en-IN"/>
        </w:rPr>
        <mc:AlternateContent>
          <mc:Choice Requires="wpg">
            <w:drawing>
              <wp:inline distT="0" distB="0" distL="0" distR="0">
                <wp:extent cx="221615" cy="7620"/>
                <wp:effectExtent l="12700" t="8890" r="13335" b="254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15" cy="7620"/>
                          <a:chOff x="0" y="0"/>
                          <a:chExt cx="349" cy="12"/>
                        </a:xfrm>
                      </wpg:grpSpPr>
                      <wps:wsp>
                        <wps:cNvPr id="6" name="Line 3"/>
                        <wps:cNvCnPr>
                          <a:cxnSpLocks noChangeShapeType="1"/>
                        </wps:cNvCnPr>
                        <wps:spPr bwMode="auto">
                          <a:xfrm>
                            <a:off x="0" y="6"/>
                            <a:ext cx="348" cy="0"/>
                          </a:xfrm>
                          <a:prstGeom prst="line">
                            <a:avLst/>
                          </a:prstGeom>
                          <a:noFill/>
                          <a:ln w="734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E37C83" id="Group 2" o:spid="_x0000_s1026" style="width:17.45pt;height:.6pt;mso-position-horizontal-relative:char;mso-position-vertical-relative:line" coordsize="34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">
                <v:line id="Line 3" o:spid="_x0000_s1027" style="position:absolute;visibility:visible;mso-wrap-style:square" from="0,6" to="3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FqS8MAAADaAAAADwAAAGRycy9kb3ducmV2LnhtbESPT2vCQBTE7wW/w/KE3urGFqVGV5FC&#10;oKdKE7HXR/aZRLNv0+zmT799VxA8DjPzG2azG00tempdZVnBfBaBIM6trrhQcMySl3cQziNrrC2T&#10;gj9ysNtOnjYYazvwN/WpL0SAsItRQel9E0vp8pIMupltiIN3tq1BH2RbSN3iEOCmlq9RtJQGKw4L&#10;JTb0UVJ+TTujYFUkY3r6/Xr7OSULeT4cs4a7i1LP03G/BuFp9I/wvf2pFSzhdiXcALn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hakvDAAAA2gAAAA8AAAAAAAAAAAAA&#10;AAAAoQIAAGRycy9kb3ducmV2LnhtbFBLBQYAAAAABAAEAPkAAACRAwAAAAA=&#10;" strokeweight=".20403mm"/>
                <w10:anchorlock/>
              </v:group>
            </w:pict>
          </mc:Fallback>
        </mc:AlternateContent>
      </w:r>
    </w:p>
    <w:p w:rsidR="00723861" w:rsidRDefault="00723861">
      <w:pPr>
        <w:spacing w:line="20" w:lineRule="exact"/>
        <w:rPr>
          <w:sz w:val="2"/>
        </w:rPr>
        <w:sectPr w:rsidR="00723861">
          <w:type w:val="continuous"/>
          <w:pgSz w:w="12240" w:h="15840"/>
          <w:pgMar w:top="1360" w:right="1500" w:bottom="1200" w:left="1320" w:header="720" w:footer="720" w:gutter="0"/>
          <w:cols w:num="2" w:space="720" w:equalWidth="0">
            <w:col w:w="4645" w:space="40"/>
            <w:col w:w="4735"/>
          </w:cols>
        </w:sectPr>
      </w:pPr>
    </w:p>
    <w:p w:rsidR="00723861" w:rsidRDefault="00503A37">
      <w:pPr>
        <w:tabs>
          <w:tab w:val="left" w:pos="2933"/>
          <w:tab w:val="left" w:pos="3799"/>
        </w:tabs>
        <w:spacing w:before="2"/>
        <w:ind w:left="2246"/>
        <w:rPr>
          <w:sz w:val="13"/>
        </w:rPr>
      </w:pPr>
      <w:r>
        <w:rPr>
          <w:w w:val="105"/>
          <w:sz w:val="13"/>
        </w:rPr>
        <w:t>ij</w:t>
      </w:r>
      <w:r>
        <w:rPr>
          <w:w w:val="105"/>
          <w:sz w:val="13"/>
        </w:rPr>
        <w:tab/>
        <w:t xml:space="preserve">i   </w:t>
      </w:r>
      <w:r>
        <w:rPr>
          <w:spacing w:val="22"/>
          <w:w w:val="105"/>
          <w:sz w:val="13"/>
        </w:rPr>
        <w:t xml:space="preserve"> </w:t>
      </w:r>
      <w:r>
        <w:rPr>
          <w:rFonts w:ascii="Arial" w:hAnsi="Arial"/>
          <w:i/>
          <w:w w:val="105"/>
          <w:position w:val="-11"/>
          <w:sz w:val="25"/>
        </w:rPr>
        <w:t>∂</w:t>
      </w:r>
      <w:r>
        <w:rPr>
          <w:rFonts w:ascii="Arial" w:hAnsi="Arial"/>
          <w:i/>
          <w:spacing w:val="-30"/>
          <w:w w:val="105"/>
          <w:position w:val="-11"/>
          <w:sz w:val="25"/>
        </w:rPr>
        <w:t xml:space="preserve"> </w:t>
      </w:r>
      <w:r>
        <w:rPr>
          <w:w w:val="105"/>
          <w:position w:val="-11"/>
          <w:sz w:val="23"/>
        </w:rPr>
        <w:t>R</w:t>
      </w:r>
      <w:r>
        <w:rPr>
          <w:w w:val="105"/>
          <w:position w:val="-11"/>
          <w:sz w:val="23"/>
        </w:rPr>
        <w:tab/>
      </w:r>
      <w:r>
        <w:rPr>
          <w:spacing w:val="-20"/>
          <w:w w:val="105"/>
          <w:sz w:val="13"/>
        </w:rPr>
        <w:t>j</w:t>
      </w:r>
    </w:p>
    <w:p w:rsidR="00723861" w:rsidRDefault="00503A37">
      <w:pPr>
        <w:tabs>
          <w:tab w:val="left" w:pos="1604"/>
          <w:tab w:val="left" w:pos="2280"/>
        </w:tabs>
        <w:spacing w:line="300" w:lineRule="exact"/>
        <w:ind w:left="417"/>
        <w:rPr>
          <w:sz w:val="13"/>
        </w:rPr>
      </w:pPr>
      <w:r>
        <w:br w:type="column"/>
      </w:r>
      <w:r>
        <w:rPr>
          <w:rFonts w:ascii="Symbol" w:hAnsi="Symbol"/>
          <w:spacing w:val="2"/>
          <w:w w:val="105"/>
          <w:sz w:val="13"/>
        </w:rPr>
        <w:t></w:t>
      </w:r>
      <w:r>
        <w:rPr>
          <w:i/>
          <w:spacing w:val="2"/>
          <w:w w:val="105"/>
          <w:sz w:val="13"/>
        </w:rPr>
        <w:t>R</w:t>
      </w:r>
      <w:r>
        <w:rPr>
          <w:rFonts w:ascii="Symbol" w:hAnsi="Symbol"/>
          <w:spacing w:val="2"/>
          <w:w w:val="105"/>
          <w:sz w:val="13"/>
        </w:rPr>
        <w:t></w:t>
      </w:r>
      <w:r>
        <w:rPr>
          <w:spacing w:val="2"/>
          <w:w w:val="105"/>
          <w:sz w:val="13"/>
        </w:rPr>
        <w:t>0</w:t>
      </w:r>
      <w:r>
        <w:rPr>
          <w:spacing w:val="16"/>
          <w:w w:val="105"/>
          <w:sz w:val="13"/>
        </w:rPr>
        <w:t xml:space="preserve"> </w:t>
      </w:r>
      <w:r>
        <w:rPr>
          <w:w w:val="105"/>
          <w:position w:val="-4"/>
          <w:sz w:val="23"/>
        </w:rPr>
        <w:t>ΔR</w:t>
      </w:r>
      <w:r>
        <w:rPr>
          <w:w w:val="105"/>
          <w:position w:val="-4"/>
          <w:sz w:val="23"/>
        </w:rPr>
        <w:tab/>
      </w:r>
      <w:r>
        <w:rPr>
          <w:w w:val="105"/>
          <w:position w:val="8"/>
          <w:sz w:val="13"/>
        </w:rPr>
        <w:t>i</w:t>
      </w:r>
      <w:r>
        <w:rPr>
          <w:w w:val="105"/>
          <w:position w:val="8"/>
          <w:sz w:val="13"/>
        </w:rPr>
        <w:tab/>
        <w:t>i</w:t>
      </w:r>
    </w:p>
    <w:p w:rsidR="00723861" w:rsidRDefault="00723861">
      <w:pPr>
        <w:spacing w:line="300" w:lineRule="exact"/>
        <w:rPr>
          <w:sz w:val="13"/>
        </w:rPr>
        <w:sectPr w:rsidR="00723861">
          <w:type w:val="continuous"/>
          <w:pgSz w:w="12240" w:h="15840"/>
          <w:pgMar w:top="1360" w:right="1500" w:bottom="1200" w:left="1320" w:header="720" w:footer="720" w:gutter="0"/>
          <w:cols w:num="2" w:space="720" w:equalWidth="0">
            <w:col w:w="3839" w:space="40"/>
            <w:col w:w="5541"/>
          </w:cols>
        </w:sectPr>
      </w:pPr>
    </w:p>
    <w:p w:rsidR="00723861" w:rsidRDefault="00503A37">
      <w:pPr>
        <w:pStyle w:val="BodyText"/>
        <w:spacing w:before="137" w:line="360" w:lineRule="auto"/>
        <w:ind w:right="130"/>
        <w:jc w:val="both"/>
      </w:pPr>
      <w:r>
        <w:rPr>
          <w:position w:val="2"/>
        </w:rPr>
        <w:t>with a step size of 0.0002 a</w:t>
      </w:r>
      <w:r>
        <w:rPr>
          <w:sz w:val="16"/>
        </w:rPr>
        <w:t xml:space="preserve">0 </w:t>
      </w:r>
      <w:r>
        <w:rPr>
          <w:position w:val="2"/>
        </w:rPr>
        <w:t xml:space="preserve">and the electronic coordinate origin at the center of mass of the </w:t>
      </w:r>
      <w:r>
        <w:t>[HeCO]</w:t>
      </w:r>
      <w:r>
        <w:rPr>
          <w:vertAlign w:val="superscript"/>
        </w:rPr>
        <w:t>2+</w:t>
      </w:r>
      <w:r>
        <w:t xml:space="preserve"> system. The rotational couplings between states of angular momentum ∆Ʌ = </w:t>
      </w:r>
      <w:r>
        <w:rPr>
          <w:spacing w:val="-21"/>
        </w:rPr>
        <w:t xml:space="preserve">±1 </w:t>
      </w:r>
      <w:r>
        <w:t>have been calculated from the angular momentum tensor using a standard procedure</w:t>
      </w:r>
      <w:r>
        <w:rPr>
          <w:spacing w:val="-6"/>
        </w:rPr>
        <w:t xml:space="preserve"> </w:t>
      </w:r>
      <w:r>
        <w:t>[30].</w:t>
      </w:r>
    </w:p>
    <w:p w:rsidR="00723861" w:rsidRDefault="00723861">
      <w:pPr>
        <w:pStyle w:val="BodyText"/>
        <w:spacing w:before="6"/>
        <w:ind w:left="0"/>
        <w:rPr>
          <w:sz w:val="20"/>
        </w:rPr>
      </w:pPr>
    </w:p>
    <w:p w:rsidR="00723861" w:rsidRDefault="00503A37">
      <w:pPr>
        <w:pStyle w:val="Heading1"/>
        <w:numPr>
          <w:ilvl w:val="0"/>
          <w:numId w:val="4"/>
        </w:numPr>
        <w:tabs>
          <w:tab w:val="left" w:pos="572"/>
        </w:tabs>
        <w:spacing w:before="1"/>
        <w:ind w:left="571" w:hanging="452"/>
      </w:pPr>
      <w:r>
        <w:t>Scattering calculation</w:t>
      </w:r>
    </w:p>
    <w:p w:rsidR="00723861" w:rsidRDefault="00723861">
      <w:pPr>
        <w:pStyle w:val="BodyText"/>
        <w:spacing w:before="7"/>
        <w:ind w:left="0"/>
        <w:rPr>
          <w:b/>
          <w:sz w:val="33"/>
        </w:rPr>
      </w:pPr>
    </w:p>
    <w:p w:rsidR="00AD7223" w:rsidRPr="00AD7223" w:rsidRDefault="00AD7223">
      <w:pPr>
        <w:pStyle w:val="BodyText"/>
        <w:spacing w:line="360" w:lineRule="auto"/>
        <w:ind w:right="120" w:firstLine="360"/>
        <w:jc w:val="both"/>
      </w:pPr>
      <w:r w:rsidRPr="00AD7223">
        <w:t>The scattering calculation was conducted within the keV energy range, where it has been established that straight-line trajectories yield satisfactory results [31]. The computations were carried out using the EIKONX program [13], which relies on an efficient propagator method [33], and semiclassical approaches were applied with a high degree of accuracy [32].</w:t>
      </w:r>
    </w:p>
    <w:p w:rsidR="00C9403D" w:rsidRPr="00C9403D" w:rsidRDefault="00C9403D">
      <w:pPr>
        <w:pStyle w:val="BodyText"/>
        <w:spacing w:line="360" w:lineRule="auto"/>
        <w:ind w:right="122" w:firstLine="360"/>
        <w:jc w:val="both"/>
      </w:pPr>
      <w:r w:rsidRPr="00C9403D">
        <w:t>For He2+ ions with keV-level energy, the collision times are approximately on the order of 10^(-16) seconds. In contrast, the timescales for molecular rotation and vibration are typically around 10^(-11) and 10^(-14) seconds, respectively [34]. Consequently, it is reasonable to assume that the internuclear distance between the C and O atoms remains constant during the collision event, allowing for the application of the Franck–Condon (FC) principle. This assumption is valid since the times for molecular rotation and vibration are significantly longer than the collision time. Therefore, cross sections related to purely electronic transitions can be determined by solving the impact parameter equation, following the standard ion-atom approach, while considering the fixed internuclear distance of the molecular target in a given geometry.</w:t>
      </w:r>
    </w:p>
    <w:p w:rsidR="00B029A5" w:rsidRDefault="00B029A5" w:rsidP="00B029A5">
      <w:pPr>
        <w:pStyle w:val="BodyText"/>
        <w:spacing w:line="360" w:lineRule="auto"/>
        <w:ind w:right="126" w:firstLine="360"/>
        <w:jc w:val="both"/>
      </w:pPr>
      <w:r>
        <w:t xml:space="preserve">The electronic transitions occurring between the molecular states are predominantly influenced by nonadiabatic radial and rotational coupling matrix elements. Consequently, the coupled equations have been systematically solved, considering all relevant radial and rotational couplings. In this specific investigation, electron translation factors (ETFs) have been integrated, a common practice to ensure that the cross sections remain independent of the choice of coordinate origin. These ETFs have been evaluated using an approximation involving common translation factors (CTFs) [35]. While the impact of ETFs is expected to be minimal within the energy range examined in this study, their inclusion ensures the fulfillment of correct </w:t>
      </w:r>
      <w:r>
        <w:t>scattering boundary conditions.</w:t>
      </w:r>
    </w:p>
    <w:p w:rsidR="00B029A5" w:rsidRPr="0019092B" w:rsidRDefault="00B029A5">
      <w:pPr>
        <w:pStyle w:val="BodyText"/>
        <w:spacing w:line="360" w:lineRule="auto"/>
        <w:ind w:right="126" w:firstLine="360"/>
        <w:jc w:val="both"/>
      </w:pPr>
    </w:p>
    <w:p w:rsidR="00723861" w:rsidRDefault="00503A37" w:rsidP="00B029A5">
      <w:pPr>
        <w:pStyle w:val="BodyText"/>
        <w:spacing w:line="360" w:lineRule="auto"/>
        <w:ind w:right="126" w:firstLine="360"/>
        <w:jc w:val="both"/>
      </w:pPr>
      <w:r>
        <w:t>The influence of spin-orbit couplings is expected to be low in the range of energy considered in the present work. Hence, singlet and triplet states have been considered</w:t>
      </w:r>
      <w:r w:rsidR="00B029A5">
        <w:t xml:space="preserve"> </w:t>
      </w:r>
      <w:r>
        <w:t xml:space="preserve">separately. Singlet states included in the dynamical calculations are: the entry channel 2 </w:t>
      </w:r>
      <w:r>
        <w:rPr>
          <w:vertAlign w:val="superscript"/>
        </w:rPr>
        <w:t>1</w:t>
      </w:r>
      <w:r>
        <w:t>Σ</w:t>
      </w:r>
      <w:r>
        <w:rPr>
          <w:vertAlign w:val="superscript"/>
        </w:rPr>
        <w:t>+</w:t>
      </w:r>
      <w:r>
        <w:t xml:space="preserve"> [He</w:t>
      </w:r>
      <w:r>
        <w:rPr>
          <w:vertAlign w:val="superscript"/>
        </w:rPr>
        <w:t>2+</w:t>
      </w:r>
      <w:r>
        <w:t xml:space="preserve"> + CO (</w:t>
      </w:r>
      <w:r>
        <w:rPr>
          <w:i/>
        </w:rPr>
        <w:t xml:space="preserve">X </w:t>
      </w:r>
      <w:r>
        <w:rPr>
          <w:vertAlign w:val="superscript"/>
        </w:rPr>
        <w:t>1</w:t>
      </w:r>
      <w:r>
        <w:t>Σ</w:t>
      </w:r>
      <w:r>
        <w:rPr>
          <w:vertAlign w:val="superscript"/>
        </w:rPr>
        <w:t>+</w:t>
      </w:r>
      <w:r>
        <w:t xml:space="preserve">)] and SEC channels: 1 </w:t>
      </w:r>
      <w:r>
        <w:rPr>
          <w:vertAlign w:val="superscript"/>
        </w:rPr>
        <w:t>1</w:t>
      </w:r>
      <w:r>
        <w:t>Σ</w:t>
      </w:r>
      <w:r>
        <w:rPr>
          <w:vertAlign w:val="superscript"/>
        </w:rPr>
        <w:t>+</w:t>
      </w:r>
      <w:r>
        <w:t xml:space="preserve"> [He</w:t>
      </w:r>
      <w:r>
        <w:rPr>
          <w:vertAlign w:val="superscript"/>
        </w:rPr>
        <w:t>+</w:t>
      </w:r>
      <w:r>
        <w:t xml:space="preserve"> (1</w:t>
      </w:r>
      <w:r>
        <w:rPr>
          <w:i/>
        </w:rPr>
        <w:t xml:space="preserve">s </w:t>
      </w:r>
      <w:r>
        <w:rPr>
          <w:vertAlign w:val="superscript"/>
        </w:rPr>
        <w:t>2</w:t>
      </w:r>
      <w:r>
        <w:rPr>
          <w:i/>
        </w:rPr>
        <w:t>S</w:t>
      </w:r>
      <w:r>
        <w:t>) + CO</w:t>
      </w:r>
      <w:r>
        <w:rPr>
          <w:vertAlign w:val="superscript"/>
        </w:rPr>
        <w:t>+</w:t>
      </w:r>
      <w:r>
        <w:t xml:space="preserve"> (</w:t>
      </w:r>
      <w:r>
        <w:rPr>
          <w:i/>
        </w:rPr>
        <w:t xml:space="preserve">X </w:t>
      </w:r>
      <w:r>
        <w:rPr>
          <w:vertAlign w:val="superscript"/>
        </w:rPr>
        <w:t>2</w:t>
      </w:r>
      <w:r>
        <w:t>Σ</w:t>
      </w:r>
      <w:r>
        <w:rPr>
          <w:vertAlign w:val="superscript"/>
        </w:rPr>
        <w:t>+</w:t>
      </w:r>
      <w:r>
        <w:t xml:space="preserve">)], 3 </w:t>
      </w:r>
      <w:r>
        <w:rPr>
          <w:vertAlign w:val="superscript"/>
        </w:rPr>
        <w:t>1</w:t>
      </w:r>
      <w:r>
        <w:t>Σ</w:t>
      </w:r>
      <w:r>
        <w:rPr>
          <w:vertAlign w:val="superscript"/>
        </w:rPr>
        <w:t>+</w:t>
      </w:r>
      <w:r>
        <w:t xml:space="preserve"> [He</w:t>
      </w:r>
      <w:r>
        <w:rPr>
          <w:vertAlign w:val="superscript"/>
        </w:rPr>
        <w:t>+</w:t>
      </w:r>
      <w:r>
        <w:t xml:space="preserve"> (</w:t>
      </w:r>
      <w:r>
        <w:rPr>
          <w:i/>
        </w:rPr>
        <w:t>n</w:t>
      </w:r>
      <w:r>
        <w:t>=2) + CO</w:t>
      </w:r>
      <w:r>
        <w:rPr>
          <w:vertAlign w:val="superscript"/>
        </w:rPr>
        <w:t>+</w:t>
      </w:r>
      <w:r>
        <w:rPr>
          <w:spacing w:val="5"/>
        </w:rPr>
        <w:t xml:space="preserve"> </w:t>
      </w:r>
      <w:r>
        <w:t>(</w:t>
      </w:r>
      <w:r>
        <w:rPr>
          <w:i/>
        </w:rPr>
        <w:t>X</w:t>
      </w:r>
      <w:r>
        <w:rPr>
          <w:i/>
          <w:spacing w:val="10"/>
        </w:rPr>
        <w:t xml:space="preserve"> </w:t>
      </w:r>
      <w:r>
        <w:rPr>
          <w:vertAlign w:val="superscript"/>
        </w:rPr>
        <w:t>2</w:t>
      </w:r>
      <w:r>
        <w:t>Σ</w:t>
      </w:r>
      <w:r>
        <w:rPr>
          <w:vertAlign w:val="superscript"/>
        </w:rPr>
        <w:t>+</w:t>
      </w:r>
      <w:r>
        <w:t>)],</w:t>
      </w:r>
      <w:r>
        <w:rPr>
          <w:spacing w:val="10"/>
        </w:rPr>
        <w:t xml:space="preserve"> </w:t>
      </w:r>
      <w:r>
        <w:t>4</w:t>
      </w:r>
      <w:r>
        <w:rPr>
          <w:spacing w:val="2"/>
        </w:rPr>
        <w:t xml:space="preserve"> </w:t>
      </w:r>
      <w:r>
        <w:rPr>
          <w:vertAlign w:val="superscript"/>
        </w:rPr>
        <w:t>1</w:t>
      </w:r>
      <w:r>
        <w:t>Σ</w:t>
      </w:r>
      <w:r>
        <w:rPr>
          <w:vertAlign w:val="superscript"/>
        </w:rPr>
        <w:t>+</w:t>
      </w:r>
      <w:r>
        <w:rPr>
          <w:spacing w:val="3"/>
        </w:rPr>
        <w:t xml:space="preserve"> </w:t>
      </w:r>
      <w:r>
        <w:t>[He</w:t>
      </w:r>
      <w:r>
        <w:rPr>
          <w:vertAlign w:val="superscript"/>
        </w:rPr>
        <w:t>+</w:t>
      </w:r>
      <w:r>
        <w:rPr>
          <w:spacing w:val="-20"/>
        </w:rPr>
        <w:t xml:space="preserve"> </w:t>
      </w:r>
      <w:r>
        <w:t>(</w:t>
      </w:r>
      <w:r>
        <w:rPr>
          <w:i/>
        </w:rPr>
        <w:t>n</w:t>
      </w:r>
      <w:r>
        <w:t>=3)</w:t>
      </w:r>
      <w:r>
        <w:rPr>
          <w:spacing w:val="9"/>
        </w:rPr>
        <w:t xml:space="preserve"> </w:t>
      </w:r>
      <w:r>
        <w:t>+</w:t>
      </w:r>
      <w:r>
        <w:rPr>
          <w:spacing w:val="4"/>
        </w:rPr>
        <w:t xml:space="preserve"> </w:t>
      </w:r>
      <w:r>
        <w:t>CO</w:t>
      </w:r>
      <w:r>
        <w:rPr>
          <w:vertAlign w:val="superscript"/>
        </w:rPr>
        <w:t>+</w:t>
      </w:r>
      <w:r>
        <w:rPr>
          <w:spacing w:val="5"/>
        </w:rPr>
        <w:t xml:space="preserve"> </w:t>
      </w:r>
      <w:r>
        <w:t>(</w:t>
      </w:r>
      <w:r>
        <w:rPr>
          <w:i/>
        </w:rPr>
        <w:t>X</w:t>
      </w:r>
      <w:r>
        <w:rPr>
          <w:i/>
          <w:spacing w:val="10"/>
        </w:rPr>
        <w:t xml:space="preserve"> </w:t>
      </w:r>
      <w:r>
        <w:rPr>
          <w:vertAlign w:val="superscript"/>
        </w:rPr>
        <w:t>2</w:t>
      </w:r>
      <w:r>
        <w:t>Σ</w:t>
      </w:r>
      <w:r>
        <w:rPr>
          <w:vertAlign w:val="superscript"/>
        </w:rPr>
        <w:t>+</w:t>
      </w:r>
      <w:r>
        <w:t>)],</w:t>
      </w:r>
      <w:r>
        <w:rPr>
          <w:spacing w:val="2"/>
        </w:rPr>
        <w:t xml:space="preserve"> </w:t>
      </w:r>
      <w:r>
        <w:t>5</w:t>
      </w:r>
      <w:r>
        <w:rPr>
          <w:spacing w:val="6"/>
        </w:rPr>
        <w:t xml:space="preserve"> </w:t>
      </w:r>
      <w:r>
        <w:rPr>
          <w:vertAlign w:val="superscript"/>
        </w:rPr>
        <w:t>1</w:t>
      </w:r>
      <w:r>
        <w:t>Σ</w:t>
      </w:r>
      <w:r>
        <w:rPr>
          <w:vertAlign w:val="superscript"/>
        </w:rPr>
        <w:t>+</w:t>
      </w:r>
      <w:r>
        <w:rPr>
          <w:spacing w:val="4"/>
        </w:rPr>
        <w:t xml:space="preserve"> </w:t>
      </w:r>
      <w:r>
        <w:t>[He</w:t>
      </w:r>
      <w:r>
        <w:rPr>
          <w:vertAlign w:val="superscript"/>
        </w:rPr>
        <w:t>+</w:t>
      </w:r>
      <w:r>
        <w:rPr>
          <w:spacing w:val="5"/>
        </w:rPr>
        <w:t xml:space="preserve"> </w:t>
      </w:r>
      <w:r>
        <w:t>(</w:t>
      </w:r>
      <w:r>
        <w:rPr>
          <w:i/>
        </w:rPr>
        <w:t>n</w:t>
      </w:r>
      <w:r>
        <w:t>=3)</w:t>
      </w:r>
      <w:r>
        <w:rPr>
          <w:spacing w:val="4"/>
        </w:rPr>
        <w:t xml:space="preserve"> </w:t>
      </w:r>
      <w:r>
        <w:t>+</w:t>
      </w:r>
      <w:r>
        <w:rPr>
          <w:spacing w:val="4"/>
        </w:rPr>
        <w:t xml:space="preserve"> </w:t>
      </w:r>
      <w:r>
        <w:t>CO</w:t>
      </w:r>
      <w:r>
        <w:rPr>
          <w:vertAlign w:val="superscript"/>
        </w:rPr>
        <w:t>+</w:t>
      </w:r>
      <w:r>
        <w:rPr>
          <w:spacing w:val="5"/>
        </w:rPr>
        <w:t xml:space="preserve"> </w:t>
      </w:r>
      <w:r>
        <w:t>(</w:t>
      </w:r>
      <w:r>
        <w:rPr>
          <w:i/>
        </w:rPr>
        <w:t>A</w:t>
      </w:r>
      <w:r>
        <w:rPr>
          <w:i/>
          <w:spacing w:val="10"/>
        </w:rPr>
        <w:t xml:space="preserve"> </w:t>
      </w:r>
      <w:r>
        <w:rPr>
          <w:vertAlign w:val="superscript"/>
        </w:rPr>
        <w:t>2</w:t>
      </w:r>
      <w:r>
        <w:t>Σ</w:t>
      </w:r>
      <w:r>
        <w:rPr>
          <w:vertAlign w:val="superscript"/>
        </w:rPr>
        <w:t>+</w:t>
      </w:r>
      <w:r>
        <w:t>)],</w:t>
      </w:r>
      <w:r>
        <w:rPr>
          <w:spacing w:val="4"/>
        </w:rPr>
        <w:t xml:space="preserve"> </w:t>
      </w:r>
      <w:r>
        <w:t>1</w:t>
      </w:r>
      <w:r>
        <w:rPr>
          <w:spacing w:val="3"/>
        </w:rPr>
        <w:t xml:space="preserve"> </w:t>
      </w:r>
      <w:r>
        <w:rPr>
          <w:vertAlign w:val="superscript"/>
        </w:rPr>
        <w:t>1</w:t>
      </w:r>
      <w:r>
        <w:t>Π</w:t>
      </w:r>
      <w:r>
        <w:rPr>
          <w:spacing w:val="2"/>
        </w:rPr>
        <w:t xml:space="preserve"> </w:t>
      </w:r>
      <w:r>
        <w:t>[He</w:t>
      </w:r>
      <w:r>
        <w:rPr>
          <w:vertAlign w:val="superscript"/>
        </w:rPr>
        <w:t>+</w:t>
      </w:r>
    </w:p>
    <w:p w:rsidR="00723861" w:rsidRDefault="00503A37">
      <w:pPr>
        <w:pStyle w:val="BodyText"/>
        <w:spacing w:line="360" w:lineRule="auto"/>
        <w:ind w:right="121"/>
        <w:jc w:val="both"/>
        <w:rPr>
          <w:i/>
        </w:rPr>
      </w:pPr>
      <w:r>
        <w:t>(</w:t>
      </w:r>
      <w:r>
        <w:rPr>
          <w:i/>
        </w:rPr>
        <w:t>n</w:t>
      </w:r>
      <w:r>
        <w:t>=2) + CO</w:t>
      </w:r>
      <w:r>
        <w:rPr>
          <w:vertAlign w:val="superscript"/>
        </w:rPr>
        <w:t>+</w:t>
      </w:r>
      <w:r>
        <w:t xml:space="preserve"> (</w:t>
      </w:r>
      <w:r>
        <w:rPr>
          <w:i/>
        </w:rPr>
        <w:t xml:space="preserve">A </w:t>
      </w:r>
      <w:r>
        <w:rPr>
          <w:vertAlign w:val="superscript"/>
        </w:rPr>
        <w:t>2</w:t>
      </w:r>
      <w:r>
        <w:t xml:space="preserve">Π), 2 </w:t>
      </w:r>
      <w:r>
        <w:rPr>
          <w:vertAlign w:val="superscript"/>
        </w:rPr>
        <w:t>1</w:t>
      </w:r>
      <w:r>
        <w:t>Π [He</w:t>
      </w:r>
      <w:r>
        <w:rPr>
          <w:vertAlign w:val="superscript"/>
        </w:rPr>
        <w:t>+</w:t>
      </w:r>
      <w:r>
        <w:t xml:space="preserve"> (</w:t>
      </w:r>
      <w:r>
        <w:rPr>
          <w:i/>
        </w:rPr>
        <w:t>n</w:t>
      </w:r>
      <w:r>
        <w:t>=3) + CO</w:t>
      </w:r>
      <w:r>
        <w:rPr>
          <w:vertAlign w:val="superscript"/>
        </w:rPr>
        <w:t>+</w:t>
      </w:r>
      <w:r>
        <w:t xml:space="preserve"> (</w:t>
      </w:r>
      <w:r>
        <w:rPr>
          <w:i/>
        </w:rPr>
        <w:t xml:space="preserve">A </w:t>
      </w:r>
      <w:r>
        <w:rPr>
          <w:vertAlign w:val="superscript"/>
        </w:rPr>
        <w:t>2</w:t>
      </w:r>
      <w:r>
        <w:t xml:space="preserve">Π)]. Triplet states included in the dynamical calculations are: the entry channel 5 </w:t>
      </w:r>
      <w:r>
        <w:rPr>
          <w:vertAlign w:val="superscript"/>
        </w:rPr>
        <w:t>3</w:t>
      </w:r>
      <w:r>
        <w:t>Σ</w:t>
      </w:r>
      <w:r>
        <w:rPr>
          <w:vertAlign w:val="superscript"/>
        </w:rPr>
        <w:t>+</w:t>
      </w:r>
      <w:r>
        <w:t xml:space="preserve"> [He</w:t>
      </w:r>
      <w:r>
        <w:rPr>
          <w:vertAlign w:val="superscript"/>
        </w:rPr>
        <w:t>2+</w:t>
      </w:r>
      <w:r>
        <w:t xml:space="preserve"> + CO (</w:t>
      </w:r>
      <w:r>
        <w:rPr>
          <w:i/>
        </w:rPr>
        <w:t xml:space="preserve">X  </w:t>
      </w:r>
      <w:r>
        <w:rPr>
          <w:vertAlign w:val="superscript"/>
        </w:rPr>
        <w:t>3</w:t>
      </w:r>
      <w:r>
        <w:t>Σ</w:t>
      </w:r>
      <w:r>
        <w:rPr>
          <w:vertAlign w:val="superscript"/>
        </w:rPr>
        <w:t>+</w:t>
      </w:r>
      <w:r>
        <w:t xml:space="preserve">)] and SEC channels: 1 </w:t>
      </w:r>
      <w:r>
        <w:rPr>
          <w:vertAlign w:val="superscript"/>
        </w:rPr>
        <w:t>3</w:t>
      </w:r>
      <w:r>
        <w:t>Σ</w:t>
      </w:r>
      <w:r>
        <w:rPr>
          <w:vertAlign w:val="superscript"/>
        </w:rPr>
        <w:t>+</w:t>
      </w:r>
      <w:r>
        <w:t xml:space="preserve"> [He</w:t>
      </w:r>
      <w:r>
        <w:rPr>
          <w:vertAlign w:val="superscript"/>
        </w:rPr>
        <w:t>+</w:t>
      </w:r>
      <w:r>
        <w:rPr>
          <w:spacing w:val="-31"/>
        </w:rPr>
        <w:t xml:space="preserve"> </w:t>
      </w:r>
      <w:r>
        <w:rPr>
          <w:spacing w:val="-3"/>
        </w:rPr>
        <w:t>(1</w:t>
      </w:r>
      <w:r>
        <w:rPr>
          <w:i/>
          <w:spacing w:val="-3"/>
        </w:rPr>
        <w:t>s</w:t>
      </w:r>
    </w:p>
    <w:p w:rsidR="00723861" w:rsidRDefault="00503A37">
      <w:pPr>
        <w:pStyle w:val="BodyText"/>
        <w:jc w:val="both"/>
      </w:pPr>
      <w:r>
        <w:rPr>
          <w:vertAlign w:val="superscript"/>
        </w:rPr>
        <w:t>2</w:t>
      </w:r>
      <w:r>
        <w:rPr>
          <w:i/>
        </w:rPr>
        <w:t>S</w:t>
      </w:r>
      <w:r>
        <w:t>) + CO</w:t>
      </w:r>
      <w:r>
        <w:rPr>
          <w:vertAlign w:val="superscript"/>
        </w:rPr>
        <w:t>+</w:t>
      </w:r>
      <w:r>
        <w:t xml:space="preserve"> (</w:t>
      </w:r>
      <w:r>
        <w:rPr>
          <w:i/>
        </w:rPr>
        <w:t xml:space="preserve">X  </w:t>
      </w:r>
      <w:r>
        <w:rPr>
          <w:vertAlign w:val="superscript"/>
        </w:rPr>
        <w:t>2</w:t>
      </w:r>
      <w:r>
        <w:t>Σ</w:t>
      </w:r>
      <w:r>
        <w:rPr>
          <w:vertAlign w:val="superscript"/>
        </w:rPr>
        <w:t>+</w:t>
      </w:r>
      <w:r>
        <w:t xml:space="preserve">)], 2 </w:t>
      </w:r>
      <w:r>
        <w:rPr>
          <w:vertAlign w:val="superscript"/>
        </w:rPr>
        <w:t>3</w:t>
      </w:r>
      <w:r>
        <w:t>Σ</w:t>
      </w:r>
      <w:r>
        <w:rPr>
          <w:vertAlign w:val="superscript"/>
        </w:rPr>
        <w:t>+</w:t>
      </w:r>
      <w:r>
        <w:t xml:space="preserve"> [He</w:t>
      </w:r>
      <w:r>
        <w:rPr>
          <w:vertAlign w:val="superscript"/>
        </w:rPr>
        <w:t>+</w:t>
      </w:r>
      <w:r>
        <w:t xml:space="preserve"> (1</w:t>
      </w:r>
      <w:r>
        <w:rPr>
          <w:i/>
        </w:rPr>
        <w:t xml:space="preserve">s </w:t>
      </w:r>
      <w:r>
        <w:rPr>
          <w:vertAlign w:val="superscript"/>
        </w:rPr>
        <w:t>2</w:t>
      </w:r>
      <w:r>
        <w:rPr>
          <w:i/>
        </w:rPr>
        <w:t>S</w:t>
      </w:r>
      <w:r>
        <w:t>) + CO</w:t>
      </w:r>
      <w:r>
        <w:rPr>
          <w:vertAlign w:val="superscript"/>
        </w:rPr>
        <w:t>+</w:t>
      </w:r>
      <w:r>
        <w:t xml:space="preserve"> (</w:t>
      </w:r>
      <w:r>
        <w:rPr>
          <w:i/>
        </w:rPr>
        <w:t xml:space="preserve">A  </w:t>
      </w:r>
      <w:r>
        <w:rPr>
          <w:vertAlign w:val="superscript"/>
        </w:rPr>
        <w:t>2</w:t>
      </w:r>
      <w:r>
        <w:t>Σ</w:t>
      </w:r>
      <w:r>
        <w:rPr>
          <w:vertAlign w:val="superscript"/>
        </w:rPr>
        <w:t>+</w:t>
      </w:r>
      <w:r>
        <w:t xml:space="preserve">)], 3 </w:t>
      </w:r>
      <w:r>
        <w:rPr>
          <w:vertAlign w:val="superscript"/>
        </w:rPr>
        <w:t>3</w:t>
      </w:r>
      <w:r>
        <w:t>Σ</w:t>
      </w:r>
      <w:r>
        <w:rPr>
          <w:vertAlign w:val="superscript"/>
        </w:rPr>
        <w:t>+</w:t>
      </w:r>
      <w:r>
        <w:t xml:space="preserve"> [He</w:t>
      </w:r>
      <w:r>
        <w:rPr>
          <w:vertAlign w:val="superscript"/>
        </w:rPr>
        <w:t>+</w:t>
      </w:r>
      <w:r>
        <w:t xml:space="preserve"> (</w:t>
      </w:r>
      <w:r>
        <w:rPr>
          <w:i/>
        </w:rPr>
        <w:t>n</w:t>
      </w:r>
      <w:r>
        <w:t>=2) + CO</w:t>
      </w:r>
      <w:r>
        <w:rPr>
          <w:vertAlign w:val="superscript"/>
        </w:rPr>
        <w:t>+</w:t>
      </w:r>
      <w:r>
        <w:t xml:space="preserve"> (</w:t>
      </w:r>
      <w:r>
        <w:rPr>
          <w:i/>
        </w:rPr>
        <w:t xml:space="preserve">X  </w:t>
      </w:r>
      <w:r>
        <w:rPr>
          <w:vertAlign w:val="superscript"/>
        </w:rPr>
        <w:t>2</w:t>
      </w:r>
      <w:r>
        <w:t>Σ</w:t>
      </w:r>
      <w:r>
        <w:rPr>
          <w:vertAlign w:val="superscript"/>
        </w:rPr>
        <w:t>+</w:t>
      </w:r>
      <w:r>
        <w:t>)], 4</w:t>
      </w:r>
      <w:r>
        <w:rPr>
          <w:spacing w:val="18"/>
        </w:rPr>
        <w:t xml:space="preserve"> </w:t>
      </w:r>
      <w:r>
        <w:rPr>
          <w:vertAlign w:val="superscript"/>
        </w:rPr>
        <w:t>3</w:t>
      </w:r>
      <w:r>
        <w:t>Σ</w:t>
      </w:r>
      <w:r>
        <w:rPr>
          <w:vertAlign w:val="superscript"/>
        </w:rPr>
        <w:t>+</w:t>
      </w:r>
    </w:p>
    <w:p w:rsidR="00723861" w:rsidRDefault="00503A37">
      <w:pPr>
        <w:pStyle w:val="BodyText"/>
        <w:spacing w:before="138"/>
        <w:jc w:val="both"/>
      </w:pPr>
      <w:r>
        <w:t>[He</w:t>
      </w:r>
      <w:r>
        <w:rPr>
          <w:vertAlign w:val="superscript"/>
        </w:rPr>
        <w:t>+</w:t>
      </w:r>
      <w:r>
        <w:t xml:space="preserve"> (</w:t>
      </w:r>
      <w:r>
        <w:rPr>
          <w:i/>
        </w:rPr>
        <w:t>n</w:t>
      </w:r>
      <w:r>
        <w:t>=2) + CO</w:t>
      </w:r>
      <w:r>
        <w:rPr>
          <w:vertAlign w:val="superscript"/>
        </w:rPr>
        <w:t>+</w:t>
      </w:r>
      <w:r>
        <w:t xml:space="preserve"> (</w:t>
      </w:r>
      <w:r>
        <w:rPr>
          <w:i/>
        </w:rPr>
        <w:t xml:space="preserve">A  </w:t>
      </w:r>
      <w:r>
        <w:rPr>
          <w:vertAlign w:val="superscript"/>
        </w:rPr>
        <w:t>2</w:t>
      </w:r>
      <w:r>
        <w:t>Σ</w:t>
      </w:r>
      <w:r>
        <w:rPr>
          <w:vertAlign w:val="superscript"/>
        </w:rPr>
        <w:t>+</w:t>
      </w:r>
      <w:r>
        <w:t xml:space="preserve">)], 1 </w:t>
      </w:r>
      <w:r>
        <w:rPr>
          <w:vertAlign w:val="superscript"/>
        </w:rPr>
        <w:t>3</w:t>
      </w:r>
      <w:r>
        <w:t>Π [He</w:t>
      </w:r>
      <w:r>
        <w:rPr>
          <w:vertAlign w:val="superscript"/>
        </w:rPr>
        <w:t>+</w:t>
      </w:r>
      <w:r>
        <w:t xml:space="preserve"> (1</w:t>
      </w:r>
      <w:r>
        <w:rPr>
          <w:i/>
        </w:rPr>
        <w:t xml:space="preserve">s </w:t>
      </w:r>
      <w:r>
        <w:rPr>
          <w:vertAlign w:val="superscript"/>
        </w:rPr>
        <w:t>2</w:t>
      </w:r>
      <w:r>
        <w:rPr>
          <w:i/>
        </w:rPr>
        <w:t>S</w:t>
      </w:r>
      <w:r>
        <w:t>) + CO</w:t>
      </w:r>
      <w:r>
        <w:rPr>
          <w:vertAlign w:val="superscript"/>
        </w:rPr>
        <w:t>+</w:t>
      </w:r>
      <w:r>
        <w:t xml:space="preserve"> (</w:t>
      </w:r>
      <w:r>
        <w:rPr>
          <w:i/>
        </w:rPr>
        <w:t xml:space="preserve">A  </w:t>
      </w:r>
      <w:r>
        <w:rPr>
          <w:vertAlign w:val="superscript"/>
        </w:rPr>
        <w:t>2</w:t>
      </w:r>
      <w:r>
        <w:t xml:space="preserve">Π)],  2 </w:t>
      </w:r>
      <w:r>
        <w:rPr>
          <w:vertAlign w:val="superscript"/>
        </w:rPr>
        <w:t>3</w:t>
      </w:r>
      <w:r>
        <w:t>Π [He</w:t>
      </w:r>
      <w:r>
        <w:rPr>
          <w:vertAlign w:val="superscript"/>
        </w:rPr>
        <w:t>+</w:t>
      </w:r>
      <w:r>
        <w:t xml:space="preserve"> (</w:t>
      </w:r>
      <w:r>
        <w:rPr>
          <w:i/>
        </w:rPr>
        <w:t>n</w:t>
      </w:r>
      <w:r>
        <w:t>=2) + CO</w:t>
      </w:r>
      <w:r>
        <w:rPr>
          <w:vertAlign w:val="superscript"/>
        </w:rPr>
        <w:t>+</w:t>
      </w:r>
      <w:r>
        <w:t xml:space="preserve"> (</w:t>
      </w:r>
      <w:r>
        <w:rPr>
          <w:i/>
        </w:rPr>
        <w:t>A</w:t>
      </w:r>
      <w:r>
        <w:rPr>
          <w:i/>
          <w:spacing w:val="25"/>
        </w:rPr>
        <w:t xml:space="preserve"> </w:t>
      </w:r>
      <w:r>
        <w:rPr>
          <w:vertAlign w:val="superscript"/>
        </w:rPr>
        <w:t>2</w:t>
      </w:r>
      <w:r>
        <w:t>Π)].</w:t>
      </w:r>
    </w:p>
    <w:p w:rsidR="00723861" w:rsidRDefault="00723861">
      <w:pPr>
        <w:pStyle w:val="BodyText"/>
        <w:spacing w:before="9"/>
        <w:ind w:left="0"/>
        <w:rPr>
          <w:sz w:val="32"/>
        </w:rPr>
      </w:pPr>
    </w:p>
    <w:p w:rsidR="00723861" w:rsidRDefault="00503A37">
      <w:pPr>
        <w:pStyle w:val="Heading1"/>
        <w:numPr>
          <w:ilvl w:val="0"/>
          <w:numId w:val="5"/>
        </w:numPr>
        <w:tabs>
          <w:tab w:val="left" w:pos="733"/>
        </w:tabs>
        <w:ind w:left="732" w:hanging="613"/>
      </w:pPr>
      <w:r>
        <w:t>RESULTS</w:t>
      </w:r>
    </w:p>
    <w:p w:rsidR="00723861" w:rsidRDefault="00723861">
      <w:pPr>
        <w:pStyle w:val="BodyText"/>
        <w:spacing w:before="1"/>
        <w:ind w:left="0"/>
        <w:rPr>
          <w:b/>
          <w:sz w:val="37"/>
        </w:rPr>
      </w:pPr>
    </w:p>
    <w:p w:rsidR="00723861" w:rsidRDefault="00503A37">
      <w:pPr>
        <w:pStyle w:val="ListParagraph"/>
        <w:numPr>
          <w:ilvl w:val="0"/>
          <w:numId w:val="3"/>
        </w:numPr>
        <w:tabs>
          <w:tab w:val="left" w:pos="591"/>
        </w:tabs>
        <w:spacing w:before="1"/>
        <w:rPr>
          <w:b/>
          <w:sz w:val="32"/>
        </w:rPr>
      </w:pPr>
      <w:r>
        <w:rPr>
          <w:b/>
          <w:sz w:val="32"/>
        </w:rPr>
        <w:t>Adiabatic potentials and nonadiabatic</w:t>
      </w:r>
      <w:r>
        <w:rPr>
          <w:b/>
          <w:spacing w:val="-7"/>
          <w:sz w:val="32"/>
        </w:rPr>
        <w:t xml:space="preserve"> </w:t>
      </w:r>
      <w:r>
        <w:rPr>
          <w:b/>
          <w:sz w:val="32"/>
        </w:rPr>
        <w:t>couplings</w:t>
      </w:r>
    </w:p>
    <w:p w:rsidR="00723861" w:rsidRDefault="00723861">
      <w:pPr>
        <w:pStyle w:val="BodyText"/>
        <w:spacing w:before="3"/>
        <w:ind w:left="0"/>
        <w:rPr>
          <w:b/>
          <w:sz w:val="33"/>
        </w:rPr>
      </w:pPr>
    </w:p>
    <w:p w:rsidR="00181D09" w:rsidRPr="00181D09" w:rsidRDefault="00181D09" w:rsidP="00181D09">
      <w:pPr>
        <w:pStyle w:val="BodyText"/>
        <w:spacing w:line="357" w:lineRule="auto"/>
        <w:ind w:right="120" w:firstLine="360"/>
        <w:rPr>
          <w:position w:val="2"/>
        </w:rPr>
      </w:pPr>
      <w:r w:rsidRPr="00181D09">
        <w:rPr>
          <w:position w:val="2"/>
        </w:rPr>
        <w:t>Rotational couplings have been taken into account with respect to the symmetries of the entry channels (1Σ+ and 3Σ+), which means that 1Π and 3Π states have also been incorporated into the collision dynamics. The adiabatic potential energy curves illustrate the scenarios when the He2+ ion approaches the oxygen end of the CO molecule at an angle of 180° (singlet states) and are depicted in Fig. 2. Specifically, the 2 1Σ+ state represents the He2+/CO entry channel, while all the other states are associated with the He+/CO+ single electron capture channels.</w:t>
      </w:r>
    </w:p>
    <w:p w:rsidR="005A778D" w:rsidRPr="005A778D" w:rsidRDefault="005A778D" w:rsidP="005A778D">
      <w:pPr>
        <w:pStyle w:val="BodyText"/>
        <w:spacing w:line="357" w:lineRule="auto"/>
        <w:ind w:right="120" w:firstLine="360"/>
        <w:rPr>
          <w:position w:val="2"/>
        </w:rPr>
      </w:pPr>
      <w:r w:rsidRPr="005A778D">
        <w:rPr>
          <w:position w:val="2"/>
        </w:rPr>
        <w:t>The 1 1Σ+ and 2 1Σ+ states exhibit an avoided crossing within the range of R = 8 to 9 a0 when the He2+ ion approaches the oxygen end of the CO molecule. Conversely, for the carbon end (α = 0°), these avoided crossings are observed beyond R = 9.5 a0. In the case of the 2 1Σ+ and 3 1Σ+ states, an avoided crossing near R = 2.2 a0 is evident for the carbon end, while minimal or no avoided crossing occurs between these states for the oxygen end of the CO molecule. Both termini display multiple avoided crossings for the 4 1Σ+ and 5 1Σ+ states, indicating their significant role in the SEC process during high-energy collisions. Curve crossings between the entry channel 2 1Σ+ and SEC channel 1 1Π suggest a substantial contribution from the 1 1Π state in the SEC process, while curve crossings between the 2 1Π state and the high-lying 4 1Σ+ and 5 1Σ+ states contribute to flux redistribution in high-energy collisions. In the case of triplet states, the adiabatic potentials for He2+ ions approaching the oxygen end of the CO molecule are shown in Fig. 3. The entry channel (He2+/CO) is represented by the 5 3Σ+ state, while all other states correspond to SEC (He+/CO+) channels. Similar to the singlet states, the adiabatic potentials for triplet states exhibit distinct characteristics for both termini (carbon and oxygen). For the oxygen end, the 5 3Σ+ and 4 3Σ+ states display a strong avoided crossing near R = 2.8 a0, along with several smoothly avoided crossings within the ranges of R = 3.5 - 4 a0, 4.5 - 5.5 a0, and beyond 9 a0. Conversely, for the carbon end (α = 0°), these states demonstrate a smooth avoided crossing below R = 2 a0, a very weak avoided crossing near R = 5.5 a0, and a weak avoided crossing around R = 10 a0. Furthermore, the 3 3Σ+ and 4 3Σ+ states for the carbon-end approach exhibit strong avoided crossings near R = 2.2, 4.1, and 7.5 a0, while for the oxygen end, these states (5 3Σ+ and 4 3Σ+ ) undergo a smooth avoided crossing below R = 2.5 a0, and a strong avoided crossing near R = 4.2, 6.0, and 6.5 a0. In both cases, the 3 3Σ+, 2 3Σ+, and 1 3Σ+ states exhibit minimal or no avoided crossings.</w:t>
      </w:r>
    </w:p>
    <w:p w:rsidR="00723861" w:rsidRDefault="00503A37">
      <w:pPr>
        <w:pStyle w:val="BodyText"/>
        <w:spacing w:before="4"/>
        <w:ind w:left="0"/>
        <w:rPr>
          <w:sz w:val="11"/>
        </w:rPr>
      </w:pPr>
      <w:r>
        <w:rPr>
          <w:noProof/>
          <w:lang w:val="en-IN" w:eastAsia="en-IN"/>
        </w:rPr>
        <w:drawing>
          <wp:anchor distT="0" distB="0" distL="0" distR="0" simplePos="0" relativeHeight="2" behindDoc="0" locked="0" layoutInCell="1" allowOverlap="1">
            <wp:simplePos x="0" y="0"/>
            <wp:positionH relativeFrom="page">
              <wp:posOffset>1033937</wp:posOffset>
            </wp:positionH>
            <wp:positionV relativeFrom="paragraph">
              <wp:posOffset>108223</wp:posOffset>
            </wp:positionV>
            <wp:extent cx="5599158" cy="452628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5599158" cy="4526280"/>
                    </a:xfrm>
                    <a:prstGeom prst="rect">
                      <a:avLst/>
                    </a:prstGeom>
                  </pic:spPr>
                </pic:pic>
              </a:graphicData>
            </a:graphic>
          </wp:anchor>
        </w:drawing>
      </w:r>
    </w:p>
    <w:p w:rsidR="00723861" w:rsidRDefault="00503A37">
      <w:pPr>
        <w:pStyle w:val="BodyText"/>
        <w:spacing w:before="142" w:line="360" w:lineRule="auto"/>
        <w:ind w:left="960" w:hanging="840"/>
      </w:pPr>
      <w:r>
        <w:t xml:space="preserve">FIG. 2. Adiabatic potential energy curves for the </w:t>
      </w:r>
      <w:r>
        <w:rPr>
          <w:vertAlign w:val="superscript"/>
        </w:rPr>
        <w:t>1</w:t>
      </w:r>
      <w:r>
        <w:t>Σ</w:t>
      </w:r>
      <w:r>
        <w:rPr>
          <w:vertAlign w:val="superscript"/>
        </w:rPr>
        <w:t>+</w:t>
      </w:r>
      <w:r>
        <w:t xml:space="preserve"> and </w:t>
      </w:r>
      <w:r>
        <w:rPr>
          <w:vertAlign w:val="superscript"/>
        </w:rPr>
        <w:t>1</w:t>
      </w:r>
      <w:r>
        <w:t>Π (singlet) states of the [HeCO]</w:t>
      </w:r>
      <w:r>
        <w:rPr>
          <w:vertAlign w:val="superscript"/>
        </w:rPr>
        <w:t>2+</w:t>
      </w:r>
      <w:r>
        <w:t xml:space="preserve"> system at equilibrium, α = 180°.</w:t>
      </w:r>
    </w:p>
    <w:p w:rsidR="00723861" w:rsidRDefault="00723861">
      <w:pPr>
        <w:spacing w:line="360" w:lineRule="auto"/>
        <w:sectPr w:rsidR="00723861">
          <w:pgSz w:w="12240" w:h="15840"/>
          <w:pgMar w:top="1340" w:right="1500" w:bottom="1200" w:left="1320" w:header="0" w:footer="1012" w:gutter="0"/>
          <w:cols w:space="720"/>
        </w:sectPr>
      </w:pPr>
    </w:p>
    <w:p w:rsidR="00723861" w:rsidRDefault="00723861">
      <w:pPr>
        <w:pStyle w:val="BodyText"/>
        <w:spacing w:before="6"/>
        <w:ind w:left="0"/>
        <w:rPr>
          <w:sz w:val="8"/>
        </w:rPr>
      </w:pPr>
    </w:p>
    <w:p w:rsidR="00723861" w:rsidRDefault="00503A37">
      <w:pPr>
        <w:pStyle w:val="BodyText"/>
        <w:ind w:left="308"/>
        <w:rPr>
          <w:sz w:val="20"/>
        </w:rPr>
      </w:pPr>
      <w:r>
        <w:rPr>
          <w:noProof/>
          <w:sz w:val="20"/>
          <w:lang w:val="en-IN" w:eastAsia="en-IN"/>
        </w:rPr>
        <w:drawing>
          <wp:inline distT="0" distB="0" distL="0" distR="0">
            <wp:extent cx="5563271" cy="452628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5563271" cy="4526280"/>
                    </a:xfrm>
                    <a:prstGeom prst="rect">
                      <a:avLst/>
                    </a:prstGeom>
                  </pic:spPr>
                </pic:pic>
              </a:graphicData>
            </a:graphic>
          </wp:inline>
        </w:drawing>
      </w:r>
    </w:p>
    <w:p w:rsidR="00723861" w:rsidRDefault="00723861">
      <w:pPr>
        <w:pStyle w:val="BodyText"/>
        <w:ind w:left="0"/>
        <w:rPr>
          <w:sz w:val="8"/>
        </w:rPr>
      </w:pPr>
    </w:p>
    <w:p w:rsidR="00723861" w:rsidRDefault="00503A37">
      <w:pPr>
        <w:pStyle w:val="BodyText"/>
        <w:spacing w:before="110" w:line="360" w:lineRule="auto"/>
        <w:ind w:left="960" w:hanging="840"/>
      </w:pPr>
      <w:r>
        <w:t xml:space="preserve">FIG. 3. Adiabatic potential energy curves for the </w:t>
      </w:r>
      <w:r>
        <w:rPr>
          <w:vertAlign w:val="superscript"/>
        </w:rPr>
        <w:t>3</w:t>
      </w:r>
      <w:r>
        <w:t>Σ</w:t>
      </w:r>
      <w:r>
        <w:rPr>
          <w:vertAlign w:val="superscript"/>
        </w:rPr>
        <w:t>+</w:t>
      </w:r>
      <w:r>
        <w:t xml:space="preserve"> and </w:t>
      </w:r>
      <w:r>
        <w:rPr>
          <w:vertAlign w:val="superscript"/>
        </w:rPr>
        <w:t>3</w:t>
      </w:r>
      <w:r>
        <w:t>Π (triplet) states of the [HeCO]</w:t>
      </w:r>
      <w:r>
        <w:rPr>
          <w:vertAlign w:val="superscript"/>
        </w:rPr>
        <w:t>2+</w:t>
      </w:r>
      <w:r>
        <w:t xml:space="preserve"> system at equilibrium, α = 180°.</w:t>
      </w:r>
    </w:p>
    <w:p w:rsidR="00723861" w:rsidRDefault="00723861">
      <w:pPr>
        <w:pStyle w:val="BodyText"/>
        <w:spacing w:before="10"/>
        <w:ind w:left="0"/>
        <w:rPr>
          <w:sz w:val="35"/>
        </w:rPr>
      </w:pPr>
    </w:p>
    <w:p w:rsidR="00652CE9" w:rsidRPr="00652CE9" w:rsidRDefault="00652CE9" w:rsidP="00652CE9">
      <w:pPr>
        <w:pStyle w:val="BodyText"/>
        <w:spacing w:line="360" w:lineRule="auto"/>
        <w:ind w:left="480"/>
        <w:jc w:val="both"/>
      </w:pPr>
      <w:r w:rsidRPr="00652CE9">
        <w:t>The intersections between the 2 3Π and 5 3Σ+ states indicate the substantial involvement of the 2 3Π state in the SEC process, while the crossings between the 1 3Π and 1 3Σ+ states contribute significantly to flux redistribution. In both singlet and triplet states, the degree of mixing is relatively less pronounced when the He2+ ion approaches the carbon end compared to the oxygen end of the CO molecule. Consequently, a prominent steric effect is anticipated to have a significant impact on the SEC process.</w:t>
      </w:r>
    </w:p>
    <w:p w:rsidR="00652CE9" w:rsidRDefault="00652CE9">
      <w:pPr>
        <w:pStyle w:val="BodyText"/>
        <w:ind w:left="480"/>
        <w:jc w:val="both"/>
      </w:pPr>
    </w:p>
    <w:p w:rsidR="00D83517" w:rsidRPr="00D83517" w:rsidRDefault="00D83517" w:rsidP="00D83517">
      <w:pPr>
        <w:pStyle w:val="BodyText"/>
        <w:spacing w:line="360" w:lineRule="auto"/>
      </w:pPr>
      <w:r w:rsidRPr="00D83517">
        <w:rPr>
          <w:szCs w:val="20"/>
        </w:rPr>
        <w:t>In the adiabatic potential energy curves for the He2+ ion when approaching the center of mass (α = 90°) of the CO molecule, the ground state entry channel (He2+/CO) is positioned significantly higher than the calculated potentials. Consequently, it has been excluded from the scattering calculation.</w:t>
      </w:r>
    </w:p>
    <w:p w:rsidR="00D83517" w:rsidRPr="00D83517" w:rsidRDefault="00D83517" w:rsidP="00D83517">
      <w:pPr>
        <w:pStyle w:val="BodyText"/>
        <w:spacing w:line="360" w:lineRule="auto"/>
        <w:rPr>
          <w:szCs w:val="20"/>
        </w:rPr>
      </w:pPr>
      <w:r w:rsidRPr="00D83517">
        <w:rPr>
          <w:szCs w:val="20"/>
        </w:rPr>
        <w:t>Considering the multitude of channels involved in the current calculation and the notable differences in radial couplings between adjacent and non-adjacent states, only the radial couplings for adjacent channels of the 1Σ+ (singlet) and 3Σ+ (triplet) states are presented here for illustrative purposes. The radial couplings for the adjacent 1Σ+ (singlet) and 3Σ+ (triplet) states as the He2+ ion approaches the oxygen end (α = 180°) of the CO molecule are depicted in Figs. 4 and 5, respectively. These figures reveal significant variations in the positions, characteristics, and magnitudes of the radial couplings as the orientation of the He2+ projectile with respect to the CO molecule changes.</w:t>
      </w:r>
    </w:p>
    <w:p w:rsidR="00723861" w:rsidRDefault="00503A37">
      <w:pPr>
        <w:pStyle w:val="BodyText"/>
        <w:spacing w:before="139" w:line="360" w:lineRule="auto"/>
        <w:ind w:left="960" w:right="546" w:hanging="840"/>
      </w:pPr>
      <w:r>
        <w:t xml:space="preserve">FIG. 4. Nonadiabatic radial couplings for the adjacent </w:t>
      </w:r>
      <w:r>
        <w:rPr>
          <w:vertAlign w:val="superscript"/>
        </w:rPr>
        <w:t>1</w:t>
      </w:r>
      <w:r>
        <w:t>Σ</w:t>
      </w:r>
      <w:r>
        <w:rPr>
          <w:vertAlign w:val="superscript"/>
        </w:rPr>
        <w:t>+</w:t>
      </w:r>
      <w:r>
        <w:t xml:space="preserve"> (singlet) states of the [HeCO]</w:t>
      </w:r>
      <w:r>
        <w:rPr>
          <w:vertAlign w:val="superscript"/>
        </w:rPr>
        <w:t>2+</w:t>
      </w:r>
      <w:r>
        <w:t xml:space="preserve"> system at equilibrium, α = 180°.</w:t>
      </w:r>
    </w:p>
    <w:p w:rsidR="00723861" w:rsidRDefault="00723861">
      <w:pPr>
        <w:spacing w:line="360" w:lineRule="auto"/>
        <w:sectPr w:rsidR="00723861">
          <w:pgSz w:w="12240" w:h="15840"/>
          <w:pgMar w:top="1360" w:right="1500" w:bottom="1200" w:left="1320" w:header="0" w:footer="1012" w:gutter="0"/>
          <w:cols w:space="720"/>
        </w:sectPr>
      </w:pPr>
    </w:p>
    <w:p w:rsidR="00723861" w:rsidRDefault="00723861">
      <w:pPr>
        <w:pStyle w:val="BodyText"/>
        <w:spacing w:before="3"/>
        <w:ind w:left="0"/>
        <w:rPr>
          <w:sz w:val="6"/>
        </w:rPr>
      </w:pPr>
    </w:p>
    <w:p w:rsidR="00723861" w:rsidRDefault="00503A37">
      <w:pPr>
        <w:pStyle w:val="BodyText"/>
        <w:ind w:left="725"/>
        <w:rPr>
          <w:sz w:val="20"/>
        </w:rPr>
      </w:pPr>
      <w:r>
        <w:rPr>
          <w:noProof/>
          <w:sz w:val="20"/>
          <w:lang w:val="en-IN" w:eastAsia="en-IN"/>
        </w:rPr>
        <w:drawing>
          <wp:inline distT="0" distB="0" distL="0" distR="0">
            <wp:extent cx="5035455" cy="3806190"/>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5035455" cy="3806190"/>
                    </a:xfrm>
                    <a:prstGeom prst="rect">
                      <a:avLst/>
                    </a:prstGeom>
                  </pic:spPr>
                </pic:pic>
              </a:graphicData>
            </a:graphic>
          </wp:inline>
        </w:drawing>
      </w:r>
    </w:p>
    <w:p w:rsidR="00723861" w:rsidRDefault="00503A37">
      <w:pPr>
        <w:pStyle w:val="BodyText"/>
        <w:spacing w:before="147" w:line="360" w:lineRule="auto"/>
        <w:ind w:left="960" w:right="546" w:hanging="840"/>
      </w:pPr>
      <w:r>
        <w:t xml:space="preserve">FIG. 5. Nonadiabatic radial couplings for the adjacent </w:t>
      </w:r>
      <w:r>
        <w:rPr>
          <w:vertAlign w:val="superscript"/>
        </w:rPr>
        <w:t>3</w:t>
      </w:r>
      <w:r>
        <w:t>Σ</w:t>
      </w:r>
      <w:r>
        <w:rPr>
          <w:vertAlign w:val="superscript"/>
        </w:rPr>
        <w:t>+</w:t>
      </w:r>
      <w:r>
        <w:t xml:space="preserve"> (triplet) states of the [HeCO]</w:t>
      </w:r>
      <w:r>
        <w:rPr>
          <w:vertAlign w:val="superscript"/>
        </w:rPr>
        <w:t>2+</w:t>
      </w:r>
      <w:r>
        <w:t xml:space="preserve"> system at equilibrium, α = 180°.</w:t>
      </w:r>
    </w:p>
    <w:p w:rsidR="00723861" w:rsidRDefault="00723861">
      <w:pPr>
        <w:pStyle w:val="BodyText"/>
        <w:ind w:left="0"/>
        <w:rPr>
          <w:sz w:val="36"/>
        </w:rPr>
      </w:pPr>
    </w:p>
    <w:p w:rsidR="00DA2125" w:rsidRPr="00DA2125" w:rsidRDefault="00DA2125" w:rsidP="00DA2125">
      <w:pPr>
        <w:pStyle w:val="BodyText"/>
        <w:spacing w:line="360" w:lineRule="auto"/>
      </w:pPr>
      <w:r w:rsidRPr="00DA2125">
        <w:rPr>
          <w:szCs w:val="18"/>
        </w:rPr>
        <w:t>The rotational couplings between the adjacent 1,3Σ+ and 1,3Π states at the oxygen end (α = 180°) of the CO molecule are depicted in Figs. 6 and 7 for the singlet and triplet states, respectively. Notably, rotational couplings between two states corresponding to molecular fragments with the same number of electrons, such as &lt; 3 1Σ+| iLy | 1 1Π&gt; and &lt; 2 3Σ+| iLy | 1 3Π&gt;, maintain a constant finite value as R becomes large. Conversely, for states corresponding to molecular fragments with different configurations, like &lt; 1 1Σ+| iLy | 1 1Π&gt; and &lt; 1 3Σ+| iLy | 1 3Π&gt;, the rotational couplings tend to zero as R increases. It's worth noting that due to nonadiabatic interactions between adjacent states, the rotational couplings exhibit non-smooth behavior near the avoided crossings.</w:t>
      </w:r>
    </w:p>
    <w:p w:rsidR="00723861" w:rsidRDefault="00723861">
      <w:pPr>
        <w:spacing w:line="355" w:lineRule="auto"/>
        <w:jc w:val="both"/>
        <w:sectPr w:rsidR="00723861">
          <w:pgSz w:w="12240" w:h="15840"/>
          <w:pgMar w:top="1500" w:right="1500" w:bottom="1200" w:left="1320" w:header="0" w:footer="1012" w:gutter="0"/>
          <w:cols w:space="720"/>
        </w:sectPr>
      </w:pPr>
    </w:p>
    <w:p w:rsidR="00723861" w:rsidRDefault="00503A37">
      <w:pPr>
        <w:pStyle w:val="BodyText"/>
        <w:ind w:left="1038"/>
        <w:rPr>
          <w:sz w:val="20"/>
        </w:rPr>
      </w:pPr>
      <w:r>
        <w:rPr>
          <w:noProof/>
          <w:sz w:val="20"/>
          <w:lang w:val="en-IN" w:eastAsia="en-IN"/>
        </w:rPr>
        <w:drawing>
          <wp:inline distT="0" distB="0" distL="0" distR="0">
            <wp:extent cx="4657729" cy="3118104"/>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3" cstate="print"/>
                    <a:stretch>
                      <a:fillRect/>
                    </a:stretch>
                  </pic:blipFill>
                  <pic:spPr>
                    <a:xfrm>
                      <a:off x="0" y="0"/>
                      <a:ext cx="4657729" cy="3118104"/>
                    </a:xfrm>
                    <a:prstGeom prst="rect">
                      <a:avLst/>
                    </a:prstGeom>
                  </pic:spPr>
                </pic:pic>
              </a:graphicData>
            </a:graphic>
          </wp:inline>
        </w:drawing>
      </w:r>
    </w:p>
    <w:p w:rsidR="00723861" w:rsidRDefault="00503A37">
      <w:pPr>
        <w:pStyle w:val="BodyText"/>
        <w:spacing w:before="160" w:line="360" w:lineRule="auto"/>
        <w:ind w:left="960" w:right="546" w:hanging="840"/>
      </w:pPr>
      <w:r>
        <w:rPr>
          <w:noProof/>
          <w:lang w:val="en-IN" w:eastAsia="en-IN"/>
        </w:rPr>
        <w:drawing>
          <wp:anchor distT="0" distB="0" distL="0" distR="0" simplePos="0" relativeHeight="4" behindDoc="0" locked="0" layoutInCell="1" allowOverlap="1">
            <wp:simplePos x="0" y="0"/>
            <wp:positionH relativeFrom="page">
              <wp:posOffset>1415633</wp:posOffset>
            </wp:positionH>
            <wp:positionV relativeFrom="paragraph">
              <wp:posOffset>700972</wp:posOffset>
            </wp:positionV>
            <wp:extent cx="4824151" cy="3268979"/>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4" cstate="print"/>
                    <a:stretch>
                      <a:fillRect/>
                    </a:stretch>
                  </pic:blipFill>
                  <pic:spPr>
                    <a:xfrm>
                      <a:off x="0" y="0"/>
                      <a:ext cx="4824151" cy="3268979"/>
                    </a:xfrm>
                    <a:prstGeom prst="rect">
                      <a:avLst/>
                    </a:prstGeom>
                  </pic:spPr>
                </pic:pic>
              </a:graphicData>
            </a:graphic>
          </wp:anchor>
        </w:drawing>
      </w:r>
      <w:r>
        <w:t xml:space="preserve">FIG. 6. Nonadiabatic rotational couplings for the adjacent </w:t>
      </w:r>
      <w:r>
        <w:rPr>
          <w:vertAlign w:val="superscript"/>
        </w:rPr>
        <w:t>1</w:t>
      </w:r>
      <w:r>
        <w:t>Σ</w:t>
      </w:r>
      <w:r>
        <w:rPr>
          <w:vertAlign w:val="superscript"/>
        </w:rPr>
        <w:t>+</w:t>
      </w:r>
      <w:r>
        <w:t xml:space="preserve"> and </w:t>
      </w:r>
      <w:r>
        <w:rPr>
          <w:vertAlign w:val="superscript"/>
        </w:rPr>
        <w:t>1</w:t>
      </w:r>
      <w:r>
        <w:t>Π (singlet) states of the [HeCO]</w:t>
      </w:r>
      <w:r>
        <w:rPr>
          <w:vertAlign w:val="superscript"/>
        </w:rPr>
        <w:t>2+</w:t>
      </w:r>
      <w:r>
        <w:t xml:space="preserve"> system at equilibrium, α =</w:t>
      </w:r>
      <w:r>
        <w:rPr>
          <w:spacing w:val="-4"/>
        </w:rPr>
        <w:t xml:space="preserve"> </w:t>
      </w:r>
      <w:r>
        <w:t>180°.</w:t>
      </w:r>
    </w:p>
    <w:p w:rsidR="00723861" w:rsidRDefault="00503A37">
      <w:pPr>
        <w:pStyle w:val="BodyText"/>
        <w:spacing w:before="125" w:line="360" w:lineRule="auto"/>
        <w:ind w:left="960" w:right="546" w:hanging="840"/>
      </w:pPr>
      <w:r>
        <w:t xml:space="preserve">FIG. 7. Nonadiabatic rotational couplings for the adjacent </w:t>
      </w:r>
      <w:r>
        <w:rPr>
          <w:vertAlign w:val="superscript"/>
        </w:rPr>
        <w:t>3</w:t>
      </w:r>
      <w:r>
        <w:t>Σ</w:t>
      </w:r>
      <w:r>
        <w:rPr>
          <w:vertAlign w:val="superscript"/>
        </w:rPr>
        <w:t>+</w:t>
      </w:r>
      <w:r>
        <w:t xml:space="preserve"> and </w:t>
      </w:r>
      <w:r>
        <w:rPr>
          <w:vertAlign w:val="superscript"/>
        </w:rPr>
        <w:t>3</w:t>
      </w:r>
      <w:r>
        <w:t>Π (triplet) states of the [HeCO]</w:t>
      </w:r>
      <w:r>
        <w:rPr>
          <w:vertAlign w:val="superscript"/>
        </w:rPr>
        <w:t>2+</w:t>
      </w:r>
      <w:r>
        <w:t xml:space="preserve"> system at equilibrium, α =</w:t>
      </w:r>
      <w:r>
        <w:rPr>
          <w:spacing w:val="-4"/>
        </w:rPr>
        <w:t xml:space="preserve"> </w:t>
      </w:r>
      <w:r>
        <w:t>180°.</w:t>
      </w:r>
    </w:p>
    <w:p w:rsidR="00723861" w:rsidRDefault="00723861">
      <w:pPr>
        <w:spacing w:line="360" w:lineRule="auto"/>
        <w:sectPr w:rsidR="00723861">
          <w:pgSz w:w="12240" w:h="15840"/>
          <w:pgMar w:top="1500" w:right="1500" w:bottom="1200" w:left="1320" w:header="0" w:footer="1012" w:gutter="0"/>
          <w:cols w:space="720"/>
        </w:sectPr>
      </w:pPr>
    </w:p>
    <w:p w:rsidR="00723861" w:rsidRDefault="00503A37">
      <w:pPr>
        <w:pStyle w:val="Heading1"/>
        <w:numPr>
          <w:ilvl w:val="0"/>
          <w:numId w:val="3"/>
        </w:numPr>
        <w:tabs>
          <w:tab w:val="left" w:pos="572"/>
        </w:tabs>
        <w:spacing w:before="59"/>
        <w:ind w:left="571" w:hanging="452"/>
        <w:jc w:val="both"/>
      </w:pPr>
      <w:r>
        <w:t>Cross</w:t>
      </w:r>
      <w:r>
        <w:rPr>
          <w:spacing w:val="-1"/>
        </w:rPr>
        <w:t xml:space="preserve"> </w:t>
      </w:r>
      <w:r>
        <w:t>sections</w:t>
      </w:r>
    </w:p>
    <w:p w:rsidR="00723861" w:rsidRDefault="00723861">
      <w:pPr>
        <w:pStyle w:val="BodyText"/>
        <w:spacing w:before="4"/>
        <w:ind w:left="0"/>
        <w:rPr>
          <w:b/>
          <w:sz w:val="33"/>
        </w:rPr>
      </w:pPr>
    </w:p>
    <w:p w:rsidR="00723861" w:rsidRPr="00FE6B66" w:rsidRDefault="00FE6B66" w:rsidP="00FE6B66">
      <w:pPr>
        <w:pStyle w:val="BodyText"/>
        <w:spacing w:line="360" w:lineRule="auto"/>
        <w:ind w:right="121" w:firstLine="360"/>
        <w:jc w:val="both"/>
      </w:pPr>
      <w:r w:rsidRPr="00FE6B66">
        <w:t>The collision dynamics of the [HeCO]2+ system were carried out within an energy range spanning from 0.6 to 6.0 keV. Within this energy range, spin-orbit effects were omitted, leading to separate consideration of the triplet and singlet manifolds. It's worth noting that based on statistical weight, the triplet manifold constitutes 3/4 of the population of the ground state entry channel, whereas the singlet manifold represents 1/4 of the population. In order to assess the impact of molecular orientation on cross sections, the calculations were conducted for He2+ ions approaching both the carbon and oxygen termini of the CO molecule.</w:t>
      </w:r>
    </w:p>
    <w:p w:rsidR="00FE6B66" w:rsidRPr="00FE6B66" w:rsidRDefault="00FE6B66" w:rsidP="00FE6B66">
      <w:pPr>
        <w:pStyle w:val="BodyText"/>
        <w:spacing w:line="360" w:lineRule="auto"/>
        <w:ind w:right="121" w:firstLine="360"/>
        <w:jc w:val="both"/>
      </w:pPr>
    </w:p>
    <w:p w:rsidR="00723861" w:rsidRDefault="00503A37">
      <w:pPr>
        <w:pStyle w:val="Heading1"/>
        <w:numPr>
          <w:ilvl w:val="0"/>
          <w:numId w:val="2"/>
        </w:numPr>
        <w:tabs>
          <w:tab w:val="left" w:pos="519"/>
        </w:tabs>
        <w:jc w:val="both"/>
      </w:pPr>
      <w:r>
        <w:t>Partial cross sections for each individual</w:t>
      </w:r>
      <w:r>
        <w:rPr>
          <w:spacing w:val="-3"/>
        </w:rPr>
        <w:t xml:space="preserve"> </w:t>
      </w:r>
      <w:r>
        <w:t>level</w:t>
      </w:r>
    </w:p>
    <w:p w:rsidR="00723861" w:rsidRDefault="00723861">
      <w:pPr>
        <w:pStyle w:val="BodyText"/>
        <w:spacing w:before="4"/>
        <w:ind w:left="0"/>
        <w:rPr>
          <w:b/>
          <w:sz w:val="33"/>
        </w:rPr>
      </w:pPr>
    </w:p>
    <w:p w:rsidR="00C82AB4" w:rsidRPr="00C82AB4" w:rsidRDefault="00C82AB4" w:rsidP="00C82AB4">
      <w:pPr>
        <w:pStyle w:val="BodyText"/>
        <w:spacing w:line="360" w:lineRule="auto"/>
        <w:ind w:right="121" w:firstLine="360"/>
        <w:jc w:val="both"/>
      </w:pPr>
      <w:r w:rsidRPr="00C82AB4">
        <w:t>The partial single electron capture (SEC) cross sections involving He2+ ions approaching the oxygen end (α = 180°) of the CO molecule, particularly in singlet states, are depicted in Figure 8. Regardless of the orientation of the He2+ projectile in relation to the CO molecule, the 1 1Σ+ state [He+ (1s 2S) + CO+ (X 2Σ+)] exhibits a predominant contribution to the SEC process at energies below 3 keV. This underscores the vital role played by radial coupling matrix elements between the 1 1Σ+ state and the entry channel 2 1Σ+ [He2+ + CO (X 1Σ+)] during low-energy collisions. The 3 1Σ+ state [He+ (n=2) + CO+ (X 2Σ+)] also becomes increasingly significant in the SEC process as collision energy rises, reflecting the heightened contribution of radial coupling matrix elements between the 3 1Σ+ state and the entry channel 2 1Σ+ with increasing collision energy.</w:t>
      </w:r>
    </w:p>
    <w:p w:rsidR="00C82AB4" w:rsidRPr="00C82AB4" w:rsidRDefault="00C82AB4" w:rsidP="00C82AB4">
      <w:pPr>
        <w:pStyle w:val="BodyText"/>
        <w:spacing w:line="360" w:lineRule="auto"/>
        <w:ind w:right="121" w:firstLine="360"/>
        <w:jc w:val="both"/>
      </w:pPr>
      <w:r w:rsidRPr="00C82AB4">
        <w:t>At the carbon end (α = 0°), the 1 1Π state [He+ (n=2) + CO+ (A 2Π)] similarly plays a notable role in the SEC process, and its contribution increases as collision energy escalates. This phenomenon is mirrored in the rotational coupling matrix element between the 1 1Π state [He+ (n=2) + CO+ (A 2Π)] and the 2 1Σ+ entry channel. Conversely, the contribution of the 1 1Π state is relatively subdued in the SEC process for the oxygen end (α = 0°), but it becomes more prominent in high-energy collisions.</w:t>
      </w:r>
    </w:p>
    <w:p w:rsidR="00C82AB4" w:rsidRPr="00C82AB4" w:rsidRDefault="00C82AB4" w:rsidP="00C82AB4">
      <w:pPr>
        <w:pStyle w:val="BodyText"/>
        <w:spacing w:line="360" w:lineRule="auto"/>
        <w:ind w:right="121" w:firstLine="360"/>
        <w:jc w:val="both"/>
      </w:pPr>
      <w:r w:rsidRPr="00C82AB4">
        <w:t>In both orientations, the SEC channels 4 1Σ+ [He+ (n=3) + CO+ (X 2Σ+)], 5 1Σ+ [He+ (n=3) + CO+ (A 2Σ+)], and 5 1Π [He+ (n=3) + CO+ (A 2Π)] exhibit a secondary role in the SEC process during low- to intermediate-energy collisions. However, for the oxygen end, the 5 1Π state assumes a significant role in the SEC process during intermediate- to high-energy collisions.</w:t>
      </w:r>
    </w:p>
    <w:p w:rsidR="00C82AB4" w:rsidRDefault="00C82AB4" w:rsidP="00C82AB4">
      <w:pPr>
        <w:pStyle w:val="z-TopofForm"/>
      </w:pPr>
      <w:r>
        <w:t>Top of Form</w:t>
      </w:r>
    </w:p>
    <w:p w:rsidR="00723861" w:rsidRDefault="00503A37">
      <w:pPr>
        <w:pStyle w:val="BodyText"/>
        <w:spacing w:before="1" w:line="360" w:lineRule="auto"/>
        <w:ind w:right="124" w:firstLine="360"/>
        <w:jc w:val="both"/>
      </w:pPr>
      <w:r>
        <w:t>Partial SEC cross sections for He</w:t>
      </w:r>
      <w:r>
        <w:rPr>
          <w:vertAlign w:val="superscript"/>
        </w:rPr>
        <w:t>2+</w:t>
      </w:r>
      <w:r>
        <w:t xml:space="preserve"> ion approaching the oxygen end (triplet states) are shown in Fig. 9. The 1 </w:t>
      </w:r>
      <w:r>
        <w:rPr>
          <w:vertAlign w:val="superscript"/>
        </w:rPr>
        <w:t>3</w:t>
      </w:r>
      <w:r>
        <w:t>Π [He</w:t>
      </w:r>
      <w:r>
        <w:rPr>
          <w:vertAlign w:val="superscript"/>
        </w:rPr>
        <w:t>+</w:t>
      </w:r>
      <w:r>
        <w:t xml:space="preserve"> (1</w:t>
      </w:r>
      <w:r>
        <w:rPr>
          <w:i/>
        </w:rPr>
        <w:t xml:space="preserve">s </w:t>
      </w:r>
      <w:r>
        <w:rPr>
          <w:vertAlign w:val="superscript"/>
        </w:rPr>
        <w:t>2</w:t>
      </w:r>
      <w:r>
        <w:rPr>
          <w:i/>
        </w:rPr>
        <w:t>S</w:t>
      </w:r>
      <w:r>
        <w:t>) + CO</w:t>
      </w:r>
      <w:r>
        <w:rPr>
          <w:vertAlign w:val="superscript"/>
        </w:rPr>
        <w:t>+</w:t>
      </w:r>
      <w:r>
        <w:t xml:space="preserve"> (</w:t>
      </w:r>
      <w:r>
        <w:rPr>
          <w:i/>
        </w:rPr>
        <w:t xml:space="preserve">A </w:t>
      </w:r>
      <w:r>
        <w:rPr>
          <w:vertAlign w:val="superscript"/>
        </w:rPr>
        <w:t>2</w:t>
      </w:r>
      <w:r>
        <w:t>Π)] state has a dominant contribution in the</w:t>
      </w:r>
    </w:p>
    <w:p w:rsidR="00723861" w:rsidRDefault="00723861">
      <w:pPr>
        <w:spacing w:line="360" w:lineRule="auto"/>
        <w:jc w:val="both"/>
        <w:sectPr w:rsidR="00723861">
          <w:pgSz w:w="12240" w:h="15840"/>
          <w:pgMar w:top="1380" w:right="1500" w:bottom="1200" w:left="1320" w:header="0" w:footer="1012" w:gutter="0"/>
          <w:cols w:space="720"/>
        </w:sectPr>
      </w:pPr>
    </w:p>
    <w:p w:rsidR="00723861" w:rsidRDefault="00503A37">
      <w:pPr>
        <w:pStyle w:val="BodyText"/>
        <w:spacing w:before="79" w:line="360" w:lineRule="auto"/>
        <w:ind w:right="121"/>
        <w:jc w:val="both"/>
      </w:pPr>
      <w:r>
        <w:rPr>
          <w:noProof/>
          <w:lang w:val="en-IN" w:eastAsia="en-IN"/>
        </w:rPr>
        <w:drawing>
          <wp:anchor distT="0" distB="0" distL="0" distR="0" simplePos="0" relativeHeight="5" behindDoc="0" locked="0" layoutInCell="1" allowOverlap="1">
            <wp:simplePos x="0" y="0"/>
            <wp:positionH relativeFrom="page">
              <wp:posOffset>1315839</wp:posOffset>
            </wp:positionH>
            <wp:positionV relativeFrom="paragraph">
              <wp:posOffset>3015162</wp:posOffset>
            </wp:positionV>
            <wp:extent cx="4994340" cy="3364991"/>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5" cstate="print"/>
                    <a:stretch>
                      <a:fillRect/>
                    </a:stretch>
                  </pic:blipFill>
                  <pic:spPr>
                    <a:xfrm>
                      <a:off x="0" y="0"/>
                      <a:ext cx="4994340" cy="3364991"/>
                    </a:xfrm>
                    <a:prstGeom prst="rect">
                      <a:avLst/>
                    </a:prstGeom>
                  </pic:spPr>
                </pic:pic>
              </a:graphicData>
            </a:graphic>
          </wp:anchor>
        </w:drawing>
      </w:r>
      <w:r>
        <w:t xml:space="preserve">SEC process and it increases with collision energy. Hence, rotational coupling matrix elements between the 1 </w:t>
      </w:r>
      <w:r>
        <w:rPr>
          <w:vertAlign w:val="superscript"/>
        </w:rPr>
        <w:t>3</w:t>
      </w:r>
      <w:r>
        <w:t xml:space="preserve">Π state and the entry channel 6 </w:t>
      </w:r>
      <w:r>
        <w:rPr>
          <w:vertAlign w:val="superscript"/>
        </w:rPr>
        <w:t>3</w:t>
      </w:r>
      <w:r>
        <w:t>Σ</w:t>
      </w:r>
      <w:r>
        <w:rPr>
          <w:vertAlign w:val="superscript"/>
        </w:rPr>
        <w:t>+</w:t>
      </w:r>
      <w:r>
        <w:t xml:space="preserve"> [He</w:t>
      </w:r>
      <w:r>
        <w:rPr>
          <w:vertAlign w:val="superscript"/>
        </w:rPr>
        <w:t>2+</w:t>
      </w:r>
      <w:r>
        <w:t xml:space="preserve"> + CO (</w:t>
      </w:r>
      <w:r>
        <w:rPr>
          <w:i/>
        </w:rPr>
        <w:t xml:space="preserve">X </w:t>
      </w:r>
      <w:r>
        <w:rPr>
          <w:vertAlign w:val="superscript"/>
        </w:rPr>
        <w:t>3</w:t>
      </w:r>
      <w:r>
        <w:t>Σ</w:t>
      </w:r>
      <w:r>
        <w:rPr>
          <w:vertAlign w:val="superscript"/>
        </w:rPr>
        <w:t>+</w:t>
      </w:r>
      <w:r>
        <w:t xml:space="preserve">)] are seen to play an important role. The 4 </w:t>
      </w:r>
      <w:r>
        <w:rPr>
          <w:vertAlign w:val="superscript"/>
        </w:rPr>
        <w:t>3</w:t>
      </w:r>
      <w:r>
        <w:t>Σ</w:t>
      </w:r>
      <w:r>
        <w:rPr>
          <w:vertAlign w:val="superscript"/>
        </w:rPr>
        <w:t>+</w:t>
      </w:r>
      <w:r>
        <w:t xml:space="preserve"> [He</w:t>
      </w:r>
      <w:r>
        <w:rPr>
          <w:vertAlign w:val="superscript"/>
        </w:rPr>
        <w:t>+</w:t>
      </w:r>
      <w:r>
        <w:t xml:space="preserve"> (</w:t>
      </w:r>
      <w:r>
        <w:rPr>
          <w:i/>
        </w:rPr>
        <w:t>n</w:t>
      </w:r>
      <w:r>
        <w:t>=2) + CO</w:t>
      </w:r>
      <w:r>
        <w:rPr>
          <w:vertAlign w:val="superscript"/>
        </w:rPr>
        <w:t>+</w:t>
      </w:r>
      <w:r>
        <w:t xml:space="preserve"> (</w:t>
      </w:r>
      <w:r>
        <w:rPr>
          <w:i/>
        </w:rPr>
        <w:t xml:space="preserve">X </w:t>
      </w:r>
      <w:r>
        <w:rPr>
          <w:vertAlign w:val="superscript"/>
        </w:rPr>
        <w:t>2</w:t>
      </w:r>
      <w:r>
        <w:t>Σ</w:t>
      </w:r>
      <w:r>
        <w:rPr>
          <w:vertAlign w:val="superscript"/>
        </w:rPr>
        <w:t>+</w:t>
      </w:r>
      <w:r>
        <w:t xml:space="preserve">)] state has an important contribution in the SEC process and shows a low dependence on collision energy below 4 keV. Thus, radial coupling matrix elements between the 4 </w:t>
      </w:r>
      <w:r>
        <w:rPr>
          <w:vertAlign w:val="superscript"/>
        </w:rPr>
        <w:t>3</w:t>
      </w:r>
      <w:r>
        <w:t>Σ</w:t>
      </w:r>
      <w:r>
        <w:rPr>
          <w:vertAlign w:val="superscript"/>
        </w:rPr>
        <w:t>+</w:t>
      </w:r>
      <w:r>
        <w:t xml:space="preserve"> state and the entry channel 6 </w:t>
      </w:r>
      <w:r>
        <w:rPr>
          <w:vertAlign w:val="superscript"/>
        </w:rPr>
        <w:t>3</w:t>
      </w:r>
      <w:r>
        <w:t>Σ</w:t>
      </w:r>
      <w:r>
        <w:rPr>
          <w:vertAlign w:val="superscript"/>
        </w:rPr>
        <w:t>+</w:t>
      </w:r>
      <w:r>
        <w:t xml:space="preserve"> have a significant contribution in the SEC process in high-energy collisions. The SEC channels, 1 </w:t>
      </w:r>
      <w:r>
        <w:rPr>
          <w:vertAlign w:val="superscript"/>
        </w:rPr>
        <w:t>3</w:t>
      </w:r>
      <w:r>
        <w:t>Σ</w:t>
      </w:r>
      <w:r>
        <w:rPr>
          <w:vertAlign w:val="superscript"/>
        </w:rPr>
        <w:t>+</w:t>
      </w:r>
      <w:r>
        <w:t xml:space="preserve"> [He</w:t>
      </w:r>
      <w:r>
        <w:rPr>
          <w:vertAlign w:val="superscript"/>
        </w:rPr>
        <w:t>+</w:t>
      </w:r>
      <w:r>
        <w:t xml:space="preserve"> (1</w:t>
      </w:r>
      <w:r>
        <w:rPr>
          <w:i/>
        </w:rPr>
        <w:t xml:space="preserve">s </w:t>
      </w:r>
      <w:r>
        <w:rPr>
          <w:vertAlign w:val="superscript"/>
        </w:rPr>
        <w:t>2</w:t>
      </w:r>
      <w:r>
        <w:rPr>
          <w:i/>
        </w:rPr>
        <w:t>S</w:t>
      </w:r>
      <w:r>
        <w:t>) + CO</w:t>
      </w:r>
      <w:r>
        <w:rPr>
          <w:vertAlign w:val="superscript"/>
        </w:rPr>
        <w:t>+</w:t>
      </w:r>
      <w:r>
        <w:t xml:space="preserve"> (</w:t>
      </w:r>
      <w:r>
        <w:rPr>
          <w:i/>
        </w:rPr>
        <w:t xml:space="preserve">X </w:t>
      </w:r>
      <w:r>
        <w:rPr>
          <w:vertAlign w:val="superscript"/>
        </w:rPr>
        <w:t>3</w:t>
      </w:r>
      <w:r>
        <w:t>Σ</w:t>
      </w:r>
      <w:r>
        <w:rPr>
          <w:vertAlign w:val="superscript"/>
        </w:rPr>
        <w:t>+</w:t>
      </w:r>
      <w:r>
        <w:t xml:space="preserve">)] and 2 </w:t>
      </w:r>
      <w:r>
        <w:rPr>
          <w:vertAlign w:val="superscript"/>
        </w:rPr>
        <w:t>3</w:t>
      </w:r>
      <w:r>
        <w:t>Σ</w:t>
      </w:r>
      <w:r>
        <w:rPr>
          <w:vertAlign w:val="superscript"/>
        </w:rPr>
        <w:t>+</w:t>
      </w:r>
      <w:r>
        <w:t xml:space="preserve"> [He</w:t>
      </w:r>
      <w:r>
        <w:rPr>
          <w:vertAlign w:val="superscript"/>
        </w:rPr>
        <w:t>+</w:t>
      </w:r>
      <w:r>
        <w:t xml:space="preserve"> (1</w:t>
      </w:r>
      <w:r>
        <w:rPr>
          <w:i/>
        </w:rPr>
        <w:t xml:space="preserve">s </w:t>
      </w:r>
      <w:r>
        <w:rPr>
          <w:vertAlign w:val="superscript"/>
        </w:rPr>
        <w:t>2</w:t>
      </w:r>
      <w:r>
        <w:rPr>
          <w:i/>
        </w:rPr>
        <w:t>S</w:t>
      </w:r>
      <w:r>
        <w:t>) + CO</w:t>
      </w:r>
      <w:r>
        <w:rPr>
          <w:vertAlign w:val="superscript"/>
        </w:rPr>
        <w:t>+</w:t>
      </w:r>
      <w:r>
        <w:t xml:space="preserve"> (</w:t>
      </w:r>
      <w:r>
        <w:rPr>
          <w:i/>
        </w:rPr>
        <w:t xml:space="preserve">A </w:t>
      </w:r>
      <w:r>
        <w:rPr>
          <w:vertAlign w:val="superscript"/>
        </w:rPr>
        <w:t>2</w:t>
      </w:r>
      <w:r>
        <w:t>Σ</w:t>
      </w:r>
      <w:r>
        <w:rPr>
          <w:vertAlign w:val="superscript"/>
        </w:rPr>
        <w:t>+</w:t>
      </w:r>
      <w:r>
        <w:t xml:space="preserve">)], have a significant contribution in the electron capture process but their contribution decreases with collision energy. The 5 </w:t>
      </w:r>
      <w:r>
        <w:rPr>
          <w:vertAlign w:val="superscript"/>
        </w:rPr>
        <w:t>3</w:t>
      </w:r>
      <w:r>
        <w:t>Σ</w:t>
      </w:r>
      <w:r>
        <w:rPr>
          <w:vertAlign w:val="superscript"/>
        </w:rPr>
        <w:t>+</w:t>
      </w:r>
      <w:r>
        <w:t xml:space="preserve"> [He</w:t>
      </w:r>
      <w:r>
        <w:rPr>
          <w:vertAlign w:val="superscript"/>
        </w:rPr>
        <w:t>+</w:t>
      </w:r>
      <w:r>
        <w:t xml:space="preserve"> (</w:t>
      </w:r>
      <w:r>
        <w:rPr>
          <w:i/>
        </w:rPr>
        <w:t>n</w:t>
      </w:r>
      <w:r>
        <w:t>=2) + CO</w:t>
      </w:r>
      <w:r>
        <w:rPr>
          <w:vertAlign w:val="superscript"/>
        </w:rPr>
        <w:t>+</w:t>
      </w:r>
      <w:r>
        <w:t xml:space="preserve"> (</w:t>
      </w:r>
      <w:r>
        <w:rPr>
          <w:i/>
        </w:rPr>
        <w:t xml:space="preserve">A </w:t>
      </w:r>
      <w:r>
        <w:rPr>
          <w:vertAlign w:val="superscript"/>
        </w:rPr>
        <w:t>2</w:t>
      </w:r>
      <w:r>
        <w:t>Σ</w:t>
      </w:r>
      <w:r>
        <w:rPr>
          <w:vertAlign w:val="superscript"/>
        </w:rPr>
        <w:t>+</w:t>
      </w:r>
      <w:r>
        <w:t xml:space="preserve">)] state has only a small contribution in low-energy collisions but it increases with collision energy. The 5 </w:t>
      </w:r>
      <w:r>
        <w:rPr>
          <w:vertAlign w:val="superscript"/>
        </w:rPr>
        <w:t>3</w:t>
      </w:r>
      <w:r>
        <w:t>Π [He</w:t>
      </w:r>
      <w:r>
        <w:rPr>
          <w:vertAlign w:val="superscript"/>
        </w:rPr>
        <w:t>+</w:t>
      </w:r>
      <w:r>
        <w:t xml:space="preserve"> (</w:t>
      </w:r>
      <w:r>
        <w:rPr>
          <w:i/>
        </w:rPr>
        <w:t>n</w:t>
      </w:r>
      <w:r>
        <w:t>=2) + CO</w:t>
      </w:r>
      <w:r>
        <w:rPr>
          <w:vertAlign w:val="superscript"/>
        </w:rPr>
        <w:t>+</w:t>
      </w:r>
      <w:r>
        <w:t xml:space="preserve"> (</w:t>
      </w:r>
      <w:r>
        <w:rPr>
          <w:i/>
        </w:rPr>
        <w:t xml:space="preserve">A </w:t>
      </w:r>
      <w:r>
        <w:rPr>
          <w:vertAlign w:val="superscript"/>
        </w:rPr>
        <w:t>2</w:t>
      </w:r>
      <w:r>
        <w:t>Π)] state plays a secondary role in the SEC process in low- to intermediate-energy</w:t>
      </w:r>
      <w:r>
        <w:rPr>
          <w:spacing w:val="-10"/>
        </w:rPr>
        <w:t xml:space="preserve"> </w:t>
      </w:r>
      <w:r>
        <w:t>collisions.</w:t>
      </w:r>
    </w:p>
    <w:p w:rsidR="00723861" w:rsidRDefault="00503A37">
      <w:pPr>
        <w:pStyle w:val="BodyText"/>
        <w:spacing w:before="124" w:line="362" w:lineRule="auto"/>
        <w:ind w:left="931" w:right="386" w:hanging="812"/>
      </w:pPr>
      <w:r>
        <w:t xml:space="preserve">FIG. 8 Partial SEC cross sections for the </w:t>
      </w:r>
      <w:r>
        <w:rPr>
          <w:vertAlign w:val="superscript"/>
        </w:rPr>
        <w:t>1</w:t>
      </w:r>
      <w:r>
        <w:t>Σ</w:t>
      </w:r>
      <w:r>
        <w:rPr>
          <w:vertAlign w:val="superscript"/>
        </w:rPr>
        <w:t>+</w:t>
      </w:r>
      <w:r>
        <w:t xml:space="preserve"> and </w:t>
      </w:r>
      <w:r>
        <w:rPr>
          <w:vertAlign w:val="superscript"/>
        </w:rPr>
        <w:t>1</w:t>
      </w:r>
      <w:r>
        <w:t>Π (singlet) states of the [HeCO]</w:t>
      </w:r>
      <w:r>
        <w:rPr>
          <w:vertAlign w:val="superscript"/>
        </w:rPr>
        <w:t>2+</w:t>
      </w:r>
      <w:r>
        <w:t xml:space="preserve"> system at equilibrium, α = 180°.</w:t>
      </w:r>
    </w:p>
    <w:p w:rsidR="00723861" w:rsidRDefault="00723861">
      <w:pPr>
        <w:spacing w:line="362" w:lineRule="auto"/>
        <w:sectPr w:rsidR="00723861">
          <w:pgSz w:w="12240" w:h="15840"/>
          <w:pgMar w:top="1360" w:right="1500" w:bottom="1200" w:left="1320" w:header="0" w:footer="1012" w:gutter="0"/>
          <w:cols w:space="720"/>
        </w:sectPr>
      </w:pPr>
    </w:p>
    <w:p w:rsidR="00723861" w:rsidRDefault="00503A37">
      <w:pPr>
        <w:pStyle w:val="BodyText"/>
        <w:ind w:left="1269"/>
        <w:rPr>
          <w:sz w:val="20"/>
        </w:rPr>
      </w:pPr>
      <w:r>
        <w:rPr>
          <w:noProof/>
          <w:sz w:val="20"/>
          <w:lang w:val="en-IN" w:eastAsia="en-IN"/>
        </w:rPr>
        <w:drawing>
          <wp:inline distT="0" distB="0" distL="0" distR="0">
            <wp:extent cx="4359389" cy="3035807"/>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6" cstate="print"/>
                    <a:stretch>
                      <a:fillRect/>
                    </a:stretch>
                  </pic:blipFill>
                  <pic:spPr>
                    <a:xfrm>
                      <a:off x="0" y="0"/>
                      <a:ext cx="4359389" cy="3035807"/>
                    </a:xfrm>
                    <a:prstGeom prst="rect">
                      <a:avLst/>
                    </a:prstGeom>
                  </pic:spPr>
                </pic:pic>
              </a:graphicData>
            </a:graphic>
          </wp:inline>
        </w:drawing>
      </w:r>
    </w:p>
    <w:p w:rsidR="00723861" w:rsidRDefault="00503A37">
      <w:pPr>
        <w:pStyle w:val="BodyText"/>
        <w:spacing w:before="156" w:line="360" w:lineRule="auto"/>
        <w:ind w:left="991" w:right="386" w:hanging="872"/>
      </w:pPr>
      <w:r>
        <w:t xml:space="preserve">FIG. 9. Partial SEC cross sections for the </w:t>
      </w:r>
      <w:r>
        <w:rPr>
          <w:vertAlign w:val="superscript"/>
        </w:rPr>
        <w:t>3</w:t>
      </w:r>
      <w:r>
        <w:t>Σ</w:t>
      </w:r>
      <w:r>
        <w:rPr>
          <w:vertAlign w:val="superscript"/>
        </w:rPr>
        <w:t>+</w:t>
      </w:r>
      <w:r>
        <w:t xml:space="preserve"> and </w:t>
      </w:r>
      <w:r>
        <w:rPr>
          <w:vertAlign w:val="superscript"/>
        </w:rPr>
        <w:t>3</w:t>
      </w:r>
      <w:r>
        <w:t>Π (triplet) states of the [HeCO]</w:t>
      </w:r>
      <w:r>
        <w:rPr>
          <w:vertAlign w:val="superscript"/>
        </w:rPr>
        <w:t>2+</w:t>
      </w:r>
      <w:r>
        <w:t xml:space="preserve"> system at equilibrium, α = 180°.</w:t>
      </w:r>
    </w:p>
    <w:p w:rsidR="00723861" w:rsidRDefault="00723861">
      <w:pPr>
        <w:pStyle w:val="BodyText"/>
        <w:spacing w:before="1"/>
        <w:ind w:left="0"/>
        <w:rPr>
          <w:sz w:val="36"/>
        </w:rPr>
      </w:pPr>
    </w:p>
    <w:p w:rsidR="00487189" w:rsidRPr="00487189" w:rsidRDefault="00487189" w:rsidP="00487189">
      <w:pPr>
        <w:pStyle w:val="BodyText"/>
        <w:spacing w:before="1" w:line="360" w:lineRule="auto"/>
        <w:ind w:right="126" w:firstLine="360"/>
        <w:jc w:val="both"/>
      </w:pPr>
      <w:r w:rsidRPr="00487189">
        <w:t>In the context of partial single electron capture (SEC) cross sections for He2+ ions approaching the carbon end, particularly in triplet states, the 1 3Π state [He+ (1s 2S) + CO+ (A 2Π)] emerges as the dominant contributor to the SEC process. This contribution intensifies as collision energy increases, underscoring the pivotal role played by rotational coupling matrix elements between the 1 3Π state and the entry channel 5 3Σ+ [He2+ + CO (X 3Σ+)] in driving the SEC process. The 4 3Σ+ state [He+ (n=2) + CO+ (X 2Σ+)] exerts a minor influence on the SEC process, exhibiting a weak dependence on collision energy below 3.5 keV. Beyond this threshold, the contribution of the 4 3Σ+ state gains significance with escalating collision energy, highlighting the substantial contribution of the radial coupling matrix element between the 4 3Σ+ state and the entry channel 5 3Σ+ to the SEC process in high-energy collisions.</w:t>
      </w:r>
    </w:p>
    <w:p w:rsidR="00487189" w:rsidRPr="00487189" w:rsidRDefault="00487189" w:rsidP="00487189">
      <w:pPr>
        <w:pStyle w:val="BodyText"/>
        <w:spacing w:before="1" w:line="360" w:lineRule="auto"/>
        <w:ind w:right="126" w:firstLine="360"/>
        <w:jc w:val="both"/>
      </w:pPr>
      <w:r w:rsidRPr="00487189">
        <w:t>The 2 3Σ+ state [He+ (1s 2S) + CO+ (A 2Σ+)] exerts a limited impact on the SEC process, with its contribution increasing as collision energy rises below 2 keV. However, above this energy threshold, the influence of the 2 3Σ+ state in the SEC process demonstrates very marginal dependence on collision energy. In contrast, the 1 3Σ+ state [He+ (1s 2S) + CO+ (X 3Σ+)], 5 3Σ+ [He+ (n=2) + CO+ (A 2Σ+)], and 5 3Π [He+ (n=2) + CO+ (A 2Π)] states contribute minimally to the SEC process during low- to intermediate-energy collisions.</w:t>
      </w:r>
    </w:p>
    <w:p w:rsidR="00FC701B" w:rsidRDefault="00503A37" w:rsidP="00FC701B">
      <w:pPr>
        <w:pStyle w:val="BodyText"/>
        <w:spacing w:before="1" w:line="360" w:lineRule="auto"/>
        <w:ind w:right="126" w:firstLine="360"/>
        <w:jc w:val="both"/>
      </w:pPr>
      <w:r>
        <w:t xml:space="preserve">The oscillations observed in partial cross sections of these states arise due to interferences between these states. </w:t>
      </w:r>
      <w:r w:rsidR="00FC701B">
        <w:t>The computed partial cross sections reveal that the He+ (1s 2S) state plays a crucial role in the single electron capture (SEC) process during low- to intermediate-energy collisions, while the He+ (n=2) state significantly contributes to intermediate- to high-energy collisions. These findings align well with the experimental results reported by Kearns et al. [7]. Although it was not feasible to calculate partial cross sections for the perpendicular approach (α = 90°) of He2+ ions toward the CO molecule, the partial cross sections obtained for the two distinct modes of approach, namely, the carbon and oxygen termini, underscore the presence of a pronounced steric effect in the collision dynamics.</w:t>
      </w:r>
    </w:p>
    <w:p w:rsidR="00FC701B" w:rsidRDefault="00FC701B" w:rsidP="00FC701B">
      <w:pPr>
        <w:pStyle w:val="z-TopofForm"/>
      </w:pPr>
      <w:r>
        <w:t>Top of Form</w:t>
      </w:r>
    </w:p>
    <w:p w:rsidR="00723861" w:rsidRDefault="00723861" w:rsidP="00FC701B">
      <w:pPr>
        <w:pStyle w:val="BodyText"/>
        <w:spacing w:before="1" w:line="360" w:lineRule="auto"/>
        <w:ind w:right="126" w:firstLine="360"/>
        <w:jc w:val="both"/>
        <w:rPr>
          <w:sz w:val="20"/>
        </w:rPr>
      </w:pPr>
    </w:p>
    <w:p w:rsidR="00723861" w:rsidRDefault="00503A37">
      <w:pPr>
        <w:pStyle w:val="Heading1"/>
        <w:numPr>
          <w:ilvl w:val="0"/>
          <w:numId w:val="2"/>
        </w:numPr>
        <w:tabs>
          <w:tab w:val="left" w:pos="519"/>
        </w:tabs>
      </w:pPr>
      <w:r>
        <w:t>Total cross</w:t>
      </w:r>
      <w:r>
        <w:rPr>
          <w:spacing w:val="-3"/>
        </w:rPr>
        <w:t xml:space="preserve"> </w:t>
      </w:r>
      <w:r>
        <w:t>sections</w:t>
      </w:r>
    </w:p>
    <w:p w:rsidR="00723861" w:rsidRDefault="00723861">
      <w:pPr>
        <w:pStyle w:val="BodyText"/>
        <w:spacing w:before="2"/>
        <w:ind w:left="0"/>
        <w:rPr>
          <w:b/>
          <w:sz w:val="37"/>
        </w:rPr>
      </w:pPr>
    </w:p>
    <w:p w:rsidR="005E5471" w:rsidRPr="005E5471" w:rsidRDefault="005E5471" w:rsidP="005E5471">
      <w:pPr>
        <w:pStyle w:val="BodyText"/>
        <w:spacing w:before="5" w:line="360" w:lineRule="auto"/>
        <w:ind w:left="0"/>
        <w:rPr>
          <w:noProof/>
        </w:rPr>
      </w:pPr>
      <w:r w:rsidRPr="005E5471">
        <w:rPr>
          <w:noProof/>
        </w:rPr>
        <w:t>In Figure 10, you can observe the total single electron capture (SEC) cross sections for He2+ ions approaching both the carbon and oxygen termini of the CO molecule. The total electron capture cross sections exhibit an upward trend with increasing collision energy for the oxygen end, whereas for the carbon end, the total electron capture cross sections show a gradual increase with collision energy. These curves clearly illustrate that the SEC process is more favorable toward the oxygen end. Consequently, it becomes evident that the calculated SEC cross sections are significantly influenced by the molecular orientation.</w:t>
      </w:r>
    </w:p>
    <w:p w:rsidR="00723861" w:rsidRPr="005E5471" w:rsidRDefault="00503A37" w:rsidP="005E5471">
      <w:pPr>
        <w:pStyle w:val="BodyText"/>
        <w:spacing w:before="5" w:line="360" w:lineRule="auto"/>
        <w:ind w:left="0"/>
        <w:rPr>
          <w:noProof/>
        </w:rPr>
      </w:pPr>
      <w:r>
        <w:rPr>
          <w:noProof/>
          <w:lang w:val="en-IN" w:eastAsia="en-IN"/>
        </w:rPr>
        <w:drawing>
          <wp:anchor distT="0" distB="0" distL="0" distR="0" simplePos="0" relativeHeight="6" behindDoc="0" locked="0" layoutInCell="1" allowOverlap="1">
            <wp:simplePos x="0" y="0"/>
            <wp:positionH relativeFrom="page">
              <wp:posOffset>1745287</wp:posOffset>
            </wp:positionH>
            <wp:positionV relativeFrom="paragraph">
              <wp:posOffset>181516</wp:posOffset>
            </wp:positionV>
            <wp:extent cx="4166495" cy="2592324"/>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7" cstate="print"/>
                    <a:stretch>
                      <a:fillRect/>
                    </a:stretch>
                  </pic:blipFill>
                  <pic:spPr>
                    <a:xfrm>
                      <a:off x="0" y="0"/>
                      <a:ext cx="4166495" cy="2592324"/>
                    </a:xfrm>
                    <a:prstGeom prst="rect">
                      <a:avLst/>
                    </a:prstGeom>
                  </pic:spPr>
                </pic:pic>
              </a:graphicData>
            </a:graphic>
          </wp:anchor>
        </w:drawing>
      </w:r>
    </w:p>
    <w:p w:rsidR="00723861" w:rsidRDefault="00503A37">
      <w:pPr>
        <w:pStyle w:val="BodyText"/>
        <w:spacing w:before="140" w:line="360" w:lineRule="auto"/>
        <w:ind w:left="1200" w:hanging="1080"/>
      </w:pPr>
      <w:r>
        <w:t>FIG. 10. Total SEC cross sections for different orientations of the He</w:t>
      </w:r>
      <w:r>
        <w:rPr>
          <w:vertAlign w:val="superscript"/>
        </w:rPr>
        <w:t>2+</w:t>
      </w:r>
      <w:r>
        <w:t xml:space="preserve"> projectile towards CO molecule at</w:t>
      </w:r>
      <w:r>
        <w:rPr>
          <w:spacing w:val="-1"/>
        </w:rPr>
        <w:t xml:space="preserve"> </w:t>
      </w:r>
      <w:r>
        <w:t>equilibrium.</w:t>
      </w:r>
    </w:p>
    <w:p w:rsidR="00723861" w:rsidRDefault="00723861">
      <w:pPr>
        <w:spacing w:line="360" w:lineRule="auto"/>
        <w:sectPr w:rsidR="00723861">
          <w:pgSz w:w="12240" w:h="15840"/>
          <w:pgMar w:top="1340" w:right="1500" w:bottom="1200" w:left="1320" w:header="0" w:footer="1012" w:gutter="0"/>
          <w:cols w:space="720"/>
        </w:sectPr>
      </w:pPr>
    </w:p>
    <w:p w:rsidR="00723861" w:rsidRDefault="00723861">
      <w:pPr>
        <w:pStyle w:val="BodyText"/>
        <w:spacing w:before="6"/>
        <w:ind w:left="0"/>
        <w:rPr>
          <w:sz w:val="3"/>
        </w:rPr>
      </w:pPr>
    </w:p>
    <w:p w:rsidR="00723861" w:rsidRDefault="00503A37">
      <w:pPr>
        <w:pStyle w:val="BodyText"/>
        <w:ind w:left="967"/>
        <w:rPr>
          <w:sz w:val="20"/>
        </w:rPr>
      </w:pPr>
      <w:r>
        <w:rPr>
          <w:noProof/>
          <w:sz w:val="20"/>
          <w:lang w:val="en-IN" w:eastAsia="en-IN"/>
        </w:rPr>
        <w:drawing>
          <wp:inline distT="0" distB="0" distL="0" distR="0">
            <wp:extent cx="4721074" cy="2930652"/>
            <wp:effectExtent l="0" t="0" r="0" b="0"/>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8" cstate="print"/>
                    <a:stretch>
                      <a:fillRect/>
                    </a:stretch>
                  </pic:blipFill>
                  <pic:spPr>
                    <a:xfrm>
                      <a:off x="0" y="0"/>
                      <a:ext cx="4721074" cy="2930652"/>
                    </a:xfrm>
                    <a:prstGeom prst="rect">
                      <a:avLst/>
                    </a:prstGeom>
                  </pic:spPr>
                </pic:pic>
              </a:graphicData>
            </a:graphic>
          </wp:inline>
        </w:drawing>
      </w:r>
    </w:p>
    <w:p w:rsidR="00723861" w:rsidRDefault="00503A37">
      <w:pPr>
        <w:pStyle w:val="BodyText"/>
        <w:spacing w:before="177" w:line="360" w:lineRule="auto"/>
        <w:ind w:left="1080" w:right="129" w:hanging="960"/>
      </w:pPr>
      <w:r>
        <w:t>FIG. 11. Total SEC cross sections averaged over two different orientations of the He</w:t>
      </w:r>
      <w:r>
        <w:rPr>
          <w:vertAlign w:val="superscript"/>
        </w:rPr>
        <w:t>2+</w:t>
      </w:r>
      <w:r>
        <w:t xml:space="preserve"> projectile towards CO molecule at equilibrium; filled circles with solid line, the present calculation; filled rectangles with error bars, the measurements of Kusakabe </w:t>
      </w:r>
      <w:r>
        <w:rPr>
          <w:i/>
        </w:rPr>
        <w:t xml:space="preserve">et al. </w:t>
      </w:r>
      <w:r>
        <w:t xml:space="preserve">[8]; filled triangles with error bars, the measurements of Čadež </w:t>
      </w:r>
      <w:r>
        <w:rPr>
          <w:i/>
        </w:rPr>
        <w:t>et al</w:t>
      </w:r>
      <w:r>
        <w:t>. [9].</w:t>
      </w:r>
    </w:p>
    <w:p w:rsidR="00723861" w:rsidRDefault="00723861">
      <w:pPr>
        <w:pStyle w:val="BodyText"/>
        <w:spacing w:before="11"/>
        <w:ind w:left="0"/>
        <w:rPr>
          <w:sz w:val="35"/>
        </w:rPr>
      </w:pPr>
    </w:p>
    <w:p w:rsidR="001950E1" w:rsidRPr="001950E1" w:rsidRDefault="00791892" w:rsidP="00791892">
      <w:pPr>
        <w:pStyle w:val="BodyText"/>
        <w:spacing w:line="360" w:lineRule="auto"/>
        <w:jc w:val="both"/>
      </w:pPr>
      <w:r w:rsidRPr="00791892">
        <w:rPr>
          <w:szCs w:val="27"/>
        </w:rPr>
        <w:t>Finally, let's juxtapose the computed total single electron capture (SEC) cross sections, averaged over two molecular orientations (carbon and oxygen termini), with the experimental measurements conducted by Kusakabe et al. [8] and Čadež et al. [9], as illustrated in Figure 11. Overall, there is very good agreement between the results of our calculations and the two sets of experimental data. Across the energy range examined in this study, our calculated SEC cross sections display an increase with collision energy, a trend that aligns both qualitatively and quantitatively with the experimental findings. Notably, the previously reported theoretical results by Kusakabe et al. [8] were approximately 50% lower than their experimental measurements. Therefore, the SEC cross sections derived in this study represent a substantial improvement over prior theoretical calculations. It is anticipated that the agreement between theoretical and experimental outcomes will further improve when SEC cross sections for the perpendicular approach of the He2+ ion toward the CO molecule are incorporated.</w:t>
      </w:r>
    </w:p>
    <w:p w:rsidR="001950E1" w:rsidRDefault="001950E1" w:rsidP="001950E1">
      <w:pPr>
        <w:pStyle w:val="z-TopofForm"/>
      </w:pPr>
      <w:r>
        <w:t>Top of Form</w:t>
      </w:r>
    </w:p>
    <w:p w:rsidR="00723861" w:rsidRDefault="00723861">
      <w:pPr>
        <w:spacing w:line="360" w:lineRule="auto"/>
        <w:jc w:val="both"/>
        <w:sectPr w:rsidR="00723861">
          <w:pgSz w:w="12240" w:h="15840"/>
          <w:pgMar w:top="1500" w:right="1500" w:bottom="1200" w:left="1320" w:header="0" w:footer="1012" w:gutter="0"/>
          <w:cols w:space="720"/>
        </w:sectPr>
      </w:pPr>
    </w:p>
    <w:p w:rsidR="00723861" w:rsidRDefault="00503A37">
      <w:pPr>
        <w:pStyle w:val="Heading1"/>
        <w:numPr>
          <w:ilvl w:val="0"/>
          <w:numId w:val="3"/>
        </w:numPr>
        <w:tabs>
          <w:tab w:val="left" w:pos="591"/>
        </w:tabs>
        <w:spacing w:before="59"/>
        <w:jc w:val="both"/>
      </w:pPr>
      <w:r>
        <w:t>Fragmentation</w:t>
      </w:r>
    </w:p>
    <w:p w:rsidR="00723861" w:rsidRDefault="00723861">
      <w:pPr>
        <w:pStyle w:val="BodyText"/>
        <w:spacing w:before="4"/>
        <w:ind w:left="0"/>
        <w:rPr>
          <w:b/>
          <w:sz w:val="33"/>
        </w:rPr>
      </w:pPr>
    </w:p>
    <w:p w:rsidR="009A7079" w:rsidRPr="009A7079" w:rsidRDefault="009A7079" w:rsidP="009A7079">
      <w:pPr>
        <w:pStyle w:val="BodyText"/>
        <w:spacing w:line="360" w:lineRule="auto"/>
        <w:rPr>
          <w:szCs w:val="27"/>
        </w:rPr>
      </w:pPr>
      <w:r w:rsidRPr="009A7079">
        <w:rPr>
          <w:szCs w:val="27"/>
        </w:rPr>
        <w:t>While the present study did not conduct a rigorous analysis of the fragmentation of the CO molecule resulting from the impact of He2+ ions, we provide a brief overview of potential mechanisms and consequences associated with fragmentation processes. In collisions between He2+ ions and CO molecules, the energy difference between the entry channel He2+ + CO (X 1Σ+) and the single electron capture (SEC) channel He+ (1s 2S) + CO+ [dissociative states] spans from 0 to 20 eV [7]. The energy difference between the entry channel (He2+/CO) and the SEC channel, He+ (n=2) + CO+ (X 2Σ+), is relatively small (approximately -0.42 eV) [7]. Radial coupling matrix elements between the entry channel and single electron capture [He+ (1s 2S) + CO+] channels are significant. Consequently, electron capture into the [He+ (1s 2S) + CO+] channel is highly efficient in low-energy collisions.</w:t>
      </w:r>
    </w:p>
    <w:p w:rsidR="009A7079" w:rsidRPr="009A7079" w:rsidRDefault="009A7079" w:rsidP="009A7079">
      <w:pPr>
        <w:pStyle w:val="BodyText"/>
        <w:spacing w:line="360" w:lineRule="auto"/>
        <w:rPr>
          <w:szCs w:val="27"/>
        </w:rPr>
      </w:pPr>
      <w:r w:rsidRPr="009A7079">
        <w:rPr>
          <w:szCs w:val="27"/>
        </w:rPr>
        <w:t>The specific outcome of the electron capture process depends on the energy transferred to CO+ during the collision. The lowest-energy state of CO+ possesses a binding energy of approximately 8.3 eV [36] and an equilibrium internuclear distance nearly identical to that of the CO ground state. In accordance with the Franck–Condon (FC) principle, it is probable that most of the CO+ ions generated through SEC into the He+ (n=2) state will populate the low-lying bound states of CO+ that are relatively stable. In contrast, SEC into the He+ (1s 2S) state results in the formation of an unstable CO+ ion, leading to its dissociation. The dissociation of the CO+ ion formed through single electron capture into the He+ (1s 2S) state gives rise to the generation of either C+ or O+ ions.</w:t>
      </w:r>
    </w:p>
    <w:p w:rsidR="009A7079" w:rsidRPr="009A7079" w:rsidRDefault="009A7079" w:rsidP="009A7079">
      <w:pPr>
        <w:pStyle w:val="BodyText"/>
        <w:spacing w:line="360" w:lineRule="auto"/>
        <w:rPr>
          <w:szCs w:val="27"/>
        </w:rPr>
      </w:pPr>
      <w:r w:rsidRPr="009A7079">
        <w:rPr>
          <w:szCs w:val="27"/>
        </w:rPr>
        <w:t>As reported by Shah and Gilbody [37], in collisions between He2+ ions and CO molecules at 32 keV, the lowest energy considered in their study, dissociative SEC channels contribute to a total cross section of 5.05×10−16 cm2, compared to a total of 11.9×10−16 cm2 from non-dissociative SEC. They also observed that dissociative electron capture leads to the formation of He+ + C+ + O+ + e-, He+ + C2+ + O + e-, He+ + C2+ + O+ + 2e-, and He+ + C2+ + O2+ + 3e-. At 12 keV, Folkerts et al. [38] found that fragmentation channels account for approximately 46% of the total products resulting from the ionization of CO.</w:t>
      </w:r>
    </w:p>
    <w:p w:rsidR="00723861" w:rsidRDefault="00723861">
      <w:pPr>
        <w:pStyle w:val="BodyText"/>
        <w:spacing w:before="8"/>
        <w:ind w:left="0"/>
        <w:rPr>
          <w:sz w:val="20"/>
        </w:rPr>
      </w:pPr>
    </w:p>
    <w:p w:rsidR="00596292" w:rsidRDefault="00503A37" w:rsidP="00596292">
      <w:pPr>
        <w:pStyle w:val="Heading1"/>
        <w:numPr>
          <w:ilvl w:val="0"/>
          <w:numId w:val="5"/>
        </w:numPr>
        <w:tabs>
          <w:tab w:val="left" w:pos="635"/>
        </w:tabs>
        <w:ind w:left="634" w:hanging="515"/>
        <w:jc w:val="both"/>
      </w:pPr>
      <w:r>
        <w:t>Conclusions</w:t>
      </w:r>
    </w:p>
    <w:p w:rsidR="00596292" w:rsidRDefault="00596292" w:rsidP="00596292">
      <w:pPr>
        <w:pStyle w:val="Heading1"/>
        <w:numPr>
          <w:ilvl w:val="0"/>
          <w:numId w:val="5"/>
        </w:numPr>
        <w:tabs>
          <w:tab w:val="left" w:pos="635"/>
        </w:tabs>
        <w:ind w:left="634" w:hanging="515"/>
        <w:jc w:val="both"/>
      </w:pPr>
    </w:p>
    <w:p w:rsidR="00596292" w:rsidRDefault="00596292" w:rsidP="00596292">
      <w:pPr>
        <w:pStyle w:val="BodyText"/>
        <w:spacing w:line="360" w:lineRule="auto"/>
        <w:ind w:right="121" w:firstLine="360"/>
        <w:jc w:val="both"/>
      </w:pPr>
      <w:r>
        <w:t>The collision dynamics of the [HeCO]2+ system have been scrutinized utilizing the impact parameter method [13] across an energy spectrum ranging from 0.6 to 6.0 keV, corresponding to ion velocities typically around 3 keV in the context of solar-wind ions at low heliographic latitudes [23]. Partial and total single electron capture (SEC) cross sections have been computed, considering the statistical weights of 1/4 and 3/4 for the singlet and triplet manifolds, respectively. To investigate the impact of molecular orientation on these computed cross sections, the calculations have been performed for scenarios where the He2+ ion approaches both the carbon and oxygen ends of the CO molecule. The predominance of the oxygen end in facilitating the electron capture process has been underscored. Additionally, we have presented the partial and total SEC cross sections, which have been averaged over the two molecular orientations (carbon and oxygen termini) considered in this study.</w:t>
      </w:r>
    </w:p>
    <w:p w:rsidR="00596292" w:rsidRDefault="00596292" w:rsidP="00596292">
      <w:pPr>
        <w:pStyle w:val="BodyText"/>
        <w:spacing w:line="360" w:lineRule="auto"/>
        <w:ind w:right="121" w:firstLine="360"/>
        <w:jc w:val="both"/>
      </w:pPr>
    </w:p>
    <w:p w:rsidR="00723861" w:rsidRPr="00735812" w:rsidRDefault="00596292" w:rsidP="00735812">
      <w:pPr>
        <w:pStyle w:val="BodyText"/>
        <w:spacing w:line="360" w:lineRule="auto"/>
        <w:ind w:right="121" w:firstLine="360"/>
        <w:jc w:val="both"/>
      </w:pPr>
      <w:r w:rsidRPr="00596292">
        <w:t>The orientation-averaged total cross sections for both single and double electron capture, as computed in this investigation, have been juxtaposed with the available experimental data. It has been demonstrated that the impact parameter method produces cross section values that closely align with the experimental observations [8, 9], particularly within the energy range explored in this research. The primary importance of dissociative single electron capture in low-energy collisions has been emphasized. Moreover, the discourse has centered on the process of single electron capture into He+ (1s 2S) states, leading to the formation of unstable CO+ ions and their subsequent fragmentation, resulting in the generation of multiply charged ions. The calculated partial and total SEC cross sections underscore the substantial influence of radial and rotational couplings relative to spin-orbit couplings. These factors have been shown to impact processes occurring in the cometary atmosphere that give rise to X-ray and EUV photon emissions. The SEC cross section data presented in this study are anticipated to be valuable for various applications.</w:t>
      </w:r>
    </w:p>
    <w:p w:rsidR="00735812" w:rsidRDefault="00735812">
      <w:pPr>
        <w:pStyle w:val="BodyText"/>
        <w:ind w:left="0"/>
        <w:rPr>
          <w:sz w:val="31"/>
        </w:rPr>
      </w:pPr>
      <w:bookmarkStart w:id="0" w:name="_GoBack"/>
      <w:bookmarkEnd w:id="0"/>
    </w:p>
    <w:p w:rsidR="00723861" w:rsidRDefault="00503A37">
      <w:pPr>
        <w:pStyle w:val="Heading1"/>
        <w:ind w:left="120" w:firstLine="0"/>
      </w:pPr>
      <w:r>
        <w:t>References</w:t>
      </w:r>
    </w:p>
    <w:p w:rsidR="00723861" w:rsidRDefault="00723861">
      <w:pPr>
        <w:pStyle w:val="BodyText"/>
        <w:spacing w:before="4"/>
        <w:ind w:left="0"/>
        <w:rPr>
          <w:b/>
          <w:sz w:val="33"/>
        </w:rPr>
      </w:pPr>
    </w:p>
    <w:p w:rsidR="00723861" w:rsidRDefault="00503A37">
      <w:pPr>
        <w:pStyle w:val="ListParagraph"/>
        <w:numPr>
          <w:ilvl w:val="1"/>
          <w:numId w:val="5"/>
        </w:numPr>
        <w:tabs>
          <w:tab w:val="left" w:pos="840"/>
          <w:tab w:val="left" w:pos="841"/>
        </w:tabs>
        <w:ind w:hanging="541"/>
        <w:rPr>
          <w:sz w:val="24"/>
        </w:rPr>
      </w:pPr>
      <w:r>
        <w:rPr>
          <w:sz w:val="24"/>
        </w:rPr>
        <w:t xml:space="preserve">S. Lepp, P. C. Stancil, and A. Dalgarno, J. Phys. B: At. Mol. Opt. Phys. </w:t>
      </w:r>
      <w:r>
        <w:rPr>
          <w:b/>
          <w:sz w:val="24"/>
        </w:rPr>
        <w:t>35</w:t>
      </w:r>
      <w:r>
        <w:rPr>
          <w:sz w:val="24"/>
        </w:rPr>
        <w:t>, R57</w:t>
      </w:r>
      <w:r>
        <w:rPr>
          <w:spacing w:val="-8"/>
          <w:sz w:val="24"/>
        </w:rPr>
        <w:t xml:space="preserve"> </w:t>
      </w:r>
      <w:r>
        <w:rPr>
          <w:sz w:val="24"/>
        </w:rPr>
        <w:t>(2002).</w:t>
      </w:r>
    </w:p>
    <w:p w:rsidR="00723861" w:rsidRDefault="00503A37">
      <w:pPr>
        <w:pStyle w:val="ListParagraph"/>
        <w:numPr>
          <w:ilvl w:val="1"/>
          <w:numId w:val="5"/>
        </w:numPr>
        <w:tabs>
          <w:tab w:val="left" w:pos="840"/>
          <w:tab w:val="left" w:pos="841"/>
        </w:tabs>
        <w:ind w:hanging="541"/>
        <w:rPr>
          <w:sz w:val="24"/>
        </w:rPr>
      </w:pPr>
      <w:r>
        <w:rPr>
          <w:sz w:val="24"/>
        </w:rPr>
        <w:t xml:space="preserve">T. R. Kallman and P. Palmeri, Rev. Mod. Phys. </w:t>
      </w:r>
      <w:r>
        <w:rPr>
          <w:b/>
          <w:sz w:val="24"/>
        </w:rPr>
        <w:t>79</w:t>
      </w:r>
      <w:r>
        <w:rPr>
          <w:sz w:val="24"/>
        </w:rPr>
        <w:t>, 79 (2007).</w:t>
      </w:r>
    </w:p>
    <w:p w:rsidR="00723861" w:rsidRDefault="00503A37">
      <w:pPr>
        <w:pStyle w:val="ListParagraph"/>
        <w:numPr>
          <w:ilvl w:val="1"/>
          <w:numId w:val="5"/>
        </w:numPr>
        <w:tabs>
          <w:tab w:val="left" w:pos="840"/>
          <w:tab w:val="left" w:pos="841"/>
        </w:tabs>
        <w:ind w:right="202"/>
        <w:rPr>
          <w:sz w:val="24"/>
        </w:rPr>
      </w:pPr>
      <w:r>
        <w:rPr>
          <w:sz w:val="24"/>
        </w:rPr>
        <w:t>A. Bhardwaj, R. F. Elsner, G. R. Gladstone, T. E. Cravens, C. M. Lisse, K. Dennerl,</w:t>
      </w:r>
      <w:r>
        <w:rPr>
          <w:spacing w:val="-17"/>
          <w:sz w:val="24"/>
        </w:rPr>
        <w:t xml:space="preserve"> </w:t>
      </w:r>
      <w:r>
        <w:rPr>
          <w:sz w:val="24"/>
        </w:rPr>
        <w:t xml:space="preserve">G. Branduardi-Raymont, B. J. Wargelin, J. H. Waite Jr., </w:t>
      </w:r>
      <w:r>
        <w:rPr>
          <w:spacing w:val="-3"/>
          <w:sz w:val="24"/>
        </w:rPr>
        <w:t xml:space="preserve">I. </w:t>
      </w:r>
      <w:r>
        <w:rPr>
          <w:sz w:val="24"/>
        </w:rPr>
        <w:t xml:space="preserve">Robertson, N. Østgaard, P. Beiersdorfer, S. L. Snowden, and V. Kharchenko, Planet. Space Sci. </w:t>
      </w:r>
      <w:r>
        <w:rPr>
          <w:b/>
          <w:sz w:val="24"/>
        </w:rPr>
        <w:t>55</w:t>
      </w:r>
      <w:r>
        <w:rPr>
          <w:sz w:val="24"/>
        </w:rPr>
        <w:t>, 1135</w:t>
      </w:r>
      <w:r>
        <w:rPr>
          <w:spacing w:val="-7"/>
          <w:sz w:val="24"/>
        </w:rPr>
        <w:t xml:space="preserve"> </w:t>
      </w:r>
      <w:r>
        <w:rPr>
          <w:sz w:val="24"/>
        </w:rPr>
        <w:t>(2007).</w:t>
      </w:r>
    </w:p>
    <w:p w:rsidR="00723861" w:rsidRDefault="00503A37">
      <w:pPr>
        <w:pStyle w:val="ListParagraph"/>
        <w:numPr>
          <w:ilvl w:val="1"/>
          <w:numId w:val="5"/>
        </w:numPr>
        <w:tabs>
          <w:tab w:val="left" w:pos="841"/>
        </w:tabs>
        <w:ind w:right="612"/>
        <w:jc w:val="both"/>
        <w:rPr>
          <w:sz w:val="24"/>
        </w:rPr>
      </w:pPr>
      <w:r>
        <w:rPr>
          <w:sz w:val="24"/>
        </w:rPr>
        <w:t xml:space="preserve">I. Yoshikawa, A. Yamazaki, K. Shiomi, M. Nakamura, K. Yamashita, Y. Saito, M. Hirahara, Y. Takizawa, W. Miyake, and S. Matsuura, J. Geophys. Res. </w:t>
      </w:r>
      <w:r>
        <w:rPr>
          <w:b/>
          <w:sz w:val="24"/>
        </w:rPr>
        <w:t>106</w:t>
      </w:r>
      <w:r>
        <w:rPr>
          <w:sz w:val="24"/>
        </w:rPr>
        <w:t>, 26057 (2001).</w:t>
      </w:r>
    </w:p>
    <w:p w:rsidR="00723861" w:rsidRDefault="00503A37">
      <w:pPr>
        <w:pStyle w:val="ListParagraph"/>
        <w:numPr>
          <w:ilvl w:val="1"/>
          <w:numId w:val="5"/>
        </w:numPr>
        <w:tabs>
          <w:tab w:val="left" w:pos="841"/>
        </w:tabs>
        <w:spacing w:before="1"/>
        <w:ind w:hanging="541"/>
        <w:jc w:val="both"/>
        <w:rPr>
          <w:sz w:val="24"/>
        </w:rPr>
      </w:pPr>
      <w:r>
        <w:rPr>
          <w:sz w:val="24"/>
        </w:rPr>
        <w:t xml:space="preserve">V. A. Krasnoplosky and M. J. Mumma, Astrophys. J. </w:t>
      </w:r>
      <w:r>
        <w:rPr>
          <w:b/>
          <w:sz w:val="24"/>
        </w:rPr>
        <w:t>549</w:t>
      </w:r>
      <w:r>
        <w:rPr>
          <w:sz w:val="24"/>
        </w:rPr>
        <w:t>, 629</w:t>
      </w:r>
      <w:r>
        <w:rPr>
          <w:spacing w:val="-3"/>
          <w:sz w:val="24"/>
        </w:rPr>
        <w:t xml:space="preserve"> </w:t>
      </w:r>
      <w:r>
        <w:rPr>
          <w:sz w:val="24"/>
        </w:rPr>
        <w:t>(2001).</w:t>
      </w:r>
    </w:p>
    <w:p w:rsidR="00723861" w:rsidRDefault="00503A37">
      <w:pPr>
        <w:pStyle w:val="ListParagraph"/>
        <w:numPr>
          <w:ilvl w:val="1"/>
          <w:numId w:val="5"/>
        </w:numPr>
        <w:tabs>
          <w:tab w:val="left" w:pos="840"/>
          <w:tab w:val="left" w:pos="841"/>
        </w:tabs>
        <w:ind w:right="132"/>
        <w:rPr>
          <w:sz w:val="24"/>
        </w:rPr>
      </w:pPr>
      <w:r>
        <w:rPr>
          <w:sz w:val="24"/>
        </w:rPr>
        <w:t xml:space="preserve">V. A. Krasnopolsky, M. J. Mumma, M. Abbott, B. C. Flynn, K. J. Meech, D. K. Yeomans, P. D. Feldman, and C. B. Cosmovici, Science </w:t>
      </w:r>
      <w:r>
        <w:rPr>
          <w:b/>
          <w:sz w:val="24"/>
        </w:rPr>
        <w:t>277</w:t>
      </w:r>
      <w:r>
        <w:rPr>
          <w:sz w:val="24"/>
        </w:rPr>
        <w:t>, 1488 (1997).</w:t>
      </w:r>
    </w:p>
    <w:p w:rsidR="00723861" w:rsidRDefault="00503A37">
      <w:pPr>
        <w:pStyle w:val="ListParagraph"/>
        <w:numPr>
          <w:ilvl w:val="1"/>
          <w:numId w:val="5"/>
        </w:numPr>
        <w:tabs>
          <w:tab w:val="left" w:pos="840"/>
          <w:tab w:val="left" w:pos="841"/>
        </w:tabs>
        <w:ind w:right="168"/>
        <w:rPr>
          <w:sz w:val="24"/>
        </w:rPr>
      </w:pPr>
      <w:r>
        <w:rPr>
          <w:sz w:val="24"/>
        </w:rPr>
        <w:t>D. M. Kearns, D. R. Gillen, D. Voulot, J. B. Greenwood, R. W. McCullough, and H.</w:t>
      </w:r>
      <w:r>
        <w:rPr>
          <w:spacing w:val="-12"/>
          <w:sz w:val="24"/>
        </w:rPr>
        <w:t xml:space="preserve"> </w:t>
      </w:r>
      <w:r>
        <w:rPr>
          <w:sz w:val="24"/>
        </w:rPr>
        <w:t xml:space="preserve">B. Gilbody, J. Phys. B: At. Mol. Opt. Phys. </w:t>
      </w:r>
      <w:r>
        <w:rPr>
          <w:b/>
          <w:sz w:val="24"/>
        </w:rPr>
        <w:t>34</w:t>
      </w:r>
      <w:r>
        <w:rPr>
          <w:sz w:val="24"/>
        </w:rPr>
        <w:t>, 3401</w:t>
      </w:r>
      <w:r>
        <w:rPr>
          <w:spacing w:val="4"/>
          <w:sz w:val="24"/>
        </w:rPr>
        <w:t xml:space="preserve"> </w:t>
      </w:r>
      <w:r>
        <w:rPr>
          <w:sz w:val="24"/>
        </w:rPr>
        <w:t>(2001).</w:t>
      </w:r>
    </w:p>
    <w:p w:rsidR="00723861" w:rsidRDefault="00503A37">
      <w:pPr>
        <w:pStyle w:val="ListParagraph"/>
        <w:numPr>
          <w:ilvl w:val="1"/>
          <w:numId w:val="5"/>
        </w:numPr>
        <w:tabs>
          <w:tab w:val="left" w:pos="840"/>
          <w:tab w:val="left" w:pos="841"/>
        </w:tabs>
        <w:ind w:right="657"/>
        <w:rPr>
          <w:sz w:val="24"/>
        </w:rPr>
      </w:pPr>
      <w:r>
        <w:rPr>
          <w:sz w:val="24"/>
        </w:rPr>
        <w:t xml:space="preserve">T. Kusakabe, Y. Miyamoto, M. Kimura, and H. Tawara, Phys. Rev. A </w:t>
      </w:r>
      <w:r>
        <w:rPr>
          <w:b/>
          <w:sz w:val="24"/>
        </w:rPr>
        <w:t>73</w:t>
      </w:r>
      <w:r>
        <w:rPr>
          <w:sz w:val="24"/>
        </w:rPr>
        <w:t>, 022706 (2006).</w:t>
      </w:r>
    </w:p>
    <w:p w:rsidR="00723861" w:rsidRDefault="00503A37">
      <w:pPr>
        <w:pStyle w:val="ListParagraph"/>
        <w:numPr>
          <w:ilvl w:val="1"/>
          <w:numId w:val="5"/>
        </w:numPr>
        <w:tabs>
          <w:tab w:val="left" w:pos="840"/>
          <w:tab w:val="left" w:pos="841"/>
        </w:tabs>
        <w:ind w:hanging="541"/>
        <w:rPr>
          <w:sz w:val="24"/>
        </w:rPr>
      </w:pPr>
      <w:r>
        <w:rPr>
          <w:sz w:val="24"/>
        </w:rPr>
        <w:t>I. Čadež, J. B. Greenwood, A. Chutjian, R. J. Mawhorter, S. J. Smith, and M.</w:t>
      </w:r>
      <w:r>
        <w:rPr>
          <w:spacing w:val="42"/>
          <w:sz w:val="24"/>
        </w:rPr>
        <w:t xml:space="preserve"> </w:t>
      </w:r>
      <w:r>
        <w:rPr>
          <w:sz w:val="24"/>
        </w:rPr>
        <w:t>Niimura,</w:t>
      </w:r>
    </w:p>
    <w:p w:rsidR="00723861" w:rsidRDefault="00723861">
      <w:pPr>
        <w:rPr>
          <w:sz w:val="24"/>
        </w:rPr>
        <w:sectPr w:rsidR="00723861">
          <w:pgSz w:w="12240" w:h="15840"/>
          <w:pgMar w:top="1360" w:right="1500" w:bottom="1200" w:left="1320" w:header="0" w:footer="1012" w:gutter="0"/>
          <w:cols w:space="720"/>
        </w:sectPr>
      </w:pPr>
    </w:p>
    <w:p w:rsidR="00723861" w:rsidRDefault="00503A37">
      <w:pPr>
        <w:pStyle w:val="BodyText"/>
        <w:spacing w:before="79"/>
        <w:ind w:left="840"/>
      </w:pPr>
      <w:r>
        <w:t xml:space="preserve">J. Phys. B: At. Mol. Opt. Phys. </w:t>
      </w:r>
      <w:r>
        <w:rPr>
          <w:b/>
        </w:rPr>
        <w:t>35</w:t>
      </w:r>
      <w:r>
        <w:t>, 2515 (2002).</w:t>
      </w:r>
    </w:p>
    <w:p w:rsidR="00723861" w:rsidRDefault="00503A37">
      <w:pPr>
        <w:pStyle w:val="ListParagraph"/>
        <w:numPr>
          <w:ilvl w:val="1"/>
          <w:numId w:val="5"/>
        </w:numPr>
        <w:tabs>
          <w:tab w:val="left" w:pos="841"/>
        </w:tabs>
        <w:ind w:hanging="541"/>
        <w:rPr>
          <w:sz w:val="24"/>
        </w:rPr>
      </w:pPr>
      <w:r>
        <w:rPr>
          <w:sz w:val="24"/>
        </w:rPr>
        <w:t xml:space="preserve">K. Ishii, K. Okuno, and N. Kobayashi, Phys. Scr. T </w:t>
      </w:r>
      <w:r>
        <w:rPr>
          <w:b/>
          <w:sz w:val="24"/>
        </w:rPr>
        <w:t>80</w:t>
      </w:r>
      <w:r>
        <w:rPr>
          <w:sz w:val="24"/>
        </w:rPr>
        <w:t>, 176</w:t>
      </w:r>
      <w:r>
        <w:rPr>
          <w:spacing w:val="5"/>
          <w:sz w:val="24"/>
        </w:rPr>
        <w:t xml:space="preserve"> </w:t>
      </w:r>
      <w:r>
        <w:rPr>
          <w:sz w:val="24"/>
        </w:rPr>
        <w:t>(1999).</w:t>
      </w:r>
    </w:p>
    <w:p w:rsidR="00723861" w:rsidRDefault="00503A37">
      <w:pPr>
        <w:pStyle w:val="ListParagraph"/>
        <w:numPr>
          <w:ilvl w:val="1"/>
          <w:numId w:val="5"/>
        </w:numPr>
        <w:tabs>
          <w:tab w:val="left" w:pos="841"/>
        </w:tabs>
        <w:ind w:hanging="541"/>
        <w:rPr>
          <w:sz w:val="24"/>
        </w:rPr>
      </w:pPr>
      <w:r>
        <w:rPr>
          <w:sz w:val="24"/>
        </w:rPr>
        <w:t xml:space="preserve">M. E. Rudd, T. V. Goffe, and A. Itoh, Phys. Rev. A </w:t>
      </w:r>
      <w:r>
        <w:rPr>
          <w:b/>
          <w:sz w:val="24"/>
        </w:rPr>
        <w:t>32</w:t>
      </w:r>
      <w:r>
        <w:rPr>
          <w:sz w:val="24"/>
        </w:rPr>
        <w:t>, 2128</w:t>
      </w:r>
      <w:r>
        <w:rPr>
          <w:spacing w:val="2"/>
          <w:sz w:val="24"/>
        </w:rPr>
        <w:t xml:space="preserve"> </w:t>
      </w:r>
      <w:r>
        <w:rPr>
          <w:sz w:val="24"/>
        </w:rPr>
        <w:t>(1985).</w:t>
      </w:r>
    </w:p>
    <w:p w:rsidR="00723861" w:rsidRDefault="00503A37">
      <w:pPr>
        <w:pStyle w:val="ListParagraph"/>
        <w:numPr>
          <w:ilvl w:val="1"/>
          <w:numId w:val="5"/>
        </w:numPr>
        <w:tabs>
          <w:tab w:val="left" w:pos="841"/>
        </w:tabs>
        <w:ind w:hanging="541"/>
        <w:rPr>
          <w:sz w:val="24"/>
        </w:rPr>
      </w:pPr>
      <w:r>
        <w:rPr>
          <w:sz w:val="24"/>
        </w:rPr>
        <w:t xml:space="preserve">M. Albu, </w:t>
      </w:r>
      <w:r>
        <w:rPr>
          <w:spacing w:val="-3"/>
          <w:sz w:val="24"/>
        </w:rPr>
        <w:t xml:space="preserve">L. </w:t>
      </w:r>
      <w:r>
        <w:rPr>
          <w:sz w:val="24"/>
        </w:rPr>
        <w:t xml:space="preserve">Mrazek, F. Aumayr, and H. Winter, Int. J. Mol. Sci. </w:t>
      </w:r>
      <w:r>
        <w:rPr>
          <w:b/>
          <w:sz w:val="24"/>
        </w:rPr>
        <w:t>3</w:t>
      </w:r>
      <w:r>
        <w:rPr>
          <w:sz w:val="24"/>
        </w:rPr>
        <w:t>, 209</w:t>
      </w:r>
      <w:r>
        <w:rPr>
          <w:spacing w:val="5"/>
          <w:sz w:val="24"/>
        </w:rPr>
        <w:t xml:space="preserve"> </w:t>
      </w:r>
      <w:r>
        <w:rPr>
          <w:sz w:val="24"/>
        </w:rPr>
        <w:t>(2002).</w:t>
      </w:r>
    </w:p>
    <w:p w:rsidR="00723861" w:rsidRDefault="00503A37">
      <w:pPr>
        <w:pStyle w:val="ListParagraph"/>
        <w:numPr>
          <w:ilvl w:val="1"/>
          <w:numId w:val="5"/>
        </w:numPr>
        <w:tabs>
          <w:tab w:val="left" w:pos="841"/>
        </w:tabs>
        <w:ind w:left="842" w:right="528" w:hanging="543"/>
        <w:rPr>
          <w:sz w:val="24"/>
        </w:rPr>
      </w:pPr>
      <w:r>
        <w:rPr>
          <w:sz w:val="24"/>
        </w:rPr>
        <w:t xml:space="preserve">R. J. Allan, C. Courbin, P. Salas, and P. Wahnon, J. Phys. B: At. Mol. Opt. Phy. </w:t>
      </w:r>
      <w:r>
        <w:rPr>
          <w:b/>
          <w:sz w:val="24"/>
        </w:rPr>
        <w:t>23</w:t>
      </w:r>
      <w:r>
        <w:rPr>
          <w:sz w:val="24"/>
        </w:rPr>
        <w:t>, L461</w:t>
      </w:r>
      <w:r>
        <w:rPr>
          <w:spacing w:val="-1"/>
          <w:sz w:val="24"/>
        </w:rPr>
        <w:t xml:space="preserve"> </w:t>
      </w:r>
      <w:r>
        <w:rPr>
          <w:sz w:val="24"/>
        </w:rPr>
        <w:t>(1990).</w:t>
      </w:r>
    </w:p>
    <w:p w:rsidR="00723861" w:rsidRDefault="00503A37">
      <w:pPr>
        <w:pStyle w:val="ListParagraph"/>
        <w:numPr>
          <w:ilvl w:val="1"/>
          <w:numId w:val="5"/>
        </w:numPr>
        <w:tabs>
          <w:tab w:val="left" w:pos="841"/>
        </w:tabs>
        <w:ind w:hanging="541"/>
        <w:rPr>
          <w:sz w:val="24"/>
        </w:rPr>
      </w:pPr>
      <w:r>
        <w:rPr>
          <w:sz w:val="24"/>
        </w:rPr>
        <w:t xml:space="preserve">R. J. Buenker, and S. D. Peyerimhoff, Theor. Chim. Acta (Berl.) </w:t>
      </w:r>
      <w:r>
        <w:rPr>
          <w:b/>
          <w:sz w:val="24"/>
        </w:rPr>
        <w:t>35</w:t>
      </w:r>
      <w:r>
        <w:rPr>
          <w:sz w:val="24"/>
        </w:rPr>
        <w:t>, 33</w:t>
      </w:r>
      <w:r>
        <w:rPr>
          <w:spacing w:val="-1"/>
          <w:sz w:val="24"/>
        </w:rPr>
        <w:t xml:space="preserve"> </w:t>
      </w:r>
      <w:r>
        <w:rPr>
          <w:sz w:val="24"/>
        </w:rPr>
        <w:t>(1974).</w:t>
      </w:r>
    </w:p>
    <w:p w:rsidR="00723861" w:rsidRDefault="00503A37">
      <w:pPr>
        <w:pStyle w:val="ListParagraph"/>
        <w:numPr>
          <w:ilvl w:val="1"/>
          <w:numId w:val="5"/>
        </w:numPr>
        <w:tabs>
          <w:tab w:val="left" w:pos="841"/>
        </w:tabs>
        <w:ind w:hanging="541"/>
        <w:rPr>
          <w:sz w:val="24"/>
        </w:rPr>
      </w:pPr>
      <w:r>
        <w:rPr>
          <w:sz w:val="24"/>
        </w:rPr>
        <w:t xml:space="preserve">R. J. Buenker, and S. D. Peyerimhoff, Theor. Chim. Acta (Berl.) </w:t>
      </w:r>
      <w:r>
        <w:rPr>
          <w:b/>
          <w:sz w:val="24"/>
        </w:rPr>
        <w:t>39</w:t>
      </w:r>
      <w:r>
        <w:rPr>
          <w:sz w:val="24"/>
        </w:rPr>
        <w:t>, 217</w:t>
      </w:r>
      <w:r>
        <w:rPr>
          <w:spacing w:val="-1"/>
          <w:sz w:val="24"/>
        </w:rPr>
        <w:t xml:space="preserve"> </w:t>
      </w:r>
      <w:r>
        <w:rPr>
          <w:sz w:val="24"/>
        </w:rPr>
        <w:t>(1975).</w:t>
      </w:r>
    </w:p>
    <w:p w:rsidR="00723861" w:rsidRDefault="00503A37">
      <w:pPr>
        <w:pStyle w:val="ListParagraph"/>
        <w:numPr>
          <w:ilvl w:val="1"/>
          <w:numId w:val="5"/>
        </w:numPr>
        <w:tabs>
          <w:tab w:val="left" w:pos="841"/>
        </w:tabs>
        <w:ind w:hanging="541"/>
        <w:rPr>
          <w:sz w:val="24"/>
        </w:rPr>
      </w:pPr>
      <w:r>
        <w:rPr>
          <w:sz w:val="24"/>
        </w:rPr>
        <w:t xml:space="preserve">R. J. Buenker, Int. J. Quantum Chem. </w:t>
      </w:r>
      <w:r>
        <w:rPr>
          <w:b/>
          <w:sz w:val="24"/>
        </w:rPr>
        <w:t>29</w:t>
      </w:r>
      <w:r>
        <w:rPr>
          <w:sz w:val="24"/>
        </w:rPr>
        <w:t>, 435</w:t>
      </w:r>
      <w:r>
        <w:rPr>
          <w:spacing w:val="1"/>
          <w:sz w:val="24"/>
        </w:rPr>
        <w:t xml:space="preserve"> </w:t>
      </w:r>
      <w:r>
        <w:rPr>
          <w:sz w:val="24"/>
        </w:rPr>
        <w:t>(1986).</w:t>
      </w:r>
    </w:p>
    <w:p w:rsidR="00723861" w:rsidRDefault="00503A37">
      <w:pPr>
        <w:pStyle w:val="ListParagraph"/>
        <w:numPr>
          <w:ilvl w:val="1"/>
          <w:numId w:val="5"/>
        </w:numPr>
        <w:tabs>
          <w:tab w:val="left" w:pos="841"/>
        </w:tabs>
        <w:ind w:right="235"/>
        <w:rPr>
          <w:sz w:val="24"/>
        </w:rPr>
      </w:pPr>
      <w:r>
        <w:rPr>
          <w:sz w:val="24"/>
        </w:rPr>
        <w:t xml:space="preserve">R. J. Buenker, in </w:t>
      </w:r>
      <w:r>
        <w:rPr>
          <w:i/>
          <w:sz w:val="24"/>
        </w:rPr>
        <w:t>Proceedings of the Workshop on Quantum Chemistry and Molecular Physics</w:t>
      </w:r>
      <w:r>
        <w:rPr>
          <w:sz w:val="24"/>
        </w:rPr>
        <w:t>, edited by P. G. Burton (University of Wollongong Press, Wollongong, Australia, 1980), p.</w:t>
      </w:r>
      <w:r>
        <w:rPr>
          <w:spacing w:val="1"/>
          <w:sz w:val="24"/>
        </w:rPr>
        <w:t xml:space="preserve"> </w:t>
      </w:r>
      <w:r>
        <w:rPr>
          <w:sz w:val="24"/>
        </w:rPr>
        <w:t>1.5.1.</w:t>
      </w:r>
    </w:p>
    <w:p w:rsidR="00723861" w:rsidRDefault="00503A37">
      <w:pPr>
        <w:pStyle w:val="ListParagraph"/>
        <w:numPr>
          <w:ilvl w:val="1"/>
          <w:numId w:val="5"/>
        </w:numPr>
        <w:tabs>
          <w:tab w:val="left" w:pos="841"/>
        </w:tabs>
        <w:spacing w:before="1"/>
        <w:ind w:right="445"/>
        <w:rPr>
          <w:sz w:val="24"/>
        </w:rPr>
      </w:pPr>
      <w:r>
        <w:rPr>
          <w:sz w:val="24"/>
        </w:rPr>
        <w:t xml:space="preserve">R. J. Buenker, in </w:t>
      </w:r>
      <w:r>
        <w:rPr>
          <w:i/>
          <w:sz w:val="24"/>
        </w:rPr>
        <w:t>Current Aspects of Quantum Chemistry 1981</w:t>
      </w:r>
      <w:r>
        <w:rPr>
          <w:sz w:val="24"/>
        </w:rPr>
        <w:t>, edited by R. Carbo, Studies in Physical and Theoretical Chemistry Vol. 21 (Elsevier, Amsterdam,</w:t>
      </w:r>
      <w:r>
        <w:rPr>
          <w:spacing w:val="-12"/>
          <w:sz w:val="24"/>
        </w:rPr>
        <w:t xml:space="preserve"> </w:t>
      </w:r>
      <w:r>
        <w:rPr>
          <w:sz w:val="24"/>
        </w:rPr>
        <w:t>1982),</w:t>
      </w:r>
    </w:p>
    <w:p w:rsidR="00723861" w:rsidRDefault="00503A37">
      <w:pPr>
        <w:pStyle w:val="BodyText"/>
        <w:ind w:left="900"/>
      </w:pPr>
      <w:r>
        <w:t>p.17 and 81.</w:t>
      </w:r>
    </w:p>
    <w:p w:rsidR="00723861" w:rsidRDefault="00503A37">
      <w:pPr>
        <w:pStyle w:val="ListParagraph"/>
        <w:numPr>
          <w:ilvl w:val="1"/>
          <w:numId w:val="5"/>
        </w:numPr>
        <w:tabs>
          <w:tab w:val="left" w:pos="901"/>
        </w:tabs>
        <w:ind w:left="900" w:hanging="601"/>
        <w:rPr>
          <w:sz w:val="24"/>
        </w:rPr>
      </w:pPr>
      <w:r>
        <w:rPr>
          <w:sz w:val="24"/>
        </w:rPr>
        <w:t xml:space="preserve">R. J. Buenker and R. A. Phillips, J. Mol. Struct. (THEOCHEM) </w:t>
      </w:r>
      <w:r>
        <w:rPr>
          <w:b/>
          <w:sz w:val="24"/>
        </w:rPr>
        <w:t>123</w:t>
      </w:r>
      <w:r>
        <w:rPr>
          <w:sz w:val="24"/>
        </w:rPr>
        <w:t>, 291</w:t>
      </w:r>
      <w:r>
        <w:rPr>
          <w:spacing w:val="-4"/>
          <w:sz w:val="24"/>
        </w:rPr>
        <w:t xml:space="preserve"> </w:t>
      </w:r>
      <w:r>
        <w:rPr>
          <w:sz w:val="24"/>
        </w:rPr>
        <w:t>(1985).</w:t>
      </w:r>
    </w:p>
    <w:p w:rsidR="00723861" w:rsidRDefault="00503A37">
      <w:pPr>
        <w:pStyle w:val="ListParagraph"/>
        <w:numPr>
          <w:ilvl w:val="1"/>
          <w:numId w:val="5"/>
        </w:numPr>
        <w:tabs>
          <w:tab w:val="left" w:pos="841"/>
        </w:tabs>
        <w:ind w:hanging="541"/>
        <w:rPr>
          <w:sz w:val="24"/>
        </w:rPr>
      </w:pPr>
      <w:r>
        <w:rPr>
          <w:sz w:val="24"/>
        </w:rPr>
        <w:t xml:space="preserve">S. Krebs and R. J. Buenker, J. Chem. Phys. </w:t>
      </w:r>
      <w:r>
        <w:rPr>
          <w:b/>
          <w:sz w:val="24"/>
        </w:rPr>
        <w:t>103</w:t>
      </w:r>
      <w:r>
        <w:rPr>
          <w:sz w:val="24"/>
        </w:rPr>
        <w:t>, 5613 (1995).</w:t>
      </w:r>
    </w:p>
    <w:p w:rsidR="00723861" w:rsidRDefault="00503A37">
      <w:pPr>
        <w:pStyle w:val="ListParagraph"/>
        <w:numPr>
          <w:ilvl w:val="1"/>
          <w:numId w:val="5"/>
        </w:numPr>
        <w:tabs>
          <w:tab w:val="left" w:pos="841"/>
        </w:tabs>
        <w:ind w:hanging="541"/>
        <w:rPr>
          <w:sz w:val="24"/>
        </w:rPr>
      </w:pPr>
      <w:r>
        <w:rPr>
          <w:sz w:val="24"/>
        </w:rPr>
        <w:t xml:space="preserve">R. J. Buenker and S. Krebs, in </w:t>
      </w:r>
      <w:r>
        <w:rPr>
          <w:i/>
          <w:sz w:val="24"/>
        </w:rPr>
        <w:t>Recent Advances in Multireference Methods</w:t>
      </w:r>
      <w:r>
        <w:rPr>
          <w:sz w:val="24"/>
        </w:rPr>
        <w:t>, edited</w:t>
      </w:r>
      <w:r>
        <w:rPr>
          <w:spacing w:val="-5"/>
          <w:sz w:val="24"/>
        </w:rPr>
        <w:t xml:space="preserve"> </w:t>
      </w:r>
      <w:r>
        <w:rPr>
          <w:sz w:val="24"/>
        </w:rPr>
        <w:t>by</w:t>
      </w:r>
    </w:p>
    <w:p w:rsidR="00723861" w:rsidRDefault="00503A37">
      <w:pPr>
        <w:pStyle w:val="BodyText"/>
        <w:ind w:left="840"/>
      </w:pPr>
      <w:r>
        <w:t>K. Hirao (World Scientific, Singapore, 1999), p. 1.</w:t>
      </w:r>
    </w:p>
    <w:p w:rsidR="00723861" w:rsidRDefault="00503A37">
      <w:pPr>
        <w:pStyle w:val="BodyText"/>
        <w:ind w:left="300"/>
      </w:pPr>
      <w:r>
        <w:t xml:space="preserve">[22] J. B. Delos, Rev. Mod. Phys. </w:t>
      </w:r>
      <w:r>
        <w:rPr>
          <w:b/>
        </w:rPr>
        <w:t>53</w:t>
      </w:r>
      <w:r>
        <w:t>, 287 (1981).</w:t>
      </w:r>
    </w:p>
    <w:p w:rsidR="00723861" w:rsidRDefault="00503A37">
      <w:pPr>
        <w:pStyle w:val="ListParagraph"/>
        <w:numPr>
          <w:ilvl w:val="0"/>
          <w:numId w:val="1"/>
        </w:numPr>
        <w:tabs>
          <w:tab w:val="left" w:pos="841"/>
        </w:tabs>
        <w:ind w:hanging="541"/>
        <w:rPr>
          <w:sz w:val="24"/>
        </w:rPr>
      </w:pPr>
      <w:r>
        <w:rPr>
          <w:sz w:val="24"/>
        </w:rPr>
        <w:t xml:space="preserve">N. A. Schwadron, and T. E. Cravens, Astrophys. J. </w:t>
      </w:r>
      <w:r>
        <w:rPr>
          <w:b/>
          <w:sz w:val="24"/>
        </w:rPr>
        <w:t>544</w:t>
      </w:r>
      <w:r>
        <w:rPr>
          <w:sz w:val="24"/>
        </w:rPr>
        <w:t>, 558 (2000).</w:t>
      </w:r>
    </w:p>
    <w:p w:rsidR="00723861" w:rsidRDefault="00503A37">
      <w:pPr>
        <w:pStyle w:val="ListParagraph"/>
        <w:numPr>
          <w:ilvl w:val="0"/>
          <w:numId w:val="1"/>
        </w:numPr>
        <w:tabs>
          <w:tab w:val="left" w:pos="841"/>
        </w:tabs>
        <w:ind w:hanging="541"/>
        <w:rPr>
          <w:sz w:val="24"/>
        </w:rPr>
      </w:pPr>
      <w:r>
        <w:rPr>
          <w:sz w:val="24"/>
        </w:rPr>
        <w:t xml:space="preserve">R. A. Kendall, T. H. Dunning and R. J. Harrison, J. Chem. Phys. </w:t>
      </w:r>
      <w:r>
        <w:rPr>
          <w:b/>
          <w:sz w:val="24"/>
        </w:rPr>
        <w:t>96</w:t>
      </w:r>
      <w:r>
        <w:rPr>
          <w:sz w:val="24"/>
        </w:rPr>
        <w:t>, 6796</w:t>
      </w:r>
      <w:r>
        <w:rPr>
          <w:spacing w:val="-3"/>
          <w:sz w:val="24"/>
        </w:rPr>
        <w:t xml:space="preserve"> </w:t>
      </w:r>
      <w:r>
        <w:rPr>
          <w:sz w:val="24"/>
        </w:rPr>
        <w:t>(1992).</w:t>
      </w:r>
    </w:p>
    <w:p w:rsidR="00723861" w:rsidRDefault="00503A37">
      <w:pPr>
        <w:pStyle w:val="ListParagraph"/>
        <w:numPr>
          <w:ilvl w:val="0"/>
          <w:numId w:val="1"/>
        </w:numPr>
        <w:tabs>
          <w:tab w:val="left" w:pos="841"/>
        </w:tabs>
        <w:ind w:hanging="541"/>
        <w:rPr>
          <w:sz w:val="24"/>
        </w:rPr>
      </w:pPr>
      <w:r>
        <w:rPr>
          <w:sz w:val="24"/>
        </w:rPr>
        <w:t xml:space="preserve">D. E. Woon and T. H. Dunning, J. Chem. Phys. </w:t>
      </w:r>
      <w:r>
        <w:rPr>
          <w:b/>
          <w:sz w:val="24"/>
        </w:rPr>
        <w:t>100</w:t>
      </w:r>
      <w:r>
        <w:rPr>
          <w:sz w:val="24"/>
        </w:rPr>
        <w:t>, 2975</w:t>
      </w:r>
      <w:r>
        <w:rPr>
          <w:spacing w:val="-1"/>
          <w:sz w:val="24"/>
        </w:rPr>
        <w:t xml:space="preserve"> </w:t>
      </w:r>
      <w:r>
        <w:rPr>
          <w:sz w:val="24"/>
        </w:rPr>
        <w:t>(1994).</w:t>
      </w:r>
    </w:p>
    <w:p w:rsidR="00723861" w:rsidRDefault="00503A37">
      <w:pPr>
        <w:pStyle w:val="ListParagraph"/>
        <w:numPr>
          <w:ilvl w:val="0"/>
          <w:numId w:val="1"/>
        </w:numPr>
        <w:tabs>
          <w:tab w:val="left" w:pos="841"/>
        </w:tabs>
        <w:ind w:hanging="541"/>
        <w:rPr>
          <w:sz w:val="24"/>
        </w:rPr>
      </w:pPr>
      <w:r>
        <w:rPr>
          <w:sz w:val="24"/>
        </w:rPr>
        <w:t xml:space="preserve">S. R. Langhoff and E. R. Davidson, Int. J. Quantum Chem. </w:t>
      </w:r>
      <w:r>
        <w:rPr>
          <w:b/>
          <w:sz w:val="24"/>
        </w:rPr>
        <w:t>7</w:t>
      </w:r>
      <w:r>
        <w:rPr>
          <w:sz w:val="24"/>
        </w:rPr>
        <w:t>, 759</w:t>
      </w:r>
      <w:r>
        <w:rPr>
          <w:spacing w:val="2"/>
          <w:sz w:val="24"/>
        </w:rPr>
        <w:t xml:space="preserve"> </w:t>
      </w:r>
      <w:r>
        <w:rPr>
          <w:sz w:val="24"/>
        </w:rPr>
        <w:t>(1973).</w:t>
      </w:r>
    </w:p>
    <w:p w:rsidR="00723861" w:rsidRDefault="00503A37">
      <w:pPr>
        <w:pStyle w:val="ListParagraph"/>
        <w:numPr>
          <w:ilvl w:val="0"/>
          <w:numId w:val="1"/>
        </w:numPr>
        <w:tabs>
          <w:tab w:val="left" w:pos="841"/>
        </w:tabs>
        <w:ind w:hanging="541"/>
        <w:rPr>
          <w:sz w:val="24"/>
        </w:rPr>
      </w:pPr>
      <w:r>
        <w:rPr>
          <w:sz w:val="24"/>
        </w:rPr>
        <w:t xml:space="preserve">P. J. Bruna, S. D. Peyerimhoff, and R. J. Buenker, Chem. Phys. Lett. </w:t>
      </w:r>
      <w:r>
        <w:rPr>
          <w:b/>
          <w:sz w:val="24"/>
        </w:rPr>
        <w:t>72</w:t>
      </w:r>
      <w:r>
        <w:rPr>
          <w:sz w:val="24"/>
        </w:rPr>
        <w:t>, 278</w:t>
      </w:r>
      <w:r>
        <w:rPr>
          <w:spacing w:val="-5"/>
          <w:sz w:val="24"/>
        </w:rPr>
        <w:t xml:space="preserve"> </w:t>
      </w:r>
      <w:r>
        <w:rPr>
          <w:sz w:val="24"/>
        </w:rPr>
        <w:t>(1980).</w:t>
      </w:r>
    </w:p>
    <w:p w:rsidR="00723861" w:rsidRDefault="00503A37">
      <w:pPr>
        <w:pStyle w:val="ListParagraph"/>
        <w:numPr>
          <w:ilvl w:val="0"/>
          <w:numId w:val="1"/>
        </w:numPr>
        <w:tabs>
          <w:tab w:val="left" w:pos="841"/>
        </w:tabs>
        <w:spacing w:before="1"/>
        <w:ind w:right="406"/>
        <w:jc w:val="both"/>
        <w:rPr>
          <w:sz w:val="24"/>
        </w:rPr>
      </w:pPr>
      <w:r>
        <w:rPr>
          <w:sz w:val="24"/>
        </w:rPr>
        <w:t xml:space="preserve">K. Kimura, S. Katsumata, Y. Achiba, T. Yamazaki, and S. Iwata, </w:t>
      </w:r>
      <w:r>
        <w:rPr>
          <w:i/>
          <w:sz w:val="24"/>
        </w:rPr>
        <w:t xml:space="preserve">Handbook of He I Photoelectron Spectra of Fundamental Organic Molecules </w:t>
      </w:r>
      <w:r>
        <w:rPr>
          <w:sz w:val="24"/>
        </w:rPr>
        <w:t>(Japan Scientific Society, Tokyo,</w:t>
      </w:r>
      <w:r>
        <w:rPr>
          <w:spacing w:val="-1"/>
          <w:sz w:val="24"/>
        </w:rPr>
        <w:t xml:space="preserve"> </w:t>
      </w:r>
      <w:r>
        <w:rPr>
          <w:sz w:val="24"/>
        </w:rPr>
        <w:t>1981).</w:t>
      </w:r>
    </w:p>
    <w:p w:rsidR="00723861" w:rsidRDefault="00503A37">
      <w:pPr>
        <w:pStyle w:val="ListParagraph"/>
        <w:numPr>
          <w:ilvl w:val="0"/>
          <w:numId w:val="1"/>
        </w:numPr>
        <w:tabs>
          <w:tab w:val="left" w:pos="841"/>
        </w:tabs>
        <w:ind w:right="648"/>
        <w:jc w:val="both"/>
        <w:rPr>
          <w:sz w:val="24"/>
        </w:rPr>
      </w:pPr>
      <w:r>
        <w:rPr>
          <w:sz w:val="24"/>
        </w:rPr>
        <w:t xml:space="preserve">G. Hirsch, P. J. Bruna, R. J. Buenker, and S. D. Peyerimhoff, Chem. Phys. </w:t>
      </w:r>
      <w:r>
        <w:rPr>
          <w:b/>
          <w:sz w:val="24"/>
        </w:rPr>
        <w:t>45</w:t>
      </w:r>
      <w:r>
        <w:rPr>
          <w:sz w:val="24"/>
        </w:rPr>
        <w:t>, 335 (1980).</w:t>
      </w:r>
    </w:p>
    <w:p w:rsidR="00723861" w:rsidRDefault="00503A37">
      <w:pPr>
        <w:pStyle w:val="ListParagraph"/>
        <w:numPr>
          <w:ilvl w:val="0"/>
          <w:numId w:val="1"/>
        </w:numPr>
        <w:tabs>
          <w:tab w:val="left" w:pos="841"/>
        </w:tabs>
        <w:ind w:hanging="541"/>
        <w:jc w:val="both"/>
        <w:rPr>
          <w:sz w:val="24"/>
        </w:rPr>
      </w:pPr>
      <w:r>
        <w:rPr>
          <w:sz w:val="24"/>
        </w:rPr>
        <w:t xml:space="preserve">M. Kimura, Y. Li, G. Hirsch, and R. J. Buenker, Phys. Rev. A </w:t>
      </w:r>
      <w:r>
        <w:rPr>
          <w:b/>
          <w:sz w:val="24"/>
        </w:rPr>
        <w:t>52</w:t>
      </w:r>
      <w:r>
        <w:rPr>
          <w:sz w:val="24"/>
        </w:rPr>
        <w:t>, 1196 (1995).</w:t>
      </w:r>
    </w:p>
    <w:p w:rsidR="00723861" w:rsidRDefault="00503A37">
      <w:pPr>
        <w:pStyle w:val="ListParagraph"/>
        <w:numPr>
          <w:ilvl w:val="0"/>
          <w:numId w:val="1"/>
        </w:numPr>
        <w:tabs>
          <w:tab w:val="left" w:pos="841"/>
        </w:tabs>
        <w:ind w:right="139"/>
        <w:rPr>
          <w:sz w:val="24"/>
        </w:rPr>
      </w:pPr>
      <w:r>
        <w:rPr>
          <w:sz w:val="24"/>
        </w:rPr>
        <w:t xml:space="preserve">B. H. Bransden and M. R. C. McDowell, </w:t>
      </w:r>
      <w:r>
        <w:rPr>
          <w:i/>
          <w:sz w:val="24"/>
        </w:rPr>
        <w:t xml:space="preserve">Charge Exchange and the Theory of Ion-Atom Collisions </w:t>
      </w:r>
      <w:r>
        <w:rPr>
          <w:sz w:val="24"/>
        </w:rPr>
        <w:t>(Clarendon Press, Oxford, 1992), p. 63-64.</w:t>
      </w:r>
    </w:p>
    <w:p w:rsidR="00723861" w:rsidRDefault="00503A37">
      <w:pPr>
        <w:pStyle w:val="ListParagraph"/>
        <w:numPr>
          <w:ilvl w:val="0"/>
          <w:numId w:val="1"/>
        </w:numPr>
        <w:tabs>
          <w:tab w:val="left" w:pos="841"/>
        </w:tabs>
        <w:ind w:right="254"/>
        <w:rPr>
          <w:sz w:val="24"/>
        </w:rPr>
      </w:pPr>
      <w:r>
        <w:rPr>
          <w:sz w:val="24"/>
        </w:rPr>
        <w:t xml:space="preserve">P. C. Stancil, B. Zygelman, and K. Kirby, in </w:t>
      </w:r>
      <w:r>
        <w:rPr>
          <w:i/>
          <w:sz w:val="24"/>
        </w:rPr>
        <w:t>Photonic, Electronic, and Atomic Collisions</w:t>
      </w:r>
      <w:r>
        <w:rPr>
          <w:sz w:val="24"/>
        </w:rPr>
        <w:t>, edited by F. Aumayr and H. P. Winter (World Scientific, Singapore,</w:t>
      </w:r>
      <w:r>
        <w:rPr>
          <w:spacing w:val="-14"/>
          <w:sz w:val="24"/>
        </w:rPr>
        <w:t xml:space="preserve"> </w:t>
      </w:r>
      <w:r>
        <w:rPr>
          <w:sz w:val="24"/>
        </w:rPr>
        <w:t>1998), p. 537.</w:t>
      </w:r>
    </w:p>
    <w:p w:rsidR="00723861" w:rsidRDefault="00503A37">
      <w:pPr>
        <w:pStyle w:val="ListParagraph"/>
        <w:numPr>
          <w:ilvl w:val="0"/>
          <w:numId w:val="1"/>
        </w:numPr>
        <w:tabs>
          <w:tab w:val="left" w:pos="841"/>
        </w:tabs>
        <w:ind w:hanging="541"/>
        <w:rPr>
          <w:sz w:val="24"/>
        </w:rPr>
      </w:pPr>
      <w:r>
        <w:rPr>
          <w:sz w:val="24"/>
        </w:rPr>
        <w:t xml:space="preserve">G. D. Billing and M. Baer, Chem. Phys. Lett. </w:t>
      </w:r>
      <w:r>
        <w:rPr>
          <w:b/>
          <w:sz w:val="24"/>
        </w:rPr>
        <w:t>48</w:t>
      </w:r>
      <w:r>
        <w:rPr>
          <w:sz w:val="24"/>
        </w:rPr>
        <w:t>, 372</w:t>
      </w:r>
      <w:r>
        <w:rPr>
          <w:spacing w:val="3"/>
          <w:sz w:val="24"/>
        </w:rPr>
        <w:t xml:space="preserve"> </w:t>
      </w:r>
      <w:r>
        <w:rPr>
          <w:sz w:val="24"/>
        </w:rPr>
        <w:t>(1977).</w:t>
      </w:r>
    </w:p>
    <w:p w:rsidR="00723861" w:rsidRDefault="00503A37">
      <w:pPr>
        <w:pStyle w:val="ListParagraph"/>
        <w:numPr>
          <w:ilvl w:val="0"/>
          <w:numId w:val="1"/>
        </w:numPr>
        <w:tabs>
          <w:tab w:val="left" w:pos="841"/>
        </w:tabs>
        <w:ind w:right="331"/>
        <w:rPr>
          <w:sz w:val="24"/>
        </w:rPr>
      </w:pPr>
      <w:r>
        <w:rPr>
          <w:sz w:val="24"/>
        </w:rPr>
        <w:t xml:space="preserve">H. O. Folkerts, T. Schlathölter, R Hoekstra, and R. Morgenstern, J. Phys. B: At. Mol. Opt. Phys. </w:t>
      </w:r>
      <w:r>
        <w:rPr>
          <w:b/>
          <w:sz w:val="24"/>
        </w:rPr>
        <w:t>30</w:t>
      </w:r>
      <w:r>
        <w:rPr>
          <w:sz w:val="24"/>
        </w:rPr>
        <w:t>, 5849</w:t>
      </w:r>
      <w:r>
        <w:rPr>
          <w:spacing w:val="-1"/>
          <w:sz w:val="24"/>
        </w:rPr>
        <w:t xml:space="preserve"> </w:t>
      </w:r>
      <w:r>
        <w:rPr>
          <w:sz w:val="24"/>
        </w:rPr>
        <w:t>(1997).</w:t>
      </w:r>
    </w:p>
    <w:p w:rsidR="00723861" w:rsidRDefault="00503A37">
      <w:pPr>
        <w:pStyle w:val="ListParagraph"/>
        <w:numPr>
          <w:ilvl w:val="0"/>
          <w:numId w:val="1"/>
        </w:numPr>
        <w:tabs>
          <w:tab w:val="left" w:pos="841"/>
        </w:tabs>
        <w:spacing w:before="1"/>
        <w:ind w:hanging="541"/>
        <w:rPr>
          <w:sz w:val="24"/>
        </w:rPr>
      </w:pPr>
      <w:r>
        <w:rPr>
          <w:sz w:val="24"/>
        </w:rPr>
        <w:t xml:space="preserve">L. F. Errea, L. Méndez, and A. Riera, J. Phys. B: At. Mol. Phys. </w:t>
      </w:r>
      <w:r>
        <w:rPr>
          <w:b/>
          <w:sz w:val="24"/>
        </w:rPr>
        <w:t>15</w:t>
      </w:r>
      <w:r>
        <w:rPr>
          <w:sz w:val="24"/>
        </w:rPr>
        <w:t>, 101</w:t>
      </w:r>
      <w:r>
        <w:rPr>
          <w:spacing w:val="2"/>
          <w:sz w:val="24"/>
        </w:rPr>
        <w:t xml:space="preserve"> </w:t>
      </w:r>
      <w:r>
        <w:rPr>
          <w:sz w:val="24"/>
        </w:rPr>
        <w:t>(1982).</w:t>
      </w:r>
    </w:p>
    <w:p w:rsidR="00723861" w:rsidRDefault="00503A37">
      <w:pPr>
        <w:pStyle w:val="ListParagraph"/>
        <w:numPr>
          <w:ilvl w:val="0"/>
          <w:numId w:val="1"/>
        </w:numPr>
        <w:tabs>
          <w:tab w:val="left" w:pos="841"/>
        </w:tabs>
        <w:ind w:left="900" w:right="161" w:hanging="600"/>
        <w:rPr>
          <w:sz w:val="24"/>
        </w:rPr>
      </w:pPr>
      <w:r>
        <w:rPr>
          <w:sz w:val="24"/>
        </w:rPr>
        <w:t xml:space="preserve">K. P. Huber and G. Herzberg, </w:t>
      </w:r>
      <w:r>
        <w:rPr>
          <w:i/>
          <w:sz w:val="24"/>
        </w:rPr>
        <w:t>Molecular Spectra and MolecularStructure</w:t>
      </w:r>
      <w:r>
        <w:rPr>
          <w:sz w:val="24"/>
        </w:rPr>
        <w:t>, Constants of Diatomic Molecules Vol. 4 (Van Nostrand Reinhold, New York,</w:t>
      </w:r>
      <w:r>
        <w:rPr>
          <w:spacing w:val="-2"/>
          <w:sz w:val="24"/>
        </w:rPr>
        <w:t xml:space="preserve"> </w:t>
      </w:r>
      <w:r>
        <w:rPr>
          <w:sz w:val="24"/>
        </w:rPr>
        <w:t>1979).</w:t>
      </w:r>
    </w:p>
    <w:p w:rsidR="00723861" w:rsidRDefault="00503A37">
      <w:pPr>
        <w:pStyle w:val="ListParagraph"/>
        <w:numPr>
          <w:ilvl w:val="0"/>
          <w:numId w:val="1"/>
        </w:numPr>
        <w:tabs>
          <w:tab w:val="left" w:pos="841"/>
        </w:tabs>
        <w:ind w:hanging="541"/>
        <w:rPr>
          <w:sz w:val="24"/>
        </w:rPr>
      </w:pPr>
      <w:r>
        <w:rPr>
          <w:sz w:val="24"/>
        </w:rPr>
        <w:t xml:space="preserve">M. B. Shah and H. B. Gilbody, J. Phys. B: At. Mol. Opt. Phys. </w:t>
      </w:r>
      <w:r>
        <w:rPr>
          <w:b/>
          <w:sz w:val="24"/>
        </w:rPr>
        <w:t>23</w:t>
      </w:r>
      <w:r>
        <w:rPr>
          <w:sz w:val="24"/>
        </w:rPr>
        <w:t>, 1491 (1990).</w:t>
      </w:r>
    </w:p>
    <w:p w:rsidR="00723861" w:rsidRDefault="00503A37">
      <w:pPr>
        <w:pStyle w:val="ListParagraph"/>
        <w:numPr>
          <w:ilvl w:val="0"/>
          <w:numId w:val="1"/>
        </w:numPr>
        <w:tabs>
          <w:tab w:val="left" w:pos="841"/>
        </w:tabs>
        <w:ind w:right="124"/>
        <w:rPr>
          <w:sz w:val="24"/>
        </w:rPr>
      </w:pPr>
      <w:r>
        <w:rPr>
          <w:sz w:val="24"/>
        </w:rPr>
        <w:t xml:space="preserve">H. O. Folkerts, F. W. Bliek, M. C. de Jong, R. Hoekstra, and R. Morgenstern, J. Phys. B: At. Mol. Opt. Phys. </w:t>
      </w:r>
      <w:r>
        <w:rPr>
          <w:b/>
          <w:sz w:val="24"/>
        </w:rPr>
        <w:t>30</w:t>
      </w:r>
      <w:r>
        <w:rPr>
          <w:sz w:val="24"/>
        </w:rPr>
        <w:t>, 5833 (1997).</w:t>
      </w:r>
    </w:p>
    <w:sectPr w:rsidR="00723861" w:rsidSect="00723861">
      <w:pgSz w:w="12240" w:h="15840"/>
      <w:pgMar w:top="1360" w:right="1500" w:bottom="1200" w:left="1320" w:header="0" w:footer="10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EA7" w:rsidRDefault="00B42EA7" w:rsidP="00723861">
      <w:r>
        <w:separator/>
      </w:r>
    </w:p>
  </w:endnote>
  <w:endnote w:type="continuationSeparator" w:id="0">
    <w:p w:rsidR="00B42EA7" w:rsidRDefault="00B42EA7" w:rsidP="00723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adea">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861" w:rsidRDefault="0060340B">
    <w:pPr>
      <w:pStyle w:val="BodyText"/>
      <w:spacing w:line="14" w:lineRule="auto"/>
      <w:ind w:left="0"/>
      <w:rPr>
        <w:sz w:val="20"/>
      </w:rPr>
    </w:pPr>
    <w:r>
      <w:rPr>
        <w:noProof/>
        <w:lang w:val="en-IN" w:eastAsia="en-IN"/>
      </w:rPr>
      <mc:AlternateContent>
        <mc:Choice Requires="wps">
          <w:drawing>
            <wp:anchor distT="0" distB="0" distL="114300" distR="114300" simplePos="0" relativeHeight="251657728" behindDoc="1" locked="0" layoutInCell="1" allowOverlap="1">
              <wp:simplePos x="0" y="0"/>
              <wp:positionH relativeFrom="page">
                <wp:posOffset>3717925</wp:posOffset>
              </wp:positionH>
              <wp:positionV relativeFrom="page">
                <wp:posOffset>9276080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861" w:rsidRDefault="00723861">
                          <w:pPr>
                            <w:spacing w:line="245" w:lineRule="exact"/>
                            <w:ind w:left="60"/>
                            <w:rPr>
                              <w:rFonts w:ascii="Carlito"/>
                            </w:rPr>
                          </w:pPr>
                          <w:r>
                            <w:fldChar w:fldCharType="begin"/>
                          </w:r>
                          <w:r w:rsidR="00503A37">
                            <w:rPr>
                              <w:rFonts w:ascii="Carlito"/>
                            </w:rPr>
                            <w:instrText xml:space="preserve"> PAGE </w:instrText>
                          </w:r>
                          <w:r>
                            <w:fldChar w:fldCharType="separate"/>
                          </w:r>
                          <w:r w:rsidR="00B42EA7">
                            <w:rPr>
                              <w:rFonts w:ascii="Carlito"/>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75pt;margin-top:730.4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nbqw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" filled="f" stroked="f">
              <v:textbox inset="0,0,0,0">
                <w:txbxContent>
                  <w:p w:rsidR="00723861" w:rsidRDefault="00723861">
                    <w:pPr>
                      <w:spacing w:line="245" w:lineRule="exact"/>
                      <w:ind w:left="60"/>
                      <w:rPr>
                        <w:rFonts w:ascii="Carlito"/>
                      </w:rPr>
                    </w:pPr>
                    <w:r>
                      <w:fldChar w:fldCharType="begin"/>
                    </w:r>
                    <w:r w:rsidR="00503A37">
                      <w:rPr>
                        <w:rFonts w:ascii="Carlito"/>
                      </w:rPr>
                      <w:instrText xml:space="preserve"> PAGE </w:instrText>
                    </w:r>
                    <w:r>
                      <w:fldChar w:fldCharType="separate"/>
                    </w:r>
                    <w:r w:rsidR="00B42EA7">
                      <w:rPr>
                        <w:rFonts w:ascii="Carlito"/>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EA7" w:rsidRDefault="00B42EA7" w:rsidP="00723861">
      <w:r>
        <w:separator/>
      </w:r>
    </w:p>
  </w:footnote>
  <w:footnote w:type="continuationSeparator" w:id="0">
    <w:p w:rsidR="00B42EA7" w:rsidRDefault="00B42EA7" w:rsidP="007238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47B7C"/>
    <w:multiLevelType w:val="hybridMultilevel"/>
    <w:tmpl w:val="4EA8167A"/>
    <w:lvl w:ilvl="0" w:tplc="904E811E">
      <w:start w:val="1"/>
      <w:numFmt w:val="upperRoman"/>
      <w:lvlText w:val="%1."/>
      <w:lvlJc w:val="left"/>
      <w:pPr>
        <w:ind w:left="482" w:hanging="363"/>
      </w:pPr>
      <w:rPr>
        <w:rFonts w:ascii="Times New Roman" w:eastAsia="Times New Roman" w:hAnsi="Times New Roman" w:cs="Times New Roman" w:hint="default"/>
        <w:b/>
        <w:bCs/>
        <w:w w:val="99"/>
        <w:sz w:val="32"/>
        <w:szCs w:val="32"/>
        <w:lang w:val="en-US" w:eastAsia="en-US" w:bidi="ar-SA"/>
      </w:rPr>
    </w:lvl>
    <w:lvl w:ilvl="1" w:tplc="D7068598">
      <w:start w:val="1"/>
      <w:numFmt w:val="decimal"/>
      <w:lvlText w:val="[%2]"/>
      <w:lvlJc w:val="left"/>
      <w:pPr>
        <w:ind w:left="840" w:hanging="540"/>
      </w:pPr>
      <w:rPr>
        <w:rFonts w:ascii="Times New Roman" w:eastAsia="Times New Roman" w:hAnsi="Times New Roman" w:cs="Times New Roman" w:hint="default"/>
        <w:spacing w:val="-8"/>
        <w:w w:val="99"/>
        <w:sz w:val="24"/>
        <w:szCs w:val="24"/>
        <w:lang w:val="en-US" w:eastAsia="en-US" w:bidi="ar-SA"/>
      </w:rPr>
    </w:lvl>
    <w:lvl w:ilvl="2" w:tplc="9F725468">
      <w:numFmt w:val="bullet"/>
      <w:lvlText w:val="•"/>
      <w:lvlJc w:val="left"/>
      <w:pPr>
        <w:ind w:left="1793" w:hanging="540"/>
      </w:pPr>
      <w:rPr>
        <w:rFonts w:hint="default"/>
        <w:lang w:val="en-US" w:eastAsia="en-US" w:bidi="ar-SA"/>
      </w:rPr>
    </w:lvl>
    <w:lvl w:ilvl="3" w:tplc="B402454A">
      <w:numFmt w:val="bullet"/>
      <w:lvlText w:val="•"/>
      <w:lvlJc w:val="left"/>
      <w:pPr>
        <w:ind w:left="2746" w:hanging="540"/>
      </w:pPr>
      <w:rPr>
        <w:rFonts w:hint="default"/>
        <w:lang w:val="en-US" w:eastAsia="en-US" w:bidi="ar-SA"/>
      </w:rPr>
    </w:lvl>
    <w:lvl w:ilvl="4" w:tplc="A1A269B2">
      <w:numFmt w:val="bullet"/>
      <w:lvlText w:val="•"/>
      <w:lvlJc w:val="left"/>
      <w:pPr>
        <w:ind w:left="3700" w:hanging="540"/>
      </w:pPr>
      <w:rPr>
        <w:rFonts w:hint="default"/>
        <w:lang w:val="en-US" w:eastAsia="en-US" w:bidi="ar-SA"/>
      </w:rPr>
    </w:lvl>
    <w:lvl w:ilvl="5" w:tplc="6442A750">
      <w:numFmt w:val="bullet"/>
      <w:lvlText w:val="•"/>
      <w:lvlJc w:val="left"/>
      <w:pPr>
        <w:ind w:left="4653" w:hanging="540"/>
      </w:pPr>
      <w:rPr>
        <w:rFonts w:hint="default"/>
        <w:lang w:val="en-US" w:eastAsia="en-US" w:bidi="ar-SA"/>
      </w:rPr>
    </w:lvl>
    <w:lvl w:ilvl="6" w:tplc="52842652">
      <w:numFmt w:val="bullet"/>
      <w:lvlText w:val="•"/>
      <w:lvlJc w:val="left"/>
      <w:pPr>
        <w:ind w:left="5606" w:hanging="540"/>
      </w:pPr>
      <w:rPr>
        <w:rFonts w:hint="default"/>
        <w:lang w:val="en-US" w:eastAsia="en-US" w:bidi="ar-SA"/>
      </w:rPr>
    </w:lvl>
    <w:lvl w:ilvl="7" w:tplc="609CC034">
      <w:numFmt w:val="bullet"/>
      <w:lvlText w:val="•"/>
      <w:lvlJc w:val="left"/>
      <w:pPr>
        <w:ind w:left="6560" w:hanging="540"/>
      </w:pPr>
      <w:rPr>
        <w:rFonts w:hint="default"/>
        <w:lang w:val="en-US" w:eastAsia="en-US" w:bidi="ar-SA"/>
      </w:rPr>
    </w:lvl>
    <w:lvl w:ilvl="8" w:tplc="1F10F174">
      <w:numFmt w:val="bullet"/>
      <w:lvlText w:val="•"/>
      <w:lvlJc w:val="left"/>
      <w:pPr>
        <w:ind w:left="7513" w:hanging="540"/>
      </w:pPr>
      <w:rPr>
        <w:rFonts w:hint="default"/>
        <w:lang w:val="en-US" w:eastAsia="en-US" w:bidi="ar-SA"/>
      </w:rPr>
    </w:lvl>
  </w:abstractNum>
  <w:abstractNum w:abstractNumId="1">
    <w:nsid w:val="11F62DA0"/>
    <w:multiLevelType w:val="hybridMultilevel"/>
    <w:tmpl w:val="E00A8F7A"/>
    <w:lvl w:ilvl="0" w:tplc="A6326B12">
      <w:start w:val="23"/>
      <w:numFmt w:val="decimal"/>
      <w:lvlText w:val="[%1]"/>
      <w:lvlJc w:val="left"/>
      <w:pPr>
        <w:ind w:left="840" w:hanging="540"/>
      </w:pPr>
      <w:rPr>
        <w:rFonts w:ascii="Times New Roman" w:eastAsia="Times New Roman" w:hAnsi="Times New Roman" w:cs="Times New Roman" w:hint="default"/>
        <w:spacing w:val="-5"/>
        <w:w w:val="99"/>
        <w:sz w:val="24"/>
        <w:szCs w:val="24"/>
        <w:lang w:val="en-US" w:eastAsia="en-US" w:bidi="ar-SA"/>
      </w:rPr>
    </w:lvl>
    <w:lvl w:ilvl="1" w:tplc="2062D384">
      <w:numFmt w:val="bullet"/>
      <w:lvlText w:val="•"/>
      <w:lvlJc w:val="left"/>
      <w:pPr>
        <w:ind w:left="1698" w:hanging="540"/>
      </w:pPr>
      <w:rPr>
        <w:rFonts w:hint="default"/>
        <w:lang w:val="en-US" w:eastAsia="en-US" w:bidi="ar-SA"/>
      </w:rPr>
    </w:lvl>
    <w:lvl w:ilvl="2" w:tplc="F4306ED4">
      <w:numFmt w:val="bullet"/>
      <w:lvlText w:val="•"/>
      <w:lvlJc w:val="left"/>
      <w:pPr>
        <w:ind w:left="2556" w:hanging="540"/>
      </w:pPr>
      <w:rPr>
        <w:rFonts w:hint="default"/>
        <w:lang w:val="en-US" w:eastAsia="en-US" w:bidi="ar-SA"/>
      </w:rPr>
    </w:lvl>
    <w:lvl w:ilvl="3" w:tplc="52C0086A">
      <w:numFmt w:val="bullet"/>
      <w:lvlText w:val="•"/>
      <w:lvlJc w:val="left"/>
      <w:pPr>
        <w:ind w:left="3414" w:hanging="540"/>
      </w:pPr>
      <w:rPr>
        <w:rFonts w:hint="default"/>
        <w:lang w:val="en-US" w:eastAsia="en-US" w:bidi="ar-SA"/>
      </w:rPr>
    </w:lvl>
    <w:lvl w:ilvl="4" w:tplc="1B9EBE04">
      <w:numFmt w:val="bullet"/>
      <w:lvlText w:val="•"/>
      <w:lvlJc w:val="left"/>
      <w:pPr>
        <w:ind w:left="4272" w:hanging="540"/>
      </w:pPr>
      <w:rPr>
        <w:rFonts w:hint="default"/>
        <w:lang w:val="en-US" w:eastAsia="en-US" w:bidi="ar-SA"/>
      </w:rPr>
    </w:lvl>
    <w:lvl w:ilvl="5" w:tplc="3C32AB5C">
      <w:numFmt w:val="bullet"/>
      <w:lvlText w:val="•"/>
      <w:lvlJc w:val="left"/>
      <w:pPr>
        <w:ind w:left="5130" w:hanging="540"/>
      </w:pPr>
      <w:rPr>
        <w:rFonts w:hint="default"/>
        <w:lang w:val="en-US" w:eastAsia="en-US" w:bidi="ar-SA"/>
      </w:rPr>
    </w:lvl>
    <w:lvl w:ilvl="6" w:tplc="6C883E5C">
      <w:numFmt w:val="bullet"/>
      <w:lvlText w:val="•"/>
      <w:lvlJc w:val="left"/>
      <w:pPr>
        <w:ind w:left="5988" w:hanging="540"/>
      </w:pPr>
      <w:rPr>
        <w:rFonts w:hint="default"/>
        <w:lang w:val="en-US" w:eastAsia="en-US" w:bidi="ar-SA"/>
      </w:rPr>
    </w:lvl>
    <w:lvl w:ilvl="7" w:tplc="A3E400C8">
      <w:numFmt w:val="bullet"/>
      <w:lvlText w:val="•"/>
      <w:lvlJc w:val="left"/>
      <w:pPr>
        <w:ind w:left="6846" w:hanging="540"/>
      </w:pPr>
      <w:rPr>
        <w:rFonts w:hint="default"/>
        <w:lang w:val="en-US" w:eastAsia="en-US" w:bidi="ar-SA"/>
      </w:rPr>
    </w:lvl>
    <w:lvl w:ilvl="8" w:tplc="46908E44">
      <w:numFmt w:val="bullet"/>
      <w:lvlText w:val="•"/>
      <w:lvlJc w:val="left"/>
      <w:pPr>
        <w:ind w:left="7704" w:hanging="540"/>
      </w:pPr>
      <w:rPr>
        <w:rFonts w:hint="default"/>
        <w:lang w:val="en-US" w:eastAsia="en-US" w:bidi="ar-SA"/>
      </w:rPr>
    </w:lvl>
  </w:abstractNum>
  <w:abstractNum w:abstractNumId="2">
    <w:nsid w:val="312E6B54"/>
    <w:multiLevelType w:val="hybridMultilevel"/>
    <w:tmpl w:val="96140EF2"/>
    <w:lvl w:ilvl="0" w:tplc="AD1821EA">
      <w:start w:val="1"/>
      <w:numFmt w:val="decimal"/>
      <w:lvlText w:val="%1."/>
      <w:lvlJc w:val="left"/>
      <w:pPr>
        <w:ind w:left="518" w:hanging="399"/>
      </w:pPr>
      <w:rPr>
        <w:rFonts w:ascii="Times New Roman" w:eastAsia="Times New Roman" w:hAnsi="Times New Roman" w:cs="Times New Roman" w:hint="default"/>
        <w:b/>
        <w:bCs/>
        <w:w w:val="99"/>
        <w:sz w:val="32"/>
        <w:szCs w:val="32"/>
        <w:lang w:val="en-US" w:eastAsia="en-US" w:bidi="ar-SA"/>
      </w:rPr>
    </w:lvl>
    <w:lvl w:ilvl="1" w:tplc="977876C6">
      <w:numFmt w:val="bullet"/>
      <w:lvlText w:val="•"/>
      <w:lvlJc w:val="left"/>
      <w:pPr>
        <w:ind w:left="1410" w:hanging="399"/>
      </w:pPr>
      <w:rPr>
        <w:rFonts w:hint="default"/>
        <w:lang w:val="en-US" w:eastAsia="en-US" w:bidi="ar-SA"/>
      </w:rPr>
    </w:lvl>
    <w:lvl w:ilvl="2" w:tplc="0B54F9FE">
      <w:numFmt w:val="bullet"/>
      <w:lvlText w:val="•"/>
      <w:lvlJc w:val="left"/>
      <w:pPr>
        <w:ind w:left="2300" w:hanging="399"/>
      </w:pPr>
      <w:rPr>
        <w:rFonts w:hint="default"/>
        <w:lang w:val="en-US" w:eastAsia="en-US" w:bidi="ar-SA"/>
      </w:rPr>
    </w:lvl>
    <w:lvl w:ilvl="3" w:tplc="1F3CB8BC">
      <w:numFmt w:val="bullet"/>
      <w:lvlText w:val="•"/>
      <w:lvlJc w:val="left"/>
      <w:pPr>
        <w:ind w:left="3190" w:hanging="399"/>
      </w:pPr>
      <w:rPr>
        <w:rFonts w:hint="default"/>
        <w:lang w:val="en-US" w:eastAsia="en-US" w:bidi="ar-SA"/>
      </w:rPr>
    </w:lvl>
    <w:lvl w:ilvl="4" w:tplc="8DA6B168">
      <w:numFmt w:val="bullet"/>
      <w:lvlText w:val="•"/>
      <w:lvlJc w:val="left"/>
      <w:pPr>
        <w:ind w:left="4080" w:hanging="399"/>
      </w:pPr>
      <w:rPr>
        <w:rFonts w:hint="default"/>
        <w:lang w:val="en-US" w:eastAsia="en-US" w:bidi="ar-SA"/>
      </w:rPr>
    </w:lvl>
    <w:lvl w:ilvl="5" w:tplc="7EB2DD7C">
      <w:numFmt w:val="bullet"/>
      <w:lvlText w:val="•"/>
      <w:lvlJc w:val="left"/>
      <w:pPr>
        <w:ind w:left="4970" w:hanging="399"/>
      </w:pPr>
      <w:rPr>
        <w:rFonts w:hint="default"/>
        <w:lang w:val="en-US" w:eastAsia="en-US" w:bidi="ar-SA"/>
      </w:rPr>
    </w:lvl>
    <w:lvl w:ilvl="6" w:tplc="6AE8ADD8">
      <w:numFmt w:val="bullet"/>
      <w:lvlText w:val="•"/>
      <w:lvlJc w:val="left"/>
      <w:pPr>
        <w:ind w:left="5860" w:hanging="399"/>
      </w:pPr>
      <w:rPr>
        <w:rFonts w:hint="default"/>
        <w:lang w:val="en-US" w:eastAsia="en-US" w:bidi="ar-SA"/>
      </w:rPr>
    </w:lvl>
    <w:lvl w:ilvl="7" w:tplc="B6462DAA">
      <w:numFmt w:val="bullet"/>
      <w:lvlText w:val="•"/>
      <w:lvlJc w:val="left"/>
      <w:pPr>
        <w:ind w:left="6750" w:hanging="399"/>
      </w:pPr>
      <w:rPr>
        <w:rFonts w:hint="default"/>
        <w:lang w:val="en-US" w:eastAsia="en-US" w:bidi="ar-SA"/>
      </w:rPr>
    </w:lvl>
    <w:lvl w:ilvl="8" w:tplc="33464D66">
      <w:numFmt w:val="bullet"/>
      <w:lvlText w:val="•"/>
      <w:lvlJc w:val="left"/>
      <w:pPr>
        <w:ind w:left="7640" w:hanging="399"/>
      </w:pPr>
      <w:rPr>
        <w:rFonts w:hint="default"/>
        <w:lang w:val="en-US" w:eastAsia="en-US" w:bidi="ar-SA"/>
      </w:rPr>
    </w:lvl>
  </w:abstractNum>
  <w:abstractNum w:abstractNumId="3">
    <w:nsid w:val="4D045036"/>
    <w:multiLevelType w:val="hybridMultilevel"/>
    <w:tmpl w:val="CDA603D6"/>
    <w:lvl w:ilvl="0" w:tplc="9CAC18E0">
      <w:start w:val="1"/>
      <w:numFmt w:val="upperLetter"/>
      <w:lvlText w:val="%1."/>
      <w:lvlJc w:val="left"/>
      <w:pPr>
        <w:ind w:left="588" w:hanging="468"/>
      </w:pPr>
      <w:rPr>
        <w:rFonts w:ascii="Times New Roman" w:eastAsia="Times New Roman" w:hAnsi="Times New Roman" w:cs="Times New Roman" w:hint="default"/>
        <w:b/>
        <w:bCs/>
        <w:w w:val="99"/>
        <w:sz w:val="32"/>
        <w:szCs w:val="32"/>
        <w:lang w:val="en-US" w:eastAsia="en-US" w:bidi="ar-SA"/>
      </w:rPr>
    </w:lvl>
    <w:lvl w:ilvl="1" w:tplc="C7324122">
      <w:numFmt w:val="bullet"/>
      <w:lvlText w:val="•"/>
      <w:lvlJc w:val="left"/>
      <w:pPr>
        <w:ind w:left="580" w:hanging="468"/>
      </w:pPr>
      <w:rPr>
        <w:rFonts w:hint="default"/>
        <w:lang w:val="en-US" w:eastAsia="en-US" w:bidi="ar-SA"/>
      </w:rPr>
    </w:lvl>
    <w:lvl w:ilvl="2" w:tplc="4AE48DAE">
      <w:numFmt w:val="bullet"/>
      <w:lvlText w:val="•"/>
      <w:lvlJc w:val="left"/>
      <w:pPr>
        <w:ind w:left="1562" w:hanging="468"/>
      </w:pPr>
      <w:rPr>
        <w:rFonts w:hint="default"/>
        <w:lang w:val="en-US" w:eastAsia="en-US" w:bidi="ar-SA"/>
      </w:rPr>
    </w:lvl>
    <w:lvl w:ilvl="3" w:tplc="B5E6CEDE">
      <w:numFmt w:val="bullet"/>
      <w:lvlText w:val="•"/>
      <w:lvlJc w:val="left"/>
      <w:pPr>
        <w:ind w:left="2544" w:hanging="468"/>
      </w:pPr>
      <w:rPr>
        <w:rFonts w:hint="default"/>
        <w:lang w:val="en-US" w:eastAsia="en-US" w:bidi="ar-SA"/>
      </w:rPr>
    </w:lvl>
    <w:lvl w:ilvl="4" w:tplc="99BC5480">
      <w:numFmt w:val="bullet"/>
      <w:lvlText w:val="•"/>
      <w:lvlJc w:val="left"/>
      <w:pPr>
        <w:ind w:left="3526" w:hanging="468"/>
      </w:pPr>
      <w:rPr>
        <w:rFonts w:hint="default"/>
        <w:lang w:val="en-US" w:eastAsia="en-US" w:bidi="ar-SA"/>
      </w:rPr>
    </w:lvl>
    <w:lvl w:ilvl="5" w:tplc="4A0C000C">
      <w:numFmt w:val="bullet"/>
      <w:lvlText w:val="•"/>
      <w:lvlJc w:val="left"/>
      <w:pPr>
        <w:ind w:left="4508" w:hanging="468"/>
      </w:pPr>
      <w:rPr>
        <w:rFonts w:hint="default"/>
        <w:lang w:val="en-US" w:eastAsia="en-US" w:bidi="ar-SA"/>
      </w:rPr>
    </w:lvl>
    <w:lvl w:ilvl="6" w:tplc="215AED6E">
      <w:numFmt w:val="bullet"/>
      <w:lvlText w:val="•"/>
      <w:lvlJc w:val="left"/>
      <w:pPr>
        <w:ind w:left="5491" w:hanging="468"/>
      </w:pPr>
      <w:rPr>
        <w:rFonts w:hint="default"/>
        <w:lang w:val="en-US" w:eastAsia="en-US" w:bidi="ar-SA"/>
      </w:rPr>
    </w:lvl>
    <w:lvl w:ilvl="7" w:tplc="22962CC0">
      <w:numFmt w:val="bullet"/>
      <w:lvlText w:val="•"/>
      <w:lvlJc w:val="left"/>
      <w:pPr>
        <w:ind w:left="6473" w:hanging="468"/>
      </w:pPr>
      <w:rPr>
        <w:rFonts w:hint="default"/>
        <w:lang w:val="en-US" w:eastAsia="en-US" w:bidi="ar-SA"/>
      </w:rPr>
    </w:lvl>
    <w:lvl w:ilvl="8" w:tplc="307C5130">
      <w:numFmt w:val="bullet"/>
      <w:lvlText w:val="•"/>
      <w:lvlJc w:val="left"/>
      <w:pPr>
        <w:ind w:left="7455" w:hanging="468"/>
      </w:pPr>
      <w:rPr>
        <w:rFonts w:hint="default"/>
        <w:lang w:val="en-US" w:eastAsia="en-US" w:bidi="ar-SA"/>
      </w:rPr>
    </w:lvl>
  </w:abstractNum>
  <w:abstractNum w:abstractNumId="4">
    <w:nsid w:val="546D2429"/>
    <w:multiLevelType w:val="hybridMultilevel"/>
    <w:tmpl w:val="F26821B4"/>
    <w:lvl w:ilvl="0" w:tplc="7AAA4662">
      <w:start w:val="1"/>
      <w:numFmt w:val="upperLetter"/>
      <w:lvlText w:val="%1."/>
      <w:lvlJc w:val="left"/>
      <w:pPr>
        <w:ind w:left="590" w:hanging="471"/>
      </w:pPr>
      <w:rPr>
        <w:rFonts w:ascii="Times New Roman" w:eastAsia="Times New Roman" w:hAnsi="Times New Roman" w:cs="Times New Roman" w:hint="default"/>
        <w:b/>
        <w:bCs/>
        <w:w w:val="99"/>
        <w:sz w:val="32"/>
        <w:szCs w:val="32"/>
        <w:lang w:val="en-US" w:eastAsia="en-US" w:bidi="ar-SA"/>
      </w:rPr>
    </w:lvl>
    <w:lvl w:ilvl="1" w:tplc="8E2CC17E">
      <w:numFmt w:val="bullet"/>
      <w:lvlText w:val="•"/>
      <w:lvlJc w:val="left"/>
      <w:pPr>
        <w:ind w:left="1140" w:hanging="471"/>
      </w:pPr>
      <w:rPr>
        <w:rFonts w:hint="default"/>
        <w:lang w:val="en-US" w:eastAsia="en-US" w:bidi="ar-SA"/>
      </w:rPr>
    </w:lvl>
    <w:lvl w:ilvl="2" w:tplc="7AE2D298">
      <w:numFmt w:val="bullet"/>
      <w:lvlText w:val="•"/>
      <w:lvlJc w:val="left"/>
      <w:pPr>
        <w:ind w:left="2060" w:hanging="471"/>
      </w:pPr>
      <w:rPr>
        <w:rFonts w:hint="default"/>
        <w:lang w:val="en-US" w:eastAsia="en-US" w:bidi="ar-SA"/>
      </w:rPr>
    </w:lvl>
    <w:lvl w:ilvl="3" w:tplc="965E3D5E">
      <w:numFmt w:val="bullet"/>
      <w:lvlText w:val="•"/>
      <w:lvlJc w:val="left"/>
      <w:pPr>
        <w:ind w:left="2980" w:hanging="471"/>
      </w:pPr>
      <w:rPr>
        <w:rFonts w:hint="default"/>
        <w:lang w:val="en-US" w:eastAsia="en-US" w:bidi="ar-SA"/>
      </w:rPr>
    </w:lvl>
    <w:lvl w:ilvl="4" w:tplc="A7501D1E">
      <w:numFmt w:val="bullet"/>
      <w:lvlText w:val="•"/>
      <w:lvlJc w:val="left"/>
      <w:pPr>
        <w:ind w:left="3900" w:hanging="471"/>
      </w:pPr>
      <w:rPr>
        <w:rFonts w:hint="default"/>
        <w:lang w:val="en-US" w:eastAsia="en-US" w:bidi="ar-SA"/>
      </w:rPr>
    </w:lvl>
    <w:lvl w:ilvl="5" w:tplc="8C24E352">
      <w:numFmt w:val="bullet"/>
      <w:lvlText w:val="•"/>
      <w:lvlJc w:val="left"/>
      <w:pPr>
        <w:ind w:left="4820" w:hanging="471"/>
      </w:pPr>
      <w:rPr>
        <w:rFonts w:hint="default"/>
        <w:lang w:val="en-US" w:eastAsia="en-US" w:bidi="ar-SA"/>
      </w:rPr>
    </w:lvl>
    <w:lvl w:ilvl="6" w:tplc="6BE0FD16">
      <w:numFmt w:val="bullet"/>
      <w:lvlText w:val="•"/>
      <w:lvlJc w:val="left"/>
      <w:pPr>
        <w:ind w:left="5740" w:hanging="471"/>
      </w:pPr>
      <w:rPr>
        <w:rFonts w:hint="default"/>
        <w:lang w:val="en-US" w:eastAsia="en-US" w:bidi="ar-SA"/>
      </w:rPr>
    </w:lvl>
    <w:lvl w:ilvl="7" w:tplc="C05057CA">
      <w:numFmt w:val="bullet"/>
      <w:lvlText w:val="•"/>
      <w:lvlJc w:val="left"/>
      <w:pPr>
        <w:ind w:left="6660" w:hanging="471"/>
      </w:pPr>
      <w:rPr>
        <w:rFonts w:hint="default"/>
        <w:lang w:val="en-US" w:eastAsia="en-US" w:bidi="ar-SA"/>
      </w:rPr>
    </w:lvl>
    <w:lvl w:ilvl="8" w:tplc="553A0BD0">
      <w:numFmt w:val="bullet"/>
      <w:lvlText w:val="•"/>
      <w:lvlJc w:val="left"/>
      <w:pPr>
        <w:ind w:left="7580" w:hanging="471"/>
      </w:pPr>
      <w:rPr>
        <w:rFonts w:hint="default"/>
        <w:lang w:val="en-US" w:eastAsia="en-US" w:bidi="ar-SA"/>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861"/>
    <w:rsid w:val="000D2734"/>
    <w:rsid w:val="00175D8E"/>
    <w:rsid w:val="00181D09"/>
    <w:rsid w:val="0019092B"/>
    <w:rsid w:val="001950E1"/>
    <w:rsid w:val="00222C5F"/>
    <w:rsid w:val="002351EB"/>
    <w:rsid w:val="00252174"/>
    <w:rsid w:val="00257B09"/>
    <w:rsid w:val="00300B53"/>
    <w:rsid w:val="0032325D"/>
    <w:rsid w:val="00382022"/>
    <w:rsid w:val="00391601"/>
    <w:rsid w:val="00422F6B"/>
    <w:rsid w:val="0043675E"/>
    <w:rsid w:val="00487189"/>
    <w:rsid w:val="00503A37"/>
    <w:rsid w:val="00596292"/>
    <w:rsid w:val="005A778D"/>
    <w:rsid w:val="005E5471"/>
    <w:rsid w:val="0060340B"/>
    <w:rsid w:val="00650A30"/>
    <w:rsid w:val="00652CE9"/>
    <w:rsid w:val="006E0B40"/>
    <w:rsid w:val="00723861"/>
    <w:rsid w:val="00735812"/>
    <w:rsid w:val="00754B14"/>
    <w:rsid w:val="00791892"/>
    <w:rsid w:val="00966B98"/>
    <w:rsid w:val="009A7079"/>
    <w:rsid w:val="00AD7223"/>
    <w:rsid w:val="00B029A5"/>
    <w:rsid w:val="00B42EA7"/>
    <w:rsid w:val="00C10F35"/>
    <w:rsid w:val="00C82AB4"/>
    <w:rsid w:val="00C9403D"/>
    <w:rsid w:val="00D324A2"/>
    <w:rsid w:val="00D83517"/>
    <w:rsid w:val="00DA2125"/>
    <w:rsid w:val="00EC34DF"/>
    <w:rsid w:val="00FC701B"/>
    <w:rsid w:val="00FE6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1ACA5E-0B77-476E-84B3-CB4349F2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23861"/>
    <w:rPr>
      <w:rFonts w:ascii="Times New Roman" w:eastAsia="Times New Roman" w:hAnsi="Times New Roman" w:cs="Times New Roman"/>
    </w:rPr>
  </w:style>
  <w:style w:type="paragraph" w:styleId="Heading1">
    <w:name w:val="heading 1"/>
    <w:basedOn w:val="Normal"/>
    <w:uiPriority w:val="1"/>
    <w:qFormat/>
    <w:rsid w:val="00723861"/>
    <w:pPr>
      <w:ind w:left="518" w:hanging="471"/>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23861"/>
    <w:pPr>
      <w:ind w:left="120"/>
    </w:pPr>
    <w:rPr>
      <w:sz w:val="24"/>
      <w:szCs w:val="24"/>
    </w:rPr>
  </w:style>
  <w:style w:type="paragraph" w:styleId="ListParagraph">
    <w:name w:val="List Paragraph"/>
    <w:basedOn w:val="Normal"/>
    <w:uiPriority w:val="1"/>
    <w:qFormat/>
    <w:rsid w:val="00723861"/>
    <w:pPr>
      <w:ind w:left="840" w:hanging="541"/>
    </w:pPr>
  </w:style>
  <w:style w:type="paragraph" w:customStyle="1" w:styleId="TableParagraph">
    <w:name w:val="Table Paragraph"/>
    <w:basedOn w:val="Normal"/>
    <w:uiPriority w:val="1"/>
    <w:qFormat/>
    <w:rsid w:val="00723861"/>
    <w:pPr>
      <w:spacing w:before="73"/>
      <w:jc w:val="center"/>
    </w:pPr>
  </w:style>
  <w:style w:type="paragraph" w:styleId="NormalWeb">
    <w:name w:val="Normal (Web)"/>
    <w:basedOn w:val="Normal"/>
    <w:uiPriority w:val="99"/>
    <w:semiHidden/>
    <w:unhideWhenUsed/>
    <w:rsid w:val="00C10F35"/>
    <w:pPr>
      <w:widowControl/>
      <w:autoSpaceDE/>
      <w:autoSpaceDN/>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52CE9"/>
    <w:rPr>
      <w:rFonts w:ascii="Tahoma" w:hAnsi="Tahoma" w:cs="Tahoma"/>
      <w:sz w:val="16"/>
      <w:szCs w:val="16"/>
    </w:rPr>
  </w:style>
  <w:style w:type="character" w:customStyle="1" w:styleId="BalloonTextChar">
    <w:name w:val="Balloon Text Char"/>
    <w:basedOn w:val="DefaultParagraphFont"/>
    <w:link w:val="BalloonText"/>
    <w:uiPriority w:val="99"/>
    <w:semiHidden/>
    <w:rsid w:val="00652CE9"/>
    <w:rPr>
      <w:rFonts w:ascii="Tahoma" w:eastAsia="Times New Roman" w:hAnsi="Tahoma" w:cs="Tahoma"/>
      <w:sz w:val="16"/>
      <w:szCs w:val="16"/>
    </w:rPr>
  </w:style>
  <w:style w:type="paragraph" w:styleId="z-TopofForm">
    <w:name w:val="HTML Top of Form"/>
    <w:basedOn w:val="Normal"/>
    <w:next w:val="Normal"/>
    <w:link w:val="z-TopofFormChar"/>
    <w:hidden/>
    <w:uiPriority w:val="99"/>
    <w:semiHidden/>
    <w:unhideWhenUsed/>
    <w:rsid w:val="00C82AB4"/>
    <w:pPr>
      <w:widowControl/>
      <w:pBdr>
        <w:bottom w:val="single" w:sz="6" w:space="1" w:color="auto"/>
      </w:pBdr>
      <w:autoSpaceDE/>
      <w:autoSpaceDN/>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82AB4"/>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39776">
      <w:bodyDiv w:val="1"/>
      <w:marLeft w:val="0"/>
      <w:marRight w:val="0"/>
      <w:marTop w:val="0"/>
      <w:marBottom w:val="0"/>
      <w:divBdr>
        <w:top w:val="none" w:sz="0" w:space="0" w:color="auto"/>
        <w:left w:val="none" w:sz="0" w:space="0" w:color="auto"/>
        <w:bottom w:val="none" w:sz="0" w:space="0" w:color="auto"/>
        <w:right w:val="none" w:sz="0" w:space="0" w:color="auto"/>
      </w:divBdr>
      <w:divsChild>
        <w:div w:id="647320145">
          <w:marLeft w:val="0"/>
          <w:marRight w:val="0"/>
          <w:marTop w:val="0"/>
          <w:marBottom w:val="0"/>
          <w:divBdr>
            <w:top w:val="single" w:sz="2" w:space="0" w:color="D9D9E3"/>
            <w:left w:val="single" w:sz="2" w:space="0" w:color="D9D9E3"/>
            <w:bottom w:val="single" w:sz="2" w:space="0" w:color="D9D9E3"/>
            <w:right w:val="single" w:sz="2" w:space="0" w:color="D9D9E3"/>
          </w:divBdr>
          <w:divsChild>
            <w:div w:id="1067261952">
              <w:marLeft w:val="0"/>
              <w:marRight w:val="0"/>
              <w:marTop w:val="0"/>
              <w:marBottom w:val="0"/>
              <w:divBdr>
                <w:top w:val="single" w:sz="2" w:space="0" w:color="D9D9E3"/>
                <w:left w:val="single" w:sz="2" w:space="0" w:color="D9D9E3"/>
                <w:bottom w:val="single" w:sz="2" w:space="0" w:color="D9D9E3"/>
                <w:right w:val="single" w:sz="2" w:space="0" w:color="D9D9E3"/>
              </w:divBdr>
              <w:divsChild>
                <w:div w:id="1448694725">
                  <w:marLeft w:val="0"/>
                  <w:marRight w:val="0"/>
                  <w:marTop w:val="0"/>
                  <w:marBottom w:val="0"/>
                  <w:divBdr>
                    <w:top w:val="single" w:sz="2" w:space="0" w:color="D9D9E3"/>
                    <w:left w:val="single" w:sz="2" w:space="0" w:color="D9D9E3"/>
                    <w:bottom w:val="single" w:sz="2" w:space="0" w:color="D9D9E3"/>
                    <w:right w:val="single" w:sz="2" w:space="0" w:color="D9D9E3"/>
                  </w:divBdr>
                  <w:divsChild>
                    <w:div w:id="549192860">
                      <w:marLeft w:val="0"/>
                      <w:marRight w:val="0"/>
                      <w:marTop w:val="0"/>
                      <w:marBottom w:val="0"/>
                      <w:divBdr>
                        <w:top w:val="single" w:sz="2" w:space="0" w:color="D9D9E3"/>
                        <w:left w:val="single" w:sz="2" w:space="0" w:color="D9D9E3"/>
                        <w:bottom w:val="single" w:sz="2" w:space="0" w:color="D9D9E3"/>
                        <w:right w:val="single" w:sz="2" w:space="0" w:color="D9D9E3"/>
                      </w:divBdr>
                      <w:divsChild>
                        <w:div w:id="2008825841">
                          <w:marLeft w:val="0"/>
                          <w:marRight w:val="0"/>
                          <w:marTop w:val="0"/>
                          <w:marBottom w:val="0"/>
                          <w:divBdr>
                            <w:top w:val="single" w:sz="2" w:space="0" w:color="auto"/>
                            <w:left w:val="single" w:sz="2" w:space="0" w:color="auto"/>
                            <w:bottom w:val="single" w:sz="4" w:space="0" w:color="auto"/>
                            <w:right w:val="single" w:sz="2" w:space="0" w:color="auto"/>
                          </w:divBdr>
                          <w:divsChild>
                            <w:div w:id="440801588">
                              <w:marLeft w:val="0"/>
                              <w:marRight w:val="0"/>
                              <w:marTop w:val="100"/>
                              <w:marBottom w:val="100"/>
                              <w:divBdr>
                                <w:top w:val="single" w:sz="2" w:space="0" w:color="D9D9E3"/>
                                <w:left w:val="single" w:sz="2" w:space="0" w:color="D9D9E3"/>
                                <w:bottom w:val="single" w:sz="2" w:space="0" w:color="D9D9E3"/>
                                <w:right w:val="single" w:sz="2" w:space="0" w:color="D9D9E3"/>
                              </w:divBdr>
                              <w:divsChild>
                                <w:div w:id="438721286">
                                  <w:marLeft w:val="0"/>
                                  <w:marRight w:val="0"/>
                                  <w:marTop w:val="0"/>
                                  <w:marBottom w:val="0"/>
                                  <w:divBdr>
                                    <w:top w:val="single" w:sz="2" w:space="0" w:color="D9D9E3"/>
                                    <w:left w:val="single" w:sz="2" w:space="0" w:color="D9D9E3"/>
                                    <w:bottom w:val="single" w:sz="2" w:space="0" w:color="D9D9E3"/>
                                    <w:right w:val="single" w:sz="2" w:space="0" w:color="D9D9E3"/>
                                  </w:divBdr>
                                  <w:divsChild>
                                    <w:div w:id="2005089532">
                                      <w:marLeft w:val="0"/>
                                      <w:marRight w:val="0"/>
                                      <w:marTop w:val="0"/>
                                      <w:marBottom w:val="0"/>
                                      <w:divBdr>
                                        <w:top w:val="single" w:sz="2" w:space="0" w:color="D9D9E3"/>
                                        <w:left w:val="single" w:sz="2" w:space="0" w:color="D9D9E3"/>
                                        <w:bottom w:val="single" w:sz="2" w:space="0" w:color="D9D9E3"/>
                                        <w:right w:val="single" w:sz="2" w:space="0" w:color="D9D9E3"/>
                                      </w:divBdr>
                                      <w:divsChild>
                                        <w:div w:id="1506897827">
                                          <w:marLeft w:val="0"/>
                                          <w:marRight w:val="0"/>
                                          <w:marTop w:val="0"/>
                                          <w:marBottom w:val="0"/>
                                          <w:divBdr>
                                            <w:top w:val="single" w:sz="2" w:space="0" w:color="D9D9E3"/>
                                            <w:left w:val="single" w:sz="2" w:space="0" w:color="D9D9E3"/>
                                            <w:bottom w:val="single" w:sz="2" w:space="0" w:color="D9D9E3"/>
                                            <w:right w:val="single" w:sz="2" w:space="0" w:color="D9D9E3"/>
                                          </w:divBdr>
                                          <w:divsChild>
                                            <w:div w:id="659507504">
                                              <w:marLeft w:val="0"/>
                                              <w:marRight w:val="0"/>
                                              <w:marTop w:val="0"/>
                                              <w:marBottom w:val="0"/>
                                              <w:divBdr>
                                                <w:top w:val="single" w:sz="2" w:space="0" w:color="D9D9E3"/>
                                                <w:left w:val="single" w:sz="2" w:space="0" w:color="D9D9E3"/>
                                                <w:bottom w:val="single" w:sz="2" w:space="0" w:color="D9D9E3"/>
                                                <w:right w:val="single" w:sz="2" w:space="0" w:color="D9D9E3"/>
                                              </w:divBdr>
                                              <w:divsChild>
                                                <w:div w:id="3721907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281837505">
          <w:marLeft w:val="0"/>
          <w:marRight w:val="0"/>
          <w:marTop w:val="0"/>
          <w:marBottom w:val="0"/>
          <w:divBdr>
            <w:top w:val="none" w:sz="0" w:space="0" w:color="auto"/>
            <w:left w:val="none" w:sz="0" w:space="0" w:color="auto"/>
            <w:bottom w:val="none" w:sz="0" w:space="0" w:color="auto"/>
            <w:right w:val="none" w:sz="0" w:space="0" w:color="auto"/>
          </w:divBdr>
        </w:div>
      </w:divsChild>
    </w:div>
    <w:div w:id="326860145">
      <w:bodyDiv w:val="1"/>
      <w:marLeft w:val="0"/>
      <w:marRight w:val="0"/>
      <w:marTop w:val="0"/>
      <w:marBottom w:val="0"/>
      <w:divBdr>
        <w:top w:val="none" w:sz="0" w:space="0" w:color="auto"/>
        <w:left w:val="none" w:sz="0" w:space="0" w:color="auto"/>
        <w:bottom w:val="none" w:sz="0" w:space="0" w:color="auto"/>
        <w:right w:val="none" w:sz="0" w:space="0" w:color="auto"/>
      </w:divBdr>
    </w:div>
    <w:div w:id="742917357">
      <w:bodyDiv w:val="1"/>
      <w:marLeft w:val="0"/>
      <w:marRight w:val="0"/>
      <w:marTop w:val="0"/>
      <w:marBottom w:val="0"/>
      <w:divBdr>
        <w:top w:val="none" w:sz="0" w:space="0" w:color="auto"/>
        <w:left w:val="none" w:sz="0" w:space="0" w:color="auto"/>
        <w:bottom w:val="none" w:sz="0" w:space="0" w:color="auto"/>
        <w:right w:val="none" w:sz="0" w:space="0" w:color="auto"/>
      </w:divBdr>
      <w:divsChild>
        <w:div w:id="101581859">
          <w:marLeft w:val="0"/>
          <w:marRight w:val="0"/>
          <w:marTop w:val="0"/>
          <w:marBottom w:val="0"/>
          <w:divBdr>
            <w:top w:val="single" w:sz="2" w:space="0" w:color="auto"/>
            <w:left w:val="single" w:sz="2" w:space="0" w:color="auto"/>
            <w:bottom w:val="single" w:sz="4" w:space="0" w:color="auto"/>
            <w:right w:val="single" w:sz="2" w:space="0" w:color="auto"/>
          </w:divBdr>
          <w:divsChild>
            <w:div w:id="551356029">
              <w:marLeft w:val="0"/>
              <w:marRight w:val="0"/>
              <w:marTop w:val="100"/>
              <w:marBottom w:val="100"/>
              <w:divBdr>
                <w:top w:val="single" w:sz="2" w:space="0" w:color="D9D9E3"/>
                <w:left w:val="single" w:sz="2" w:space="0" w:color="D9D9E3"/>
                <w:bottom w:val="single" w:sz="2" w:space="0" w:color="D9D9E3"/>
                <w:right w:val="single" w:sz="2" w:space="0" w:color="D9D9E3"/>
              </w:divBdr>
              <w:divsChild>
                <w:div w:id="2057966381">
                  <w:marLeft w:val="0"/>
                  <w:marRight w:val="0"/>
                  <w:marTop w:val="0"/>
                  <w:marBottom w:val="0"/>
                  <w:divBdr>
                    <w:top w:val="single" w:sz="2" w:space="0" w:color="D9D9E3"/>
                    <w:left w:val="single" w:sz="2" w:space="0" w:color="D9D9E3"/>
                    <w:bottom w:val="single" w:sz="2" w:space="0" w:color="D9D9E3"/>
                    <w:right w:val="single" w:sz="2" w:space="0" w:color="D9D9E3"/>
                  </w:divBdr>
                  <w:divsChild>
                    <w:div w:id="941455141">
                      <w:marLeft w:val="0"/>
                      <w:marRight w:val="0"/>
                      <w:marTop w:val="0"/>
                      <w:marBottom w:val="0"/>
                      <w:divBdr>
                        <w:top w:val="single" w:sz="2" w:space="0" w:color="D9D9E3"/>
                        <w:left w:val="single" w:sz="2" w:space="0" w:color="D9D9E3"/>
                        <w:bottom w:val="single" w:sz="2" w:space="0" w:color="D9D9E3"/>
                        <w:right w:val="single" w:sz="2" w:space="0" w:color="D9D9E3"/>
                      </w:divBdr>
                      <w:divsChild>
                        <w:div w:id="793325119">
                          <w:marLeft w:val="0"/>
                          <w:marRight w:val="0"/>
                          <w:marTop w:val="0"/>
                          <w:marBottom w:val="0"/>
                          <w:divBdr>
                            <w:top w:val="single" w:sz="2" w:space="0" w:color="D9D9E3"/>
                            <w:left w:val="single" w:sz="2" w:space="0" w:color="D9D9E3"/>
                            <w:bottom w:val="single" w:sz="2" w:space="0" w:color="D9D9E3"/>
                            <w:right w:val="single" w:sz="2" w:space="0" w:color="D9D9E3"/>
                          </w:divBdr>
                          <w:divsChild>
                            <w:div w:id="990986099">
                              <w:marLeft w:val="0"/>
                              <w:marRight w:val="0"/>
                              <w:marTop w:val="0"/>
                              <w:marBottom w:val="0"/>
                              <w:divBdr>
                                <w:top w:val="single" w:sz="2" w:space="0" w:color="D9D9E3"/>
                                <w:left w:val="single" w:sz="2" w:space="0" w:color="D9D9E3"/>
                                <w:bottom w:val="single" w:sz="2" w:space="0" w:color="D9D9E3"/>
                                <w:right w:val="single" w:sz="2" w:space="0" w:color="D9D9E3"/>
                              </w:divBdr>
                              <w:divsChild>
                                <w:div w:id="837379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25530978">
      <w:bodyDiv w:val="1"/>
      <w:marLeft w:val="0"/>
      <w:marRight w:val="0"/>
      <w:marTop w:val="0"/>
      <w:marBottom w:val="0"/>
      <w:divBdr>
        <w:top w:val="none" w:sz="0" w:space="0" w:color="auto"/>
        <w:left w:val="none" w:sz="0" w:space="0" w:color="auto"/>
        <w:bottom w:val="none" w:sz="0" w:space="0" w:color="auto"/>
        <w:right w:val="none" w:sz="0" w:space="0" w:color="auto"/>
      </w:divBdr>
      <w:divsChild>
        <w:div w:id="948656934">
          <w:marLeft w:val="0"/>
          <w:marRight w:val="0"/>
          <w:marTop w:val="0"/>
          <w:marBottom w:val="0"/>
          <w:divBdr>
            <w:top w:val="single" w:sz="2" w:space="0" w:color="D9D9E3"/>
            <w:left w:val="single" w:sz="2" w:space="0" w:color="D9D9E3"/>
            <w:bottom w:val="single" w:sz="2" w:space="0" w:color="D9D9E3"/>
            <w:right w:val="single" w:sz="2" w:space="0" w:color="D9D9E3"/>
          </w:divBdr>
          <w:divsChild>
            <w:div w:id="763771432">
              <w:marLeft w:val="0"/>
              <w:marRight w:val="0"/>
              <w:marTop w:val="0"/>
              <w:marBottom w:val="0"/>
              <w:divBdr>
                <w:top w:val="single" w:sz="2" w:space="0" w:color="D9D9E3"/>
                <w:left w:val="single" w:sz="2" w:space="0" w:color="D9D9E3"/>
                <w:bottom w:val="single" w:sz="2" w:space="0" w:color="D9D9E3"/>
                <w:right w:val="single" w:sz="2" w:space="0" w:color="D9D9E3"/>
              </w:divBdr>
              <w:divsChild>
                <w:div w:id="37322375">
                  <w:marLeft w:val="0"/>
                  <w:marRight w:val="0"/>
                  <w:marTop w:val="0"/>
                  <w:marBottom w:val="0"/>
                  <w:divBdr>
                    <w:top w:val="single" w:sz="2" w:space="0" w:color="D9D9E3"/>
                    <w:left w:val="single" w:sz="2" w:space="0" w:color="D9D9E3"/>
                    <w:bottom w:val="single" w:sz="2" w:space="0" w:color="D9D9E3"/>
                    <w:right w:val="single" w:sz="2" w:space="0" w:color="D9D9E3"/>
                  </w:divBdr>
                  <w:divsChild>
                    <w:div w:id="145971673">
                      <w:marLeft w:val="0"/>
                      <w:marRight w:val="0"/>
                      <w:marTop w:val="0"/>
                      <w:marBottom w:val="0"/>
                      <w:divBdr>
                        <w:top w:val="single" w:sz="2" w:space="0" w:color="D9D9E3"/>
                        <w:left w:val="single" w:sz="2" w:space="0" w:color="D9D9E3"/>
                        <w:bottom w:val="single" w:sz="2" w:space="0" w:color="D9D9E3"/>
                        <w:right w:val="single" w:sz="2" w:space="0" w:color="D9D9E3"/>
                      </w:divBdr>
                      <w:divsChild>
                        <w:div w:id="384448830">
                          <w:marLeft w:val="0"/>
                          <w:marRight w:val="0"/>
                          <w:marTop w:val="0"/>
                          <w:marBottom w:val="0"/>
                          <w:divBdr>
                            <w:top w:val="single" w:sz="2" w:space="0" w:color="auto"/>
                            <w:left w:val="single" w:sz="2" w:space="0" w:color="auto"/>
                            <w:bottom w:val="single" w:sz="4" w:space="0" w:color="auto"/>
                            <w:right w:val="single" w:sz="2" w:space="0" w:color="auto"/>
                          </w:divBdr>
                          <w:divsChild>
                            <w:div w:id="2087917680">
                              <w:marLeft w:val="0"/>
                              <w:marRight w:val="0"/>
                              <w:marTop w:val="100"/>
                              <w:marBottom w:val="100"/>
                              <w:divBdr>
                                <w:top w:val="single" w:sz="2" w:space="0" w:color="D9D9E3"/>
                                <w:left w:val="single" w:sz="2" w:space="0" w:color="D9D9E3"/>
                                <w:bottom w:val="single" w:sz="2" w:space="0" w:color="D9D9E3"/>
                                <w:right w:val="single" w:sz="2" w:space="0" w:color="D9D9E3"/>
                              </w:divBdr>
                              <w:divsChild>
                                <w:div w:id="658464244">
                                  <w:marLeft w:val="0"/>
                                  <w:marRight w:val="0"/>
                                  <w:marTop w:val="0"/>
                                  <w:marBottom w:val="0"/>
                                  <w:divBdr>
                                    <w:top w:val="single" w:sz="2" w:space="0" w:color="D9D9E3"/>
                                    <w:left w:val="single" w:sz="2" w:space="0" w:color="D9D9E3"/>
                                    <w:bottom w:val="single" w:sz="2" w:space="0" w:color="D9D9E3"/>
                                    <w:right w:val="single" w:sz="2" w:space="0" w:color="D9D9E3"/>
                                  </w:divBdr>
                                  <w:divsChild>
                                    <w:div w:id="620307673">
                                      <w:marLeft w:val="0"/>
                                      <w:marRight w:val="0"/>
                                      <w:marTop w:val="0"/>
                                      <w:marBottom w:val="0"/>
                                      <w:divBdr>
                                        <w:top w:val="single" w:sz="2" w:space="0" w:color="D9D9E3"/>
                                        <w:left w:val="single" w:sz="2" w:space="0" w:color="D9D9E3"/>
                                        <w:bottom w:val="single" w:sz="2" w:space="0" w:color="D9D9E3"/>
                                        <w:right w:val="single" w:sz="2" w:space="0" w:color="D9D9E3"/>
                                      </w:divBdr>
                                      <w:divsChild>
                                        <w:div w:id="1921475912">
                                          <w:marLeft w:val="0"/>
                                          <w:marRight w:val="0"/>
                                          <w:marTop w:val="0"/>
                                          <w:marBottom w:val="0"/>
                                          <w:divBdr>
                                            <w:top w:val="single" w:sz="2" w:space="0" w:color="D9D9E3"/>
                                            <w:left w:val="single" w:sz="2" w:space="0" w:color="D9D9E3"/>
                                            <w:bottom w:val="single" w:sz="2" w:space="0" w:color="D9D9E3"/>
                                            <w:right w:val="single" w:sz="2" w:space="0" w:color="D9D9E3"/>
                                          </w:divBdr>
                                          <w:divsChild>
                                            <w:div w:id="1240479931">
                                              <w:marLeft w:val="0"/>
                                              <w:marRight w:val="0"/>
                                              <w:marTop w:val="0"/>
                                              <w:marBottom w:val="0"/>
                                              <w:divBdr>
                                                <w:top w:val="single" w:sz="2" w:space="0" w:color="D9D9E3"/>
                                                <w:left w:val="single" w:sz="2" w:space="0" w:color="D9D9E3"/>
                                                <w:bottom w:val="single" w:sz="2" w:space="0" w:color="D9D9E3"/>
                                                <w:right w:val="single" w:sz="2" w:space="0" w:color="D9D9E3"/>
                                              </w:divBdr>
                                              <w:divsChild>
                                                <w:div w:id="15393908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259482050">
          <w:marLeft w:val="0"/>
          <w:marRight w:val="0"/>
          <w:marTop w:val="0"/>
          <w:marBottom w:val="0"/>
          <w:divBdr>
            <w:top w:val="none" w:sz="0" w:space="0" w:color="auto"/>
            <w:left w:val="none" w:sz="0" w:space="0" w:color="auto"/>
            <w:bottom w:val="none" w:sz="0" w:space="0" w:color="auto"/>
            <w:right w:val="none" w:sz="0" w:space="0" w:color="auto"/>
          </w:divBdr>
        </w:div>
      </w:divsChild>
    </w:div>
    <w:div w:id="1328436013">
      <w:bodyDiv w:val="1"/>
      <w:marLeft w:val="0"/>
      <w:marRight w:val="0"/>
      <w:marTop w:val="0"/>
      <w:marBottom w:val="0"/>
      <w:divBdr>
        <w:top w:val="none" w:sz="0" w:space="0" w:color="auto"/>
        <w:left w:val="none" w:sz="0" w:space="0" w:color="auto"/>
        <w:bottom w:val="none" w:sz="0" w:space="0" w:color="auto"/>
        <w:right w:val="none" w:sz="0" w:space="0" w:color="auto"/>
      </w:divBdr>
      <w:divsChild>
        <w:div w:id="16464605">
          <w:marLeft w:val="0"/>
          <w:marRight w:val="0"/>
          <w:marTop w:val="0"/>
          <w:marBottom w:val="0"/>
          <w:divBdr>
            <w:top w:val="single" w:sz="2" w:space="0" w:color="auto"/>
            <w:left w:val="single" w:sz="2" w:space="0" w:color="auto"/>
            <w:bottom w:val="single" w:sz="4" w:space="0" w:color="auto"/>
            <w:right w:val="single" w:sz="2" w:space="0" w:color="auto"/>
          </w:divBdr>
          <w:divsChild>
            <w:div w:id="619413276">
              <w:marLeft w:val="0"/>
              <w:marRight w:val="0"/>
              <w:marTop w:val="100"/>
              <w:marBottom w:val="100"/>
              <w:divBdr>
                <w:top w:val="single" w:sz="2" w:space="0" w:color="D9D9E3"/>
                <w:left w:val="single" w:sz="2" w:space="0" w:color="D9D9E3"/>
                <w:bottom w:val="single" w:sz="2" w:space="0" w:color="D9D9E3"/>
                <w:right w:val="single" w:sz="2" w:space="0" w:color="D9D9E3"/>
              </w:divBdr>
              <w:divsChild>
                <w:div w:id="2100784790">
                  <w:marLeft w:val="0"/>
                  <w:marRight w:val="0"/>
                  <w:marTop w:val="0"/>
                  <w:marBottom w:val="0"/>
                  <w:divBdr>
                    <w:top w:val="single" w:sz="2" w:space="0" w:color="D9D9E3"/>
                    <w:left w:val="single" w:sz="2" w:space="0" w:color="D9D9E3"/>
                    <w:bottom w:val="single" w:sz="2" w:space="0" w:color="D9D9E3"/>
                    <w:right w:val="single" w:sz="2" w:space="0" w:color="D9D9E3"/>
                  </w:divBdr>
                  <w:divsChild>
                    <w:div w:id="306982515">
                      <w:marLeft w:val="0"/>
                      <w:marRight w:val="0"/>
                      <w:marTop w:val="0"/>
                      <w:marBottom w:val="0"/>
                      <w:divBdr>
                        <w:top w:val="single" w:sz="2" w:space="0" w:color="D9D9E3"/>
                        <w:left w:val="single" w:sz="2" w:space="0" w:color="D9D9E3"/>
                        <w:bottom w:val="single" w:sz="2" w:space="0" w:color="D9D9E3"/>
                        <w:right w:val="single" w:sz="2" w:space="0" w:color="D9D9E3"/>
                      </w:divBdr>
                      <w:divsChild>
                        <w:div w:id="406995099">
                          <w:marLeft w:val="0"/>
                          <w:marRight w:val="0"/>
                          <w:marTop w:val="0"/>
                          <w:marBottom w:val="0"/>
                          <w:divBdr>
                            <w:top w:val="single" w:sz="2" w:space="0" w:color="D9D9E3"/>
                            <w:left w:val="single" w:sz="2" w:space="0" w:color="D9D9E3"/>
                            <w:bottom w:val="single" w:sz="2" w:space="0" w:color="D9D9E3"/>
                            <w:right w:val="single" w:sz="2" w:space="0" w:color="D9D9E3"/>
                          </w:divBdr>
                          <w:divsChild>
                            <w:div w:id="311643602">
                              <w:marLeft w:val="0"/>
                              <w:marRight w:val="0"/>
                              <w:marTop w:val="0"/>
                              <w:marBottom w:val="0"/>
                              <w:divBdr>
                                <w:top w:val="single" w:sz="2" w:space="0" w:color="D9D9E3"/>
                                <w:left w:val="single" w:sz="2" w:space="0" w:color="D9D9E3"/>
                                <w:bottom w:val="single" w:sz="2" w:space="0" w:color="D9D9E3"/>
                                <w:right w:val="single" w:sz="2" w:space="0" w:color="D9D9E3"/>
                              </w:divBdr>
                              <w:divsChild>
                                <w:div w:id="19571751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56155086">
      <w:bodyDiv w:val="1"/>
      <w:marLeft w:val="0"/>
      <w:marRight w:val="0"/>
      <w:marTop w:val="0"/>
      <w:marBottom w:val="0"/>
      <w:divBdr>
        <w:top w:val="none" w:sz="0" w:space="0" w:color="auto"/>
        <w:left w:val="none" w:sz="0" w:space="0" w:color="auto"/>
        <w:bottom w:val="none" w:sz="0" w:space="0" w:color="auto"/>
        <w:right w:val="none" w:sz="0" w:space="0" w:color="auto"/>
      </w:divBdr>
      <w:divsChild>
        <w:div w:id="815344482">
          <w:marLeft w:val="0"/>
          <w:marRight w:val="0"/>
          <w:marTop w:val="0"/>
          <w:marBottom w:val="0"/>
          <w:divBdr>
            <w:top w:val="single" w:sz="2" w:space="0" w:color="auto"/>
            <w:left w:val="single" w:sz="2" w:space="0" w:color="auto"/>
            <w:bottom w:val="single" w:sz="4" w:space="0" w:color="auto"/>
            <w:right w:val="single" w:sz="2" w:space="0" w:color="auto"/>
          </w:divBdr>
          <w:divsChild>
            <w:div w:id="1770193721">
              <w:marLeft w:val="0"/>
              <w:marRight w:val="0"/>
              <w:marTop w:val="100"/>
              <w:marBottom w:val="100"/>
              <w:divBdr>
                <w:top w:val="single" w:sz="2" w:space="0" w:color="D9D9E3"/>
                <w:left w:val="single" w:sz="2" w:space="0" w:color="D9D9E3"/>
                <w:bottom w:val="single" w:sz="2" w:space="0" w:color="D9D9E3"/>
                <w:right w:val="single" w:sz="2" w:space="0" w:color="D9D9E3"/>
              </w:divBdr>
              <w:divsChild>
                <w:div w:id="1433403728">
                  <w:marLeft w:val="0"/>
                  <w:marRight w:val="0"/>
                  <w:marTop w:val="0"/>
                  <w:marBottom w:val="0"/>
                  <w:divBdr>
                    <w:top w:val="single" w:sz="2" w:space="0" w:color="D9D9E3"/>
                    <w:left w:val="single" w:sz="2" w:space="0" w:color="D9D9E3"/>
                    <w:bottom w:val="single" w:sz="2" w:space="0" w:color="D9D9E3"/>
                    <w:right w:val="single" w:sz="2" w:space="0" w:color="D9D9E3"/>
                  </w:divBdr>
                  <w:divsChild>
                    <w:div w:id="1379283563">
                      <w:marLeft w:val="0"/>
                      <w:marRight w:val="0"/>
                      <w:marTop w:val="0"/>
                      <w:marBottom w:val="0"/>
                      <w:divBdr>
                        <w:top w:val="single" w:sz="2" w:space="0" w:color="D9D9E3"/>
                        <w:left w:val="single" w:sz="2" w:space="0" w:color="D9D9E3"/>
                        <w:bottom w:val="single" w:sz="2" w:space="0" w:color="D9D9E3"/>
                        <w:right w:val="single" w:sz="2" w:space="0" w:color="D9D9E3"/>
                      </w:divBdr>
                      <w:divsChild>
                        <w:div w:id="1988588427">
                          <w:marLeft w:val="0"/>
                          <w:marRight w:val="0"/>
                          <w:marTop w:val="0"/>
                          <w:marBottom w:val="0"/>
                          <w:divBdr>
                            <w:top w:val="single" w:sz="2" w:space="0" w:color="D9D9E3"/>
                            <w:left w:val="single" w:sz="2" w:space="0" w:color="D9D9E3"/>
                            <w:bottom w:val="single" w:sz="2" w:space="0" w:color="D9D9E3"/>
                            <w:right w:val="single" w:sz="2" w:space="0" w:color="D9D9E3"/>
                          </w:divBdr>
                          <w:divsChild>
                            <w:div w:id="1957054148">
                              <w:marLeft w:val="0"/>
                              <w:marRight w:val="0"/>
                              <w:marTop w:val="0"/>
                              <w:marBottom w:val="0"/>
                              <w:divBdr>
                                <w:top w:val="single" w:sz="2" w:space="0" w:color="D9D9E3"/>
                                <w:left w:val="single" w:sz="2" w:space="0" w:color="D9D9E3"/>
                                <w:bottom w:val="single" w:sz="2" w:space="0" w:color="D9D9E3"/>
                                <w:right w:val="single" w:sz="2" w:space="0" w:color="D9D9E3"/>
                              </w:divBdr>
                              <w:divsChild>
                                <w:div w:id="4162939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82055416">
      <w:bodyDiv w:val="1"/>
      <w:marLeft w:val="0"/>
      <w:marRight w:val="0"/>
      <w:marTop w:val="0"/>
      <w:marBottom w:val="0"/>
      <w:divBdr>
        <w:top w:val="none" w:sz="0" w:space="0" w:color="auto"/>
        <w:left w:val="none" w:sz="0" w:space="0" w:color="auto"/>
        <w:bottom w:val="none" w:sz="0" w:space="0" w:color="auto"/>
        <w:right w:val="none" w:sz="0" w:space="0" w:color="auto"/>
      </w:divBdr>
      <w:divsChild>
        <w:div w:id="1798791507">
          <w:marLeft w:val="0"/>
          <w:marRight w:val="0"/>
          <w:marTop w:val="0"/>
          <w:marBottom w:val="0"/>
          <w:divBdr>
            <w:top w:val="single" w:sz="2" w:space="0" w:color="auto"/>
            <w:left w:val="single" w:sz="2" w:space="0" w:color="auto"/>
            <w:bottom w:val="single" w:sz="4" w:space="0" w:color="auto"/>
            <w:right w:val="single" w:sz="2" w:space="0" w:color="auto"/>
          </w:divBdr>
          <w:divsChild>
            <w:div w:id="478576335">
              <w:marLeft w:val="0"/>
              <w:marRight w:val="0"/>
              <w:marTop w:val="100"/>
              <w:marBottom w:val="100"/>
              <w:divBdr>
                <w:top w:val="single" w:sz="2" w:space="0" w:color="D9D9E3"/>
                <w:left w:val="single" w:sz="2" w:space="0" w:color="D9D9E3"/>
                <w:bottom w:val="single" w:sz="2" w:space="0" w:color="D9D9E3"/>
                <w:right w:val="single" w:sz="2" w:space="0" w:color="D9D9E3"/>
              </w:divBdr>
              <w:divsChild>
                <w:div w:id="1882668414">
                  <w:marLeft w:val="0"/>
                  <w:marRight w:val="0"/>
                  <w:marTop w:val="0"/>
                  <w:marBottom w:val="0"/>
                  <w:divBdr>
                    <w:top w:val="single" w:sz="2" w:space="0" w:color="D9D9E3"/>
                    <w:left w:val="single" w:sz="2" w:space="0" w:color="D9D9E3"/>
                    <w:bottom w:val="single" w:sz="2" w:space="0" w:color="D9D9E3"/>
                    <w:right w:val="single" w:sz="2" w:space="0" w:color="D9D9E3"/>
                  </w:divBdr>
                  <w:divsChild>
                    <w:div w:id="809858966">
                      <w:marLeft w:val="0"/>
                      <w:marRight w:val="0"/>
                      <w:marTop w:val="0"/>
                      <w:marBottom w:val="0"/>
                      <w:divBdr>
                        <w:top w:val="single" w:sz="2" w:space="0" w:color="D9D9E3"/>
                        <w:left w:val="single" w:sz="2" w:space="0" w:color="D9D9E3"/>
                        <w:bottom w:val="single" w:sz="2" w:space="0" w:color="D9D9E3"/>
                        <w:right w:val="single" w:sz="2" w:space="0" w:color="D9D9E3"/>
                      </w:divBdr>
                      <w:divsChild>
                        <w:div w:id="300355106">
                          <w:marLeft w:val="0"/>
                          <w:marRight w:val="0"/>
                          <w:marTop w:val="0"/>
                          <w:marBottom w:val="0"/>
                          <w:divBdr>
                            <w:top w:val="single" w:sz="2" w:space="0" w:color="D9D9E3"/>
                            <w:left w:val="single" w:sz="2" w:space="0" w:color="D9D9E3"/>
                            <w:bottom w:val="single" w:sz="2" w:space="0" w:color="D9D9E3"/>
                            <w:right w:val="single" w:sz="2" w:space="0" w:color="D9D9E3"/>
                          </w:divBdr>
                          <w:divsChild>
                            <w:div w:id="1053819734">
                              <w:marLeft w:val="0"/>
                              <w:marRight w:val="0"/>
                              <w:marTop w:val="0"/>
                              <w:marBottom w:val="0"/>
                              <w:divBdr>
                                <w:top w:val="single" w:sz="2" w:space="0" w:color="D9D9E3"/>
                                <w:left w:val="single" w:sz="2" w:space="0" w:color="D9D9E3"/>
                                <w:bottom w:val="single" w:sz="2" w:space="0" w:color="D9D9E3"/>
                                <w:right w:val="single" w:sz="2" w:space="0" w:color="D9D9E3"/>
                              </w:divBdr>
                              <w:divsChild>
                                <w:div w:id="16248465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00247118">
      <w:bodyDiv w:val="1"/>
      <w:marLeft w:val="0"/>
      <w:marRight w:val="0"/>
      <w:marTop w:val="0"/>
      <w:marBottom w:val="0"/>
      <w:divBdr>
        <w:top w:val="none" w:sz="0" w:space="0" w:color="auto"/>
        <w:left w:val="none" w:sz="0" w:space="0" w:color="auto"/>
        <w:bottom w:val="none" w:sz="0" w:space="0" w:color="auto"/>
        <w:right w:val="none" w:sz="0" w:space="0" w:color="auto"/>
      </w:divBdr>
    </w:div>
    <w:div w:id="1625044026">
      <w:bodyDiv w:val="1"/>
      <w:marLeft w:val="0"/>
      <w:marRight w:val="0"/>
      <w:marTop w:val="0"/>
      <w:marBottom w:val="0"/>
      <w:divBdr>
        <w:top w:val="none" w:sz="0" w:space="0" w:color="auto"/>
        <w:left w:val="none" w:sz="0" w:space="0" w:color="auto"/>
        <w:bottom w:val="none" w:sz="0" w:space="0" w:color="auto"/>
        <w:right w:val="none" w:sz="0" w:space="0" w:color="auto"/>
      </w:divBdr>
      <w:divsChild>
        <w:div w:id="1870755727">
          <w:marLeft w:val="0"/>
          <w:marRight w:val="0"/>
          <w:marTop w:val="0"/>
          <w:marBottom w:val="0"/>
          <w:divBdr>
            <w:top w:val="single" w:sz="2" w:space="0" w:color="auto"/>
            <w:left w:val="single" w:sz="2" w:space="0" w:color="auto"/>
            <w:bottom w:val="single" w:sz="4" w:space="0" w:color="auto"/>
            <w:right w:val="single" w:sz="2" w:space="0" w:color="auto"/>
          </w:divBdr>
          <w:divsChild>
            <w:div w:id="838081924">
              <w:marLeft w:val="0"/>
              <w:marRight w:val="0"/>
              <w:marTop w:val="100"/>
              <w:marBottom w:val="100"/>
              <w:divBdr>
                <w:top w:val="single" w:sz="2" w:space="0" w:color="D9D9E3"/>
                <w:left w:val="single" w:sz="2" w:space="0" w:color="D9D9E3"/>
                <w:bottom w:val="single" w:sz="2" w:space="0" w:color="D9D9E3"/>
                <w:right w:val="single" w:sz="2" w:space="0" w:color="D9D9E3"/>
              </w:divBdr>
              <w:divsChild>
                <w:div w:id="117266149">
                  <w:marLeft w:val="0"/>
                  <w:marRight w:val="0"/>
                  <w:marTop w:val="0"/>
                  <w:marBottom w:val="0"/>
                  <w:divBdr>
                    <w:top w:val="single" w:sz="2" w:space="0" w:color="D9D9E3"/>
                    <w:left w:val="single" w:sz="2" w:space="0" w:color="D9D9E3"/>
                    <w:bottom w:val="single" w:sz="2" w:space="0" w:color="D9D9E3"/>
                    <w:right w:val="single" w:sz="2" w:space="0" w:color="D9D9E3"/>
                  </w:divBdr>
                  <w:divsChild>
                    <w:div w:id="343940558">
                      <w:marLeft w:val="0"/>
                      <w:marRight w:val="0"/>
                      <w:marTop w:val="0"/>
                      <w:marBottom w:val="0"/>
                      <w:divBdr>
                        <w:top w:val="single" w:sz="2" w:space="0" w:color="D9D9E3"/>
                        <w:left w:val="single" w:sz="2" w:space="0" w:color="D9D9E3"/>
                        <w:bottom w:val="single" w:sz="2" w:space="0" w:color="D9D9E3"/>
                        <w:right w:val="single" w:sz="2" w:space="0" w:color="D9D9E3"/>
                      </w:divBdr>
                      <w:divsChild>
                        <w:div w:id="1590382935">
                          <w:marLeft w:val="0"/>
                          <w:marRight w:val="0"/>
                          <w:marTop w:val="0"/>
                          <w:marBottom w:val="0"/>
                          <w:divBdr>
                            <w:top w:val="single" w:sz="2" w:space="0" w:color="D9D9E3"/>
                            <w:left w:val="single" w:sz="2" w:space="0" w:color="D9D9E3"/>
                            <w:bottom w:val="single" w:sz="2" w:space="0" w:color="D9D9E3"/>
                            <w:right w:val="single" w:sz="2" w:space="0" w:color="D9D9E3"/>
                          </w:divBdr>
                          <w:divsChild>
                            <w:div w:id="1956786685">
                              <w:marLeft w:val="0"/>
                              <w:marRight w:val="0"/>
                              <w:marTop w:val="0"/>
                              <w:marBottom w:val="0"/>
                              <w:divBdr>
                                <w:top w:val="single" w:sz="2" w:space="0" w:color="D9D9E3"/>
                                <w:left w:val="single" w:sz="2" w:space="0" w:color="D9D9E3"/>
                                <w:bottom w:val="single" w:sz="2" w:space="0" w:color="D9D9E3"/>
                                <w:right w:val="single" w:sz="2" w:space="0" w:color="D9D9E3"/>
                              </w:divBdr>
                              <w:divsChild>
                                <w:div w:id="8207356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35407043">
      <w:bodyDiv w:val="1"/>
      <w:marLeft w:val="0"/>
      <w:marRight w:val="0"/>
      <w:marTop w:val="0"/>
      <w:marBottom w:val="0"/>
      <w:divBdr>
        <w:top w:val="none" w:sz="0" w:space="0" w:color="auto"/>
        <w:left w:val="none" w:sz="0" w:space="0" w:color="auto"/>
        <w:bottom w:val="none" w:sz="0" w:space="0" w:color="auto"/>
        <w:right w:val="none" w:sz="0" w:space="0" w:color="auto"/>
      </w:divBdr>
    </w:div>
    <w:div w:id="1724862678">
      <w:bodyDiv w:val="1"/>
      <w:marLeft w:val="0"/>
      <w:marRight w:val="0"/>
      <w:marTop w:val="0"/>
      <w:marBottom w:val="0"/>
      <w:divBdr>
        <w:top w:val="none" w:sz="0" w:space="0" w:color="auto"/>
        <w:left w:val="none" w:sz="0" w:space="0" w:color="auto"/>
        <w:bottom w:val="none" w:sz="0" w:space="0" w:color="auto"/>
        <w:right w:val="none" w:sz="0" w:space="0" w:color="auto"/>
      </w:divBdr>
      <w:divsChild>
        <w:div w:id="1502039004">
          <w:marLeft w:val="0"/>
          <w:marRight w:val="0"/>
          <w:marTop w:val="0"/>
          <w:marBottom w:val="0"/>
          <w:divBdr>
            <w:top w:val="single" w:sz="2" w:space="0" w:color="auto"/>
            <w:left w:val="single" w:sz="2" w:space="0" w:color="auto"/>
            <w:bottom w:val="single" w:sz="4" w:space="0" w:color="auto"/>
            <w:right w:val="single" w:sz="2" w:space="0" w:color="auto"/>
          </w:divBdr>
          <w:divsChild>
            <w:div w:id="815996338">
              <w:marLeft w:val="0"/>
              <w:marRight w:val="0"/>
              <w:marTop w:val="100"/>
              <w:marBottom w:val="100"/>
              <w:divBdr>
                <w:top w:val="single" w:sz="2" w:space="0" w:color="D9D9E3"/>
                <w:left w:val="single" w:sz="2" w:space="0" w:color="D9D9E3"/>
                <w:bottom w:val="single" w:sz="2" w:space="0" w:color="D9D9E3"/>
                <w:right w:val="single" w:sz="2" w:space="0" w:color="D9D9E3"/>
              </w:divBdr>
              <w:divsChild>
                <w:div w:id="1882789937">
                  <w:marLeft w:val="0"/>
                  <w:marRight w:val="0"/>
                  <w:marTop w:val="0"/>
                  <w:marBottom w:val="0"/>
                  <w:divBdr>
                    <w:top w:val="single" w:sz="2" w:space="0" w:color="D9D9E3"/>
                    <w:left w:val="single" w:sz="2" w:space="0" w:color="D9D9E3"/>
                    <w:bottom w:val="single" w:sz="2" w:space="0" w:color="D9D9E3"/>
                    <w:right w:val="single" w:sz="2" w:space="0" w:color="D9D9E3"/>
                  </w:divBdr>
                  <w:divsChild>
                    <w:div w:id="1886868549">
                      <w:marLeft w:val="0"/>
                      <w:marRight w:val="0"/>
                      <w:marTop w:val="0"/>
                      <w:marBottom w:val="0"/>
                      <w:divBdr>
                        <w:top w:val="single" w:sz="2" w:space="0" w:color="D9D9E3"/>
                        <w:left w:val="single" w:sz="2" w:space="0" w:color="D9D9E3"/>
                        <w:bottom w:val="single" w:sz="2" w:space="0" w:color="D9D9E3"/>
                        <w:right w:val="single" w:sz="2" w:space="0" w:color="D9D9E3"/>
                      </w:divBdr>
                      <w:divsChild>
                        <w:div w:id="794714565">
                          <w:marLeft w:val="0"/>
                          <w:marRight w:val="0"/>
                          <w:marTop w:val="0"/>
                          <w:marBottom w:val="0"/>
                          <w:divBdr>
                            <w:top w:val="single" w:sz="2" w:space="0" w:color="D9D9E3"/>
                            <w:left w:val="single" w:sz="2" w:space="0" w:color="D9D9E3"/>
                            <w:bottom w:val="single" w:sz="2" w:space="0" w:color="D9D9E3"/>
                            <w:right w:val="single" w:sz="2" w:space="0" w:color="D9D9E3"/>
                          </w:divBdr>
                          <w:divsChild>
                            <w:div w:id="677005962">
                              <w:marLeft w:val="0"/>
                              <w:marRight w:val="0"/>
                              <w:marTop w:val="0"/>
                              <w:marBottom w:val="0"/>
                              <w:divBdr>
                                <w:top w:val="single" w:sz="2" w:space="0" w:color="D9D9E3"/>
                                <w:left w:val="single" w:sz="2" w:space="0" w:color="D9D9E3"/>
                                <w:bottom w:val="single" w:sz="2" w:space="0" w:color="D9D9E3"/>
                                <w:right w:val="single" w:sz="2" w:space="0" w:color="D9D9E3"/>
                              </w:divBdr>
                              <w:divsChild>
                                <w:div w:id="20284844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93674089">
      <w:bodyDiv w:val="1"/>
      <w:marLeft w:val="0"/>
      <w:marRight w:val="0"/>
      <w:marTop w:val="0"/>
      <w:marBottom w:val="0"/>
      <w:divBdr>
        <w:top w:val="none" w:sz="0" w:space="0" w:color="auto"/>
        <w:left w:val="none" w:sz="0" w:space="0" w:color="auto"/>
        <w:bottom w:val="none" w:sz="0" w:space="0" w:color="auto"/>
        <w:right w:val="none" w:sz="0" w:space="0" w:color="auto"/>
      </w:divBdr>
    </w:div>
    <w:div w:id="1899241674">
      <w:bodyDiv w:val="1"/>
      <w:marLeft w:val="0"/>
      <w:marRight w:val="0"/>
      <w:marTop w:val="0"/>
      <w:marBottom w:val="0"/>
      <w:divBdr>
        <w:top w:val="none" w:sz="0" w:space="0" w:color="auto"/>
        <w:left w:val="none" w:sz="0" w:space="0" w:color="auto"/>
        <w:bottom w:val="none" w:sz="0" w:space="0" w:color="auto"/>
        <w:right w:val="none" w:sz="0" w:space="0" w:color="auto"/>
      </w:divBdr>
      <w:divsChild>
        <w:div w:id="1830561932">
          <w:marLeft w:val="0"/>
          <w:marRight w:val="0"/>
          <w:marTop w:val="0"/>
          <w:marBottom w:val="0"/>
          <w:divBdr>
            <w:top w:val="single" w:sz="2" w:space="0" w:color="D9D9E3"/>
            <w:left w:val="single" w:sz="2" w:space="0" w:color="D9D9E3"/>
            <w:bottom w:val="single" w:sz="2" w:space="0" w:color="D9D9E3"/>
            <w:right w:val="single" w:sz="2" w:space="0" w:color="D9D9E3"/>
          </w:divBdr>
          <w:divsChild>
            <w:div w:id="1539319066">
              <w:marLeft w:val="0"/>
              <w:marRight w:val="0"/>
              <w:marTop w:val="0"/>
              <w:marBottom w:val="0"/>
              <w:divBdr>
                <w:top w:val="single" w:sz="2" w:space="0" w:color="D9D9E3"/>
                <w:left w:val="single" w:sz="2" w:space="0" w:color="D9D9E3"/>
                <w:bottom w:val="single" w:sz="2" w:space="0" w:color="D9D9E3"/>
                <w:right w:val="single" w:sz="2" w:space="0" w:color="D9D9E3"/>
              </w:divBdr>
              <w:divsChild>
                <w:div w:id="999114192">
                  <w:marLeft w:val="0"/>
                  <w:marRight w:val="0"/>
                  <w:marTop w:val="0"/>
                  <w:marBottom w:val="0"/>
                  <w:divBdr>
                    <w:top w:val="single" w:sz="2" w:space="0" w:color="D9D9E3"/>
                    <w:left w:val="single" w:sz="2" w:space="0" w:color="D9D9E3"/>
                    <w:bottom w:val="single" w:sz="2" w:space="0" w:color="D9D9E3"/>
                    <w:right w:val="single" w:sz="2" w:space="0" w:color="D9D9E3"/>
                  </w:divBdr>
                  <w:divsChild>
                    <w:div w:id="1372152183">
                      <w:marLeft w:val="0"/>
                      <w:marRight w:val="0"/>
                      <w:marTop w:val="0"/>
                      <w:marBottom w:val="0"/>
                      <w:divBdr>
                        <w:top w:val="single" w:sz="2" w:space="0" w:color="D9D9E3"/>
                        <w:left w:val="single" w:sz="2" w:space="0" w:color="D9D9E3"/>
                        <w:bottom w:val="single" w:sz="2" w:space="0" w:color="D9D9E3"/>
                        <w:right w:val="single" w:sz="2" w:space="0" w:color="D9D9E3"/>
                      </w:divBdr>
                      <w:divsChild>
                        <w:div w:id="941109317">
                          <w:marLeft w:val="0"/>
                          <w:marRight w:val="0"/>
                          <w:marTop w:val="0"/>
                          <w:marBottom w:val="0"/>
                          <w:divBdr>
                            <w:top w:val="single" w:sz="2" w:space="0" w:color="auto"/>
                            <w:left w:val="single" w:sz="2" w:space="0" w:color="auto"/>
                            <w:bottom w:val="single" w:sz="4" w:space="0" w:color="auto"/>
                            <w:right w:val="single" w:sz="2" w:space="0" w:color="auto"/>
                          </w:divBdr>
                          <w:divsChild>
                            <w:div w:id="708071091">
                              <w:marLeft w:val="0"/>
                              <w:marRight w:val="0"/>
                              <w:marTop w:val="100"/>
                              <w:marBottom w:val="100"/>
                              <w:divBdr>
                                <w:top w:val="single" w:sz="2" w:space="0" w:color="D9D9E3"/>
                                <w:left w:val="single" w:sz="2" w:space="0" w:color="D9D9E3"/>
                                <w:bottom w:val="single" w:sz="2" w:space="0" w:color="D9D9E3"/>
                                <w:right w:val="single" w:sz="2" w:space="0" w:color="D9D9E3"/>
                              </w:divBdr>
                              <w:divsChild>
                                <w:div w:id="2108696757">
                                  <w:marLeft w:val="0"/>
                                  <w:marRight w:val="0"/>
                                  <w:marTop w:val="0"/>
                                  <w:marBottom w:val="0"/>
                                  <w:divBdr>
                                    <w:top w:val="single" w:sz="2" w:space="0" w:color="D9D9E3"/>
                                    <w:left w:val="single" w:sz="2" w:space="0" w:color="D9D9E3"/>
                                    <w:bottom w:val="single" w:sz="2" w:space="0" w:color="D9D9E3"/>
                                    <w:right w:val="single" w:sz="2" w:space="0" w:color="D9D9E3"/>
                                  </w:divBdr>
                                  <w:divsChild>
                                    <w:div w:id="1225532378">
                                      <w:marLeft w:val="0"/>
                                      <w:marRight w:val="0"/>
                                      <w:marTop w:val="0"/>
                                      <w:marBottom w:val="0"/>
                                      <w:divBdr>
                                        <w:top w:val="single" w:sz="2" w:space="0" w:color="D9D9E3"/>
                                        <w:left w:val="single" w:sz="2" w:space="0" w:color="D9D9E3"/>
                                        <w:bottom w:val="single" w:sz="2" w:space="0" w:color="D9D9E3"/>
                                        <w:right w:val="single" w:sz="2" w:space="0" w:color="D9D9E3"/>
                                      </w:divBdr>
                                      <w:divsChild>
                                        <w:div w:id="1635212873">
                                          <w:marLeft w:val="0"/>
                                          <w:marRight w:val="0"/>
                                          <w:marTop w:val="0"/>
                                          <w:marBottom w:val="0"/>
                                          <w:divBdr>
                                            <w:top w:val="single" w:sz="2" w:space="0" w:color="D9D9E3"/>
                                            <w:left w:val="single" w:sz="2" w:space="0" w:color="D9D9E3"/>
                                            <w:bottom w:val="single" w:sz="2" w:space="0" w:color="D9D9E3"/>
                                            <w:right w:val="single" w:sz="2" w:space="0" w:color="D9D9E3"/>
                                          </w:divBdr>
                                          <w:divsChild>
                                            <w:div w:id="568735974">
                                              <w:marLeft w:val="0"/>
                                              <w:marRight w:val="0"/>
                                              <w:marTop w:val="0"/>
                                              <w:marBottom w:val="0"/>
                                              <w:divBdr>
                                                <w:top w:val="single" w:sz="2" w:space="0" w:color="D9D9E3"/>
                                                <w:left w:val="single" w:sz="2" w:space="0" w:color="D9D9E3"/>
                                                <w:bottom w:val="single" w:sz="2" w:space="0" w:color="D9D9E3"/>
                                                <w:right w:val="single" w:sz="2" w:space="0" w:color="D9D9E3"/>
                                              </w:divBdr>
                                              <w:divsChild>
                                                <w:div w:id="12376659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98254673">
          <w:marLeft w:val="0"/>
          <w:marRight w:val="0"/>
          <w:marTop w:val="0"/>
          <w:marBottom w:val="0"/>
          <w:divBdr>
            <w:top w:val="none" w:sz="0" w:space="0" w:color="auto"/>
            <w:left w:val="none" w:sz="0" w:space="0" w:color="auto"/>
            <w:bottom w:val="none" w:sz="0" w:space="0" w:color="auto"/>
            <w:right w:val="none" w:sz="0" w:space="0" w:color="auto"/>
          </w:divBdr>
        </w:div>
      </w:divsChild>
    </w:div>
    <w:div w:id="2038045792">
      <w:bodyDiv w:val="1"/>
      <w:marLeft w:val="0"/>
      <w:marRight w:val="0"/>
      <w:marTop w:val="0"/>
      <w:marBottom w:val="0"/>
      <w:divBdr>
        <w:top w:val="none" w:sz="0" w:space="0" w:color="auto"/>
        <w:left w:val="none" w:sz="0" w:space="0" w:color="auto"/>
        <w:bottom w:val="none" w:sz="0" w:space="0" w:color="auto"/>
        <w:right w:val="none" w:sz="0" w:space="0" w:color="auto"/>
      </w:divBdr>
      <w:divsChild>
        <w:div w:id="1030380206">
          <w:marLeft w:val="0"/>
          <w:marRight w:val="0"/>
          <w:marTop w:val="0"/>
          <w:marBottom w:val="0"/>
          <w:divBdr>
            <w:top w:val="single" w:sz="2" w:space="0" w:color="auto"/>
            <w:left w:val="single" w:sz="2" w:space="0" w:color="auto"/>
            <w:bottom w:val="single" w:sz="4" w:space="0" w:color="auto"/>
            <w:right w:val="single" w:sz="2" w:space="0" w:color="auto"/>
          </w:divBdr>
          <w:divsChild>
            <w:div w:id="1291087000">
              <w:marLeft w:val="0"/>
              <w:marRight w:val="0"/>
              <w:marTop w:val="100"/>
              <w:marBottom w:val="100"/>
              <w:divBdr>
                <w:top w:val="single" w:sz="2" w:space="0" w:color="D9D9E3"/>
                <w:left w:val="single" w:sz="2" w:space="0" w:color="D9D9E3"/>
                <w:bottom w:val="single" w:sz="2" w:space="0" w:color="D9D9E3"/>
                <w:right w:val="single" w:sz="2" w:space="0" w:color="D9D9E3"/>
              </w:divBdr>
              <w:divsChild>
                <w:div w:id="2111199811">
                  <w:marLeft w:val="0"/>
                  <w:marRight w:val="0"/>
                  <w:marTop w:val="0"/>
                  <w:marBottom w:val="0"/>
                  <w:divBdr>
                    <w:top w:val="single" w:sz="2" w:space="0" w:color="D9D9E3"/>
                    <w:left w:val="single" w:sz="2" w:space="0" w:color="D9D9E3"/>
                    <w:bottom w:val="single" w:sz="2" w:space="0" w:color="D9D9E3"/>
                    <w:right w:val="single" w:sz="2" w:space="0" w:color="D9D9E3"/>
                  </w:divBdr>
                  <w:divsChild>
                    <w:div w:id="1286810073">
                      <w:marLeft w:val="0"/>
                      <w:marRight w:val="0"/>
                      <w:marTop w:val="0"/>
                      <w:marBottom w:val="0"/>
                      <w:divBdr>
                        <w:top w:val="single" w:sz="2" w:space="0" w:color="D9D9E3"/>
                        <w:left w:val="single" w:sz="2" w:space="0" w:color="D9D9E3"/>
                        <w:bottom w:val="single" w:sz="2" w:space="0" w:color="D9D9E3"/>
                        <w:right w:val="single" w:sz="2" w:space="0" w:color="D9D9E3"/>
                      </w:divBdr>
                      <w:divsChild>
                        <w:div w:id="1894076323">
                          <w:marLeft w:val="0"/>
                          <w:marRight w:val="0"/>
                          <w:marTop w:val="0"/>
                          <w:marBottom w:val="0"/>
                          <w:divBdr>
                            <w:top w:val="single" w:sz="2" w:space="0" w:color="D9D9E3"/>
                            <w:left w:val="single" w:sz="2" w:space="0" w:color="D9D9E3"/>
                            <w:bottom w:val="single" w:sz="2" w:space="0" w:color="D9D9E3"/>
                            <w:right w:val="single" w:sz="2" w:space="0" w:color="D9D9E3"/>
                          </w:divBdr>
                          <w:divsChild>
                            <w:div w:id="1109590346">
                              <w:marLeft w:val="0"/>
                              <w:marRight w:val="0"/>
                              <w:marTop w:val="0"/>
                              <w:marBottom w:val="0"/>
                              <w:divBdr>
                                <w:top w:val="single" w:sz="2" w:space="0" w:color="D9D9E3"/>
                                <w:left w:val="single" w:sz="2" w:space="0" w:color="D9D9E3"/>
                                <w:bottom w:val="single" w:sz="2" w:space="0" w:color="D9D9E3"/>
                                <w:right w:val="single" w:sz="2" w:space="0" w:color="D9D9E3"/>
                              </w:divBdr>
                              <w:divsChild>
                                <w:div w:id="6219622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31052520">
      <w:bodyDiv w:val="1"/>
      <w:marLeft w:val="0"/>
      <w:marRight w:val="0"/>
      <w:marTop w:val="0"/>
      <w:marBottom w:val="0"/>
      <w:divBdr>
        <w:top w:val="none" w:sz="0" w:space="0" w:color="auto"/>
        <w:left w:val="none" w:sz="0" w:space="0" w:color="auto"/>
        <w:bottom w:val="none" w:sz="0" w:space="0" w:color="auto"/>
        <w:right w:val="none" w:sz="0" w:space="0" w:color="auto"/>
      </w:divBdr>
      <w:divsChild>
        <w:div w:id="809900204">
          <w:marLeft w:val="0"/>
          <w:marRight w:val="0"/>
          <w:marTop w:val="0"/>
          <w:marBottom w:val="0"/>
          <w:divBdr>
            <w:top w:val="single" w:sz="2" w:space="0" w:color="auto"/>
            <w:left w:val="single" w:sz="2" w:space="0" w:color="auto"/>
            <w:bottom w:val="single" w:sz="4" w:space="0" w:color="auto"/>
            <w:right w:val="single" w:sz="2" w:space="0" w:color="auto"/>
          </w:divBdr>
          <w:divsChild>
            <w:div w:id="1492060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160121887">
                  <w:marLeft w:val="0"/>
                  <w:marRight w:val="0"/>
                  <w:marTop w:val="0"/>
                  <w:marBottom w:val="0"/>
                  <w:divBdr>
                    <w:top w:val="single" w:sz="2" w:space="0" w:color="D9D9E3"/>
                    <w:left w:val="single" w:sz="2" w:space="0" w:color="D9D9E3"/>
                    <w:bottom w:val="single" w:sz="2" w:space="0" w:color="D9D9E3"/>
                    <w:right w:val="single" w:sz="2" w:space="0" w:color="D9D9E3"/>
                  </w:divBdr>
                  <w:divsChild>
                    <w:div w:id="1352687668">
                      <w:marLeft w:val="0"/>
                      <w:marRight w:val="0"/>
                      <w:marTop w:val="0"/>
                      <w:marBottom w:val="0"/>
                      <w:divBdr>
                        <w:top w:val="single" w:sz="2" w:space="0" w:color="D9D9E3"/>
                        <w:left w:val="single" w:sz="2" w:space="0" w:color="D9D9E3"/>
                        <w:bottom w:val="single" w:sz="2" w:space="0" w:color="D9D9E3"/>
                        <w:right w:val="single" w:sz="2" w:space="0" w:color="D9D9E3"/>
                      </w:divBdr>
                      <w:divsChild>
                        <w:div w:id="2106001120">
                          <w:marLeft w:val="0"/>
                          <w:marRight w:val="0"/>
                          <w:marTop w:val="0"/>
                          <w:marBottom w:val="0"/>
                          <w:divBdr>
                            <w:top w:val="single" w:sz="2" w:space="0" w:color="D9D9E3"/>
                            <w:left w:val="single" w:sz="2" w:space="0" w:color="D9D9E3"/>
                            <w:bottom w:val="single" w:sz="2" w:space="0" w:color="D9D9E3"/>
                            <w:right w:val="single" w:sz="2" w:space="0" w:color="D9D9E3"/>
                          </w:divBdr>
                          <w:divsChild>
                            <w:div w:id="381633284">
                              <w:marLeft w:val="0"/>
                              <w:marRight w:val="0"/>
                              <w:marTop w:val="0"/>
                              <w:marBottom w:val="0"/>
                              <w:divBdr>
                                <w:top w:val="single" w:sz="2" w:space="0" w:color="D9D9E3"/>
                                <w:left w:val="single" w:sz="2" w:space="0" w:color="D9D9E3"/>
                                <w:bottom w:val="single" w:sz="2" w:space="0" w:color="D9D9E3"/>
                                <w:right w:val="single" w:sz="2" w:space="0" w:color="D9D9E3"/>
                              </w:divBdr>
                              <w:divsChild>
                                <w:div w:id="288362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hyperlink" Target="mailto:ashok-physics@patnauniversity.ac.in"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25</Pages>
  <Words>5791</Words>
  <Characters>33014</Characters>
  <Application>Microsoft Office Word</Application>
  <DocSecurity>0</DocSecurity>
  <Lines>275</Lines>
  <Paragraphs>77</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Elastic scattering and electron capture processes in collisions of 3He2+ ion wit</vt:lpstr>
      <vt:lpstr>INTRODUCTION</vt:lpstr>
      <vt:lpstr>THEORETICAL MODELS</vt:lpstr>
      <vt:lpstr>Scattering calculation</vt:lpstr>
      <vt:lpstr>RESULTS</vt:lpstr>
      <vt:lpstr>Cross sections</vt:lpstr>
      <vt:lpstr>Partial cross sections for each individual level</vt:lpstr>
      <vt:lpstr>Total cross sections</vt:lpstr>
      <vt:lpstr>Fragmentation</vt:lpstr>
      <vt:lpstr>Conclusions</vt:lpstr>
      <vt:lpstr>References</vt:lpstr>
    </vt:vector>
  </TitlesOfParts>
  <Company/>
  <LinksUpToDate>false</LinksUpToDate>
  <CharactersWithSpaces>38728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pooja</dc:creator>
  <cp:lastModifiedBy>MicroApt</cp:lastModifiedBy>
  <cp:revision>17</cp:revision>
  <dcterms:created xsi:type="dcterms:W3CDTF">2023-11-23T09:17:00Z</dcterms:created>
  <dcterms:modified xsi:type="dcterms:W3CDTF">2023-11-23T09:38:00Z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2023-08-28T00:00:00Z</vt:filetime>
  </property>
  <property fmtid="{D5CDD505-2E9C-101B-9397-08002B2CF9AE}" pid="3" name="Creator">
    <vt:lpwstr>Microsoft® Word 2019</vt:lpwstr>
  </property>
  <property fmtid="{D5CDD505-2E9C-101B-9397-08002B2CF9AE}" pid="4" name="LastSaved">
    <vt:filetime>2023-10-09T00:00:00Z</vt:filetime>
  </property>
</Properties>
</file>