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99" w:rsidRDefault="000F2099" w:rsidP="005F276F">
      <w:pPr>
        <w:pStyle w:val="BodyText"/>
        <w:rPr>
          <w:sz w:val="16"/>
        </w:rPr>
      </w:pPr>
    </w:p>
    <w:p w:rsidR="000F2099" w:rsidRDefault="00805236" w:rsidP="005F276F">
      <w:pPr>
        <w:pStyle w:val="Title"/>
        <w:spacing w:before="0"/>
      </w:pPr>
      <w:r>
        <w:t>Impact of Natural Calamities on Education</w:t>
      </w:r>
    </w:p>
    <w:p w:rsidR="000F2099" w:rsidRDefault="000F2099" w:rsidP="005F276F">
      <w:pPr>
        <w:pStyle w:val="BodyText"/>
        <w:rPr>
          <w:b/>
          <w:sz w:val="16"/>
        </w:rPr>
      </w:pPr>
    </w:p>
    <w:p w:rsidR="000F2099" w:rsidRDefault="000F2099" w:rsidP="005F276F">
      <w:pPr>
        <w:rPr>
          <w:sz w:val="16"/>
        </w:rPr>
        <w:sectPr w:rsidR="000F2099">
          <w:headerReference w:type="default" r:id="rId7"/>
          <w:footerReference w:type="default" r:id="rId8"/>
          <w:type w:val="continuous"/>
          <w:pgSz w:w="11910" w:h="16840"/>
          <w:pgMar w:top="1700" w:right="1160" w:bottom="1200" w:left="1180" w:header="730" w:footer="1008" w:gutter="0"/>
          <w:pgNumType w:start="14"/>
          <w:cols w:space="720"/>
        </w:sectPr>
      </w:pPr>
    </w:p>
    <w:p w:rsidR="000F2099" w:rsidRDefault="0075692E" w:rsidP="005F276F">
      <w:pPr>
        <w:pStyle w:val="Heading1"/>
        <w:ind w:left="457"/>
      </w:pPr>
      <w:r>
        <w:lastRenderedPageBreak/>
        <w:t>Abstract</w:t>
      </w:r>
    </w:p>
    <w:p w:rsidR="000F2099" w:rsidRDefault="000F2099" w:rsidP="005F276F">
      <w:pPr>
        <w:pStyle w:val="BodyText"/>
        <w:rPr>
          <w:b/>
          <w:sz w:val="23"/>
        </w:rPr>
      </w:pPr>
    </w:p>
    <w:p w:rsidR="000F2099" w:rsidRDefault="00805236" w:rsidP="005F276F">
      <w:pPr>
        <w:pStyle w:val="BodyText"/>
        <w:ind w:left="457" w:firstLine="703"/>
        <w:jc w:val="both"/>
      </w:pPr>
      <w:r w:rsidRPr="00805236">
        <w:t>This chapter explores the profound impact of natural calamities on education systems around the world. Natural disasters, such as hurricanes, earthquakes, floods, and wildfires, have the potential to disrupt educational activities and hinder students' access to quality education. The chapter examines the various dimensions of this impact, including physical infrastructure damage, displacement of students and teachers, psychological trauma, and the disruption of educational continuity. It also highlights the efforts and strategies employed to mitigate the consequences of natural calamities on education and discusses the role of technology in facilitating disaster-resilient education systems. Through an examination of case studies and empirical evidence, this chapter aims to enhance our understanding of the challenges posed by natural disasters to education and promote effective strategies for building resilience</w:t>
      </w:r>
      <w:r>
        <w:t xml:space="preserve"> in the face of such calamities</w:t>
      </w:r>
      <w:r w:rsidR="0075692E">
        <w:t>.</w:t>
      </w:r>
    </w:p>
    <w:p w:rsidR="000F2099" w:rsidRDefault="000F2099" w:rsidP="005F276F">
      <w:pPr>
        <w:pStyle w:val="BodyText"/>
        <w:rPr>
          <w:sz w:val="32"/>
        </w:rPr>
      </w:pPr>
    </w:p>
    <w:p w:rsidR="000F2099" w:rsidRDefault="0075692E" w:rsidP="005F276F">
      <w:pPr>
        <w:pStyle w:val="BodyText"/>
        <w:ind w:left="457" w:right="1"/>
        <w:jc w:val="both"/>
      </w:pPr>
      <w:r>
        <w:rPr>
          <w:b/>
        </w:rPr>
        <w:t xml:space="preserve">Keywords: </w:t>
      </w:r>
      <w:r w:rsidR="00805236" w:rsidRPr="00805236">
        <w:t>natural calamities, education, impact, infrastructure damage, displacement, psychological trauma, educational continuity, mitigation strategies, technology, resilience</w:t>
      </w:r>
    </w:p>
    <w:p w:rsidR="000F2099" w:rsidRDefault="0075692E" w:rsidP="005F276F">
      <w:pPr>
        <w:pStyle w:val="Heading1"/>
      </w:pPr>
      <w:r>
        <w:rPr>
          <w:b w:val="0"/>
        </w:rPr>
        <w:br w:type="column"/>
      </w:r>
      <w:r>
        <w:lastRenderedPageBreak/>
        <w:t>Author</w:t>
      </w:r>
    </w:p>
    <w:p w:rsidR="000F2099" w:rsidRDefault="000F2099" w:rsidP="005F276F">
      <w:pPr>
        <w:pStyle w:val="BodyText"/>
        <w:rPr>
          <w:b/>
          <w:sz w:val="23"/>
        </w:rPr>
      </w:pPr>
    </w:p>
    <w:p w:rsidR="000F2099" w:rsidRDefault="005F276F" w:rsidP="005F276F">
      <w:pPr>
        <w:ind w:left="176" w:right="1838"/>
        <w:rPr>
          <w:b/>
          <w:sz w:val="24"/>
        </w:rPr>
      </w:pPr>
      <w:r>
        <w:rPr>
          <w:b/>
          <w:sz w:val="24"/>
        </w:rPr>
        <w:t xml:space="preserve">Patel </w:t>
      </w:r>
      <w:proofErr w:type="spellStart"/>
      <w:r>
        <w:rPr>
          <w:b/>
          <w:sz w:val="24"/>
        </w:rPr>
        <w:t>Rahulkumar</w:t>
      </w:r>
      <w:proofErr w:type="spellEnd"/>
      <w:r>
        <w:rPr>
          <w:b/>
          <w:sz w:val="24"/>
        </w:rPr>
        <w:t xml:space="preserve"> </w:t>
      </w:r>
      <w:proofErr w:type="spellStart"/>
      <w:r>
        <w:rPr>
          <w:b/>
          <w:sz w:val="24"/>
        </w:rPr>
        <w:t>Bhikhabhai</w:t>
      </w:r>
      <w:proofErr w:type="spellEnd"/>
    </w:p>
    <w:p w:rsidR="000F2099" w:rsidRDefault="0075692E" w:rsidP="005F276F">
      <w:pPr>
        <w:pStyle w:val="BodyText"/>
        <w:ind w:left="176" w:right="1292"/>
      </w:pPr>
      <w:r>
        <w:t>Assistant Professor</w:t>
      </w:r>
      <w:r>
        <w:rPr>
          <w:spacing w:val="1"/>
        </w:rPr>
        <w:t xml:space="preserve"> </w:t>
      </w:r>
      <w:r>
        <w:t>Department</w:t>
      </w:r>
      <w:r w:rsidR="005F276F">
        <w:rPr>
          <w:spacing w:val="-9"/>
        </w:rPr>
        <w:t xml:space="preserve"> of English</w:t>
      </w:r>
    </w:p>
    <w:p w:rsidR="000F2099" w:rsidRDefault="005F276F" w:rsidP="005F276F">
      <w:pPr>
        <w:ind w:left="176"/>
      </w:pPr>
      <w:proofErr w:type="spellStart"/>
      <w:r>
        <w:rPr>
          <w:color w:val="212121"/>
        </w:rPr>
        <w:t>Shri</w:t>
      </w:r>
      <w:proofErr w:type="spellEnd"/>
      <w:r>
        <w:rPr>
          <w:color w:val="212121"/>
        </w:rPr>
        <w:t xml:space="preserve"> </w:t>
      </w:r>
      <w:proofErr w:type="spellStart"/>
      <w:r>
        <w:rPr>
          <w:color w:val="212121"/>
        </w:rPr>
        <w:t>S.K.Shah</w:t>
      </w:r>
      <w:proofErr w:type="spellEnd"/>
      <w:r>
        <w:rPr>
          <w:color w:val="212121"/>
        </w:rPr>
        <w:t xml:space="preserve"> and </w:t>
      </w:r>
      <w:proofErr w:type="spellStart"/>
      <w:r>
        <w:rPr>
          <w:color w:val="212121"/>
        </w:rPr>
        <w:t>Shri</w:t>
      </w:r>
      <w:proofErr w:type="spellEnd"/>
      <w:r>
        <w:rPr>
          <w:color w:val="212121"/>
        </w:rPr>
        <w:t xml:space="preserve"> Krishna O.M. Arts College </w:t>
      </w:r>
      <w:proofErr w:type="spellStart"/>
      <w:r w:rsidR="00805236">
        <w:t>Modasa</w:t>
      </w:r>
      <w:proofErr w:type="spellEnd"/>
    </w:p>
    <w:p w:rsidR="000F2099" w:rsidRDefault="000F2099" w:rsidP="005F276F">
      <w:pPr>
        <w:sectPr w:rsidR="000F2099">
          <w:type w:val="continuous"/>
          <w:pgSz w:w="11910" w:h="16840"/>
          <w:pgMar w:top="1700" w:right="1160" w:bottom="1200" w:left="1180" w:header="720" w:footer="720" w:gutter="0"/>
          <w:cols w:num="2" w:space="720" w:equalWidth="0">
            <w:col w:w="5102" w:space="40"/>
            <w:col w:w="4428"/>
          </w:cols>
        </w:sectPr>
      </w:pPr>
    </w:p>
    <w:p w:rsidR="000F2099" w:rsidRPr="006A3DAD" w:rsidRDefault="006A3DAD" w:rsidP="005F276F">
      <w:pPr>
        <w:pStyle w:val="BodyText"/>
        <w:rPr>
          <w:b/>
          <w:bCs/>
        </w:rPr>
      </w:pPr>
      <w:r>
        <w:rPr>
          <w:sz w:val="16"/>
        </w:rPr>
        <w:lastRenderedPageBreak/>
        <w:tab/>
      </w:r>
      <w:r w:rsidRPr="006A3DAD">
        <w:rPr>
          <w:b/>
          <w:bCs/>
        </w:rPr>
        <w:t>Introduction</w:t>
      </w:r>
    </w:p>
    <w:p w:rsidR="006A3DAD" w:rsidRDefault="006A3DAD" w:rsidP="006A3DAD">
      <w:pPr>
        <w:pStyle w:val="BodyText"/>
        <w:ind w:right="277" w:firstLine="260"/>
        <w:jc w:val="both"/>
      </w:pPr>
    </w:p>
    <w:p w:rsidR="00DF6A12" w:rsidRDefault="00DF6A12" w:rsidP="006A3DAD">
      <w:pPr>
        <w:pStyle w:val="BodyText"/>
        <w:ind w:right="277" w:firstLine="720"/>
        <w:jc w:val="both"/>
      </w:pPr>
      <w:r>
        <w:t>When addressing the impact of natural calamities on education, it is crucial to acknowledge the profound disruptions and challenges that arise in the wake of such disasters. Natural events like hurricanes, earthquakes, floods, and wildfires can have far-reaching consequences, extending beyond immediate physical destruction and affecting the very fabric of educational systems worldwide. This chapter delves into the intricate relationship between natural calamities and education, exploring the multifaceted dimensions of their impact and shedding light on strategies and approaches to mitigate their consequences.</w:t>
      </w:r>
      <w:r w:rsidR="009C761F">
        <w:t xml:space="preserve"> </w:t>
      </w:r>
      <w:r>
        <w:t>At the forefront of this exploration is an examination of the damage inflicted upon physical infrastructure. Educational institutions, ranging from elementary schools to university campuses, often bear the brunt of these calamities, leaving behind a trail of collapsed buildings, destroyed classrooms, and disrupted utilities. The consequences extend far beyond the immediate material loss, as the rebuilding process poses significant challenges and often results in prolonged interruptions to educational activities.</w:t>
      </w:r>
      <w:r w:rsidR="009C761F">
        <w:t xml:space="preserve"> </w:t>
      </w:r>
      <w:r>
        <w:t>Equally critical to consider is the displacement experienced by students and teachers in the aftermath of natural disasters. The upheaval caused by these events forces individuals to abandon their homes, communities, and schools, leading to immense difficulties in accessing education. The repercussions of displacement manifest in various ways, including temporary shelters, relocation to unfamiliar environments, and the subsequent impact on academic progress and educational attainment.</w:t>
      </w:r>
    </w:p>
    <w:p w:rsidR="00DF6A12" w:rsidRDefault="00DF6A12" w:rsidP="005F276F">
      <w:pPr>
        <w:pStyle w:val="BodyText"/>
        <w:ind w:left="260" w:right="277" w:firstLine="719"/>
        <w:jc w:val="both"/>
      </w:pPr>
    </w:p>
    <w:p w:rsidR="00DF6A12" w:rsidRDefault="00DF6A12" w:rsidP="005F276F">
      <w:pPr>
        <w:pStyle w:val="BodyText"/>
        <w:ind w:left="260" w:right="277" w:firstLine="719"/>
        <w:jc w:val="both"/>
      </w:pPr>
      <w:r>
        <w:t>In addition to physical upheaval, the psychological trauma experienced by students, teachers, and the wider educational community must not be overlooked. Natural calamities evoke fear, anxiety, and profound loss, leaving lasting imprints on the well-being of those affected. Post-traumatic stress, depression, and other mental health challenges emerge as significant obstacles to educational recovery and require dedicated attention and support systems within educational settings.</w:t>
      </w:r>
      <w:r w:rsidR="009C761F">
        <w:t xml:space="preserve"> </w:t>
      </w:r>
      <w:r>
        <w:t>Perhaps one of the most critical aspects to explore is the disruption of educational continuity. When natural disasters strike, they disrupt the rhythm and flow of education, causing immediate interruptions that can have long-lasting consequences. Learning gaps, academic setbacks, and diminished educational outcomes become inevitable outcomes, underscoring the urgency of finding effective strategies to ensure continuity during and after disasters.</w:t>
      </w:r>
    </w:p>
    <w:p w:rsidR="00DF6A12" w:rsidRDefault="00DF6A12" w:rsidP="005F276F">
      <w:pPr>
        <w:pStyle w:val="BodyText"/>
        <w:ind w:left="260" w:right="277" w:firstLine="719"/>
        <w:jc w:val="both"/>
      </w:pPr>
    </w:p>
    <w:p w:rsidR="00DF6A12" w:rsidRDefault="00DF6A12" w:rsidP="005F276F">
      <w:pPr>
        <w:pStyle w:val="BodyText"/>
        <w:ind w:left="260" w:right="277" w:firstLine="719"/>
        <w:jc w:val="both"/>
      </w:pPr>
      <w:r>
        <w:t>This chapter aims to delve into the intricacies of mitigating the impact of natural calamities on education. It will examine various strategies and approaches employed to safeguard educational systems in the face of these disasters. From disaster preparedness plans and early warning systems to evacuation protocols and collaborative efforts among government agencies, non-governmental organizations (NGOs), and local communities, a range of initiatives can contribute to building resilience within educational institutions.</w:t>
      </w:r>
      <w:r w:rsidR="009C761F">
        <w:t xml:space="preserve"> </w:t>
      </w:r>
      <w:r>
        <w:t>Moreover, this chapter will explore the role of technology in facilitating disaster-resilient education. Online learning platforms, remote education, and digital resources have emerged as valuable tools in maintaining educational continuity when physical classrooms are inaccessible. However, it is crucial to address the digital divide and identify strategies for effectively implementing technology in disaster-prone areas, ensuring equitable access for all.</w:t>
      </w:r>
    </w:p>
    <w:p w:rsidR="00DF6A12" w:rsidRDefault="00DF6A12" w:rsidP="005F276F">
      <w:pPr>
        <w:pStyle w:val="BodyText"/>
        <w:ind w:left="260" w:right="277" w:firstLine="719"/>
        <w:jc w:val="both"/>
      </w:pPr>
    </w:p>
    <w:p w:rsidR="000F2099" w:rsidRDefault="00DF6A12" w:rsidP="005F276F">
      <w:pPr>
        <w:pStyle w:val="BodyText"/>
        <w:ind w:left="260" w:right="277" w:firstLine="719"/>
        <w:jc w:val="both"/>
      </w:pPr>
      <w:r>
        <w:t xml:space="preserve">By examining case studies and drawing upon empirical evidence, this chapter will provide a comprehensive understanding of the impact of natural calamities on education. Lessons learned from past experiences, innovative interventions, and successful approaches will be highlighted to inform future disaster response and recovery efforts. Ultimately, the aim is to foster resilience within education systems and promote effective strategies that can </w:t>
      </w:r>
      <w:r>
        <w:lastRenderedPageBreak/>
        <w:t>mitigate the consequences of natural disasters, ensuring that access to quality education remains a steadfast priority even in the face of adversity.</w:t>
      </w:r>
      <w:r w:rsidRPr="00DF6A12">
        <w:t xml:space="preserve"> there are several important topics </w:t>
      </w:r>
      <w:r>
        <w:t>that affect due to Impact of Natural Calamities on Education</w:t>
      </w:r>
      <w:r w:rsidRPr="00DF6A12">
        <w:t>:</w:t>
      </w:r>
    </w:p>
    <w:p w:rsidR="000F2099" w:rsidRDefault="000F2099" w:rsidP="005F276F">
      <w:pPr>
        <w:pStyle w:val="BodyText"/>
      </w:pPr>
    </w:p>
    <w:p w:rsidR="000F2099" w:rsidRDefault="000F2099" w:rsidP="005F276F">
      <w:pPr>
        <w:pStyle w:val="BodyText"/>
      </w:pPr>
    </w:p>
    <w:p w:rsidR="000F2099" w:rsidRPr="005F276F" w:rsidRDefault="00DF6A12" w:rsidP="005F276F">
      <w:pPr>
        <w:pStyle w:val="ListParagraph"/>
        <w:numPr>
          <w:ilvl w:val="0"/>
          <w:numId w:val="8"/>
        </w:numPr>
        <w:rPr>
          <w:sz w:val="24"/>
          <w:szCs w:val="24"/>
        </w:rPr>
      </w:pPr>
      <w:r w:rsidRPr="005F276F">
        <w:rPr>
          <w:sz w:val="24"/>
          <w:szCs w:val="24"/>
        </w:rPr>
        <w:t>Physical Infrastructure Damage</w:t>
      </w:r>
    </w:p>
    <w:p w:rsidR="00DF6A12" w:rsidRPr="009C761F" w:rsidRDefault="00DF6A12" w:rsidP="005F276F">
      <w:pPr>
        <w:pStyle w:val="ListParagraph"/>
        <w:numPr>
          <w:ilvl w:val="0"/>
          <w:numId w:val="8"/>
        </w:numPr>
        <w:rPr>
          <w:sz w:val="24"/>
          <w:szCs w:val="24"/>
        </w:rPr>
      </w:pPr>
      <w:r w:rsidRPr="005F276F">
        <w:rPr>
          <w:sz w:val="24"/>
          <w:szCs w:val="24"/>
        </w:rPr>
        <w:t>Di</w:t>
      </w:r>
      <w:r w:rsidRPr="009C761F">
        <w:rPr>
          <w:sz w:val="24"/>
          <w:szCs w:val="24"/>
        </w:rPr>
        <w:t>splacement of Students and Teachers</w:t>
      </w:r>
    </w:p>
    <w:p w:rsidR="00DF6A12" w:rsidRPr="009C761F" w:rsidRDefault="00DF6A12" w:rsidP="005F276F">
      <w:pPr>
        <w:pStyle w:val="ListParagraph"/>
        <w:numPr>
          <w:ilvl w:val="0"/>
          <w:numId w:val="8"/>
        </w:numPr>
        <w:rPr>
          <w:sz w:val="24"/>
          <w:szCs w:val="24"/>
        </w:rPr>
      </w:pPr>
      <w:r w:rsidRPr="009C761F">
        <w:rPr>
          <w:sz w:val="24"/>
          <w:szCs w:val="24"/>
        </w:rPr>
        <w:t>Psychological Trauma and Well-being</w:t>
      </w:r>
    </w:p>
    <w:p w:rsidR="00DF6A12" w:rsidRPr="009C761F" w:rsidRDefault="00DF6A12" w:rsidP="005F276F">
      <w:pPr>
        <w:pStyle w:val="ListParagraph"/>
        <w:numPr>
          <w:ilvl w:val="0"/>
          <w:numId w:val="8"/>
        </w:numPr>
        <w:rPr>
          <w:sz w:val="24"/>
          <w:szCs w:val="24"/>
        </w:rPr>
      </w:pPr>
      <w:r w:rsidRPr="009C761F">
        <w:rPr>
          <w:sz w:val="24"/>
          <w:szCs w:val="24"/>
        </w:rPr>
        <w:t>Educational Continuity</w:t>
      </w:r>
    </w:p>
    <w:p w:rsidR="00DF6A12" w:rsidRPr="009C761F" w:rsidRDefault="00DF6A12" w:rsidP="005F276F">
      <w:pPr>
        <w:pStyle w:val="ListParagraph"/>
        <w:numPr>
          <w:ilvl w:val="0"/>
          <w:numId w:val="8"/>
        </w:numPr>
        <w:rPr>
          <w:sz w:val="24"/>
          <w:szCs w:val="24"/>
        </w:rPr>
      </w:pPr>
      <w:r w:rsidRPr="009C761F">
        <w:rPr>
          <w:sz w:val="24"/>
          <w:szCs w:val="24"/>
        </w:rPr>
        <w:t>Mitigation Strategies and Preparedness</w:t>
      </w:r>
    </w:p>
    <w:p w:rsidR="00DF6A12" w:rsidRPr="009C761F" w:rsidRDefault="00DF6A12" w:rsidP="005F276F">
      <w:pPr>
        <w:pStyle w:val="ListParagraph"/>
        <w:numPr>
          <w:ilvl w:val="0"/>
          <w:numId w:val="8"/>
        </w:numPr>
        <w:rPr>
          <w:sz w:val="24"/>
          <w:szCs w:val="24"/>
        </w:rPr>
      </w:pPr>
      <w:r w:rsidRPr="009C761F">
        <w:rPr>
          <w:sz w:val="24"/>
          <w:szCs w:val="24"/>
        </w:rPr>
        <w:t>Technology and Disaster-Resilient Education</w:t>
      </w:r>
    </w:p>
    <w:p w:rsidR="007B2A3D" w:rsidRDefault="00DF6A12" w:rsidP="005F276F">
      <w:pPr>
        <w:pStyle w:val="ListParagraph"/>
        <w:numPr>
          <w:ilvl w:val="0"/>
          <w:numId w:val="8"/>
        </w:numPr>
        <w:rPr>
          <w:sz w:val="24"/>
          <w:szCs w:val="24"/>
        </w:rPr>
      </w:pPr>
      <w:r w:rsidRPr="009C761F">
        <w:rPr>
          <w:sz w:val="24"/>
          <w:szCs w:val="24"/>
        </w:rPr>
        <w:t>Case Studies and Lessons Learned</w:t>
      </w:r>
    </w:p>
    <w:p w:rsidR="009C761F" w:rsidRPr="009C761F" w:rsidRDefault="009C761F" w:rsidP="005F276F">
      <w:pPr>
        <w:pStyle w:val="ListParagraph"/>
        <w:ind w:left="720" w:firstLine="0"/>
        <w:rPr>
          <w:sz w:val="24"/>
          <w:szCs w:val="24"/>
        </w:rPr>
      </w:pPr>
    </w:p>
    <w:p w:rsidR="007B2A3D" w:rsidRPr="007D2896" w:rsidRDefault="007B2A3D" w:rsidP="005F276F">
      <w:pPr>
        <w:pStyle w:val="ListParagraph"/>
        <w:numPr>
          <w:ilvl w:val="0"/>
          <w:numId w:val="9"/>
        </w:numPr>
        <w:rPr>
          <w:b/>
          <w:bCs/>
          <w:sz w:val="24"/>
          <w:szCs w:val="24"/>
        </w:rPr>
      </w:pPr>
      <w:r w:rsidRPr="007D2896">
        <w:rPr>
          <w:b/>
          <w:bCs/>
          <w:sz w:val="24"/>
          <w:szCs w:val="24"/>
        </w:rPr>
        <w:t>Physical infrastructure damage</w:t>
      </w:r>
    </w:p>
    <w:p w:rsidR="009C761F" w:rsidRPr="007B2A3D" w:rsidRDefault="009C761F" w:rsidP="005F276F">
      <w:pPr>
        <w:pStyle w:val="ListParagraph"/>
        <w:ind w:left="720" w:firstLine="0"/>
        <w:rPr>
          <w:sz w:val="24"/>
          <w:szCs w:val="24"/>
        </w:rPr>
      </w:pPr>
    </w:p>
    <w:p w:rsidR="007B2A3D" w:rsidRDefault="007B2A3D" w:rsidP="005F276F">
      <w:pPr>
        <w:pStyle w:val="BodyText"/>
        <w:ind w:left="260" w:right="277" w:firstLine="719"/>
        <w:jc w:val="both"/>
      </w:pPr>
      <w:r>
        <w:t>Physical infrastructure damage is a critical aspect to consider when examining the impact of natural calamities on education. When disasters such as hurricanes, earthquakes, floods, or wildfires occur, educational institutions often suffer severe damage to their physical infrastructure, including school buildings, classrooms, libraries, laboratories, and other facilities.</w:t>
      </w:r>
      <w:r w:rsidR="009C761F">
        <w:t xml:space="preserve"> </w:t>
      </w:r>
      <w:r>
        <w:t>The consequences of infrastructure damage are far-reaching and can disrupt educational activities for an extended period. Collapsed buildings and structural instability render schools unsafe, making it impossible for students and teachers to continue their daily routines. Destroyed classrooms and facilities result in the loss of learning spaces, educational resources, and equipment necessary for effective teaching and learning.</w:t>
      </w:r>
      <w:r w:rsidR="009C761F">
        <w:t xml:space="preserve"> </w:t>
      </w:r>
      <w:r>
        <w:t>In addition to the immediate physical destruction, the rebuilding process itself poses significant challenges. It requires substantial financial resources, time, and coordination among various stakeholders, including government bodies, education authorities, and community members. The reconstruction and repair of damaged infrastructure often take months or even years, leading to prolonged interruptions in education and the displacement of students and teachers.</w:t>
      </w:r>
    </w:p>
    <w:p w:rsidR="007B2A3D" w:rsidRDefault="007B2A3D" w:rsidP="005F276F">
      <w:pPr>
        <w:pStyle w:val="BodyText"/>
        <w:ind w:left="260" w:right="277" w:firstLine="719"/>
        <w:jc w:val="both"/>
      </w:pPr>
    </w:p>
    <w:p w:rsidR="007B2A3D" w:rsidRDefault="007B2A3D" w:rsidP="005F276F">
      <w:pPr>
        <w:pStyle w:val="BodyText"/>
        <w:ind w:left="260" w:right="277" w:firstLine="719"/>
        <w:jc w:val="both"/>
      </w:pPr>
      <w:r>
        <w:t>The impact of physical infrastructure damage goes beyond the immediate disruptions. It can have long-term consequences for the educational system and the communities it serves. The loss of educational spaces hampers the delivery of quality education, impeding students' access to a conducive learning environment. The absence of essential facilities and resources further exacerbates the challenges, hindering students' ability to fully engage in their studies and limiting their educational opportunities.</w:t>
      </w:r>
      <w:r w:rsidR="009C761F">
        <w:t xml:space="preserve"> </w:t>
      </w:r>
      <w:r>
        <w:t>Addressing physical infrastructure damage requires comprehensive planning and coordination. Implementing measures to ensure the safety and resilience of educational buildings against natural disasters is crucial. This includes incorporating disaster-resistant construction techniques, reinforcing existing structures, and establishing early warning systems to facilitate timely evacuation. It is also essential to develop contingency plans for alternative learning spaces and temporary facilities to minimize the disruption to education during the recovery period.</w:t>
      </w:r>
    </w:p>
    <w:p w:rsidR="007B2A3D" w:rsidRDefault="007B2A3D" w:rsidP="005F276F">
      <w:pPr>
        <w:pStyle w:val="BodyText"/>
        <w:ind w:left="260" w:right="277" w:firstLine="719"/>
        <w:jc w:val="both"/>
      </w:pPr>
    </w:p>
    <w:p w:rsidR="007B2A3D" w:rsidRPr="00DF6A12" w:rsidRDefault="007B2A3D" w:rsidP="005F276F">
      <w:pPr>
        <w:pStyle w:val="BodyText"/>
        <w:ind w:left="260" w:right="277" w:firstLine="719"/>
        <w:jc w:val="both"/>
      </w:pPr>
      <w:r>
        <w:t>Furthermore, proactive measures such as conducting regular safety assessments, providing training on disaster preparedness, and raising awareness among students, teachers, and staff about emergency protocols can help mitigate the impact of physical infrastructure damage. Collaborative efforts among government agencies, education authorities, community organizations, and international partners are vital for effective response and recovery in the aftermath of natural calamities.</w:t>
      </w:r>
      <w:r w:rsidR="009C761F">
        <w:t xml:space="preserve"> </w:t>
      </w:r>
      <w:r>
        <w:t xml:space="preserve">By understanding the challenges posed by physical infrastructure damage and adopting strategies to address them, education systems can become </w:t>
      </w:r>
      <w:r>
        <w:lastRenderedPageBreak/>
        <w:t>more resilient in the face of natural disasters. This resilience ensures that educational institutions can recover swiftly and continue providing access to quality education, even in the most challenging circumstances.</w:t>
      </w:r>
    </w:p>
    <w:p w:rsidR="00DF6A12" w:rsidRDefault="00DF6A12" w:rsidP="005F276F">
      <w:pPr>
        <w:rPr>
          <w:sz w:val="24"/>
          <w:szCs w:val="24"/>
        </w:rPr>
      </w:pPr>
    </w:p>
    <w:p w:rsidR="007B2A3D" w:rsidRDefault="007B2A3D" w:rsidP="005F276F">
      <w:pPr>
        <w:rPr>
          <w:sz w:val="24"/>
          <w:szCs w:val="24"/>
        </w:rPr>
      </w:pPr>
    </w:p>
    <w:p w:rsidR="009C761F" w:rsidRPr="007D2896" w:rsidRDefault="009C761F" w:rsidP="005F276F">
      <w:pPr>
        <w:pStyle w:val="ListParagraph"/>
        <w:numPr>
          <w:ilvl w:val="0"/>
          <w:numId w:val="9"/>
        </w:numPr>
        <w:rPr>
          <w:b/>
          <w:bCs/>
          <w:sz w:val="24"/>
          <w:szCs w:val="24"/>
        </w:rPr>
      </w:pPr>
      <w:r w:rsidRPr="007D2896">
        <w:rPr>
          <w:b/>
          <w:bCs/>
          <w:sz w:val="24"/>
          <w:szCs w:val="24"/>
        </w:rPr>
        <w:t>Displacement of Students and Teachers</w:t>
      </w:r>
    </w:p>
    <w:p w:rsidR="007B2A3D" w:rsidRDefault="007B2A3D" w:rsidP="005F276F"/>
    <w:p w:rsidR="009C761F" w:rsidRDefault="009C761F" w:rsidP="005F276F">
      <w:pPr>
        <w:pStyle w:val="BodyText"/>
        <w:ind w:right="277" w:firstLine="260"/>
        <w:jc w:val="both"/>
      </w:pPr>
      <w:r>
        <w:t>The displacement of students and teachers is a significant consequence of natural calamities that profoundly affects education systems. When disasters like hurricanes, earthquakes, floods, or wildfires strike, individuals are often forced to leave their homes, communities, and educational institutions, resulting in widespread displacement. The displacement of students disrupts their access to education and poses numerous challenges. Displaced students may find themselves in temporary shelters or unfamiliar environments, far away from their regular schools. They may face difficulties in enrolling in new educational institutions due to limited availability or logistical constraints. Displacement can lead to interrupted learning, loss of educational records, and the need to adjust to new curricula and teaching methodologies. Displaced teachers also experience significant disruptions in their professional lives. They may be separated from their students and familiar teaching environments, requiring them to adapt to new schools or temporary learning spaces. This can impact their ability to deliver quality education and maintain continuity in teaching. Additionally, teachers themselves may face personal challenges due to the loss of their homes, belongings, and support networks.</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The displacement of students and teachers not only affects their immediate educational experiences but also has long-term consequences. Disrupted schooling can result in learning gaps and setbacks in academic progress, which may take time to overcome. The loss of educational continuity can have a negative impact on educational outcomes and hinder the overall development and future prospects of displaced students. Addressing the challenges of displacement requires a comprehensive response from various stakeholders. Efforts should focus on ensuring the continuity of education for displaced students and providing support to displaced teachers. This may involve establishing temporary learning centers, implementing catch-up programs, and providing psychosocial support to address the emotional well-being of displaced individuals.</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Collaboration among government agencies, non-governmental organizations (NGOs), community groups, and educational institutions is crucial in facilitating the reintegration of displaced students into the education system. Coordination efforts should prioritize information sharing, enrollment assistance, transportation provisions, and the provision of essential learning materials. Moreover, supporting displaced teachers is vital to maintaining educational quality and stability. Measures can include professional development opportunities, training on trauma-informed teaching practices, and ensuring their well-being and psychosocial support. Efforts should also be made to leverage technology and digital resources to support displaced students and teachers. Online learning platforms, distance education programs, and virtual classrooms can help bridge the gap during displacement and provide access to educational resources and instruction. By addressing the challenges of displacement and implementing appropriate interventions, education systems can strive to minimize the impact of natural calamities on the education of displaced students and teachers. This ensures that individuals affected by disasters have the opportunity to continue their education, rebuild their lives, and contribute to the recovery and resilience of their communities.</w:t>
      </w:r>
    </w:p>
    <w:p w:rsidR="009C761F" w:rsidRDefault="009C761F" w:rsidP="005F276F">
      <w:pPr>
        <w:pStyle w:val="BodyText"/>
        <w:ind w:left="260" w:right="277" w:firstLine="719"/>
        <w:jc w:val="both"/>
      </w:pPr>
    </w:p>
    <w:p w:rsidR="009C761F" w:rsidRPr="007D2896" w:rsidRDefault="009C761F" w:rsidP="005F276F">
      <w:pPr>
        <w:pStyle w:val="BodyText"/>
        <w:numPr>
          <w:ilvl w:val="0"/>
          <w:numId w:val="9"/>
        </w:numPr>
        <w:ind w:right="277"/>
        <w:jc w:val="both"/>
        <w:rPr>
          <w:b/>
          <w:bCs/>
        </w:rPr>
      </w:pPr>
      <w:r w:rsidRPr="007D2896">
        <w:rPr>
          <w:b/>
          <w:bCs/>
        </w:rPr>
        <w:lastRenderedPageBreak/>
        <w:t>Psychological Trauma and Well-being</w:t>
      </w:r>
    </w:p>
    <w:p w:rsidR="009C761F" w:rsidRDefault="009C761F" w:rsidP="005F276F">
      <w:pPr>
        <w:pStyle w:val="BodyText"/>
        <w:ind w:right="277"/>
        <w:jc w:val="both"/>
      </w:pPr>
    </w:p>
    <w:p w:rsidR="009C761F" w:rsidRDefault="009C761F" w:rsidP="005F276F">
      <w:pPr>
        <w:pStyle w:val="BodyText"/>
        <w:ind w:left="260" w:right="277" w:firstLine="719"/>
        <w:jc w:val="both"/>
      </w:pPr>
      <w:r>
        <w:t>Psychological trauma and well-being are crucial aspects to consider when examining the impact of natural calamities on education. Disasters such as hurricanes, earthquakes, floods, or wildfires can inflict significant emotional and psychological distress on individuals, including students, teachers, and the broader educational community. Experiencing a natural calamity can lead to feelings of fear, anxiety, grief, and loss. Witnessing the destruction of homes, schools, and communities, as well as the potential loss of loved ones, can have a profound psychological impact. Students may suffer from post-traumatic stress disorder (PTSD), depression, anxiety disorders, or other mental health challenges. Teachers and education professionals also face heightened levels of stress and emotional strain as they support students through traumatic experiences. The psychological trauma resulting from natural calamities can have direct consequences on educational outcomes. Traumatized students may struggle to concentrate, participate in class, or engage with their studies. Their emotional well-being can significantly impact their academic performance and overall educational experience. Teachers, too, may find it challenging to create a supportive learning environment and address the specific needs of traumatized students while dealing with their own emotional burden.</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Recognizing and addressing psychological trauma and well-being are essential for promoting educational recovery and resilience in the aftermath of natural disasters. Providing psychosocial support and mental health services within educational settings is critical. This can involve counseling programs, trauma-informed practices, and interventions aimed at promoting emotional well-being and resilience. Efforts to support psychological well-being should be comprehensive and include training for teachers and education professionals on trauma-informed approaches. Creating safe spaces for students to express their feelings and experiences can foster a sense of security and help them cope with the emotional aftermath of disasters. Collaborative partnerships between schools, mental health professionals, and community organizations can strengthen support networks and ensure access to necessary services.</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It is important to acknowledge that the impact of psychological trauma may extend beyond the immediate aftermath of a natural calamity. Long-term mental health consequences may persist, requiring ongoing support and intervention. Continued monitoring of students' well-being, early identification of mental health concerns, and access to appropriate treatment and counseling services are crucial for their long-term recovery. By prioritizing psychological trauma and well-being in educational settings, it is possible to create an environment that supports the healing and growth of students and teachers affected by natural disasters. Nurturing their emotional well-being not only enhances their educational outcomes but also contributes to their overall resilience and ability to cope with future challenges.</w:t>
      </w:r>
    </w:p>
    <w:p w:rsidR="009C761F" w:rsidRDefault="009C761F" w:rsidP="005F276F">
      <w:pPr>
        <w:pStyle w:val="BodyText"/>
        <w:ind w:left="260" w:right="277" w:firstLine="719"/>
        <w:jc w:val="both"/>
      </w:pPr>
    </w:p>
    <w:p w:rsidR="009C761F" w:rsidRPr="007D2896" w:rsidRDefault="009C761F" w:rsidP="005F276F">
      <w:pPr>
        <w:pStyle w:val="ListParagraph"/>
        <w:numPr>
          <w:ilvl w:val="0"/>
          <w:numId w:val="9"/>
        </w:numPr>
        <w:rPr>
          <w:b/>
          <w:bCs/>
          <w:sz w:val="24"/>
          <w:szCs w:val="24"/>
        </w:rPr>
      </w:pPr>
      <w:r w:rsidRPr="007D2896">
        <w:rPr>
          <w:b/>
          <w:bCs/>
          <w:sz w:val="24"/>
          <w:szCs w:val="24"/>
        </w:rPr>
        <w:t>Educational Continuity</w:t>
      </w:r>
    </w:p>
    <w:p w:rsidR="009C761F" w:rsidRDefault="009C761F" w:rsidP="005F276F">
      <w:pPr>
        <w:pStyle w:val="BodyText"/>
        <w:ind w:right="277"/>
        <w:jc w:val="both"/>
      </w:pPr>
    </w:p>
    <w:p w:rsidR="009C761F" w:rsidRDefault="009C761F" w:rsidP="005F276F">
      <w:pPr>
        <w:pStyle w:val="BodyText"/>
        <w:ind w:left="260" w:right="277" w:firstLine="719"/>
        <w:jc w:val="both"/>
      </w:pPr>
      <w:r>
        <w:t xml:space="preserve">Educational continuity is a vital aspect to consider when examining the impact of natural calamities on education. When disasters such as hurricanes, earthquakes, floods, or wildfires occur, they can disrupt the regular flow of education, leading to significant interruptions in learning and educational activities. The disruption of educational continuity can have immediate and long-term consequences for students, teachers, and educational systems. When schools are damaged or inaccessible due to natural calamities, students are </w:t>
      </w:r>
      <w:r>
        <w:lastRenderedPageBreak/>
        <w:t>unable to attend classes and continue their studies. This interruption can result in learning gaps, academic setbacks, and reduced educational outcomes. The loss of educational continuity can be particularly challenging for students preparing for exams, transitioning between educational levels, or pursuing specialized courses. It can impede the progression of their education, delay their academic and career goals, and create additional barriers to educational advancement.</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To mitigate the impact of disrupted educational continuity, various strategies can be employed. These strategies aim to ensure that students have access to education even during and after natural disasters. Alternative learning arrangements such as temporary learning centers, mobile classrooms, or online platforms can be established to provide students with continuous access to educational resources and instruction. Furthermore, efforts should be made to minimize the disruption to the academic calendar and curriculum. Adjustments can be made to extend the school year, modify schedules, or implement accelerated learning programs to help students catch up on missed content and bridge learning gaps. Collaboration among education authorities, schools, teachers, parents, and community organizations is crucial in facilitating educational continuity during and after natural calamities. It is essential to establish effective communication channels to keep students and parents informed about changes in educational arrangements, resources, and support services.</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Technology can play a significant role in facilitating educational continuity. Online learning platforms, virtual classrooms, and digital resources can provide students with access to educational materials and enable remote learning when physical classrooms are inaccessible. However, it is important to address the digital divide and ensure equitable access to technology and internet connectivity for all students, particularly in disaster-prone areas. Efforts to ensure educational continuity should prioritize the inclusion of vulnerable populations, such as students with disabilities, displaced students, and those from marginalized communities. Special attention should be given to addressing their specific needs and ensuring that they have equal access to educational opportunities during and after natural calamities.</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By implementing strategies for educational continuity, education systems can mitigate the impact of natural disasters and provide students with the opportunity to continue their education without significant interruptions. This contributes to the overall resilience of individuals and communities, ensuring that education remains a steadfast p</w:t>
      </w:r>
      <w:r w:rsidR="00D60B5F">
        <w:t>riority even in the</w:t>
      </w:r>
    </w:p>
    <w:p w:rsidR="00D60B5F" w:rsidRDefault="00D60B5F" w:rsidP="005F276F">
      <w:pPr>
        <w:pStyle w:val="BodyText"/>
        <w:jc w:val="both"/>
        <w:rPr>
          <w:sz w:val="16"/>
        </w:rPr>
      </w:pPr>
      <w:r>
        <w:t xml:space="preserve">    face of adversity.</w:t>
      </w:r>
    </w:p>
    <w:p w:rsidR="00D60B5F" w:rsidRDefault="00D60B5F" w:rsidP="005F276F">
      <w:pPr>
        <w:pStyle w:val="BodyText"/>
        <w:ind w:right="277"/>
        <w:jc w:val="both"/>
      </w:pPr>
    </w:p>
    <w:p w:rsidR="00C06AE2" w:rsidRPr="007D2896" w:rsidRDefault="00C06AE2" w:rsidP="005F276F">
      <w:pPr>
        <w:pStyle w:val="BodyText"/>
        <w:numPr>
          <w:ilvl w:val="0"/>
          <w:numId w:val="9"/>
        </w:numPr>
        <w:ind w:right="277"/>
        <w:jc w:val="both"/>
        <w:rPr>
          <w:b/>
          <w:bCs/>
        </w:rPr>
      </w:pPr>
      <w:r w:rsidRPr="007D2896">
        <w:rPr>
          <w:b/>
          <w:bCs/>
        </w:rPr>
        <w:t>Mitigation Strategies and Preparedness</w:t>
      </w:r>
    </w:p>
    <w:p w:rsidR="00C06AE2" w:rsidRDefault="00C06AE2" w:rsidP="005F276F">
      <w:pPr>
        <w:pStyle w:val="BodyText"/>
        <w:ind w:left="260" w:right="277" w:firstLine="719"/>
        <w:jc w:val="both"/>
      </w:pPr>
    </w:p>
    <w:p w:rsidR="00C06AE2" w:rsidRDefault="00C06AE2" w:rsidP="005F276F">
      <w:pPr>
        <w:pStyle w:val="BodyText"/>
        <w:ind w:right="277" w:firstLine="260"/>
        <w:jc w:val="both"/>
      </w:pPr>
      <w:r>
        <w:t xml:space="preserve">Mitigation strategies and preparedness play a crucial role in minimizing the impact of natural calamities on education. By proactively identifying risks, implementing preventive measures, and developing comprehensive disaster management plans, education systems can enhance their resilience and ability to withstand and recover from disasters. Mitigation strategies involve actions taken to reduce the potential impact of natural calamities on educational institutions. This can include conducting risk assessments to identify vulnerabilities in school infrastructure and implementing measures to reinforce buildings and make them more resistant to disasters. By incorporating disaster-resistant construction techniques, such as earthquake-resistant designs or flood-resistant measures, the physical impact of calamities can be mitigated, minimizing damage to school buildings and infrastructure. Furthermore, preparedness is crucial in ensuring a timely and effective response to natural disasters. It involves developing and implementing </w:t>
      </w:r>
      <w:r>
        <w:lastRenderedPageBreak/>
        <w:t>comprehensive disaster management plans that outline roles, responsibilities, and protocols for various stakeholders, including school administrators, teachers, students, parents, and local authorities. These plans should include early warning systems, evacuation procedures, and communication strategies to facilitate a coordinated and efficient response.</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Education systems can also invest in capacity-building initiatives to enhance the preparedness of teachers and school staff. Training programs on disaster preparedness, first aid, and response protocols can equip educators with the necessary skills and knowledge to protect and support students during emergencies. Such training can enable teachers to effectively implement evacuation plans, provide psychological support, and address the immediate needs of students in the aftermath of a disaster. Collaboration and partnerships among government agencies, educational institutions, community organizations, and non-governmental organizations (NGOs) are essential in implementing mitigation strategies and preparedness initiatives. Engaging all relevant stakeholders fosters a holistic and coordinated approach to disaster management, pooling resources, expertise, and support to ensure a comprehensive response to natural calamities.</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 xml:space="preserve">In addition to physical measures, leveraging technology can enhance preparedness and response capabilities. Establishing robust communication systems, including emergency alert systems and information dissemination platforms, enables quick and effective communication during emergencies. Technology can also facilitate remote learning and virtual classrooms during periods of school closures or disruptions, ensuring continuity in </w:t>
      </w:r>
      <w:proofErr w:type="spellStart"/>
      <w:r>
        <w:t>education.Mitigation</w:t>
      </w:r>
      <w:proofErr w:type="spellEnd"/>
      <w:r>
        <w:t xml:space="preserve"> strategies and preparedness efforts should also address the unique needs of vulnerable populations, including students with disabilities, marginalized communities, and those living in remote areas. Ensuring inclusive disaster planning and response mechanisms, such as accessible evacuation routes and support services, can protect the rights and well-being of all students during and after natural calamities. By implementing mitigation strategies and preparedness measures, education systems can significantly reduce the impact of natural calamities on education. These proactive measures enhance the safety of students, teachers, and school infrastructure, promote timely and effective response, and foster educational continuity in the face of adversity.</w:t>
      </w:r>
    </w:p>
    <w:p w:rsidR="00C06AE2" w:rsidRDefault="00C06AE2" w:rsidP="005F276F">
      <w:pPr>
        <w:pStyle w:val="BodyText"/>
        <w:ind w:left="260" w:right="277" w:firstLine="719"/>
        <w:jc w:val="both"/>
      </w:pPr>
    </w:p>
    <w:p w:rsidR="00C06AE2" w:rsidRPr="007D2896" w:rsidRDefault="00C06AE2" w:rsidP="005F276F">
      <w:pPr>
        <w:pStyle w:val="ListParagraph"/>
        <w:numPr>
          <w:ilvl w:val="0"/>
          <w:numId w:val="9"/>
        </w:numPr>
        <w:rPr>
          <w:b/>
          <w:bCs/>
          <w:sz w:val="24"/>
          <w:szCs w:val="24"/>
        </w:rPr>
      </w:pPr>
      <w:r w:rsidRPr="007D2896">
        <w:rPr>
          <w:b/>
          <w:bCs/>
          <w:sz w:val="24"/>
          <w:szCs w:val="24"/>
        </w:rPr>
        <w:t>Technology and Disaster-Resilient Education</w:t>
      </w:r>
    </w:p>
    <w:p w:rsidR="00C06AE2" w:rsidRDefault="00C06AE2" w:rsidP="005F276F">
      <w:pPr>
        <w:rPr>
          <w:sz w:val="24"/>
          <w:szCs w:val="24"/>
        </w:rPr>
      </w:pPr>
    </w:p>
    <w:p w:rsidR="00C06AE2" w:rsidRPr="00C06AE2" w:rsidRDefault="00C06AE2" w:rsidP="005F276F">
      <w:pPr>
        <w:pStyle w:val="BodyText"/>
        <w:ind w:left="260" w:right="277" w:firstLine="719"/>
        <w:jc w:val="both"/>
      </w:pPr>
      <w:r w:rsidRPr="00C06AE2">
        <w:t>Technology plays a crucial role in building disaster-resilient education systems and mitigating the impact of natural calamities on education. It offers innovative solutions to enhance preparedness, response, and recovery efforts, ensuring educational continuity in the face of disasters.</w:t>
      </w:r>
      <w:r>
        <w:t xml:space="preserve"> </w:t>
      </w:r>
      <w:r w:rsidRPr="00C06AE2">
        <w:t>One of the key applications of technology in disaster-resilient education is the establishment of digital platforms and online learning systems. These platforms enable remote learning, ensuring that education can continue even when physical classrooms are inaccessible due to natural calamities. Online learning platforms provide students with access to educational resources, instructional materials, and interactive learning experiences. They facilitate communication and collaboration among students and teachers, allowing for the exchange of knowledge and engagement in virtual classrooms.</w:t>
      </w:r>
      <w:r>
        <w:t xml:space="preserve"> </w:t>
      </w:r>
      <w:r w:rsidRPr="00C06AE2">
        <w:t>Additionally, technology can be leveraged to disseminate critical information during emergencies. Emergency alert systems, mobile applications, and online portals provide real-time updates, warnings, and evacuation instructions to students, teachers, and parents. This enables swift and coordinated responses, ensuring the safety of individuals within the education system.</w:t>
      </w:r>
    </w:p>
    <w:p w:rsidR="00C06AE2" w:rsidRPr="00C06AE2" w:rsidRDefault="00C06AE2" w:rsidP="005F276F">
      <w:pPr>
        <w:pStyle w:val="BodyText"/>
        <w:ind w:left="260" w:right="277" w:firstLine="719"/>
        <w:jc w:val="both"/>
      </w:pPr>
    </w:p>
    <w:p w:rsidR="00C06AE2" w:rsidRPr="00C06AE2" w:rsidRDefault="00C06AE2" w:rsidP="005F276F">
      <w:pPr>
        <w:pStyle w:val="BodyText"/>
        <w:ind w:left="260" w:right="277" w:firstLine="719"/>
        <w:jc w:val="both"/>
      </w:pPr>
      <w:r w:rsidRPr="00C06AE2">
        <w:t xml:space="preserve">Technology also supports data management and information sharing, which are </w:t>
      </w:r>
      <w:r w:rsidRPr="00C06AE2">
        <w:lastRenderedPageBreak/>
        <w:t>crucial for effective disaster response and recovery. Digital databases and cloud storage enable the secure storage and accessibility of educational records, ensuring that important student data is not lost in the event of physical damage to schools or paper-based records. This aids in the quick and accurate identification of students, facilitating their enrollment in alternative learning environments and tracking their educational progress during recovery.</w:t>
      </w:r>
      <w:r>
        <w:t xml:space="preserve"> </w:t>
      </w:r>
      <w:r w:rsidRPr="00C06AE2">
        <w:t>Furthermore, technology can enhance the preparedness of educational institutions by facilitating virtual simulations and training exercises. Through virtual reality (VR) and augmented reality (AR) technologies, teachers and school staff can practice emergency response scenarios, familiarize themselves with evacuation procedures, and develop their crisis management skills. These immersive training experiences contribute to more efficient and confident responses during actual emergencies.</w:t>
      </w:r>
    </w:p>
    <w:p w:rsidR="00C06AE2" w:rsidRPr="00C06AE2" w:rsidRDefault="00C06AE2" w:rsidP="005F276F">
      <w:pPr>
        <w:pStyle w:val="BodyText"/>
        <w:ind w:left="260" w:right="277" w:firstLine="719"/>
        <w:jc w:val="both"/>
      </w:pPr>
    </w:p>
    <w:p w:rsidR="00C06AE2" w:rsidRPr="00C06AE2" w:rsidRDefault="00C06AE2" w:rsidP="005F276F">
      <w:pPr>
        <w:pStyle w:val="BodyText"/>
        <w:ind w:left="260" w:right="277" w:firstLine="719"/>
        <w:jc w:val="both"/>
      </w:pPr>
      <w:r w:rsidRPr="00C06AE2">
        <w:t>To ensure equitable access to technology, efforts should be made to bridge the digital divide. This includes providing necessary hardware, internet connectivity, and technical support to students and teachers, particularly in underserved areas or communities affected by natural calamities. Collaborative initiatives involving governments, education authorities, private sector partners, and NGOs can help address these disparities and ensure that technology is accessible to all.</w:t>
      </w:r>
      <w:r>
        <w:t xml:space="preserve"> </w:t>
      </w:r>
      <w:r w:rsidRPr="00C06AE2">
        <w:t>While technology offers numerous benefits in disaster-resilient education, it is important to recognize its limitations and address potential challenges. Power outages, internet disruptions, or limited technology infrastructure in certain areas may hinder the effective implementation of technology-based solutions. Therefore, backup power sources, alternative communication methods, and contingency plans should be in place to overcome these challenges and ensure the continuity of technology-enabled education during disasters.</w:t>
      </w:r>
      <w:r>
        <w:t xml:space="preserve"> </w:t>
      </w:r>
      <w:r w:rsidRPr="00C06AE2">
        <w:t>By harnessing the power of technology, education systems can strengthen their resilience to natural calamities. Technology-driven solutions facilitate educational continuity, support communication and information sharing, enhance preparedness and response, and contribute to the overall recovery and well-being of students and teachers in the face of adversity.</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p>
    <w:p w:rsidR="00C06AE2" w:rsidRPr="007D2896" w:rsidRDefault="00C06AE2" w:rsidP="005F276F">
      <w:pPr>
        <w:pStyle w:val="ListParagraph"/>
        <w:numPr>
          <w:ilvl w:val="0"/>
          <w:numId w:val="9"/>
        </w:numPr>
        <w:rPr>
          <w:b/>
          <w:bCs/>
          <w:sz w:val="24"/>
          <w:szCs w:val="24"/>
        </w:rPr>
      </w:pPr>
      <w:r w:rsidRPr="007D2896">
        <w:rPr>
          <w:b/>
          <w:bCs/>
          <w:sz w:val="24"/>
          <w:szCs w:val="24"/>
        </w:rPr>
        <w:t>Case Studies and Lessons Learned</w:t>
      </w:r>
    </w:p>
    <w:p w:rsidR="00C06AE2" w:rsidRDefault="00C06AE2" w:rsidP="005F276F">
      <w:pPr>
        <w:rPr>
          <w:sz w:val="24"/>
          <w:szCs w:val="24"/>
        </w:rPr>
      </w:pPr>
    </w:p>
    <w:p w:rsidR="00C06AE2" w:rsidRPr="00C06AE2" w:rsidRDefault="00C06AE2" w:rsidP="005F276F">
      <w:pPr>
        <w:pStyle w:val="BodyText"/>
        <w:ind w:left="260" w:right="277" w:firstLine="719"/>
        <w:jc w:val="both"/>
      </w:pPr>
      <w:r w:rsidRPr="00C06AE2">
        <w:t>Case studies and lessons learned are valuable components when examining the impact of natural calamities on education. They provide real-world examples and insights into the challenges faced by educational systems during disasters, as well as the strategies and approaches employed to mitigate the impact and promote resilience.</w:t>
      </w:r>
      <w:r>
        <w:t xml:space="preserve"> </w:t>
      </w:r>
      <w:r w:rsidRPr="00C06AE2">
        <w:t>Case studies highlight specific incidents or events where natural calamities significantly disrupted education. These may include examples of schools damaged by hurricanes, communities affected by floods, or regions recovering from earthquakes. By analyzing these case studies, researchers and policymakers can gain a deeper understanding of the complex dynamics and implications of such events on educational systems.</w:t>
      </w:r>
      <w:r>
        <w:t xml:space="preserve"> </w:t>
      </w:r>
      <w:r w:rsidRPr="00C06AE2">
        <w:t>Lessons learned from these case studies offer valuable knowledge and best practices that can inform future disaster management and education policies. They shed light on the successes, failures, and areas for improvement in responding to and recovering from natural calamities. Lessons learned encompass various aspects, such as preparedness measures, emergency response protocols, community engagement strategies, and the role of technology in promoting educational continuity.</w:t>
      </w:r>
    </w:p>
    <w:p w:rsidR="00C06AE2" w:rsidRPr="00C06AE2" w:rsidRDefault="00C06AE2" w:rsidP="005F276F">
      <w:pPr>
        <w:pStyle w:val="BodyText"/>
        <w:ind w:left="260" w:right="277" w:firstLine="719"/>
        <w:jc w:val="both"/>
      </w:pPr>
    </w:p>
    <w:p w:rsidR="00C06AE2" w:rsidRPr="00C06AE2" w:rsidRDefault="00C06AE2" w:rsidP="005F276F">
      <w:pPr>
        <w:pStyle w:val="BodyText"/>
        <w:ind w:left="260" w:right="277" w:firstLine="719"/>
        <w:jc w:val="both"/>
      </w:pPr>
      <w:r w:rsidRPr="00C06AE2">
        <w:t xml:space="preserve">By examining case studies and lessons learned, stakeholders can identify common challenges and effective strategies that have been implemented in different contexts. This knowledge can inform the development of comprehensive disaster management plans, </w:t>
      </w:r>
      <w:r w:rsidRPr="00C06AE2">
        <w:lastRenderedPageBreak/>
        <w:t>policies, and guidelines for education systems. It helps policymakers and practitioners make informed decisions and allocate resources to enhance the resilience of educational institutions and support the well-being of students and teachers.</w:t>
      </w:r>
      <w:r>
        <w:t xml:space="preserve"> </w:t>
      </w:r>
      <w:r w:rsidRPr="00C06AE2">
        <w:t>Furthermore, case studies and lessons learned foster collaboration and knowledge-sharing among different regions and communities affected by natural calamities. They provide a platform for sharing experiences, exchanging innovative ideas, and building networks of support. This collaborative approach enables stakeholders to learn from each other, adapt successful strategies to their specific contexts, and contribute to the collective resilience of educational systems worldwide.</w:t>
      </w:r>
      <w:r>
        <w:t xml:space="preserve"> </w:t>
      </w:r>
      <w:r w:rsidRPr="00C06AE2">
        <w:t>It is important to ensure that case studies and lessons learned reflect the diversity of contexts, disaster types, and educational settings. This includes considering the perspectives of different regions, socio-economic backgrounds, and vulnerable populations. By incorporating diverse experiences, case studies and lessons learned can provide a comprehensive understanding of the impact of natural calamities on education and promote inclusive and equitable approaches to disaster resilience.</w:t>
      </w:r>
      <w:r>
        <w:t xml:space="preserve"> </w:t>
      </w:r>
      <w:r w:rsidRPr="00C06AE2">
        <w:t>case studies and lessons learned serve as valuable resources in understanding the impact of natural calamities on education. They offer insights into the challenges faced, highlight successful strategies, and provide a foundation for evidence-based decision-making and policy development. By incorporating these case studies and lessons learned into research, planning, and practice, education systems can enhance their resilience and minimize the adverse effects of disasters on education.</w:t>
      </w:r>
    </w:p>
    <w:p w:rsidR="00C06AE2" w:rsidRDefault="00C06AE2" w:rsidP="005F276F">
      <w:pPr>
        <w:pStyle w:val="BodyText"/>
        <w:ind w:right="277"/>
        <w:jc w:val="both"/>
      </w:pPr>
    </w:p>
    <w:p w:rsidR="00C06AE2" w:rsidRDefault="00C06AE2" w:rsidP="005F276F">
      <w:pPr>
        <w:pStyle w:val="BodyText"/>
        <w:ind w:left="260" w:right="277" w:firstLine="719"/>
        <w:jc w:val="both"/>
      </w:pPr>
      <w:r>
        <w:t>Here are two case studies highlighting the impact of natural calamities on education and the lessons learned from them:</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rsidRPr="007D2896">
        <w:rPr>
          <w:b/>
          <w:bCs/>
        </w:rPr>
        <w:t>Case Study 1:</w:t>
      </w:r>
      <w:r>
        <w:t xml:space="preserve"> </w:t>
      </w:r>
      <w:r w:rsidRPr="007D2896">
        <w:rPr>
          <w:b/>
          <w:bCs/>
        </w:rPr>
        <w:t>Hurricane Katrina in New Orleans, United States (2005)</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Hurricane Katrina was a catastrophic event that severely affected the city of New Orleans and its education system. The hurricane caused extensive flooding, resulting in the destruction of schools, displacement of students and teachers, and significant disruptions to education.</w:t>
      </w:r>
    </w:p>
    <w:p w:rsidR="00C06AE2" w:rsidRDefault="00C06AE2" w:rsidP="005F276F">
      <w:pPr>
        <w:pStyle w:val="BodyText"/>
        <w:ind w:left="260" w:right="277" w:firstLine="719"/>
        <w:jc w:val="both"/>
      </w:pPr>
    </w:p>
    <w:p w:rsidR="00C06AE2" w:rsidRPr="007D2896" w:rsidRDefault="00C06AE2" w:rsidP="005F276F">
      <w:pPr>
        <w:pStyle w:val="BodyText"/>
        <w:ind w:left="260" w:right="277" w:firstLine="719"/>
        <w:jc w:val="both"/>
        <w:rPr>
          <w:b/>
          <w:bCs/>
        </w:rPr>
      </w:pPr>
      <w:r w:rsidRPr="007D2896">
        <w:rPr>
          <w:b/>
          <w:bCs/>
        </w:rPr>
        <w:t>Lessons Learned:</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Importance of Comprehensive Disaster Planning: The case of Hurricane Katrina emphasized the need for comprehensive disaster management plans in educational institutions. Lessons learned include the importance of developing evacuation procedures, establishing alternative learning sites, and implementing communication systems to ensure timely and effective responses during and after a disaster.</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Community Engagement and Support: The recovery efforts in New Orleans highlighted the importance of community engagement and collaboration. Lessons learned include the significance of involving local communities, parents, and students in decision-making processes, as well as leveraging community resources and partnerships to support the rebuilding of educational infrastructure and providing necessary resources for students' well-being.</w:t>
      </w:r>
    </w:p>
    <w:p w:rsidR="00C06AE2" w:rsidRDefault="00C06AE2" w:rsidP="005F276F">
      <w:pPr>
        <w:pStyle w:val="BodyText"/>
        <w:ind w:left="260" w:right="277" w:firstLine="719"/>
        <w:jc w:val="both"/>
      </w:pPr>
    </w:p>
    <w:p w:rsidR="00C06AE2" w:rsidRPr="007D2896" w:rsidRDefault="00C06AE2" w:rsidP="005F276F">
      <w:pPr>
        <w:pStyle w:val="BodyText"/>
        <w:ind w:left="260" w:right="277" w:firstLine="719"/>
        <w:jc w:val="both"/>
        <w:rPr>
          <w:b/>
          <w:bCs/>
        </w:rPr>
      </w:pPr>
      <w:r w:rsidRPr="007D2896">
        <w:rPr>
          <w:b/>
          <w:bCs/>
        </w:rPr>
        <w:t>Case Study 2: Tohoku Earthquake and Tsunami in Japan (2011)</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 xml:space="preserve">The Tohoku earthquake and tsunami in Japan had a profound impact on the education system, particularly in the affected regions of Fukushima, Miyagi, and Iwate. The disaster resulted in the destruction of schools, displacement of students, and long-term consequences </w:t>
      </w:r>
      <w:r>
        <w:lastRenderedPageBreak/>
        <w:t>on educational continuity.</w:t>
      </w:r>
    </w:p>
    <w:p w:rsidR="00C06AE2" w:rsidRDefault="00C06AE2" w:rsidP="005F276F">
      <w:pPr>
        <w:pStyle w:val="BodyText"/>
        <w:ind w:left="260" w:right="277" w:firstLine="719"/>
        <w:jc w:val="both"/>
      </w:pPr>
    </w:p>
    <w:p w:rsidR="00C06AE2" w:rsidRPr="007D2896" w:rsidRDefault="00C06AE2" w:rsidP="005F276F">
      <w:pPr>
        <w:pStyle w:val="BodyText"/>
        <w:ind w:left="260" w:right="277" w:firstLine="719"/>
        <w:jc w:val="both"/>
        <w:rPr>
          <w:b/>
          <w:bCs/>
        </w:rPr>
      </w:pPr>
      <w:r w:rsidRPr="007D2896">
        <w:rPr>
          <w:b/>
          <w:bCs/>
        </w:rPr>
        <w:t>Lessons Learned:</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Ensuring Infrastructure Resilience: The case of the Tohoku earthquake emphasized the importance of resilient school infrastructure. Lessons learned include the need for earthquake-resistant designs, construction standards, and evacuation protocols to protect students and teachers during seismic events. This led to the implementation of stricter building codes and measures to enhance the safety of educational facilities.</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Psychological Support and Trauma-Informed Practices: The disaster highlighted the significant psychological trauma experienced by students and teachers. Lessons learned include the importance of providing psychological support services and trauma-informed practices within schools. This led to the development of counseling programs, mental health support, and training for teachers to address the emotional well-being of students and foster resilience in the face of trauma.</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These case studies illustrate the diverse impacts of natural calamities on education and provide valuable lessons. They emphasize the importance of comprehensive disaster planning, community engagement, infrastructure resilience, and psychological support in building disaster-resilient education systems. By learning from these experiences, education systems can better prepare for future disasters and minimize the disruption to students' learning and well-being.</w:t>
      </w:r>
    </w:p>
    <w:p w:rsidR="007D2896" w:rsidRDefault="007D2896" w:rsidP="005F276F">
      <w:pPr>
        <w:pStyle w:val="BodyText"/>
        <w:ind w:right="277"/>
        <w:jc w:val="both"/>
      </w:pPr>
    </w:p>
    <w:p w:rsidR="006A3DAD" w:rsidRPr="006A3DAD" w:rsidRDefault="006A3DAD" w:rsidP="005F276F">
      <w:pPr>
        <w:pStyle w:val="BodyText"/>
        <w:ind w:left="260" w:right="277" w:firstLine="719"/>
        <w:jc w:val="both"/>
        <w:rPr>
          <w:b/>
          <w:bCs/>
        </w:rPr>
      </w:pPr>
      <w:r w:rsidRPr="006A3DAD">
        <w:rPr>
          <w:b/>
          <w:bCs/>
        </w:rPr>
        <w:t>Conclusion</w:t>
      </w:r>
    </w:p>
    <w:p w:rsidR="007D2896" w:rsidRDefault="007D2896" w:rsidP="005F276F">
      <w:pPr>
        <w:pStyle w:val="BodyText"/>
        <w:ind w:left="260" w:right="277" w:firstLine="719"/>
        <w:jc w:val="both"/>
      </w:pPr>
      <w:r>
        <w:t>In conclusion, the impact of natural calamities on education is a complex and multifaceted issue that requires careful consideration and proactive measures. This chapter has explored various topics related to this impact, including physical infrastructure damage, displacement of students and teachers, psychological trauma and well-being, educational continuity, mitigation strategies and preparedness, technology and disaster-resilient education, and case studies with lessons learned. Natural calamities pose significant challenges to educational systems, disrupting the regular flow of education and creating barriers to learning. The physical damage to school infrastructure hampers access to education, while the displacement of students and teachers disrupts the learning process and creates additional hardships. The psychological trauma experienced by individuals affected by disasters further exacerbates the challenges.</w:t>
      </w:r>
    </w:p>
    <w:p w:rsidR="007D2896" w:rsidRDefault="007D2896" w:rsidP="005F276F">
      <w:pPr>
        <w:pStyle w:val="BodyText"/>
        <w:ind w:left="260" w:right="277" w:firstLine="719"/>
        <w:jc w:val="both"/>
      </w:pPr>
    </w:p>
    <w:p w:rsidR="007D2896" w:rsidRDefault="007D2896" w:rsidP="005F276F">
      <w:pPr>
        <w:pStyle w:val="BodyText"/>
        <w:ind w:left="260" w:right="277" w:firstLine="719"/>
        <w:jc w:val="both"/>
        <w:sectPr w:rsidR="007D2896">
          <w:pgSz w:w="11910" w:h="16840"/>
          <w:pgMar w:top="1700" w:right="1160" w:bottom="1200" w:left="1180" w:header="730" w:footer="1008" w:gutter="0"/>
          <w:cols w:space="720"/>
        </w:sectPr>
      </w:pPr>
      <w:r>
        <w:t xml:space="preserve">However, through mitigation strategies and preparedness efforts, education systems can enhance their resilience and reduce the impact of natural calamities. By reinforcing infrastructure, implementing comprehensive disaster management plans, and leveraging technology, educational continuity can be maintained even in the face of adversity. Lessons learned from past disasters, such as Hurricane Katrina and the Tohoku earthquake, provide valuable insights into effective approaches and emphasize the importance of comprehensive planning, community engagement, infrastructure resilience, and psychological support. To build disaster-resilient education systems, collaboration among stakeholders is crucial. Governments, education authorities, schools, teachers, parents, and community organizations must work together to develop and implement proactive measures. Additionally, ensuring equitable access to education and technology, particularly for vulnerable populations, is essential for inclusive disaster resilience. By prioritizing the well-being and educational needs of students and teachers, education systems can mitigate the adverse impact of natural </w:t>
      </w:r>
      <w:r>
        <w:lastRenderedPageBreak/>
        <w:t>calamities. Through careful planning, timely responses, and continuous learning from past experiences, education can remain a pillar of stability and hope, even in the face of natural disasters.</w:t>
      </w:r>
    </w:p>
    <w:p w:rsidR="000F2099" w:rsidRDefault="0075692E" w:rsidP="005F276F">
      <w:pPr>
        <w:pStyle w:val="Heading1"/>
        <w:ind w:left="351"/>
        <w:jc w:val="both"/>
      </w:pPr>
      <w:r>
        <w:lastRenderedPageBreak/>
        <w:t>REFRENCE</w:t>
      </w:r>
      <w:r w:rsidR="005F276F">
        <w:t>S:</w:t>
      </w:r>
    </w:p>
    <w:p w:rsidR="000F2099" w:rsidRDefault="000F2099" w:rsidP="005F276F">
      <w:pPr>
        <w:pStyle w:val="BodyText"/>
        <w:rPr>
          <w:b/>
        </w:rPr>
      </w:pPr>
    </w:p>
    <w:p w:rsidR="007D2896" w:rsidRDefault="007D2896" w:rsidP="005F276F">
      <w:pPr>
        <w:pStyle w:val="ListParagraph"/>
        <w:numPr>
          <w:ilvl w:val="0"/>
          <w:numId w:val="3"/>
        </w:numPr>
        <w:tabs>
          <w:tab w:val="left" w:pos="896"/>
          <w:tab w:val="left" w:pos="897"/>
        </w:tabs>
        <w:ind w:right="351"/>
        <w:jc w:val="both"/>
      </w:pPr>
      <w:r>
        <w:t>United Nations Educational, Scientific and Cultural Organization (UNESCO) - Reports and publications on education in emergencies and the impact of natural disasters on education.</w:t>
      </w:r>
    </w:p>
    <w:p w:rsidR="007D2896" w:rsidRDefault="007D2896" w:rsidP="005F276F">
      <w:pPr>
        <w:pStyle w:val="ListParagraph"/>
        <w:numPr>
          <w:ilvl w:val="0"/>
          <w:numId w:val="3"/>
        </w:numPr>
        <w:tabs>
          <w:tab w:val="left" w:pos="896"/>
          <w:tab w:val="left" w:pos="897"/>
        </w:tabs>
        <w:ind w:right="351"/>
        <w:jc w:val="both"/>
      </w:pPr>
      <w:r>
        <w:t>International Journal of Disaster Risk Reduction - Academic journal focusing on disaster risk reduction and its impact on various sectors, including education.</w:t>
      </w:r>
    </w:p>
    <w:p w:rsidR="007D2896" w:rsidRDefault="007D2896" w:rsidP="005F276F">
      <w:pPr>
        <w:pStyle w:val="ListParagraph"/>
        <w:numPr>
          <w:ilvl w:val="0"/>
          <w:numId w:val="3"/>
        </w:numPr>
        <w:tabs>
          <w:tab w:val="left" w:pos="896"/>
          <w:tab w:val="left" w:pos="897"/>
        </w:tabs>
        <w:ind w:right="351"/>
        <w:jc w:val="both"/>
      </w:pPr>
      <w:r>
        <w:t>The Journal of School Safety and Security - A publication that covers various aspects of school safety and security, including disaster preparedness and response in educational settings.</w:t>
      </w:r>
    </w:p>
    <w:p w:rsidR="007D2896" w:rsidRDefault="007D2896" w:rsidP="005F276F">
      <w:pPr>
        <w:pStyle w:val="ListParagraph"/>
        <w:numPr>
          <w:ilvl w:val="0"/>
          <w:numId w:val="3"/>
        </w:numPr>
        <w:tabs>
          <w:tab w:val="left" w:pos="896"/>
          <w:tab w:val="left" w:pos="897"/>
        </w:tabs>
        <w:ind w:right="351"/>
        <w:jc w:val="both"/>
      </w:pPr>
      <w:r>
        <w:t>World Bank - Reports and studies on the impact of natural disasters on education and strategies for building disaster-resilient education systems.</w:t>
      </w:r>
    </w:p>
    <w:p w:rsidR="007D2896" w:rsidRDefault="007D2896" w:rsidP="005F276F">
      <w:pPr>
        <w:pStyle w:val="ListParagraph"/>
        <w:numPr>
          <w:ilvl w:val="0"/>
          <w:numId w:val="3"/>
        </w:numPr>
        <w:tabs>
          <w:tab w:val="left" w:pos="896"/>
          <w:tab w:val="left" w:pos="897"/>
        </w:tabs>
        <w:ind w:right="351"/>
        <w:jc w:val="both"/>
      </w:pPr>
      <w:r>
        <w:t>International Federation of Red Cross and Red Crescent Societies (IFRC) - Resources and publications on disaster management and education in emergencies.</w:t>
      </w:r>
    </w:p>
    <w:p w:rsidR="007D2896" w:rsidRDefault="007D2896" w:rsidP="005F276F">
      <w:pPr>
        <w:pStyle w:val="ListParagraph"/>
        <w:numPr>
          <w:ilvl w:val="0"/>
          <w:numId w:val="3"/>
        </w:numPr>
        <w:tabs>
          <w:tab w:val="left" w:pos="896"/>
          <w:tab w:val="left" w:pos="897"/>
        </w:tabs>
        <w:ind w:right="351"/>
        <w:jc w:val="both"/>
      </w:pPr>
      <w:r>
        <w:t>United Nations Office for Disaster Risk Reduction (UNDRR) - Reports and publications on disaster risk reduction and its connection to education.</w:t>
      </w:r>
    </w:p>
    <w:p w:rsidR="007D2896" w:rsidRDefault="007D2896" w:rsidP="005F276F">
      <w:pPr>
        <w:pStyle w:val="ListParagraph"/>
        <w:numPr>
          <w:ilvl w:val="0"/>
          <w:numId w:val="3"/>
        </w:numPr>
        <w:tabs>
          <w:tab w:val="left" w:pos="896"/>
          <w:tab w:val="left" w:pos="897"/>
        </w:tabs>
        <w:ind w:right="351"/>
        <w:jc w:val="both"/>
      </w:pPr>
      <w:r>
        <w:t>Journal of Education in Emergencies - A scholarly journal focusing on education in emergency contexts, including natural disasters.</w:t>
      </w:r>
    </w:p>
    <w:p w:rsidR="007D2896" w:rsidRDefault="007D2896" w:rsidP="005F276F">
      <w:pPr>
        <w:pStyle w:val="ListParagraph"/>
        <w:numPr>
          <w:ilvl w:val="0"/>
          <w:numId w:val="3"/>
        </w:numPr>
        <w:tabs>
          <w:tab w:val="left" w:pos="896"/>
          <w:tab w:val="left" w:pos="897"/>
        </w:tabs>
        <w:ind w:right="351"/>
        <w:jc w:val="both"/>
      </w:pPr>
      <w:r>
        <w:t>Save the Children - Reports and publications on the impact of disasters on children's education and strategies for building resilience.</w:t>
      </w:r>
    </w:p>
    <w:p w:rsidR="007D2896" w:rsidRDefault="007D2896" w:rsidP="005F276F">
      <w:pPr>
        <w:pStyle w:val="ListParagraph"/>
        <w:numPr>
          <w:ilvl w:val="0"/>
          <w:numId w:val="3"/>
        </w:numPr>
        <w:tabs>
          <w:tab w:val="left" w:pos="896"/>
          <w:tab w:val="left" w:pos="897"/>
        </w:tabs>
        <w:ind w:right="351"/>
        <w:jc w:val="both"/>
      </w:pPr>
      <w:r>
        <w:t>International Research Committee on Disasters (IRCD) - Academic papers and research studies on the intersection of disasters and education.</w:t>
      </w:r>
    </w:p>
    <w:p w:rsidR="007D2896" w:rsidRDefault="007D2896" w:rsidP="005F276F">
      <w:pPr>
        <w:pStyle w:val="ListParagraph"/>
        <w:numPr>
          <w:ilvl w:val="0"/>
          <w:numId w:val="3"/>
        </w:numPr>
        <w:tabs>
          <w:tab w:val="left" w:pos="896"/>
          <w:tab w:val="left" w:pos="897"/>
        </w:tabs>
        <w:ind w:right="351"/>
        <w:jc w:val="both"/>
      </w:pPr>
      <w:r>
        <w:t>Government agencies and ministries of education - Check the websites of relevant government entities in your country or region for reports, guidelines, and policy documents related to disaster management and education.</w:t>
      </w:r>
    </w:p>
    <w:p w:rsidR="007D2896" w:rsidRDefault="007D2896" w:rsidP="005F276F">
      <w:pPr>
        <w:pStyle w:val="ListParagraph"/>
        <w:numPr>
          <w:ilvl w:val="0"/>
          <w:numId w:val="3"/>
        </w:numPr>
        <w:tabs>
          <w:tab w:val="left" w:pos="896"/>
          <w:tab w:val="left" w:pos="897"/>
        </w:tabs>
        <w:ind w:right="351"/>
        <w:jc w:val="both"/>
      </w:pPr>
      <w:r>
        <w:t>The Sphere Handbook: Humanitarian Charter and Minimum Standards in Humanitarian Response - Includes guidelines and standards for education in emergencies, including natural disasters.</w:t>
      </w:r>
    </w:p>
    <w:p w:rsidR="007D2896" w:rsidRDefault="007D2896" w:rsidP="005F276F">
      <w:pPr>
        <w:pStyle w:val="ListParagraph"/>
        <w:numPr>
          <w:ilvl w:val="0"/>
          <w:numId w:val="3"/>
        </w:numPr>
        <w:tabs>
          <w:tab w:val="left" w:pos="896"/>
          <w:tab w:val="left" w:pos="897"/>
        </w:tabs>
        <w:ind w:right="351"/>
        <w:jc w:val="both"/>
      </w:pPr>
      <w:r>
        <w:t>Disasters Journal - A peer-reviewed journal focusing on disaster studies, including the impact on education and educational responses to disasters.</w:t>
      </w:r>
    </w:p>
    <w:p w:rsidR="007D2896" w:rsidRDefault="007D2896" w:rsidP="005F276F">
      <w:pPr>
        <w:pStyle w:val="ListParagraph"/>
        <w:numPr>
          <w:ilvl w:val="0"/>
          <w:numId w:val="3"/>
        </w:numPr>
        <w:tabs>
          <w:tab w:val="left" w:pos="896"/>
          <w:tab w:val="left" w:pos="897"/>
        </w:tabs>
        <w:ind w:right="351"/>
        <w:jc w:val="both"/>
      </w:pPr>
      <w:r>
        <w:t>The Sendai Framework for Disaster Risk Reduction 2015-2030 - Provides a framework for disaster risk reduction efforts, including education and awareness-raising.</w:t>
      </w:r>
    </w:p>
    <w:p w:rsidR="007D2896" w:rsidRDefault="007D2896" w:rsidP="005F276F">
      <w:pPr>
        <w:pStyle w:val="ListParagraph"/>
        <w:numPr>
          <w:ilvl w:val="0"/>
          <w:numId w:val="3"/>
        </w:numPr>
        <w:tabs>
          <w:tab w:val="left" w:pos="896"/>
          <w:tab w:val="left" w:pos="897"/>
        </w:tabs>
        <w:ind w:right="351"/>
        <w:jc w:val="both"/>
      </w:pPr>
      <w:r>
        <w:t>International Journal of Disaster Resilience in the Built Environment - Covers topics related to disaster resilience in infrastructure, including educational facilities.</w:t>
      </w:r>
    </w:p>
    <w:p w:rsidR="007D2896" w:rsidRDefault="007D2896" w:rsidP="005F276F">
      <w:pPr>
        <w:pStyle w:val="ListParagraph"/>
        <w:numPr>
          <w:ilvl w:val="0"/>
          <w:numId w:val="3"/>
        </w:numPr>
        <w:tabs>
          <w:tab w:val="left" w:pos="896"/>
          <w:tab w:val="left" w:pos="897"/>
        </w:tabs>
        <w:ind w:right="351"/>
        <w:jc w:val="both"/>
      </w:pPr>
      <w:r>
        <w:t>International Journal of Disaster Risk Science - Publishes research articles on disaster risk science and its application to various sectors, including education.</w:t>
      </w:r>
    </w:p>
    <w:p w:rsidR="007D2896" w:rsidRDefault="007D2896" w:rsidP="005F276F">
      <w:pPr>
        <w:pStyle w:val="ListParagraph"/>
        <w:numPr>
          <w:ilvl w:val="0"/>
          <w:numId w:val="3"/>
        </w:numPr>
        <w:tabs>
          <w:tab w:val="left" w:pos="896"/>
          <w:tab w:val="left" w:pos="897"/>
        </w:tabs>
        <w:ind w:right="351"/>
        <w:jc w:val="both"/>
      </w:pPr>
      <w:r>
        <w:t>Journal of Contingencies and Crisis Management - Addresses crisis management and response, including the impact of disasters on education systems.</w:t>
      </w:r>
    </w:p>
    <w:p w:rsidR="007D2896" w:rsidRDefault="007D2896" w:rsidP="005F276F">
      <w:pPr>
        <w:pStyle w:val="ListParagraph"/>
        <w:numPr>
          <w:ilvl w:val="0"/>
          <w:numId w:val="3"/>
        </w:numPr>
        <w:tabs>
          <w:tab w:val="left" w:pos="896"/>
          <w:tab w:val="left" w:pos="897"/>
        </w:tabs>
        <w:ind w:right="351"/>
        <w:jc w:val="both"/>
      </w:pPr>
      <w:r>
        <w:t>Education in Emergencies: Including Everyone - A resource guide by the Inter-Agency Network for Education in Emergencies (INEE), offering guidance on inclusive education in emergency settings.</w:t>
      </w:r>
    </w:p>
    <w:p w:rsidR="007D2896" w:rsidRDefault="007D2896" w:rsidP="005F276F">
      <w:pPr>
        <w:pStyle w:val="ListParagraph"/>
        <w:numPr>
          <w:ilvl w:val="0"/>
          <w:numId w:val="3"/>
        </w:numPr>
        <w:tabs>
          <w:tab w:val="left" w:pos="896"/>
          <w:tab w:val="left" w:pos="897"/>
        </w:tabs>
        <w:ind w:right="351"/>
        <w:jc w:val="both"/>
      </w:pPr>
      <w:r>
        <w:t>Journal of School Psychology - Includes research on the psychological impact of disasters on students and strategies for supporting their well-being in educational settings.</w:t>
      </w:r>
    </w:p>
    <w:p w:rsidR="007D2896" w:rsidRDefault="007D2896" w:rsidP="005F276F">
      <w:pPr>
        <w:pStyle w:val="ListParagraph"/>
        <w:numPr>
          <w:ilvl w:val="0"/>
          <w:numId w:val="3"/>
        </w:numPr>
        <w:tabs>
          <w:tab w:val="left" w:pos="896"/>
          <w:tab w:val="left" w:pos="897"/>
        </w:tabs>
        <w:ind w:right="351"/>
        <w:jc w:val="both"/>
      </w:pPr>
      <w:r>
        <w:t>The Lancet: Education in Humanitarian Emergencies - A special issue of The Lancet journal focusing on education in humanitarian crises, including natural disasters.</w:t>
      </w:r>
    </w:p>
    <w:p w:rsidR="007D2896" w:rsidRDefault="007D2896" w:rsidP="005F276F">
      <w:pPr>
        <w:pStyle w:val="ListParagraph"/>
        <w:numPr>
          <w:ilvl w:val="0"/>
          <w:numId w:val="3"/>
        </w:numPr>
        <w:tabs>
          <w:tab w:val="left" w:pos="896"/>
          <w:tab w:val="left" w:pos="897"/>
        </w:tabs>
        <w:ind w:right="351"/>
        <w:jc w:val="both"/>
      </w:pPr>
      <w:r>
        <w:t>National Center for Disaster Preparedness (NCDP) - Research and publications on disaster preparedness and response, with a focus on the educational sector.</w:t>
      </w:r>
    </w:p>
    <w:p w:rsidR="000F2099" w:rsidRDefault="000F2099" w:rsidP="005F276F">
      <w:pPr>
        <w:pStyle w:val="ListParagraph"/>
        <w:tabs>
          <w:tab w:val="left" w:pos="896"/>
          <w:tab w:val="left" w:pos="897"/>
        </w:tabs>
        <w:ind w:right="351" w:firstLine="0"/>
        <w:jc w:val="both"/>
      </w:pPr>
      <w:bookmarkStart w:id="0" w:name="_GoBack"/>
      <w:bookmarkEnd w:id="0"/>
    </w:p>
    <w:sectPr w:rsidR="000F2099" w:rsidSect="00A13BD5">
      <w:pgSz w:w="11910" w:h="16840"/>
      <w:pgMar w:top="1700" w:right="1160" w:bottom="1200" w:left="1180" w:header="73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72FB" w:rsidRDefault="004E72FB">
      <w:r>
        <w:separator/>
      </w:r>
    </w:p>
  </w:endnote>
  <w:endnote w:type="continuationSeparator" w:id="0">
    <w:p w:rsidR="004E72FB" w:rsidRDefault="004E72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99" w:rsidRDefault="000F2099">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72FB" w:rsidRDefault="004E72FB">
      <w:r>
        <w:separator/>
      </w:r>
    </w:p>
  </w:footnote>
  <w:footnote w:type="continuationSeparator" w:id="0">
    <w:p w:rsidR="004E72FB" w:rsidRDefault="004E72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99" w:rsidRDefault="003B57CC">
    <w:pPr>
      <w:pStyle w:val="BodyText"/>
      <w:spacing w:line="14" w:lineRule="auto"/>
      <w:rPr>
        <w:sz w:val="20"/>
      </w:rPr>
    </w:pPr>
    <w:r w:rsidRPr="003B57CC">
      <w:pict>
        <v:shapetype id="_x0000_t202" coordsize="21600,21600" o:spt="202" path="m,l,21600r21600,l21600,xe">
          <v:stroke joinstyle="miter"/>
          <v:path gradientshapeok="t" o:connecttype="rect"/>
        </v:shapetype>
        <v:shape id="_x0000_s2051" type="#_x0000_t202" style="position:absolute;margin-left:306.6pt;margin-top:35.5pt;width:217.6pt;height:50.95pt;z-index:-251658752;mso-position-horizontal-relative:page;mso-position-vertical-relative:page" filled="f" stroked="f">
          <v:textbox inset="0,0,0,0">
            <w:txbxContent>
              <w:p w:rsidR="000F2099" w:rsidRDefault="000F2099">
                <w:pPr>
                  <w:pStyle w:val="BodyText"/>
                  <w:spacing w:line="276" w:lineRule="exact"/>
                  <w:ind w:left="1155"/>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2AD"/>
    <w:multiLevelType w:val="hybridMultilevel"/>
    <w:tmpl w:val="B26C5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773D7F"/>
    <w:multiLevelType w:val="hybridMultilevel"/>
    <w:tmpl w:val="0722182E"/>
    <w:lvl w:ilvl="0" w:tplc="20C46C5E">
      <w:start w:val="16"/>
      <w:numFmt w:val="decimal"/>
      <w:lvlText w:val="[%1]"/>
      <w:lvlJc w:val="left"/>
      <w:pPr>
        <w:ind w:left="896" w:hanging="634"/>
      </w:pPr>
      <w:rPr>
        <w:rFonts w:ascii="Times New Roman" w:eastAsia="Times New Roman" w:hAnsi="Times New Roman" w:cs="Times New Roman" w:hint="default"/>
        <w:w w:val="100"/>
        <w:sz w:val="22"/>
        <w:szCs w:val="22"/>
        <w:lang w:val="en-US" w:eastAsia="en-US" w:bidi="ar-SA"/>
      </w:rPr>
    </w:lvl>
    <w:lvl w:ilvl="1" w:tplc="F31AB0BA">
      <w:numFmt w:val="bullet"/>
      <w:lvlText w:val="•"/>
      <w:lvlJc w:val="left"/>
      <w:pPr>
        <w:ind w:left="1766" w:hanging="634"/>
      </w:pPr>
      <w:rPr>
        <w:rFonts w:hint="default"/>
        <w:lang w:val="en-US" w:eastAsia="en-US" w:bidi="ar-SA"/>
      </w:rPr>
    </w:lvl>
    <w:lvl w:ilvl="2" w:tplc="5F221996">
      <w:numFmt w:val="bullet"/>
      <w:lvlText w:val="•"/>
      <w:lvlJc w:val="left"/>
      <w:pPr>
        <w:ind w:left="2633" w:hanging="634"/>
      </w:pPr>
      <w:rPr>
        <w:rFonts w:hint="default"/>
        <w:lang w:val="en-US" w:eastAsia="en-US" w:bidi="ar-SA"/>
      </w:rPr>
    </w:lvl>
    <w:lvl w:ilvl="3" w:tplc="CEA07326">
      <w:numFmt w:val="bullet"/>
      <w:lvlText w:val="•"/>
      <w:lvlJc w:val="left"/>
      <w:pPr>
        <w:ind w:left="3499" w:hanging="634"/>
      </w:pPr>
      <w:rPr>
        <w:rFonts w:hint="default"/>
        <w:lang w:val="en-US" w:eastAsia="en-US" w:bidi="ar-SA"/>
      </w:rPr>
    </w:lvl>
    <w:lvl w:ilvl="4" w:tplc="080C1CC6">
      <w:numFmt w:val="bullet"/>
      <w:lvlText w:val="•"/>
      <w:lvlJc w:val="left"/>
      <w:pPr>
        <w:ind w:left="4366" w:hanging="634"/>
      </w:pPr>
      <w:rPr>
        <w:rFonts w:hint="default"/>
        <w:lang w:val="en-US" w:eastAsia="en-US" w:bidi="ar-SA"/>
      </w:rPr>
    </w:lvl>
    <w:lvl w:ilvl="5" w:tplc="511E3A76">
      <w:numFmt w:val="bullet"/>
      <w:lvlText w:val="•"/>
      <w:lvlJc w:val="left"/>
      <w:pPr>
        <w:ind w:left="5233" w:hanging="634"/>
      </w:pPr>
      <w:rPr>
        <w:rFonts w:hint="default"/>
        <w:lang w:val="en-US" w:eastAsia="en-US" w:bidi="ar-SA"/>
      </w:rPr>
    </w:lvl>
    <w:lvl w:ilvl="6" w:tplc="2BF6E880">
      <w:numFmt w:val="bullet"/>
      <w:lvlText w:val="•"/>
      <w:lvlJc w:val="left"/>
      <w:pPr>
        <w:ind w:left="6099" w:hanging="634"/>
      </w:pPr>
      <w:rPr>
        <w:rFonts w:hint="default"/>
        <w:lang w:val="en-US" w:eastAsia="en-US" w:bidi="ar-SA"/>
      </w:rPr>
    </w:lvl>
    <w:lvl w:ilvl="7" w:tplc="1D767E7E">
      <w:numFmt w:val="bullet"/>
      <w:lvlText w:val="•"/>
      <w:lvlJc w:val="left"/>
      <w:pPr>
        <w:ind w:left="6966" w:hanging="634"/>
      </w:pPr>
      <w:rPr>
        <w:rFonts w:hint="default"/>
        <w:lang w:val="en-US" w:eastAsia="en-US" w:bidi="ar-SA"/>
      </w:rPr>
    </w:lvl>
    <w:lvl w:ilvl="8" w:tplc="186AFC04">
      <w:numFmt w:val="bullet"/>
      <w:lvlText w:val="•"/>
      <w:lvlJc w:val="left"/>
      <w:pPr>
        <w:ind w:left="7833" w:hanging="634"/>
      </w:pPr>
      <w:rPr>
        <w:rFonts w:hint="default"/>
        <w:lang w:val="en-US" w:eastAsia="en-US" w:bidi="ar-SA"/>
      </w:rPr>
    </w:lvl>
  </w:abstractNum>
  <w:abstractNum w:abstractNumId="2">
    <w:nsid w:val="1531389D"/>
    <w:multiLevelType w:val="hybridMultilevel"/>
    <w:tmpl w:val="B26C5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DE2480C"/>
    <w:multiLevelType w:val="hybridMultilevel"/>
    <w:tmpl w:val="80C8D5E8"/>
    <w:lvl w:ilvl="0" w:tplc="DEACF93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6143CC7"/>
    <w:multiLevelType w:val="hybridMultilevel"/>
    <w:tmpl w:val="B2C0ED28"/>
    <w:lvl w:ilvl="0" w:tplc="DB56ECAE">
      <w:start w:val="1"/>
      <w:numFmt w:val="decimal"/>
      <w:lvlText w:val="%1."/>
      <w:lvlJc w:val="left"/>
      <w:pPr>
        <w:ind w:left="531" w:hanging="363"/>
      </w:pPr>
      <w:rPr>
        <w:rFonts w:ascii="Times New Roman" w:eastAsia="Times New Roman" w:hAnsi="Times New Roman" w:cs="Times New Roman" w:hint="default"/>
        <w:w w:val="100"/>
        <w:sz w:val="24"/>
        <w:szCs w:val="24"/>
        <w:lang w:val="en-US" w:eastAsia="en-US" w:bidi="ar-SA"/>
      </w:rPr>
    </w:lvl>
    <w:lvl w:ilvl="1" w:tplc="897A7224">
      <w:start w:val="1"/>
      <w:numFmt w:val="decimal"/>
      <w:lvlText w:val="%2."/>
      <w:lvlJc w:val="left"/>
      <w:pPr>
        <w:ind w:left="620" w:hanging="360"/>
      </w:pPr>
      <w:rPr>
        <w:rFonts w:ascii="Times New Roman" w:eastAsia="Times New Roman" w:hAnsi="Times New Roman" w:cs="Times New Roman" w:hint="default"/>
        <w:b/>
        <w:bCs/>
        <w:w w:val="100"/>
        <w:sz w:val="24"/>
        <w:szCs w:val="24"/>
        <w:lang w:val="en-US" w:eastAsia="en-US" w:bidi="ar-SA"/>
      </w:rPr>
    </w:lvl>
    <w:lvl w:ilvl="2" w:tplc="3700475C">
      <w:numFmt w:val="bullet"/>
      <w:lvlText w:val="•"/>
      <w:lvlJc w:val="left"/>
      <w:pPr>
        <w:ind w:left="1614" w:hanging="360"/>
      </w:pPr>
      <w:rPr>
        <w:rFonts w:hint="default"/>
        <w:lang w:val="en-US" w:eastAsia="en-US" w:bidi="ar-SA"/>
      </w:rPr>
    </w:lvl>
    <w:lvl w:ilvl="3" w:tplc="E2AEE664">
      <w:numFmt w:val="bullet"/>
      <w:lvlText w:val="•"/>
      <w:lvlJc w:val="left"/>
      <w:pPr>
        <w:ind w:left="2608" w:hanging="360"/>
      </w:pPr>
      <w:rPr>
        <w:rFonts w:hint="default"/>
        <w:lang w:val="en-US" w:eastAsia="en-US" w:bidi="ar-SA"/>
      </w:rPr>
    </w:lvl>
    <w:lvl w:ilvl="4" w:tplc="34646388">
      <w:numFmt w:val="bullet"/>
      <w:lvlText w:val="•"/>
      <w:lvlJc w:val="left"/>
      <w:pPr>
        <w:ind w:left="3602" w:hanging="360"/>
      </w:pPr>
      <w:rPr>
        <w:rFonts w:hint="default"/>
        <w:lang w:val="en-US" w:eastAsia="en-US" w:bidi="ar-SA"/>
      </w:rPr>
    </w:lvl>
    <w:lvl w:ilvl="5" w:tplc="E90ACC26">
      <w:numFmt w:val="bullet"/>
      <w:lvlText w:val="•"/>
      <w:lvlJc w:val="left"/>
      <w:pPr>
        <w:ind w:left="4596" w:hanging="360"/>
      </w:pPr>
      <w:rPr>
        <w:rFonts w:hint="default"/>
        <w:lang w:val="en-US" w:eastAsia="en-US" w:bidi="ar-SA"/>
      </w:rPr>
    </w:lvl>
    <w:lvl w:ilvl="6" w:tplc="7EDC465A">
      <w:numFmt w:val="bullet"/>
      <w:lvlText w:val="•"/>
      <w:lvlJc w:val="left"/>
      <w:pPr>
        <w:ind w:left="5590" w:hanging="360"/>
      </w:pPr>
      <w:rPr>
        <w:rFonts w:hint="default"/>
        <w:lang w:val="en-US" w:eastAsia="en-US" w:bidi="ar-SA"/>
      </w:rPr>
    </w:lvl>
    <w:lvl w:ilvl="7" w:tplc="711486E2">
      <w:numFmt w:val="bullet"/>
      <w:lvlText w:val="•"/>
      <w:lvlJc w:val="left"/>
      <w:pPr>
        <w:ind w:left="6584" w:hanging="360"/>
      </w:pPr>
      <w:rPr>
        <w:rFonts w:hint="default"/>
        <w:lang w:val="en-US" w:eastAsia="en-US" w:bidi="ar-SA"/>
      </w:rPr>
    </w:lvl>
    <w:lvl w:ilvl="8" w:tplc="34CA8090">
      <w:numFmt w:val="bullet"/>
      <w:lvlText w:val="•"/>
      <w:lvlJc w:val="left"/>
      <w:pPr>
        <w:ind w:left="7578" w:hanging="360"/>
      </w:pPr>
      <w:rPr>
        <w:rFonts w:hint="default"/>
        <w:lang w:val="en-US" w:eastAsia="en-US" w:bidi="ar-SA"/>
      </w:rPr>
    </w:lvl>
  </w:abstractNum>
  <w:abstractNum w:abstractNumId="5">
    <w:nsid w:val="52B366BD"/>
    <w:multiLevelType w:val="hybridMultilevel"/>
    <w:tmpl w:val="6D0E1C4A"/>
    <w:lvl w:ilvl="0" w:tplc="D84A4D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90F6A66"/>
    <w:multiLevelType w:val="hybridMultilevel"/>
    <w:tmpl w:val="1D9064B4"/>
    <w:lvl w:ilvl="0" w:tplc="D4C8784C">
      <w:start w:val="7"/>
      <w:numFmt w:val="decimal"/>
      <w:lvlText w:val="[%1]"/>
      <w:lvlJc w:val="left"/>
      <w:pPr>
        <w:ind w:left="896" w:hanging="579"/>
      </w:pPr>
      <w:rPr>
        <w:rFonts w:ascii="Times New Roman" w:eastAsia="Times New Roman" w:hAnsi="Times New Roman" w:cs="Times New Roman" w:hint="default"/>
        <w:w w:val="100"/>
        <w:sz w:val="22"/>
        <w:szCs w:val="22"/>
        <w:lang w:val="en-US" w:eastAsia="en-US" w:bidi="ar-SA"/>
      </w:rPr>
    </w:lvl>
    <w:lvl w:ilvl="1" w:tplc="A058FC30">
      <w:numFmt w:val="bullet"/>
      <w:lvlText w:val="•"/>
      <w:lvlJc w:val="left"/>
      <w:pPr>
        <w:ind w:left="1766" w:hanging="579"/>
      </w:pPr>
      <w:rPr>
        <w:rFonts w:hint="default"/>
        <w:lang w:val="en-US" w:eastAsia="en-US" w:bidi="ar-SA"/>
      </w:rPr>
    </w:lvl>
    <w:lvl w:ilvl="2" w:tplc="5448A022">
      <w:numFmt w:val="bullet"/>
      <w:lvlText w:val="•"/>
      <w:lvlJc w:val="left"/>
      <w:pPr>
        <w:ind w:left="2633" w:hanging="579"/>
      </w:pPr>
      <w:rPr>
        <w:rFonts w:hint="default"/>
        <w:lang w:val="en-US" w:eastAsia="en-US" w:bidi="ar-SA"/>
      </w:rPr>
    </w:lvl>
    <w:lvl w:ilvl="3" w:tplc="B07CF6AE">
      <w:numFmt w:val="bullet"/>
      <w:lvlText w:val="•"/>
      <w:lvlJc w:val="left"/>
      <w:pPr>
        <w:ind w:left="3499" w:hanging="579"/>
      </w:pPr>
      <w:rPr>
        <w:rFonts w:hint="default"/>
        <w:lang w:val="en-US" w:eastAsia="en-US" w:bidi="ar-SA"/>
      </w:rPr>
    </w:lvl>
    <w:lvl w:ilvl="4" w:tplc="3058E518">
      <w:numFmt w:val="bullet"/>
      <w:lvlText w:val="•"/>
      <w:lvlJc w:val="left"/>
      <w:pPr>
        <w:ind w:left="4366" w:hanging="579"/>
      </w:pPr>
      <w:rPr>
        <w:rFonts w:hint="default"/>
        <w:lang w:val="en-US" w:eastAsia="en-US" w:bidi="ar-SA"/>
      </w:rPr>
    </w:lvl>
    <w:lvl w:ilvl="5" w:tplc="819E1532">
      <w:numFmt w:val="bullet"/>
      <w:lvlText w:val="•"/>
      <w:lvlJc w:val="left"/>
      <w:pPr>
        <w:ind w:left="5233" w:hanging="579"/>
      </w:pPr>
      <w:rPr>
        <w:rFonts w:hint="default"/>
        <w:lang w:val="en-US" w:eastAsia="en-US" w:bidi="ar-SA"/>
      </w:rPr>
    </w:lvl>
    <w:lvl w:ilvl="6" w:tplc="608A04FC">
      <w:numFmt w:val="bullet"/>
      <w:lvlText w:val="•"/>
      <w:lvlJc w:val="left"/>
      <w:pPr>
        <w:ind w:left="6099" w:hanging="579"/>
      </w:pPr>
      <w:rPr>
        <w:rFonts w:hint="default"/>
        <w:lang w:val="en-US" w:eastAsia="en-US" w:bidi="ar-SA"/>
      </w:rPr>
    </w:lvl>
    <w:lvl w:ilvl="7" w:tplc="7AB03650">
      <w:numFmt w:val="bullet"/>
      <w:lvlText w:val="•"/>
      <w:lvlJc w:val="left"/>
      <w:pPr>
        <w:ind w:left="6966" w:hanging="579"/>
      </w:pPr>
      <w:rPr>
        <w:rFonts w:hint="default"/>
        <w:lang w:val="en-US" w:eastAsia="en-US" w:bidi="ar-SA"/>
      </w:rPr>
    </w:lvl>
    <w:lvl w:ilvl="8" w:tplc="FAA65D32">
      <w:numFmt w:val="bullet"/>
      <w:lvlText w:val="•"/>
      <w:lvlJc w:val="left"/>
      <w:pPr>
        <w:ind w:left="7833" w:hanging="579"/>
      </w:pPr>
      <w:rPr>
        <w:rFonts w:hint="default"/>
        <w:lang w:val="en-US" w:eastAsia="en-US" w:bidi="ar-SA"/>
      </w:rPr>
    </w:lvl>
  </w:abstractNum>
  <w:abstractNum w:abstractNumId="7">
    <w:nsid w:val="5980401D"/>
    <w:multiLevelType w:val="hybridMultilevel"/>
    <w:tmpl w:val="C3C4B196"/>
    <w:lvl w:ilvl="0" w:tplc="3B90839E">
      <w:start w:val="1"/>
      <w:numFmt w:val="decimal"/>
      <w:lvlText w:val="[%1]"/>
      <w:lvlJc w:val="left"/>
      <w:pPr>
        <w:ind w:left="896" w:hanging="579"/>
      </w:pPr>
      <w:rPr>
        <w:rFonts w:ascii="Times New Roman" w:eastAsia="Times New Roman" w:hAnsi="Times New Roman" w:cs="Times New Roman" w:hint="default"/>
        <w:w w:val="100"/>
        <w:sz w:val="22"/>
        <w:szCs w:val="22"/>
        <w:lang w:val="en-US" w:eastAsia="en-US" w:bidi="ar-SA"/>
      </w:rPr>
    </w:lvl>
    <w:lvl w:ilvl="1" w:tplc="E1F63C66">
      <w:numFmt w:val="bullet"/>
      <w:lvlText w:val="•"/>
      <w:lvlJc w:val="left"/>
      <w:pPr>
        <w:ind w:left="1766" w:hanging="579"/>
      </w:pPr>
      <w:rPr>
        <w:rFonts w:hint="default"/>
        <w:lang w:val="en-US" w:eastAsia="en-US" w:bidi="ar-SA"/>
      </w:rPr>
    </w:lvl>
    <w:lvl w:ilvl="2" w:tplc="77906E04">
      <w:numFmt w:val="bullet"/>
      <w:lvlText w:val="•"/>
      <w:lvlJc w:val="left"/>
      <w:pPr>
        <w:ind w:left="2633" w:hanging="579"/>
      </w:pPr>
      <w:rPr>
        <w:rFonts w:hint="default"/>
        <w:lang w:val="en-US" w:eastAsia="en-US" w:bidi="ar-SA"/>
      </w:rPr>
    </w:lvl>
    <w:lvl w:ilvl="3" w:tplc="21CCDD1A">
      <w:numFmt w:val="bullet"/>
      <w:lvlText w:val="•"/>
      <w:lvlJc w:val="left"/>
      <w:pPr>
        <w:ind w:left="3499" w:hanging="579"/>
      </w:pPr>
      <w:rPr>
        <w:rFonts w:hint="default"/>
        <w:lang w:val="en-US" w:eastAsia="en-US" w:bidi="ar-SA"/>
      </w:rPr>
    </w:lvl>
    <w:lvl w:ilvl="4" w:tplc="D7825708">
      <w:numFmt w:val="bullet"/>
      <w:lvlText w:val="•"/>
      <w:lvlJc w:val="left"/>
      <w:pPr>
        <w:ind w:left="4366" w:hanging="579"/>
      </w:pPr>
      <w:rPr>
        <w:rFonts w:hint="default"/>
        <w:lang w:val="en-US" w:eastAsia="en-US" w:bidi="ar-SA"/>
      </w:rPr>
    </w:lvl>
    <w:lvl w:ilvl="5" w:tplc="2834D404">
      <w:numFmt w:val="bullet"/>
      <w:lvlText w:val="•"/>
      <w:lvlJc w:val="left"/>
      <w:pPr>
        <w:ind w:left="5233" w:hanging="579"/>
      </w:pPr>
      <w:rPr>
        <w:rFonts w:hint="default"/>
        <w:lang w:val="en-US" w:eastAsia="en-US" w:bidi="ar-SA"/>
      </w:rPr>
    </w:lvl>
    <w:lvl w:ilvl="6" w:tplc="3E18A9D4">
      <w:numFmt w:val="bullet"/>
      <w:lvlText w:val="•"/>
      <w:lvlJc w:val="left"/>
      <w:pPr>
        <w:ind w:left="6099" w:hanging="579"/>
      </w:pPr>
      <w:rPr>
        <w:rFonts w:hint="default"/>
        <w:lang w:val="en-US" w:eastAsia="en-US" w:bidi="ar-SA"/>
      </w:rPr>
    </w:lvl>
    <w:lvl w:ilvl="7" w:tplc="B0D8009A">
      <w:numFmt w:val="bullet"/>
      <w:lvlText w:val="•"/>
      <w:lvlJc w:val="left"/>
      <w:pPr>
        <w:ind w:left="6966" w:hanging="579"/>
      </w:pPr>
      <w:rPr>
        <w:rFonts w:hint="default"/>
        <w:lang w:val="en-US" w:eastAsia="en-US" w:bidi="ar-SA"/>
      </w:rPr>
    </w:lvl>
    <w:lvl w:ilvl="8" w:tplc="79146610">
      <w:numFmt w:val="bullet"/>
      <w:lvlText w:val="•"/>
      <w:lvlJc w:val="left"/>
      <w:pPr>
        <w:ind w:left="7833" w:hanging="579"/>
      </w:pPr>
      <w:rPr>
        <w:rFonts w:hint="default"/>
        <w:lang w:val="en-US" w:eastAsia="en-US" w:bidi="ar-SA"/>
      </w:rPr>
    </w:lvl>
  </w:abstractNum>
  <w:abstractNum w:abstractNumId="8">
    <w:nsid w:val="756C75E7"/>
    <w:multiLevelType w:val="hybridMultilevel"/>
    <w:tmpl w:val="DE20FD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C645A99"/>
    <w:multiLevelType w:val="hybridMultilevel"/>
    <w:tmpl w:val="D1C2A7B8"/>
    <w:lvl w:ilvl="0" w:tplc="E5FC9494">
      <w:start w:val="1"/>
      <w:numFmt w:val="upperRoman"/>
      <w:lvlText w:val="%1."/>
      <w:lvlJc w:val="left"/>
      <w:pPr>
        <w:ind w:left="620" w:hanging="360"/>
      </w:pPr>
      <w:rPr>
        <w:rFonts w:ascii="Times New Roman" w:eastAsia="Times New Roman" w:hAnsi="Times New Roman" w:cs="Times New Roman" w:hint="default"/>
        <w:b/>
        <w:bCs/>
        <w:w w:val="99"/>
        <w:sz w:val="24"/>
        <w:szCs w:val="24"/>
        <w:lang w:val="en-US" w:eastAsia="en-US" w:bidi="ar-SA"/>
      </w:rPr>
    </w:lvl>
    <w:lvl w:ilvl="1" w:tplc="7E44682A">
      <w:start w:val="1"/>
      <w:numFmt w:val="decimal"/>
      <w:lvlText w:val="%2."/>
      <w:lvlJc w:val="left"/>
      <w:pPr>
        <w:ind w:left="620" w:hanging="452"/>
      </w:pPr>
      <w:rPr>
        <w:rFonts w:ascii="Times New Roman" w:eastAsia="Times New Roman" w:hAnsi="Times New Roman" w:cs="Times New Roman" w:hint="default"/>
        <w:b/>
        <w:bCs/>
        <w:w w:val="100"/>
        <w:sz w:val="24"/>
        <w:szCs w:val="24"/>
        <w:lang w:val="en-US" w:eastAsia="en-US" w:bidi="ar-SA"/>
      </w:rPr>
    </w:lvl>
    <w:lvl w:ilvl="2" w:tplc="6F5A6748">
      <w:numFmt w:val="bullet"/>
      <w:lvlText w:val=""/>
      <w:lvlJc w:val="left"/>
      <w:pPr>
        <w:ind w:left="980" w:hanging="360"/>
      </w:pPr>
      <w:rPr>
        <w:rFonts w:ascii="Symbol" w:eastAsia="Symbol" w:hAnsi="Symbol" w:cs="Symbol" w:hint="default"/>
        <w:w w:val="100"/>
        <w:sz w:val="24"/>
        <w:szCs w:val="24"/>
        <w:lang w:val="en-US" w:eastAsia="en-US" w:bidi="ar-SA"/>
      </w:rPr>
    </w:lvl>
    <w:lvl w:ilvl="3" w:tplc="9D7ACB96">
      <w:numFmt w:val="bullet"/>
      <w:lvlText w:val="•"/>
      <w:lvlJc w:val="left"/>
      <w:pPr>
        <w:ind w:left="2888" w:hanging="360"/>
      </w:pPr>
      <w:rPr>
        <w:rFonts w:hint="default"/>
        <w:lang w:val="en-US" w:eastAsia="en-US" w:bidi="ar-SA"/>
      </w:rPr>
    </w:lvl>
    <w:lvl w:ilvl="4" w:tplc="B338E70E">
      <w:numFmt w:val="bullet"/>
      <w:lvlText w:val="•"/>
      <w:lvlJc w:val="left"/>
      <w:pPr>
        <w:ind w:left="3842" w:hanging="360"/>
      </w:pPr>
      <w:rPr>
        <w:rFonts w:hint="default"/>
        <w:lang w:val="en-US" w:eastAsia="en-US" w:bidi="ar-SA"/>
      </w:rPr>
    </w:lvl>
    <w:lvl w:ilvl="5" w:tplc="8D266DE0">
      <w:numFmt w:val="bullet"/>
      <w:lvlText w:val="•"/>
      <w:lvlJc w:val="left"/>
      <w:pPr>
        <w:ind w:left="4796" w:hanging="360"/>
      </w:pPr>
      <w:rPr>
        <w:rFonts w:hint="default"/>
        <w:lang w:val="en-US" w:eastAsia="en-US" w:bidi="ar-SA"/>
      </w:rPr>
    </w:lvl>
    <w:lvl w:ilvl="6" w:tplc="89B428A0">
      <w:numFmt w:val="bullet"/>
      <w:lvlText w:val="•"/>
      <w:lvlJc w:val="left"/>
      <w:pPr>
        <w:ind w:left="5750" w:hanging="360"/>
      </w:pPr>
      <w:rPr>
        <w:rFonts w:hint="default"/>
        <w:lang w:val="en-US" w:eastAsia="en-US" w:bidi="ar-SA"/>
      </w:rPr>
    </w:lvl>
    <w:lvl w:ilvl="7" w:tplc="DDA48240">
      <w:numFmt w:val="bullet"/>
      <w:lvlText w:val="•"/>
      <w:lvlJc w:val="left"/>
      <w:pPr>
        <w:ind w:left="6704" w:hanging="360"/>
      </w:pPr>
      <w:rPr>
        <w:rFonts w:hint="default"/>
        <w:lang w:val="en-US" w:eastAsia="en-US" w:bidi="ar-SA"/>
      </w:rPr>
    </w:lvl>
    <w:lvl w:ilvl="8" w:tplc="625E1652">
      <w:numFmt w:val="bullet"/>
      <w:lvlText w:val="•"/>
      <w:lvlJc w:val="left"/>
      <w:pPr>
        <w:ind w:left="7658" w:hanging="360"/>
      </w:pPr>
      <w:rPr>
        <w:rFonts w:hint="default"/>
        <w:lang w:val="en-US" w:eastAsia="en-US" w:bidi="ar-SA"/>
      </w:rPr>
    </w:lvl>
  </w:abstractNum>
  <w:num w:numId="1">
    <w:abstractNumId w:val="1"/>
  </w:num>
  <w:num w:numId="2">
    <w:abstractNumId w:val="6"/>
  </w:num>
  <w:num w:numId="3">
    <w:abstractNumId w:val="7"/>
  </w:num>
  <w:num w:numId="4">
    <w:abstractNumId w:val="9"/>
  </w:num>
  <w:num w:numId="5">
    <w:abstractNumId w:val="4"/>
  </w:num>
  <w:num w:numId="6">
    <w:abstractNumId w:val="3"/>
  </w:num>
  <w:num w:numId="7">
    <w:abstractNumId w:val="8"/>
  </w:num>
  <w:num w:numId="8">
    <w:abstractNumId w:val="0"/>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lTrailSpace/>
    <w:shapeLayoutLikeWW8/>
  </w:compat>
  <w:rsids>
    <w:rsidRoot w:val="000F2099"/>
    <w:rsid w:val="000F2099"/>
    <w:rsid w:val="003B57CC"/>
    <w:rsid w:val="003F2612"/>
    <w:rsid w:val="004E72FB"/>
    <w:rsid w:val="00593EDA"/>
    <w:rsid w:val="005F276F"/>
    <w:rsid w:val="006A3DAD"/>
    <w:rsid w:val="0075692E"/>
    <w:rsid w:val="007B2A3D"/>
    <w:rsid w:val="007D2896"/>
    <w:rsid w:val="00805236"/>
    <w:rsid w:val="009C761F"/>
    <w:rsid w:val="00A13BD5"/>
    <w:rsid w:val="00C06AE2"/>
    <w:rsid w:val="00D60B5F"/>
    <w:rsid w:val="00DF6A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3BD5"/>
    <w:rPr>
      <w:rFonts w:ascii="Times New Roman" w:eastAsia="Times New Roman" w:hAnsi="Times New Roman" w:cs="Times New Roman"/>
    </w:rPr>
  </w:style>
  <w:style w:type="paragraph" w:styleId="Heading1">
    <w:name w:val="heading 1"/>
    <w:basedOn w:val="Normal"/>
    <w:uiPriority w:val="1"/>
    <w:qFormat/>
    <w:rsid w:val="00A13BD5"/>
    <w:pPr>
      <w:ind w:left="1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3BD5"/>
    <w:rPr>
      <w:sz w:val="24"/>
      <w:szCs w:val="24"/>
    </w:rPr>
  </w:style>
  <w:style w:type="paragraph" w:styleId="Title">
    <w:name w:val="Title"/>
    <w:basedOn w:val="Normal"/>
    <w:uiPriority w:val="1"/>
    <w:qFormat/>
    <w:rsid w:val="00A13BD5"/>
    <w:pPr>
      <w:spacing w:before="85"/>
      <w:ind w:left="260"/>
    </w:pPr>
    <w:rPr>
      <w:b/>
      <w:bCs/>
      <w:sz w:val="36"/>
      <w:szCs w:val="36"/>
    </w:rPr>
  </w:style>
  <w:style w:type="paragraph" w:styleId="ListParagraph">
    <w:name w:val="List Paragraph"/>
    <w:basedOn w:val="Normal"/>
    <w:uiPriority w:val="1"/>
    <w:qFormat/>
    <w:rsid w:val="00A13BD5"/>
    <w:pPr>
      <w:ind w:left="896" w:hanging="361"/>
    </w:pPr>
  </w:style>
  <w:style w:type="paragraph" w:customStyle="1" w:styleId="TableParagraph">
    <w:name w:val="Table Paragraph"/>
    <w:basedOn w:val="Normal"/>
    <w:uiPriority w:val="1"/>
    <w:qFormat/>
    <w:rsid w:val="00A13BD5"/>
  </w:style>
  <w:style w:type="paragraph" w:styleId="Header">
    <w:name w:val="header"/>
    <w:basedOn w:val="Normal"/>
    <w:link w:val="HeaderChar"/>
    <w:uiPriority w:val="99"/>
    <w:unhideWhenUsed/>
    <w:rsid w:val="00805236"/>
    <w:pPr>
      <w:tabs>
        <w:tab w:val="center" w:pos="4513"/>
        <w:tab w:val="right" w:pos="9026"/>
      </w:tabs>
    </w:pPr>
  </w:style>
  <w:style w:type="character" w:customStyle="1" w:styleId="HeaderChar">
    <w:name w:val="Header Char"/>
    <w:basedOn w:val="DefaultParagraphFont"/>
    <w:link w:val="Header"/>
    <w:uiPriority w:val="99"/>
    <w:rsid w:val="00805236"/>
    <w:rPr>
      <w:rFonts w:ascii="Times New Roman" w:eastAsia="Times New Roman" w:hAnsi="Times New Roman" w:cs="Times New Roman"/>
    </w:rPr>
  </w:style>
  <w:style w:type="paragraph" w:styleId="Footer">
    <w:name w:val="footer"/>
    <w:basedOn w:val="Normal"/>
    <w:link w:val="FooterChar"/>
    <w:uiPriority w:val="99"/>
    <w:unhideWhenUsed/>
    <w:rsid w:val="00805236"/>
    <w:pPr>
      <w:tabs>
        <w:tab w:val="center" w:pos="4513"/>
        <w:tab w:val="right" w:pos="9026"/>
      </w:tabs>
    </w:pPr>
  </w:style>
  <w:style w:type="character" w:customStyle="1" w:styleId="FooterChar">
    <w:name w:val="Footer Char"/>
    <w:basedOn w:val="DefaultParagraphFont"/>
    <w:link w:val="Footer"/>
    <w:uiPriority w:val="99"/>
    <w:rsid w:val="0080523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0561302">
      <w:bodyDiv w:val="1"/>
      <w:marLeft w:val="0"/>
      <w:marRight w:val="0"/>
      <w:marTop w:val="0"/>
      <w:marBottom w:val="0"/>
      <w:divBdr>
        <w:top w:val="none" w:sz="0" w:space="0" w:color="auto"/>
        <w:left w:val="none" w:sz="0" w:space="0" w:color="auto"/>
        <w:bottom w:val="none" w:sz="0" w:space="0" w:color="auto"/>
        <w:right w:val="none" w:sz="0" w:space="0" w:color="auto"/>
      </w:divBdr>
    </w:div>
    <w:div w:id="110251501">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224068146">
      <w:bodyDiv w:val="1"/>
      <w:marLeft w:val="0"/>
      <w:marRight w:val="0"/>
      <w:marTop w:val="0"/>
      <w:marBottom w:val="0"/>
      <w:divBdr>
        <w:top w:val="none" w:sz="0" w:space="0" w:color="auto"/>
        <w:left w:val="none" w:sz="0" w:space="0" w:color="auto"/>
        <w:bottom w:val="none" w:sz="0" w:space="0" w:color="auto"/>
        <w:right w:val="none" w:sz="0" w:space="0" w:color="auto"/>
      </w:divBdr>
    </w:div>
    <w:div w:id="238903175">
      <w:bodyDiv w:val="1"/>
      <w:marLeft w:val="0"/>
      <w:marRight w:val="0"/>
      <w:marTop w:val="0"/>
      <w:marBottom w:val="0"/>
      <w:divBdr>
        <w:top w:val="none" w:sz="0" w:space="0" w:color="auto"/>
        <w:left w:val="none" w:sz="0" w:space="0" w:color="auto"/>
        <w:bottom w:val="none" w:sz="0" w:space="0" w:color="auto"/>
        <w:right w:val="none" w:sz="0" w:space="0" w:color="auto"/>
      </w:divBdr>
    </w:div>
    <w:div w:id="490413510">
      <w:bodyDiv w:val="1"/>
      <w:marLeft w:val="0"/>
      <w:marRight w:val="0"/>
      <w:marTop w:val="0"/>
      <w:marBottom w:val="0"/>
      <w:divBdr>
        <w:top w:val="none" w:sz="0" w:space="0" w:color="auto"/>
        <w:left w:val="none" w:sz="0" w:space="0" w:color="auto"/>
        <w:bottom w:val="none" w:sz="0" w:space="0" w:color="auto"/>
        <w:right w:val="none" w:sz="0" w:space="0" w:color="auto"/>
      </w:divBdr>
    </w:div>
    <w:div w:id="734473265">
      <w:bodyDiv w:val="1"/>
      <w:marLeft w:val="0"/>
      <w:marRight w:val="0"/>
      <w:marTop w:val="0"/>
      <w:marBottom w:val="0"/>
      <w:divBdr>
        <w:top w:val="none" w:sz="0" w:space="0" w:color="auto"/>
        <w:left w:val="none" w:sz="0" w:space="0" w:color="auto"/>
        <w:bottom w:val="none" w:sz="0" w:space="0" w:color="auto"/>
        <w:right w:val="none" w:sz="0" w:space="0" w:color="auto"/>
      </w:divBdr>
    </w:div>
    <w:div w:id="970012163">
      <w:bodyDiv w:val="1"/>
      <w:marLeft w:val="0"/>
      <w:marRight w:val="0"/>
      <w:marTop w:val="0"/>
      <w:marBottom w:val="0"/>
      <w:divBdr>
        <w:top w:val="none" w:sz="0" w:space="0" w:color="auto"/>
        <w:left w:val="none" w:sz="0" w:space="0" w:color="auto"/>
        <w:bottom w:val="none" w:sz="0" w:space="0" w:color="auto"/>
        <w:right w:val="none" w:sz="0" w:space="0" w:color="auto"/>
      </w:divBdr>
    </w:div>
    <w:div w:id="1055271834">
      <w:bodyDiv w:val="1"/>
      <w:marLeft w:val="0"/>
      <w:marRight w:val="0"/>
      <w:marTop w:val="0"/>
      <w:marBottom w:val="0"/>
      <w:divBdr>
        <w:top w:val="none" w:sz="0" w:space="0" w:color="auto"/>
        <w:left w:val="none" w:sz="0" w:space="0" w:color="auto"/>
        <w:bottom w:val="none" w:sz="0" w:space="0" w:color="auto"/>
        <w:right w:val="none" w:sz="0" w:space="0" w:color="auto"/>
      </w:divBdr>
    </w:div>
    <w:div w:id="1086268105">
      <w:bodyDiv w:val="1"/>
      <w:marLeft w:val="0"/>
      <w:marRight w:val="0"/>
      <w:marTop w:val="0"/>
      <w:marBottom w:val="0"/>
      <w:divBdr>
        <w:top w:val="none" w:sz="0" w:space="0" w:color="auto"/>
        <w:left w:val="none" w:sz="0" w:space="0" w:color="auto"/>
        <w:bottom w:val="none" w:sz="0" w:space="0" w:color="auto"/>
        <w:right w:val="none" w:sz="0" w:space="0" w:color="auto"/>
      </w:divBdr>
    </w:div>
    <w:div w:id="1285695152">
      <w:bodyDiv w:val="1"/>
      <w:marLeft w:val="0"/>
      <w:marRight w:val="0"/>
      <w:marTop w:val="0"/>
      <w:marBottom w:val="0"/>
      <w:divBdr>
        <w:top w:val="none" w:sz="0" w:space="0" w:color="auto"/>
        <w:left w:val="none" w:sz="0" w:space="0" w:color="auto"/>
        <w:bottom w:val="none" w:sz="0" w:space="0" w:color="auto"/>
        <w:right w:val="none" w:sz="0" w:space="0" w:color="auto"/>
      </w:divBdr>
    </w:div>
    <w:div w:id="1362588332">
      <w:bodyDiv w:val="1"/>
      <w:marLeft w:val="0"/>
      <w:marRight w:val="0"/>
      <w:marTop w:val="0"/>
      <w:marBottom w:val="0"/>
      <w:divBdr>
        <w:top w:val="none" w:sz="0" w:space="0" w:color="auto"/>
        <w:left w:val="none" w:sz="0" w:space="0" w:color="auto"/>
        <w:bottom w:val="none" w:sz="0" w:space="0" w:color="auto"/>
        <w:right w:val="none" w:sz="0" w:space="0" w:color="auto"/>
      </w:divBdr>
    </w:div>
    <w:div w:id="167845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12</Pages>
  <Words>5701</Words>
  <Characters>32496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Galaxy</cp:lastModifiedBy>
  <cp:revision>7</cp:revision>
  <dcterms:created xsi:type="dcterms:W3CDTF">2023-06-22T13:45:00Z</dcterms:created>
  <dcterms:modified xsi:type="dcterms:W3CDTF">2023-07-25T03:33:00Z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for Microsoft 365</vt:lpwstr>
  </property>
  <property fmtid="{D5CDD505-2E9C-101B-9397-08002B2CF9AE}" pid="4" name="LastSaved">
    <vt:filetime>2023-06-22T00:00:00Z</vt:filetime>
  </property>
</Properties>
</file>