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7DA6" w14:textId="77777777" w:rsidR="008A4A27" w:rsidRDefault="008A4A27" w:rsidP="0023374C">
      <w:pPr>
        <w:spacing w:line="360" w:lineRule="auto"/>
        <w:jc w:val="both"/>
        <w:rPr>
          <w:rFonts w:ascii="Arial" w:hAnsi="Arial" w:cs="Arial"/>
          <w:b/>
          <w:color w:val="2E2E2E"/>
          <w:sz w:val="24"/>
          <w:szCs w:val="24"/>
        </w:rPr>
      </w:pPr>
    </w:p>
    <w:p w14:paraId="2E5EE9E7" w14:textId="77777777" w:rsidR="008A4A27" w:rsidRDefault="008A4A27" w:rsidP="0023374C">
      <w:pPr>
        <w:spacing w:line="360" w:lineRule="auto"/>
        <w:jc w:val="both"/>
        <w:rPr>
          <w:rFonts w:ascii="Arial" w:hAnsi="Arial" w:cs="Arial"/>
          <w:b/>
          <w:color w:val="2E2E2E"/>
          <w:sz w:val="24"/>
          <w:szCs w:val="24"/>
        </w:rPr>
      </w:pPr>
    </w:p>
    <w:p w14:paraId="5637CBB2" w14:textId="2DC921BF" w:rsidR="008A4A27" w:rsidRPr="00E966D7" w:rsidRDefault="008A4A27" w:rsidP="008A4A27">
      <w:pPr>
        <w:spacing w:line="360" w:lineRule="auto"/>
        <w:jc w:val="center"/>
        <w:rPr>
          <w:rFonts w:ascii="Arial" w:hAnsi="Arial" w:cs="Arial"/>
          <w:b/>
          <w:color w:val="2E2E2E"/>
          <w:sz w:val="28"/>
          <w:szCs w:val="28"/>
        </w:rPr>
      </w:pPr>
      <w:r w:rsidRPr="00E966D7">
        <w:rPr>
          <w:rFonts w:ascii="Arial" w:hAnsi="Arial" w:cs="Arial"/>
          <w:b/>
          <w:color w:val="2E2E2E"/>
          <w:sz w:val="28"/>
          <w:szCs w:val="28"/>
        </w:rPr>
        <w:t>Fundamentals</w:t>
      </w:r>
      <w:r w:rsidR="007C0B44">
        <w:rPr>
          <w:rFonts w:ascii="Arial" w:hAnsi="Arial" w:cs="Arial"/>
          <w:b/>
          <w:color w:val="2E2E2E"/>
          <w:sz w:val="28"/>
          <w:szCs w:val="28"/>
        </w:rPr>
        <w:t>, Roles &amp; Regulatory requirements</w:t>
      </w:r>
      <w:r w:rsidRPr="00E966D7">
        <w:rPr>
          <w:rFonts w:ascii="Arial" w:hAnsi="Arial" w:cs="Arial"/>
          <w:b/>
          <w:color w:val="2E2E2E"/>
          <w:sz w:val="28"/>
          <w:szCs w:val="28"/>
        </w:rPr>
        <w:t xml:space="preserve"> of Bioassays in current Pharmaceutical Industries</w:t>
      </w:r>
    </w:p>
    <w:p w14:paraId="604ED464" w14:textId="719CE26D" w:rsidR="008A4A27" w:rsidRPr="00E966D7" w:rsidRDefault="008A4A27" w:rsidP="008A4A27">
      <w:pPr>
        <w:spacing w:line="360" w:lineRule="auto"/>
        <w:jc w:val="center"/>
        <w:rPr>
          <w:rFonts w:ascii="Arial" w:hAnsi="Arial" w:cs="Arial"/>
          <w:bCs/>
          <w:color w:val="2E2E2E"/>
          <w:sz w:val="24"/>
          <w:szCs w:val="24"/>
        </w:rPr>
      </w:pPr>
      <w:r w:rsidRPr="00E966D7">
        <w:rPr>
          <w:rFonts w:ascii="Arial" w:hAnsi="Arial" w:cs="Arial"/>
          <w:bCs/>
          <w:color w:val="2E2E2E"/>
          <w:sz w:val="24"/>
          <w:szCs w:val="24"/>
        </w:rPr>
        <w:t>Gandharv Singh rawat</w:t>
      </w:r>
      <w:r w:rsidRPr="00E966D7">
        <w:rPr>
          <w:rFonts w:ascii="Arial" w:hAnsi="Arial" w:cs="Arial"/>
          <w:bCs/>
          <w:color w:val="2E2E2E"/>
          <w:sz w:val="24"/>
          <w:szCs w:val="24"/>
          <w:vertAlign w:val="superscript"/>
        </w:rPr>
        <w:t>1</w:t>
      </w:r>
      <w:r w:rsidRPr="00E966D7">
        <w:rPr>
          <w:rFonts w:ascii="Arial" w:hAnsi="Arial" w:cs="Arial"/>
          <w:bCs/>
          <w:color w:val="2E2E2E"/>
          <w:sz w:val="24"/>
          <w:szCs w:val="24"/>
        </w:rPr>
        <w:t xml:space="preserve"> and </w:t>
      </w:r>
      <w:proofErr w:type="spellStart"/>
      <w:r w:rsidRPr="00E966D7">
        <w:rPr>
          <w:rFonts w:ascii="Arial" w:hAnsi="Arial" w:cs="Arial"/>
          <w:bCs/>
          <w:color w:val="2E2E2E"/>
          <w:sz w:val="24"/>
          <w:szCs w:val="24"/>
        </w:rPr>
        <w:t>Dr.</w:t>
      </w:r>
      <w:proofErr w:type="spellEnd"/>
      <w:r w:rsidRPr="00E966D7">
        <w:rPr>
          <w:rFonts w:ascii="Arial" w:hAnsi="Arial" w:cs="Arial"/>
          <w:bCs/>
          <w:color w:val="2E2E2E"/>
          <w:sz w:val="24"/>
          <w:szCs w:val="24"/>
        </w:rPr>
        <w:t xml:space="preserve"> Satish Mohabe</w:t>
      </w:r>
      <w:r w:rsidRPr="00E966D7">
        <w:rPr>
          <w:rFonts w:ascii="Arial" w:hAnsi="Arial" w:cs="Arial"/>
          <w:bCs/>
          <w:color w:val="2E2E2E"/>
          <w:sz w:val="24"/>
          <w:szCs w:val="24"/>
          <w:vertAlign w:val="superscript"/>
        </w:rPr>
        <w:t>1</w:t>
      </w:r>
      <w:r w:rsidRPr="00E966D7">
        <w:rPr>
          <w:rFonts w:ascii="Arial" w:hAnsi="Arial" w:cs="Arial"/>
          <w:bCs/>
          <w:color w:val="2E2E2E"/>
          <w:sz w:val="24"/>
          <w:szCs w:val="24"/>
        </w:rPr>
        <w:t>,</w:t>
      </w:r>
      <w:r w:rsidRPr="00E966D7">
        <w:rPr>
          <w:rFonts w:ascii="Arial" w:hAnsi="Arial" w:cs="Arial"/>
          <w:bCs/>
          <w:color w:val="2E2E2E"/>
          <w:sz w:val="24"/>
          <w:szCs w:val="24"/>
          <w:vertAlign w:val="superscript"/>
        </w:rPr>
        <w:t>2*</w:t>
      </w:r>
    </w:p>
    <w:p w14:paraId="5AC29FD2" w14:textId="22BFD6B2" w:rsidR="00E966D7" w:rsidRDefault="008A4A27" w:rsidP="00E966D7">
      <w:pPr>
        <w:spacing w:line="360" w:lineRule="auto"/>
        <w:jc w:val="center"/>
        <w:rPr>
          <w:rFonts w:ascii="Arial" w:hAnsi="Arial" w:cs="Arial"/>
          <w:bCs/>
          <w:color w:val="2E2E2E"/>
          <w:sz w:val="24"/>
          <w:szCs w:val="24"/>
        </w:rPr>
      </w:pPr>
      <w:r w:rsidRPr="008A4A27">
        <w:rPr>
          <w:rFonts w:ascii="Arial" w:hAnsi="Arial" w:cs="Arial"/>
          <w:bCs/>
          <w:color w:val="2E2E2E"/>
          <w:sz w:val="24"/>
          <w:szCs w:val="24"/>
        </w:rPr>
        <w:t xml:space="preserve">Faculty of Science &amp; </w:t>
      </w:r>
      <w:proofErr w:type="spellStart"/>
      <w:proofErr w:type="gramStart"/>
      <w:r w:rsidRPr="008A4A27">
        <w:rPr>
          <w:rFonts w:ascii="Arial" w:hAnsi="Arial" w:cs="Arial"/>
          <w:bCs/>
          <w:color w:val="2E2E2E"/>
          <w:sz w:val="24"/>
          <w:szCs w:val="24"/>
        </w:rPr>
        <w:t>IT,Madhyanchal</w:t>
      </w:r>
      <w:proofErr w:type="spellEnd"/>
      <w:proofErr w:type="gramEnd"/>
      <w:r w:rsidRPr="008A4A27">
        <w:rPr>
          <w:rFonts w:ascii="Arial" w:hAnsi="Arial" w:cs="Arial"/>
          <w:bCs/>
          <w:color w:val="2E2E2E"/>
          <w:sz w:val="24"/>
          <w:szCs w:val="24"/>
        </w:rPr>
        <w:t xml:space="preserve"> Professional University,</w:t>
      </w:r>
    </w:p>
    <w:p w14:paraId="2D4CA034" w14:textId="777A1D38" w:rsidR="008A4A27" w:rsidRPr="008A4A27" w:rsidRDefault="008A4A27" w:rsidP="00E966D7">
      <w:pPr>
        <w:spacing w:line="360" w:lineRule="auto"/>
        <w:jc w:val="center"/>
        <w:rPr>
          <w:rFonts w:ascii="Arial" w:hAnsi="Arial" w:cs="Arial"/>
          <w:bCs/>
          <w:color w:val="2E2E2E"/>
          <w:sz w:val="24"/>
          <w:szCs w:val="24"/>
        </w:rPr>
      </w:pPr>
      <w:proofErr w:type="spellStart"/>
      <w:r w:rsidRPr="008A4A27">
        <w:rPr>
          <w:rFonts w:ascii="Arial" w:hAnsi="Arial" w:cs="Arial"/>
          <w:bCs/>
          <w:color w:val="2E2E2E"/>
          <w:sz w:val="24"/>
          <w:szCs w:val="24"/>
        </w:rPr>
        <w:t>Ratibad</w:t>
      </w:r>
      <w:proofErr w:type="spellEnd"/>
      <w:r w:rsidRPr="008A4A27">
        <w:rPr>
          <w:rFonts w:ascii="Arial" w:hAnsi="Arial" w:cs="Arial"/>
          <w:bCs/>
          <w:color w:val="2E2E2E"/>
          <w:sz w:val="24"/>
          <w:szCs w:val="24"/>
        </w:rPr>
        <w:t>, Bhopal-462044,</w:t>
      </w:r>
      <w:r w:rsidR="00E966D7">
        <w:rPr>
          <w:rFonts w:ascii="Arial" w:hAnsi="Arial" w:cs="Arial"/>
          <w:bCs/>
          <w:color w:val="2E2E2E"/>
          <w:sz w:val="24"/>
          <w:szCs w:val="24"/>
        </w:rPr>
        <w:t xml:space="preserve"> </w:t>
      </w:r>
      <w:r w:rsidRPr="008A4A27">
        <w:rPr>
          <w:rFonts w:ascii="Arial" w:hAnsi="Arial" w:cs="Arial"/>
          <w:bCs/>
          <w:color w:val="2E2E2E"/>
          <w:sz w:val="24"/>
          <w:szCs w:val="24"/>
        </w:rPr>
        <w:t>Madhya Pradesh</w:t>
      </w:r>
    </w:p>
    <w:p w14:paraId="01FBC61F" w14:textId="18F6C89E" w:rsidR="008A4A27" w:rsidRDefault="008A4A27" w:rsidP="008A4A27">
      <w:pPr>
        <w:spacing w:line="360" w:lineRule="auto"/>
        <w:jc w:val="center"/>
        <w:rPr>
          <w:rFonts w:ascii="Arial" w:hAnsi="Arial" w:cs="Arial"/>
          <w:b/>
          <w:color w:val="2E2E2E"/>
          <w:sz w:val="24"/>
          <w:szCs w:val="24"/>
        </w:rPr>
      </w:pPr>
      <w:r w:rsidRPr="008A4A27">
        <w:rPr>
          <w:rFonts w:ascii="Arial" w:hAnsi="Arial" w:cs="Arial"/>
          <w:bCs/>
          <w:color w:val="2E2E2E"/>
          <w:sz w:val="24"/>
          <w:szCs w:val="24"/>
        </w:rPr>
        <w:t xml:space="preserve">*Corresponding Author Email ID: </w:t>
      </w:r>
      <w:r w:rsidRPr="008A4A27">
        <w:rPr>
          <w:rFonts w:ascii="Arial" w:hAnsi="Arial" w:cs="Arial"/>
          <w:bCs/>
          <w:color w:val="5B9BD5" w:themeColor="accent1"/>
          <w:sz w:val="24"/>
          <w:szCs w:val="24"/>
        </w:rPr>
        <w:t>satish.nbri09@gmail.com</w:t>
      </w:r>
    </w:p>
    <w:p w14:paraId="42FA2C23" w14:textId="77777777" w:rsidR="00700F20" w:rsidRDefault="00700F20" w:rsidP="00E966D7">
      <w:pPr>
        <w:spacing w:line="360" w:lineRule="auto"/>
        <w:jc w:val="center"/>
        <w:rPr>
          <w:rFonts w:ascii="Arial" w:hAnsi="Arial" w:cs="Arial"/>
          <w:b/>
          <w:color w:val="2E2E2E"/>
          <w:sz w:val="24"/>
          <w:szCs w:val="24"/>
        </w:rPr>
      </w:pPr>
    </w:p>
    <w:p w14:paraId="28DD6B6E" w14:textId="66040329" w:rsidR="00730D95" w:rsidRPr="009D7A55" w:rsidRDefault="003F4B73" w:rsidP="00E966D7">
      <w:pPr>
        <w:spacing w:line="360" w:lineRule="auto"/>
        <w:jc w:val="center"/>
        <w:rPr>
          <w:rFonts w:ascii="Arial" w:hAnsi="Arial" w:cs="Arial"/>
          <w:b/>
          <w:color w:val="2E2E2E"/>
          <w:sz w:val="24"/>
          <w:szCs w:val="24"/>
        </w:rPr>
      </w:pPr>
      <w:r>
        <w:rPr>
          <w:rFonts w:ascii="Arial" w:hAnsi="Arial" w:cs="Arial"/>
          <w:b/>
          <w:color w:val="2E2E2E"/>
          <w:sz w:val="24"/>
          <w:szCs w:val="24"/>
        </w:rPr>
        <w:t>ABSTRACT</w:t>
      </w:r>
    </w:p>
    <w:p w14:paraId="516F188D" w14:textId="77777777" w:rsidR="00730D95" w:rsidRPr="009D7A55" w:rsidRDefault="00730D95" w:rsidP="0023374C">
      <w:pPr>
        <w:spacing w:line="360" w:lineRule="auto"/>
        <w:jc w:val="both"/>
        <w:rPr>
          <w:rFonts w:ascii="Arial" w:hAnsi="Arial" w:cs="Arial"/>
          <w:color w:val="2E2E2E"/>
          <w:sz w:val="24"/>
          <w:szCs w:val="24"/>
        </w:rPr>
      </w:pPr>
      <w:r w:rsidRPr="009D7A55">
        <w:rPr>
          <w:rFonts w:ascii="Arial" w:hAnsi="Arial" w:cs="Arial"/>
          <w:color w:val="2E2E2E"/>
          <w:sz w:val="24"/>
          <w:szCs w:val="24"/>
        </w:rPr>
        <w:t>The physicochemical and structural properties of proteins used as active pharmaceutical ingredients of biopharmaceuticals are determinants to carry out their biological activity. In this regard, the assays intended to evaluate the functionality of biopharmaceuticals provide confirmatory evidence that they contain the appropriate physicochemical properties and structural conformation. The validation of the methodologies used for the assessment of critical quality attributes of biopharmaceuticals is a key requirement for manufacturing under GMP environments.</w:t>
      </w:r>
    </w:p>
    <w:p w14:paraId="2E0DBEE7" w14:textId="77777777" w:rsidR="00D67388" w:rsidRPr="009D7A55" w:rsidRDefault="003F4B73" w:rsidP="00700F20">
      <w:pPr>
        <w:spacing w:line="360" w:lineRule="auto"/>
        <w:jc w:val="center"/>
        <w:rPr>
          <w:rFonts w:ascii="Arial" w:hAnsi="Arial" w:cs="Arial"/>
          <w:b/>
          <w:color w:val="2E2E2E"/>
          <w:sz w:val="24"/>
          <w:szCs w:val="24"/>
        </w:rPr>
      </w:pPr>
      <w:r w:rsidRPr="009D7A55">
        <w:rPr>
          <w:rFonts w:ascii="Arial" w:hAnsi="Arial" w:cs="Arial"/>
          <w:b/>
          <w:color w:val="2E2E2E"/>
          <w:sz w:val="24"/>
          <w:szCs w:val="24"/>
        </w:rPr>
        <w:t>INTRODUCTION</w:t>
      </w:r>
    </w:p>
    <w:p w14:paraId="60616A0D" w14:textId="77777777" w:rsidR="00D67388" w:rsidRPr="009D7A55" w:rsidRDefault="00D67388"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Biopharmaceuticals are heterogeneous molecules manufactured under stringent quality controls intended to ensure their batch-to-batch consistency. Accordingly, regulatory </w:t>
      </w:r>
      <w:r w:rsidR="001D6DE4" w:rsidRPr="009D7A55">
        <w:rPr>
          <w:rFonts w:ascii="Arial" w:hAnsi="Arial" w:cs="Arial"/>
          <w:color w:val="2E2E2E"/>
          <w:sz w:val="24"/>
          <w:szCs w:val="24"/>
        </w:rPr>
        <w:t>guidelines</w:t>
      </w:r>
      <w:r w:rsidRPr="009D7A55">
        <w:rPr>
          <w:rFonts w:ascii="Arial" w:hAnsi="Arial" w:cs="Arial"/>
          <w:color w:val="2E2E2E"/>
          <w:sz w:val="24"/>
          <w:szCs w:val="24"/>
        </w:rPr>
        <w:t xml:space="preserve"> indicate the relevant characteristics or attributes that need to be evaluated to determine their quality. In this regard, different analytical methodologies are employed for the evaluation of critical quality attributes (CQAs) with respect to identity, structure, heterogeneity, purity</w:t>
      </w:r>
      <w:r w:rsidR="00054260" w:rsidRPr="009D7A55">
        <w:rPr>
          <w:rFonts w:ascii="Arial" w:hAnsi="Arial" w:cs="Arial"/>
          <w:color w:val="2E2E2E"/>
          <w:sz w:val="24"/>
          <w:szCs w:val="24"/>
        </w:rPr>
        <w:t>,</w:t>
      </w:r>
      <w:r w:rsidRPr="009D7A55">
        <w:rPr>
          <w:rFonts w:ascii="Arial" w:hAnsi="Arial" w:cs="Arial"/>
          <w:color w:val="2E2E2E"/>
          <w:sz w:val="24"/>
          <w:szCs w:val="24"/>
        </w:rPr>
        <w:t xml:space="preserve"> and functionality. The evaluation of functionality in bioassays is a fundamental part of </w:t>
      </w:r>
      <w:r w:rsidR="00054260" w:rsidRPr="009D7A55">
        <w:rPr>
          <w:rFonts w:ascii="Arial" w:hAnsi="Arial" w:cs="Arial"/>
          <w:color w:val="2E2E2E"/>
          <w:sz w:val="24"/>
          <w:szCs w:val="24"/>
        </w:rPr>
        <w:t xml:space="preserve">the </w:t>
      </w:r>
      <w:r w:rsidRPr="009D7A55">
        <w:rPr>
          <w:rFonts w:ascii="Arial" w:hAnsi="Arial" w:cs="Arial"/>
          <w:color w:val="2E2E2E"/>
          <w:sz w:val="24"/>
          <w:szCs w:val="24"/>
        </w:rPr>
        <w:t>quality assessment of biopharmaceuticals [</w:t>
      </w:r>
      <w:hyperlink r:id="rId5" w:anchor="bib0005" w:history="1">
        <w:r w:rsidRPr="009D7A55">
          <w:rPr>
            <w:rFonts w:ascii="Arial" w:hAnsi="Arial" w:cs="Arial"/>
            <w:color w:val="2E2E2E"/>
            <w:sz w:val="24"/>
            <w:szCs w:val="24"/>
          </w:rPr>
          <w:t>1</w:t>
        </w:r>
      </w:hyperlink>
      <w:r w:rsidRPr="009D7A55">
        <w:rPr>
          <w:rFonts w:ascii="Arial" w:hAnsi="Arial" w:cs="Arial"/>
          <w:color w:val="2E2E2E"/>
          <w:sz w:val="24"/>
          <w:szCs w:val="24"/>
        </w:rPr>
        <w:t>] because it provides confirmation of the appropriateness of other physicochemical and structural CQAs; additionally, functionality assays to properly</w:t>
      </w:r>
      <w:r w:rsidR="001D6DE4">
        <w:rPr>
          <w:rFonts w:ascii="Arial" w:hAnsi="Arial" w:cs="Arial"/>
          <w:color w:val="2E2E2E"/>
          <w:sz w:val="24"/>
          <w:szCs w:val="24"/>
        </w:rPr>
        <w:t xml:space="preserve"> </w:t>
      </w:r>
      <w:r w:rsidRPr="009D7A55">
        <w:rPr>
          <w:rFonts w:ascii="Arial" w:hAnsi="Arial" w:cs="Arial"/>
          <w:color w:val="2E2E2E"/>
          <w:sz w:val="24"/>
          <w:szCs w:val="24"/>
        </w:rPr>
        <w:t>evaluate its mechanism of action. However, the development, standardization</w:t>
      </w:r>
      <w:r w:rsidR="00054260" w:rsidRPr="009D7A55">
        <w:rPr>
          <w:rFonts w:ascii="Arial" w:hAnsi="Arial" w:cs="Arial"/>
          <w:color w:val="2E2E2E"/>
          <w:sz w:val="24"/>
          <w:szCs w:val="24"/>
        </w:rPr>
        <w:t>,</w:t>
      </w:r>
      <w:r w:rsidRPr="009D7A55">
        <w:rPr>
          <w:rFonts w:ascii="Arial" w:hAnsi="Arial" w:cs="Arial"/>
          <w:color w:val="2E2E2E"/>
          <w:sz w:val="24"/>
          <w:szCs w:val="24"/>
        </w:rPr>
        <w:t xml:space="preserve"> and implementation of bioassays is a challenging task because they </w:t>
      </w:r>
      <w:r w:rsidRPr="009D7A55">
        <w:rPr>
          <w:rFonts w:ascii="Arial" w:hAnsi="Arial" w:cs="Arial"/>
          <w:color w:val="2E2E2E"/>
          <w:sz w:val="24"/>
          <w:szCs w:val="24"/>
        </w:rPr>
        <w:lastRenderedPageBreak/>
        <w:t>depend on the response of living organisms (i.e. cultured cells), the use of critical reagents, and other uncontrollable sources of variability that affect the system’s performance</w:t>
      </w:r>
      <w:r w:rsidR="007A2AF5" w:rsidRPr="009D7A55">
        <w:rPr>
          <w:rFonts w:ascii="Arial" w:hAnsi="Arial" w:cs="Arial"/>
          <w:color w:val="2E2E2E"/>
          <w:sz w:val="24"/>
          <w:szCs w:val="24"/>
        </w:rPr>
        <w:t xml:space="preserve"> [</w:t>
      </w:r>
      <w:hyperlink r:id="rId6" w:anchor="bib0005" w:history="1">
        <w:r w:rsidR="007A2AF5" w:rsidRPr="009D7A55">
          <w:rPr>
            <w:rFonts w:ascii="Arial" w:hAnsi="Arial" w:cs="Arial"/>
            <w:color w:val="2E2E2E"/>
            <w:sz w:val="24"/>
            <w:szCs w:val="24"/>
          </w:rPr>
          <w:t>[1]</w:t>
        </w:r>
      </w:hyperlink>
      <w:r w:rsidR="007A2AF5" w:rsidRPr="009D7A55">
        <w:rPr>
          <w:rFonts w:ascii="Arial" w:hAnsi="Arial" w:cs="Arial"/>
          <w:color w:val="2E2E2E"/>
          <w:sz w:val="24"/>
          <w:szCs w:val="24"/>
        </w:rPr>
        <w:t>, </w:t>
      </w:r>
      <w:hyperlink r:id="rId7" w:anchor="bib0010" w:history="1">
        <w:r w:rsidR="007A2AF5" w:rsidRPr="009D7A55">
          <w:rPr>
            <w:rFonts w:ascii="Arial" w:hAnsi="Arial" w:cs="Arial"/>
            <w:color w:val="2E2E2E"/>
            <w:sz w:val="24"/>
            <w:szCs w:val="24"/>
          </w:rPr>
          <w:t>[2]</w:t>
        </w:r>
      </w:hyperlink>
      <w:r w:rsidR="007A2AF5" w:rsidRPr="009D7A55">
        <w:rPr>
          <w:rFonts w:ascii="Arial" w:hAnsi="Arial" w:cs="Arial"/>
          <w:color w:val="2E2E2E"/>
          <w:sz w:val="24"/>
          <w:szCs w:val="24"/>
        </w:rPr>
        <w:t>, </w:t>
      </w:r>
      <w:hyperlink r:id="rId8" w:anchor="bib0015" w:history="1">
        <w:r w:rsidR="007A2AF5" w:rsidRPr="009D7A55">
          <w:rPr>
            <w:rFonts w:ascii="Arial" w:hAnsi="Arial" w:cs="Arial"/>
            <w:color w:val="2E2E2E"/>
            <w:sz w:val="24"/>
            <w:szCs w:val="24"/>
          </w:rPr>
          <w:t>[3]</w:t>
        </w:r>
      </w:hyperlink>
      <w:r w:rsidR="007A2AF5" w:rsidRPr="009D7A55">
        <w:rPr>
          <w:rFonts w:ascii="Arial" w:hAnsi="Arial" w:cs="Arial"/>
          <w:color w:val="2E2E2E"/>
          <w:sz w:val="24"/>
          <w:szCs w:val="24"/>
        </w:rPr>
        <w:t>, </w:t>
      </w:r>
      <w:hyperlink r:id="rId9" w:anchor="bib0020" w:history="1">
        <w:r w:rsidR="007A2AF5" w:rsidRPr="009D7A55">
          <w:rPr>
            <w:rFonts w:ascii="Arial" w:hAnsi="Arial" w:cs="Arial"/>
            <w:color w:val="2E2E2E"/>
            <w:sz w:val="24"/>
            <w:szCs w:val="24"/>
          </w:rPr>
          <w:t>[4]</w:t>
        </w:r>
      </w:hyperlink>
      <w:r w:rsidR="007A2AF5" w:rsidRPr="009D7A55">
        <w:rPr>
          <w:rFonts w:ascii="Arial" w:hAnsi="Arial" w:cs="Arial"/>
          <w:color w:val="2E2E2E"/>
          <w:sz w:val="24"/>
          <w:szCs w:val="24"/>
        </w:rPr>
        <w:t>].</w:t>
      </w:r>
    </w:p>
    <w:p w14:paraId="142E4F2A" w14:textId="77777777" w:rsidR="001B48B1" w:rsidRPr="009D7A55" w:rsidRDefault="001B48B1" w:rsidP="0023374C">
      <w:pPr>
        <w:spacing w:line="360" w:lineRule="auto"/>
        <w:jc w:val="both"/>
        <w:rPr>
          <w:rFonts w:ascii="Arial" w:hAnsi="Arial" w:cs="Arial"/>
          <w:color w:val="2E2E2E"/>
          <w:sz w:val="24"/>
          <w:szCs w:val="24"/>
        </w:rPr>
      </w:pPr>
      <w:r w:rsidRPr="009D7A55">
        <w:rPr>
          <w:rFonts w:ascii="Arial" w:hAnsi="Arial" w:cs="Arial"/>
          <w:color w:val="2E2E2E"/>
          <w:sz w:val="24"/>
          <w:szCs w:val="24"/>
        </w:rPr>
        <w:t>Bioassays must be capable to reproduce </w:t>
      </w:r>
      <w:r w:rsidRPr="009D7A55">
        <w:rPr>
          <w:rFonts w:ascii="Arial" w:hAnsi="Arial" w:cs="Arial"/>
          <w:i/>
          <w:iCs/>
          <w:sz w:val="24"/>
          <w:szCs w:val="24"/>
        </w:rPr>
        <w:t>in vitro</w:t>
      </w:r>
      <w:r w:rsidRPr="009D7A55">
        <w:rPr>
          <w:rFonts w:ascii="Arial" w:hAnsi="Arial" w:cs="Arial"/>
          <w:color w:val="2E2E2E"/>
          <w:sz w:val="24"/>
          <w:szCs w:val="24"/>
        </w:rPr>
        <w:t> the mechanisms of action by which a biomolecule is capable to achieve its </w:t>
      </w:r>
      <w:hyperlink r:id="rId10" w:tooltip="Learn more about biological activity from ScienceDirect's AI-generated Topic Pages" w:history="1">
        <w:r w:rsidRPr="009D7A55">
          <w:rPr>
            <w:rFonts w:ascii="Arial" w:hAnsi="Arial" w:cs="Arial"/>
            <w:sz w:val="24"/>
            <w:szCs w:val="24"/>
          </w:rPr>
          <w:t>biological activity</w:t>
        </w:r>
      </w:hyperlink>
      <w:r w:rsidRPr="009D7A55">
        <w:rPr>
          <w:rFonts w:ascii="Arial" w:hAnsi="Arial" w:cs="Arial"/>
          <w:color w:val="2E2E2E"/>
          <w:sz w:val="24"/>
          <w:szCs w:val="24"/>
        </w:rPr>
        <w:t xml:space="preserve"> in patients. Additionally, bioassays should incorporate a reliable technique that reveals the interaction between the biomolecule and its target, commonly colorimetric, </w:t>
      </w:r>
      <w:r w:rsidR="00054260" w:rsidRPr="009D7A55">
        <w:rPr>
          <w:rFonts w:ascii="Arial" w:hAnsi="Arial" w:cs="Arial"/>
          <w:color w:val="2E2E2E"/>
          <w:sz w:val="24"/>
          <w:szCs w:val="24"/>
        </w:rPr>
        <w:t>luminescent</w:t>
      </w:r>
      <w:r w:rsidRPr="009D7A55">
        <w:rPr>
          <w:rFonts w:ascii="Arial" w:hAnsi="Arial" w:cs="Arial"/>
          <w:color w:val="2E2E2E"/>
          <w:sz w:val="24"/>
          <w:szCs w:val="24"/>
        </w:rPr>
        <w:t xml:space="preserve"> or fluorometric signals [</w:t>
      </w:r>
      <w:hyperlink r:id="rId11" w:anchor="bib0025" w:history="1">
        <w:r w:rsidRPr="009D7A55">
          <w:rPr>
            <w:rFonts w:ascii="Arial" w:hAnsi="Arial" w:cs="Arial"/>
            <w:color w:val="2E2E2E"/>
            <w:sz w:val="24"/>
            <w:szCs w:val="24"/>
          </w:rPr>
          <w:t>5</w:t>
        </w:r>
      </w:hyperlink>
      <w:r w:rsidRPr="009D7A55">
        <w:rPr>
          <w:rFonts w:ascii="Arial" w:hAnsi="Arial" w:cs="Arial"/>
          <w:color w:val="2E2E2E"/>
          <w:sz w:val="24"/>
          <w:szCs w:val="24"/>
        </w:rPr>
        <w:t>]. Accordingly, the development of bioassays requires a deep understanding of the mechanisms of action of the biomolecules under study; this is important during the design of the assay, because allows defining the critical characteristics to be evaluated based and helps to select the most appropriate analytical approaches for their assessment.</w:t>
      </w:r>
    </w:p>
    <w:p w14:paraId="4F9FBAF3" w14:textId="77777777" w:rsidR="001B48B1" w:rsidRPr="009D7A55" w:rsidRDefault="001B48B1" w:rsidP="0023374C">
      <w:pPr>
        <w:spacing w:line="360" w:lineRule="auto"/>
        <w:jc w:val="both"/>
        <w:rPr>
          <w:rFonts w:ascii="Arial" w:hAnsi="Arial" w:cs="Arial"/>
          <w:color w:val="2E2E2E"/>
          <w:sz w:val="24"/>
          <w:szCs w:val="24"/>
        </w:rPr>
      </w:pPr>
      <w:r w:rsidRPr="009D7A55">
        <w:rPr>
          <w:rFonts w:ascii="Arial" w:hAnsi="Arial" w:cs="Arial"/>
          <w:color w:val="2E2E2E"/>
          <w:sz w:val="24"/>
          <w:szCs w:val="24"/>
        </w:rPr>
        <w:t>Once the characteristics to evaluate and the approach for assessment have been defined, the experimental conditions of the bioassay must be standardized, and then should be validated to demonstrate that it is suitable for its intended purpose [</w:t>
      </w:r>
      <w:hyperlink r:id="rId12" w:anchor="bib0035" w:history="1">
        <w:r w:rsidRPr="009D7A55">
          <w:rPr>
            <w:rFonts w:ascii="Arial" w:hAnsi="Arial" w:cs="Arial"/>
            <w:color w:val="2E2E2E"/>
            <w:sz w:val="24"/>
            <w:szCs w:val="24"/>
          </w:rPr>
          <w:t>[7]</w:t>
        </w:r>
      </w:hyperlink>
      <w:r w:rsidRPr="009D7A55">
        <w:rPr>
          <w:rFonts w:ascii="Arial" w:hAnsi="Arial" w:cs="Arial"/>
          <w:color w:val="2E2E2E"/>
          <w:sz w:val="24"/>
          <w:szCs w:val="24"/>
        </w:rPr>
        <w:t>, </w:t>
      </w:r>
      <w:hyperlink r:id="rId13" w:anchor="bib0040" w:history="1">
        <w:r w:rsidRPr="009D7A55">
          <w:rPr>
            <w:rFonts w:ascii="Arial" w:hAnsi="Arial" w:cs="Arial"/>
            <w:color w:val="2E2E2E"/>
            <w:sz w:val="24"/>
            <w:szCs w:val="24"/>
          </w:rPr>
          <w:t>[8]</w:t>
        </w:r>
      </w:hyperlink>
      <w:r w:rsidRPr="009D7A55">
        <w:rPr>
          <w:rFonts w:ascii="Arial" w:hAnsi="Arial" w:cs="Arial"/>
          <w:color w:val="2E2E2E"/>
          <w:sz w:val="24"/>
          <w:szCs w:val="24"/>
        </w:rPr>
        <w:t>, </w:t>
      </w:r>
      <w:hyperlink r:id="rId14" w:anchor="bib0045" w:history="1">
        <w:r w:rsidRPr="009D7A55">
          <w:rPr>
            <w:rFonts w:ascii="Arial" w:hAnsi="Arial" w:cs="Arial"/>
            <w:color w:val="2E2E2E"/>
            <w:sz w:val="24"/>
            <w:szCs w:val="24"/>
          </w:rPr>
          <w:t>[9]</w:t>
        </w:r>
      </w:hyperlink>
      <w:r w:rsidRPr="009D7A55">
        <w:rPr>
          <w:rFonts w:ascii="Arial" w:hAnsi="Arial" w:cs="Arial"/>
          <w:color w:val="2E2E2E"/>
          <w:sz w:val="24"/>
          <w:szCs w:val="24"/>
        </w:rPr>
        <w:t>]. The validation exercise must be focused on the evaluation of characteristics that warranty that the assay is robust under the experimental conditions in which will be performed. In general, the characteristics evaluated during a validation exercise include specificity, accuracy, precision, sensitivity and system suitability [</w:t>
      </w:r>
      <w:hyperlink r:id="rId15" w:anchor="bib0005" w:history="1">
        <w:r w:rsidRPr="009D7A55">
          <w:rPr>
            <w:rFonts w:ascii="Arial" w:hAnsi="Arial" w:cs="Arial"/>
            <w:color w:val="2E2E2E"/>
            <w:sz w:val="24"/>
            <w:szCs w:val="24"/>
          </w:rPr>
          <w:t>1</w:t>
        </w:r>
      </w:hyperlink>
      <w:r w:rsidRPr="009D7A55">
        <w:rPr>
          <w:rFonts w:ascii="Arial" w:hAnsi="Arial" w:cs="Arial"/>
          <w:color w:val="2E2E2E"/>
          <w:sz w:val="24"/>
          <w:szCs w:val="24"/>
        </w:rPr>
        <w:t>,</w:t>
      </w:r>
      <w:hyperlink r:id="rId16" w:anchor="bib0035" w:history="1">
        <w:r w:rsidRPr="009D7A55">
          <w:rPr>
            <w:rFonts w:ascii="Arial" w:hAnsi="Arial" w:cs="Arial"/>
            <w:color w:val="2E2E2E"/>
            <w:sz w:val="24"/>
            <w:szCs w:val="24"/>
          </w:rPr>
          <w:t>7</w:t>
        </w:r>
      </w:hyperlink>
      <w:r w:rsidRPr="009D7A55">
        <w:rPr>
          <w:rFonts w:ascii="Arial" w:hAnsi="Arial" w:cs="Arial"/>
          <w:color w:val="2E2E2E"/>
          <w:sz w:val="24"/>
          <w:szCs w:val="24"/>
        </w:rPr>
        <w:t>,</w:t>
      </w:r>
      <w:hyperlink r:id="rId17" w:anchor="bib0045" w:history="1">
        <w:r w:rsidRPr="009D7A55">
          <w:rPr>
            <w:rFonts w:ascii="Arial" w:hAnsi="Arial" w:cs="Arial"/>
            <w:color w:val="2E2E2E"/>
            <w:sz w:val="24"/>
            <w:szCs w:val="24"/>
          </w:rPr>
          <w:t>9</w:t>
        </w:r>
      </w:hyperlink>
      <w:r w:rsidRPr="009D7A55">
        <w:rPr>
          <w:rFonts w:ascii="Arial" w:hAnsi="Arial" w:cs="Arial"/>
          <w:color w:val="2E2E2E"/>
          <w:sz w:val="24"/>
          <w:szCs w:val="24"/>
        </w:rPr>
        <w:t>,</w:t>
      </w:r>
      <w:hyperlink r:id="rId18" w:anchor="bib0050" w:history="1">
        <w:r w:rsidRPr="009D7A55">
          <w:rPr>
            <w:rFonts w:ascii="Arial" w:hAnsi="Arial" w:cs="Arial"/>
            <w:color w:val="2E2E2E"/>
            <w:sz w:val="24"/>
            <w:szCs w:val="24"/>
          </w:rPr>
          <w:t>10</w:t>
        </w:r>
      </w:hyperlink>
      <w:r w:rsidRPr="009D7A55">
        <w:rPr>
          <w:rFonts w:ascii="Arial" w:hAnsi="Arial" w:cs="Arial"/>
          <w:color w:val="2E2E2E"/>
          <w:sz w:val="24"/>
          <w:szCs w:val="24"/>
        </w:rPr>
        <w:t>]. However, the validation exercise of bioassays and the stringency to evaluate each characteristic will depend on the nature of each assay, the knowledge gained during its development and standardization, as well as its intended purpose (</w:t>
      </w:r>
      <w:r w:rsidRPr="009D7A55">
        <w:rPr>
          <w:rFonts w:ascii="Arial" w:hAnsi="Arial" w:cs="Arial"/>
          <w:i/>
          <w:iCs/>
          <w:sz w:val="24"/>
          <w:szCs w:val="24"/>
        </w:rPr>
        <w:t>e.g.</w:t>
      </w:r>
      <w:r w:rsidRPr="009D7A55">
        <w:rPr>
          <w:rFonts w:ascii="Arial" w:hAnsi="Arial" w:cs="Arial"/>
          <w:color w:val="2E2E2E"/>
          <w:sz w:val="24"/>
          <w:szCs w:val="24"/>
        </w:rPr>
        <w:t xml:space="preserve"> R&amp;D, Manufacturing, Quality Control, Batch Release, or </w:t>
      </w:r>
      <w:r w:rsidR="00FC2E5E" w:rsidRPr="009D7A55">
        <w:rPr>
          <w:rFonts w:ascii="Arial" w:hAnsi="Arial" w:cs="Arial"/>
          <w:color w:val="2E2E2E"/>
          <w:sz w:val="24"/>
          <w:szCs w:val="24"/>
        </w:rPr>
        <w:t>Bio similarity</w:t>
      </w:r>
      <w:r w:rsidRPr="009D7A55">
        <w:rPr>
          <w:rFonts w:ascii="Arial" w:hAnsi="Arial" w:cs="Arial"/>
          <w:color w:val="2E2E2E"/>
          <w:sz w:val="24"/>
          <w:szCs w:val="24"/>
        </w:rPr>
        <w:t xml:space="preserve"> analysis).</w:t>
      </w:r>
    </w:p>
    <w:p w14:paraId="3DD3DB10" w14:textId="77777777" w:rsidR="00A32AE7" w:rsidRPr="009D7A55" w:rsidRDefault="00A32AE7" w:rsidP="0023374C">
      <w:pPr>
        <w:spacing w:line="360" w:lineRule="auto"/>
        <w:jc w:val="both"/>
        <w:rPr>
          <w:rFonts w:ascii="Arial" w:hAnsi="Arial" w:cs="Arial"/>
          <w:color w:val="2E2E2E"/>
          <w:sz w:val="24"/>
          <w:szCs w:val="24"/>
        </w:rPr>
      </w:pPr>
      <w:r w:rsidRPr="009D7A55">
        <w:rPr>
          <w:rFonts w:ascii="Arial" w:hAnsi="Arial" w:cs="Arial"/>
          <w:color w:val="2E2E2E"/>
          <w:sz w:val="24"/>
          <w:szCs w:val="24"/>
        </w:rPr>
        <w:t>To evaluate whether an assay is fit for use, analysts must clearly specify the purposes for performing the bioassay. Common uses for a bioassay include lot release of drug substance (active pharmaceutical ingredient) and drug product; stability; qualification of Standard sample and other critical reagents; characterization of process intermediates and formulations, contaminants, and degradation products; and support of changes in the product production process.</w:t>
      </w:r>
    </w:p>
    <w:p w14:paraId="0387C60A" w14:textId="77777777" w:rsidR="00A32AE7" w:rsidRPr="003F4B73" w:rsidRDefault="003F4B73" w:rsidP="00700F20">
      <w:pPr>
        <w:spacing w:line="360" w:lineRule="auto"/>
        <w:jc w:val="center"/>
        <w:rPr>
          <w:rFonts w:ascii="Arial" w:hAnsi="Arial" w:cs="Arial"/>
          <w:b/>
          <w:color w:val="2E2E2E"/>
          <w:sz w:val="24"/>
          <w:szCs w:val="24"/>
          <w:u w:val="single"/>
        </w:rPr>
      </w:pPr>
      <w:r w:rsidRPr="003F4B73">
        <w:rPr>
          <w:rFonts w:ascii="Arial" w:hAnsi="Arial" w:cs="Arial"/>
          <w:b/>
          <w:color w:val="2E2E2E"/>
          <w:sz w:val="24"/>
          <w:szCs w:val="24"/>
          <w:u w:val="single"/>
        </w:rPr>
        <w:t>FIT FOR USE CONCEPT:</w:t>
      </w:r>
    </w:p>
    <w:p w14:paraId="0AC51D37" w14:textId="77777777" w:rsidR="00A32AE7" w:rsidRPr="009D7A55" w:rsidRDefault="00A32AE7"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When assays are used for lot release, a linear-model bioassay may allow sufficient assessment of similarity. For bioassays used to support stability or comparability, to </w:t>
      </w:r>
      <w:r w:rsidRPr="009D7A55">
        <w:rPr>
          <w:rFonts w:ascii="Arial" w:hAnsi="Arial" w:cs="Arial"/>
          <w:color w:val="2E2E2E"/>
          <w:sz w:val="24"/>
          <w:szCs w:val="24"/>
        </w:rPr>
        <w:lastRenderedPageBreak/>
        <w:t>evaluate changes in production processes, or to qualify reference materials, critical reagents, or changes in the assay process, it may be useful to assess similarity using the asymptote of maximum response</w:t>
      </w:r>
      <w:r w:rsidR="00CC1A8E" w:rsidRPr="009D7A55">
        <w:rPr>
          <w:rFonts w:ascii="Arial" w:hAnsi="Arial" w:cs="Arial"/>
          <w:color w:val="2E2E2E"/>
          <w:sz w:val="24"/>
          <w:szCs w:val="24"/>
        </w:rPr>
        <w:t>.</w:t>
      </w:r>
    </w:p>
    <w:p w14:paraId="46FE8792" w14:textId="77777777" w:rsidR="00F2788C" w:rsidRPr="003F4B73" w:rsidRDefault="00F2788C" w:rsidP="0023374C">
      <w:pPr>
        <w:spacing w:line="360" w:lineRule="auto"/>
        <w:jc w:val="both"/>
        <w:rPr>
          <w:rFonts w:ascii="Arial" w:hAnsi="Arial" w:cs="Arial"/>
          <w:b/>
          <w:color w:val="2E2E2E"/>
          <w:sz w:val="24"/>
          <w:szCs w:val="24"/>
          <w:u w:val="single"/>
        </w:rPr>
      </w:pPr>
      <w:r w:rsidRPr="003F4B73">
        <w:rPr>
          <w:rFonts w:ascii="Arial" w:hAnsi="Arial" w:cs="Arial"/>
          <w:b/>
          <w:color w:val="2E2E2E"/>
          <w:sz w:val="24"/>
          <w:szCs w:val="24"/>
          <w:u w:val="single"/>
        </w:rPr>
        <w:t>Significance of biological assays at different levels:</w:t>
      </w:r>
    </w:p>
    <w:p w14:paraId="2DA3B58C" w14:textId="77777777" w:rsidR="00F2788C" w:rsidRPr="009D7A55" w:rsidRDefault="00F2788C" w:rsidP="0023374C">
      <w:pPr>
        <w:numPr>
          <w:ilvl w:val="0"/>
          <w:numId w:val="3"/>
        </w:numPr>
        <w:spacing w:line="360" w:lineRule="auto"/>
        <w:jc w:val="both"/>
        <w:rPr>
          <w:rFonts w:ascii="Arial" w:hAnsi="Arial" w:cs="Arial"/>
          <w:color w:val="2E2E2E"/>
          <w:sz w:val="24"/>
          <w:szCs w:val="24"/>
        </w:rPr>
      </w:pPr>
      <w:r w:rsidRPr="009D7A55">
        <w:rPr>
          <w:rFonts w:ascii="Arial" w:hAnsi="Arial" w:cs="Arial"/>
          <w:color w:val="2E2E2E"/>
          <w:sz w:val="24"/>
          <w:szCs w:val="24"/>
        </w:rPr>
        <w:t>Process development</w:t>
      </w:r>
    </w:p>
    <w:p w14:paraId="7C78769A" w14:textId="77777777" w:rsidR="00F2788C" w:rsidRPr="009D7A55" w:rsidRDefault="00F2788C" w:rsidP="0023374C">
      <w:pPr>
        <w:numPr>
          <w:ilvl w:val="0"/>
          <w:numId w:val="3"/>
        </w:numPr>
        <w:spacing w:line="360" w:lineRule="auto"/>
        <w:jc w:val="both"/>
        <w:rPr>
          <w:rFonts w:ascii="Arial" w:hAnsi="Arial" w:cs="Arial"/>
          <w:color w:val="2E2E2E"/>
          <w:sz w:val="24"/>
          <w:szCs w:val="24"/>
        </w:rPr>
      </w:pPr>
      <w:r w:rsidRPr="009D7A55">
        <w:rPr>
          <w:rFonts w:ascii="Arial" w:hAnsi="Arial" w:cs="Arial"/>
          <w:color w:val="2E2E2E"/>
          <w:sz w:val="24"/>
          <w:szCs w:val="24"/>
        </w:rPr>
        <w:t>Process characterization</w:t>
      </w:r>
    </w:p>
    <w:p w14:paraId="346ADB5F" w14:textId="77777777" w:rsidR="00F2788C" w:rsidRPr="009D7A55" w:rsidRDefault="00F2788C" w:rsidP="0023374C">
      <w:pPr>
        <w:numPr>
          <w:ilvl w:val="0"/>
          <w:numId w:val="3"/>
        </w:numPr>
        <w:spacing w:line="360" w:lineRule="auto"/>
        <w:jc w:val="both"/>
        <w:rPr>
          <w:rFonts w:ascii="Arial" w:hAnsi="Arial" w:cs="Arial"/>
          <w:color w:val="2E2E2E"/>
          <w:sz w:val="24"/>
          <w:szCs w:val="24"/>
        </w:rPr>
      </w:pPr>
      <w:r w:rsidRPr="009D7A55">
        <w:rPr>
          <w:rFonts w:ascii="Arial" w:hAnsi="Arial" w:cs="Arial"/>
          <w:color w:val="2E2E2E"/>
          <w:sz w:val="24"/>
          <w:szCs w:val="24"/>
        </w:rPr>
        <w:t>Process intermediates effects</w:t>
      </w:r>
    </w:p>
    <w:p w14:paraId="026E94DF" w14:textId="77777777" w:rsidR="00F2788C" w:rsidRPr="009D7A55" w:rsidRDefault="00F2788C" w:rsidP="0023374C">
      <w:pPr>
        <w:numPr>
          <w:ilvl w:val="0"/>
          <w:numId w:val="3"/>
        </w:numPr>
        <w:spacing w:line="360" w:lineRule="auto"/>
        <w:jc w:val="both"/>
        <w:rPr>
          <w:rFonts w:ascii="Arial" w:hAnsi="Arial" w:cs="Arial"/>
          <w:color w:val="2E2E2E"/>
          <w:sz w:val="24"/>
          <w:szCs w:val="24"/>
        </w:rPr>
      </w:pPr>
      <w:r w:rsidRPr="009D7A55">
        <w:rPr>
          <w:rFonts w:ascii="Arial" w:hAnsi="Arial" w:cs="Arial"/>
          <w:color w:val="2E2E2E"/>
          <w:sz w:val="24"/>
          <w:szCs w:val="24"/>
        </w:rPr>
        <w:t>P</w:t>
      </w:r>
      <w:r w:rsidR="0003746D" w:rsidRPr="009D7A55">
        <w:rPr>
          <w:rFonts w:ascii="Arial" w:hAnsi="Arial" w:cs="Arial"/>
          <w:color w:val="2E2E2E"/>
          <w:sz w:val="24"/>
          <w:szCs w:val="24"/>
        </w:rPr>
        <w:t>roduct release</w:t>
      </w:r>
    </w:p>
    <w:p w14:paraId="6751DBD1" w14:textId="77777777" w:rsidR="0003746D" w:rsidRPr="009D7A55" w:rsidRDefault="0003746D" w:rsidP="0023374C">
      <w:pPr>
        <w:numPr>
          <w:ilvl w:val="0"/>
          <w:numId w:val="3"/>
        </w:numPr>
        <w:spacing w:line="360" w:lineRule="auto"/>
        <w:jc w:val="both"/>
        <w:rPr>
          <w:rFonts w:ascii="Arial" w:hAnsi="Arial" w:cs="Arial"/>
          <w:color w:val="2E2E2E"/>
          <w:sz w:val="24"/>
          <w:szCs w:val="24"/>
        </w:rPr>
      </w:pPr>
      <w:r w:rsidRPr="009D7A55">
        <w:rPr>
          <w:rFonts w:ascii="Arial" w:hAnsi="Arial" w:cs="Arial"/>
          <w:color w:val="2E2E2E"/>
          <w:sz w:val="24"/>
          <w:szCs w:val="24"/>
        </w:rPr>
        <w:t>Stability of samples</w:t>
      </w:r>
    </w:p>
    <w:p w14:paraId="4A6AD298" w14:textId="77777777" w:rsidR="0003746D" w:rsidRPr="009D7A55" w:rsidRDefault="0003746D" w:rsidP="0023374C">
      <w:pPr>
        <w:numPr>
          <w:ilvl w:val="0"/>
          <w:numId w:val="3"/>
        </w:numPr>
        <w:spacing w:line="360" w:lineRule="auto"/>
        <w:jc w:val="both"/>
        <w:rPr>
          <w:rFonts w:ascii="Arial" w:hAnsi="Arial" w:cs="Arial"/>
          <w:color w:val="2E2E2E"/>
          <w:sz w:val="24"/>
          <w:szCs w:val="24"/>
        </w:rPr>
      </w:pPr>
      <w:r w:rsidRPr="009D7A55">
        <w:rPr>
          <w:rFonts w:ascii="Arial" w:hAnsi="Arial" w:cs="Arial"/>
          <w:color w:val="2E2E2E"/>
          <w:sz w:val="24"/>
          <w:szCs w:val="24"/>
        </w:rPr>
        <w:t>Qualification of reagents</w:t>
      </w:r>
      <w:r w:rsidR="00410E1C" w:rsidRPr="009D7A55">
        <w:rPr>
          <w:rFonts w:ascii="Arial" w:hAnsi="Arial" w:cs="Arial"/>
          <w:color w:val="2E2E2E"/>
          <w:sz w:val="24"/>
          <w:szCs w:val="24"/>
        </w:rPr>
        <w:t xml:space="preserve"> critical to assays</w:t>
      </w:r>
    </w:p>
    <w:p w14:paraId="7F1DF0C0" w14:textId="77777777" w:rsidR="0003746D" w:rsidRPr="009D7A55" w:rsidRDefault="0003746D" w:rsidP="0023374C">
      <w:pPr>
        <w:numPr>
          <w:ilvl w:val="0"/>
          <w:numId w:val="3"/>
        </w:numPr>
        <w:spacing w:line="360" w:lineRule="auto"/>
        <w:jc w:val="both"/>
        <w:rPr>
          <w:rFonts w:ascii="Arial" w:hAnsi="Arial" w:cs="Arial"/>
          <w:color w:val="2E2E2E"/>
          <w:sz w:val="24"/>
          <w:szCs w:val="24"/>
        </w:rPr>
      </w:pPr>
      <w:r w:rsidRPr="009D7A55">
        <w:rPr>
          <w:rFonts w:ascii="Arial" w:hAnsi="Arial" w:cs="Arial"/>
          <w:color w:val="2E2E2E"/>
          <w:sz w:val="24"/>
          <w:szCs w:val="24"/>
        </w:rPr>
        <w:t>Product integrity</w:t>
      </w:r>
    </w:p>
    <w:p w14:paraId="3AA9E64B" w14:textId="35B9DF84" w:rsidR="001B66D0" w:rsidRPr="009D7A55" w:rsidRDefault="00C75787" w:rsidP="0023374C">
      <w:pPr>
        <w:spacing w:line="360" w:lineRule="auto"/>
        <w:jc w:val="both"/>
        <w:rPr>
          <w:rFonts w:ascii="Arial" w:hAnsi="Arial" w:cs="Arial"/>
          <w:color w:val="2E2E2E"/>
          <w:sz w:val="24"/>
          <w:szCs w:val="24"/>
        </w:rPr>
      </w:pPr>
      <w:r w:rsidRPr="009D7A55">
        <w:rPr>
          <w:rFonts w:ascii="Arial" w:hAnsi="Arial" w:cs="Arial"/>
          <w:color w:val="2E2E2E"/>
          <w:sz w:val="24"/>
          <w:szCs w:val="24"/>
        </w:rPr>
        <w:t>In vivo potency assays are bioassays in which a set of diluti</w:t>
      </w:r>
      <w:r w:rsidR="00FD0694" w:rsidRPr="009D7A55">
        <w:rPr>
          <w:rFonts w:ascii="Arial" w:hAnsi="Arial" w:cs="Arial"/>
          <w:color w:val="2E2E2E"/>
          <w:sz w:val="24"/>
          <w:szCs w:val="24"/>
        </w:rPr>
        <w:t xml:space="preserve">ons of each of the Standard </w:t>
      </w:r>
      <w:r w:rsidRPr="009D7A55">
        <w:rPr>
          <w:rFonts w:ascii="Arial" w:hAnsi="Arial" w:cs="Arial"/>
          <w:color w:val="2E2E2E"/>
          <w:sz w:val="24"/>
          <w:szCs w:val="24"/>
        </w:rPr>
        <w:t>and Test materials is administered to animals and the dos</w:t>
      </w:r>
      <w:r w:rsidR="00FD0694" w:rsidRPr="009D7A55">
        <w:rPr>
          <w:rFonts w:ascii="Arial" w:hAnsi="Arial" w:cs="Arial"/>
          <w:color w:val="2E2E2E"/>
          <w:sz w:val="24"/>
          <w:szCs w:val="24"/>
        </w:rPr>
        <w:t xml:space="preserve">e–response relationships are </w:t>
      </w:r>
      <w:r w:rsidRPr="009D7A55">
        <w:rPr>
          <w:rFonts w:ascii="Arial" w:hAnsi="Arial" w:cs="Arial"/>
          <w:color w:val="2E2E2E"/>
          <w:sz w:val="24"/>
          <w:szCs w:val="24"/>
        </w:rPr>
        <w:t>used to estimate potency. For some animal assays, the en</w:t>
      </w:r>
      <w:r w:rsidR="00FD0694" w:rsidRPr="009D7A55">
        <w:rPr>
          <w:rFonts w:ascii="Arial" w:hAnsi="Arial" w:cs="Arial"/>
          <w:color w:val="2E2E2E"/>
          <w:sz w:val="24"/>
          <w:szCs w:val="24"/>
        </w:rPr>
        <w:t xml:space="preserve">d point is simple (e.g., rat </w:t>
      </w:r>
      <w:r w:rsidRPr="009D7A55">
        <w:rPr>
          <w:rFonts w:ascii="Arial" w:hAnsi="Arial" w:cs="Arial"/>
          <w:color w:val="2E2E2E"/>
          <w:sz w:val="24"/>
          <w:szCs w:val="24"/>
        </w:rPr>
        <w:t xml:space="preserve">body weight gain assay for human growth hormone or </w:t>
      </w:r>
      <w:r w:rsidR="00FD0694" w:rsidRPr="009D7A55">
        <w:rPr>
          <w:rFonts w:ascii="Arial" w:hAnsi="Arial" w:cs="Arial"/>
          <w:color w:val="2E2E2E"/>
          <w:sz w:val="24"/>
          <w:szCs w:val="24"/>
        </w:rPr>
        <w:t xml:space="preserve">rat ovarian weight assay for </w:t>
      </w:r>
      <w:r w:rsidRPr="009D7A55">
        <w:rPr>
          <w:rFonts w:ascii="Arial" w:hAnsi="Arial" w:cs="Arial"/>
          <w:color w:val="2E2E2E"/>
          <w:sz w:val="24"/>
          <w:szCs w:val="24"/>
        </w:rPr>
        <w:t>follicle stimulating hormone), but others require further pro</w:t>
      </w:r>
      <w:r w:rsidR="00FD0694" w:rsidRPr="009D7A55">
        <w:rPr>
          <w:rFonts w:ascii="Arial" w:hAnsi="Arial" w:cs="Arial"/>
          <w:color w:val="2E2E2E"/>
          <w:sz w:val="24"/>
          <w:szCs w:val="24"/>
        </w:rPr>
        <w:t xml:space="preserve">cessing of samples collected </w:t>
      </w:r>
      <w:r w:rsidRPr="009D7A55">
        <w:rPr>
          <w:rFonts w:ascii="Arial" w:hAnsi="Arial" w:cs="Arial"/>
          <w:color w:val="2E2E2E"/>
          <w:sz w:val="24"/>
          <w:szCs w:val="24"/>
        </w:rPr>
        <w:t xml:space="preserve">from treated animals (e.g., reticulocyte count for </w:t>
      </w:r>
      <w:r w:rsidR="000C3A79" w:rsidRPr="009D7A55">
        <w:rPr>
          <w:rFonts w:ascii="Arial" w:hAnsi="Arial" w:cs="Arial"/>
          <w:color w:val="2E2E2E"/>
          <w:sz w:val="24"/>
          <w:szCs w:val="24"/>
        </w:rPr>
        <w:t>erythropoietin</w:t>
      </w:r>
      <w:r w:rsidR="00FD0694" w:rsidRPr="009D7A55">
        <w:rPr>
          <w:rFonts w:ascii="Arial" w:hAnsi="Arial" w:cs="Arial"/>
          <w:color w:val="2E2E2E"/>
          <w:sz w:val="24"/>
          <w:szCs w:val="24"/>
        </w:rPr>
        <w:t xml:space="preserve">, steroidogenesis for </w:t>
      </w:r>
      <w:r w:rsidRPr="009D7A55">
        <w:rPr>
          <w:rFonts w:ascii="Arial" w:hAnsi="Arial" w:cs="Arial"/>
          <w:color w:val="2E2E2E"/>
          <w:sz w:val="24"/>
          <w:szCs w:val="24"/>
        </w:rPr>
        <w:t>gonadotropins, neutrophil count for granulocyte colony sti</w:t>
      </w:r>
      <w:r w:rsidR="00FD0694" w:rsidRPr="009D7A55">
        <w:rPr>
          <w:rFonts w:ascii="Arial" w:hAnsi="Arial" w:cs="Arial"/>
          <w:color w:val="2E2E2E"/>
          <w:sz w:val="24"/>
          <w:szCs w:val="24"/>
        </w:rPr>
        <w:t>mulating factor, or antibody</w:t>
      </w:r>
      <w:r w:rsidRPr="009D7A55">
        <w:rPr>
          <w:rFonts w:ascii="Arial" w:hAnsi="Arial" w:cs="Arial"/>
          <w:color w:val="2E2E2E"/>
          <w:sz w:val="24"/>
          <w:szCs w:val="24"/>
        </w:rPr>
        <w:t xml:space="preserve"> </w:t>
      </w:r>
      <w:proofErr w:type="spellStart"/>
      <w:r w:rsidR="000C3A79" w:rsidRPr="009D7A55">
        <w:rPr>
          <w:rFonts w:ascii="Arial" w:hAnsi="Arial" w:cs="Arial"/>
          <w:color w:val="2E2E2E"/>
          <w:sz w:val="24"/>
          <w:szCs w:val="24"/>
        </w:rPr>
        <w:t>titer</w:t>
      </w:r>
      <w:proofErr w:type="spellEnd"/>
      <w:r w:rsidRPr="009D7A55">
        <w:rPr>
          <w:rFonts w:ascii="Arial" w:hAnsi="Arial" w:cs="Arial"/>
          <w:color w:val="2E2E2E"/>
          <w:sz w:val="24"/>
          <w:szCs w:val="24"/>
        </w:rPr>
        <w:t xml:space="preserve"> after administration of vaccines). With the advent of</w:t>
      </w:r>
      <w:r w:rsidR="00FD0694" w:rsidRPr="009D7A55">
        <w:rPr>
          <w:rFonts w:ascii="Arial" w:hAnsi="Arial" w:cs="Arial"/>
          <w:color w:val="2E2E2E"/>
          <w:sz w:val="24"/>
          <w:szCs w:val="24"/>
        </w:rPr>
        <w:t xml:space="preserve"> cell lines specific for the</w:t>
      </w:r>
      <w:r w:rsidRPr="009D7A55">
        <w:rPr>
          <w:rFonts w:ascii="Arial" w:hAnsi="Arial" w:cs="Arial"/>
          <w:color w:val="2E2E2E"/>
          <w:sz w:val="24"/>
          <w:szCs w:val="24"/>
        </w:rPr>
        <w:t xml:space="preserve"> putative physiological mechanism of action (MOA)</w:t>
      </w:r>
      <w:r w:rsidR="00FD0694" w:rsidRPr="009D7A55">
        <w:rPr>
          <w:rFonts w:ascii="Arial" w:hAnsi="Arial" w:cs="Arial"/>
          <w:color w:val="2E2E2E"/>
          <w:sz w:val="24"/>
          <w:szCs w:val="24"/>
        </w:rPr>
        <w:t xml:space="preserve">, the use of animals for </w:t>
      </w:r>
      <w:r w:rsidR="00987336" w:rsidRPr="009D7A55">
        <w:rPr>
          <w:rFonts w:ascii="Arial" w:hAnsi="Arial" w:cs="Arial"/>
          <w:color w:val="2E2E2E"/>
          <w:sz w:val="24"/>
          <w:szCs w:val="24"/>
        </w:rPr>
        <w:t>the measurement</w:t>
      </w:r>
      <w:r w:rsidRPr="009D7A55">
        <w:rPr>
          <w:rFonts w:ascii="Arial" w:hAnsi="Arial" w:cs="Arial"/>
          <w:color w:val="2E2E2E"/>
          <w:sz w:val="24"/>
          <w:szCs w:val="24"/>
        </w:rPr>
        <w:t xml:space="preserve"> of potency has greatly diminished</w:t>
      </w:r>
      <w:r w:rsidR="00700F20">
        <w:rPr>
          <w:rFonts w:ascii="Arial" w:hAnsi="Arial" w:cs="Arial"/>
          <w:color w:val="2E2E2E"/>
          <w:sz w:val="24"/>
          <w:szCs w:val="24"/>
        </w:rPr>
        <w:t xml:space="preserve"> (</w:t>
      </w:r>
      <w:r w:rsidR="00700F20" w:rsidRPr="00700F20">
        <w:rPr>
          <w:rFonts w:ascii="Arial" w:hAnsi="Arial" w:cs="Arial"/>
          <w:i/>
          <w:iCs/>
          <w:color w:val="2E2E2E"/>
          <w:sz w:val="24"/>
          <w:szCs w:val="24"/>
        </w:rPr>
        <w:t>Ref</w:t>
      </w:r>
      <w:r w:rsidR="00700F20">
        <w:rPr>
          <w:rFonts w:ascii="Arial" w:hAnsi="Arial" w:cs="Arial"/>
          <w:color w:val="2E2E2E"/>
          <w:sz w:val="24"/>
          <w:szCs w:val="24"/>
        </w:rPr>
        <w:t xml:space="preserve"> </w:t>
      </w:r>
      <w:r w:rsidR="00700F20" w:rsidRPr="00700F20">
        <w:rPr>
          <w:rFonts w:ascii="Arial" w:hAnsi="Arial" w:cs="Arial"/>
          <w:i/>
          <w:iCs/>
          <w:color w:val="2E2E2E"/>
          <w:sz w:val="24"/>
          <w:szCs w:val="24"/>
        </w:rPr>
        <w:t>USP chapter 1032</w:t>
      </w:r>
      <w:r w:rsidR="00700F20">
        <w:rPr>
          <w:rFonts w:ascii="Arial" w:hAnsi="Arial" w:cs="Arial"/>
          <w:color w:val="2E2E2E"/>
          <w:sz w:val="24"/>
          <w:szCs w:val="24"/>
        </w:rPr>
        <w:t>)</w:t>
      </w:r>
      <w:r w:rsidRPr="009D7A55">
        <w:rPr>
          <w:rFonts w:ascii="Arial" w:hAnsi="Arial" w:cs="Arial"/>
          <w:color w:val="2E2E2E"/>
          <w:sz w:val="24"/>
          <w:szCs w:val="24"/>
        </w:rPr>
        <w:t xml:space="preserve">. </w:t>
      </w:r>
    </w:p>
    <w:p w14:paraId="22F49E7E" w14:textId="18002B9A" w:rsidR="008F07AF" w:rsidRPr="00700F20" w:rsidRDefault="008F07AF" w:rsidP="0023374C">
      <w:pPr>
        <w:spacing w:line="360" w:lineRule="auto"/>
        <w:jc w:val="both"/>
        <w:rPr>
          <w:rFonts w:ascii="Arial" w:hAnsi="Arial" w:cs="Arial"/>
          <w:b/>
          <w:color w:val="2E2E2E"/>
          <w:sz w:val="24"/>
          <w:szCs w:val="24"/>
        </w:rPr>
      </w:pPr>
      <w:r w:rsidRPr="00700F20">
        <w:rPr>
          <w:rFonts w:ascii="Arial" w:hAnsi="Arial" w:cs="Arial"/>
          <w:b/>
          <w:color w:val="2E2E2E"/>
          <w:sz w:val="24"/>
          <w:szCs w:val="24"/>
        </w:rPr>
        <w:t xml:space="preserve">Drawbacks </w:t>
      </w:r>
      <w:r w:rsidR="00E53AA4" w:rsidRPr="00700F20">
        <w:rPr>
          <w:rFonts w:ascii="Arial" w:hAnsi="Arial" w:cs="Arial"/>
          <w:b/>
          <w:color w:val="2E2E2E"/>
          <w:sz w:val="24"/>
          <w:szCs w:val="24"/>
        </w:rPr>
        <w:t>for</w:t>
      </w:r>
      <w:r w:rsidRPr="00700F20">
        <w:rPr>
          <w:rFonts w:ascii="Arial" w:hAnsi="Arial" w:cs="Arial"/>
          <w:b/>
          <w:color w:val="2E2E2E"/>
          <w:sz w:val="24"/>
          <w:szCs w:val="24"/>
        </w:rPr>
        <w:t xml:space="preserve"> In-vivo assay</w:t>
      </w:r>
    </w:p>
    <w:p w14:paraId="1D711A0C" w14:textId="77777777" w:rsidR="00BC04D5" w:rsidRPr="009D7A55" w:rsidRDefault="00C75787" w:rsidP="0023374C">
      <w:pPr>
        <w:spacing w:line="360" w:lineRule="auto"/>
        <w:jc w:val="both"/>
        <w:rPr>
          <w:rFonts w:ascii="Arial" w:hAnsi="Arial" w:cs="Arial"/>
          <w:color w:val="2E2E2E"/>
          <w:sz w:val="24"/>
          <w:szCs w:val="24"/>
        </w:rPr>
      </w:pPr>
      <w:r w:rsidRPr="009D7A55">
        <w:rPr>
          <w:rFonts w:ascii="Arial" w:hAnsi="Arial" w:cs="Arial"/>
          <w:color w:val="2E2E2E"/>
          <w:sz w:val="24"/>
          <w:szCs w:val="24"/>
        </w:rPr>
        <w:t>Cost, low t</w:t>
      </w:r>
      <w:r w:rsidR="00FD0694" w:rsidRPr="009D7A55">
        <w:rPr>
          <w:rFonts w:ascii="Arial" w:hAnsi="Arial" w:cs="Arial"/>
          <w:color w:val="2E2E2E"/>
          <w:sz w:val="24"/>
          <w:szCs w:val="24"/>
        </w:rPr>
        <w:t xml:space="preserve">hroughput, ethics, and other </w:t>
      </w:r>
      <w:r w:rsidRPr="009D7A55">
        <w:rPr>
          <w:rFonts w:ascii="Arial" w:hAnsi="Arial" w:cs="Arial"/>
          <w:color w:val="2E2E2E"/>
          <w:sz w:val="24"/>
          <w:szCs w:val="24"/>
        </w:rPr>
        <w:t>practical issues argue against the use of animal bioassa</w:t>
      </w:r>
      <w:r w:rsidR="001B66D0" w:rsidRPr="009D7A55">
        <w:rPr>
          <w:rFonts w:ascii="Arial" w:hAnsi="Arial" w:cs="Arial"/>
          <w:color w:val="2E2E2E"/>
          <w:sz w:val="24"/>
          <w:szCs w:val="24"/>
        </w:rPr>
        <w:t>ys and restrict the use of animals for industrial purposes.</w:t>
      </w:r>
    </w:p>
    <w:p w14:paraId="170102C6" w14:textId="36C0A82A" w:rsidR="008F07AF" w:rsidRPr="00700F20" w:rsidRDefault="008F07AF" w:rsidP="00700F20">
      <w:pPr>
        <w:spacing w:line="360" w:lineRule="auto"/>
        <w:jc w:val="center"/>
        <w:rPr>
          <w:rFonts w:ascii="Arial" w:hAnsi="Arial" w:cs="Arial"/>
          <w:b/>
          <w:color w:val="2E2E2E"/>
          <w:sz w:val="24"/>
          <w:szCs w:val="24"/>
        </w:rPr>
      </w:pPr>
      <w:r w:rsidRPr="00700F20">
        <w:rPr>
          <w:rFonts w:ascii="Arial" w:hAnsi="Arial" w:cs="Arial"/>
          <w:b/>
          <w:color w:val="2E2E2E"/>
          <w:sz w:val="24"/>
          <w:szCs w:val="24"/>
        </w:rPr>
        <w:t>Regulatory Requirement</w:t>
      </w:r>
    </w:p>
    <w:p w14:paraId="1CD41330" w14:textId="77777777" w:rsidR="00BC04D5" w:rsidRPr="009D7A55" w:rsidRDefault="00FD0694"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Regulatory agencies have </w:t>
      </w:r>
      <w:r w:rsidR="00C75787" w:rsidRPr="009D7A55">
        <w:rPr>
          <w:rFonts w:ascii="Arial" w:hAnsi="Arial" w:cs="Arial"/>
          <w:color w:val="2E2E2E"/>
          <w:sz w:val="24"/>
          <w:szCs w:val="24"/>
        </w:rPr>
        <w:t>encouraged the responsible limitation of animal us</w:t>
      </w:r>
      <w:r w:rsidRPr="009D7A55">
        <w:rPr>
          <w:rFonts w:ascii="Arial" w:hAnsi="Arial" w:cs="Arial"/>
          <w:color w:val="2E2E2E"/>
          <w:sz w:val="24"/>
          <w:szCs w:val="24"/>
        </w:rPr>
        <w:t xml:space="preserve">e whenever possible (see The </w:t>
      </w:r>
      <w:r w:rsidR="00C75787" w:rsidRPr="009D7A55">
        <w:rPr>
          <w:rFonts w:ascii="Arial" w:hAnsi="Arial" w:cs="Arial"/>
          <w:color w:val="2E2E2E"/>
          <w:sz w:val="24"/>
          <w:szCs w:val="24"/>
        </w:rPr>
        <w:t>Interagency Coordinating Committee on the Validation of A</w:t>
      </w:r>
      <w:r w:rsidRPr="009D7A55">
        <w:rPr>
          <w:rFonts w:ascii="Arial" w:hAnsi="Arial" w:cs="Arial"/>
          <w:color w:val="2E2E2E"/>
          <w:sz w:val="24"/>
          <w:szCs w:val="24"/>
        </w:rPr>
        <w:t xml:space="preserve">lternative Methods, Mission, </w:t>
      </w:r>
      <w:r w:rsidR="00C75787" w:rsidRPr="009D7A55">
        <w:rPr>
          <w:rFonts w:ascii="Arial" w:hAnsi="Arial" w:cs="Arial"/>
          <w:color w:val="2E2E2E"/>
          <w:sz w:val="24"/>
          <w:szCs w:val="24"/>
        </w:rPr>
        <w:t xml:space="preserve">Vision, and Strategic Priorities; February 2004). </w:t>
      </w:r>
    </w:p>
    <w:p w14:paraId="0EF0E731" w14:textId="77777777" w:rsidR="00BC04D5" w:rsidRPr="009D7A55" w:rsidRDefault="00C75787" w:rsidP="0023374C">
      <w:pPr>
        <w:spacing w:line="360" w:lineRule="auto"/>
        <w:jc w:val="both"/>
        <w:rPr>
          <w:rFonts w:ascii="Arial" w:hAnsi="Arial" w:cs="Arial"/>
          <w:color w:val="2E2E2E"/>
          <w:sz w:val="24"/>
          <w:szCs w:val="24"/>
        </w:rPr>
      </w:pPr>
      <w:r w:rsidRPr="009D7A55">
        <w:rPr>
          <w:rFonts w:ascii="Arial" w:hAnsi="Arial" w:cs="Arial"/>
          <w:color w:val="2E2E2E"/>
          <w:sz w:val="24"/>
          <w:szCs w:val="24"/>
        </w:rPr>
        <w:lastRenderedPageBreak/>
        <w:t>When in vi</w:t>
      </w:r>
      <w:r w:rsidR="00FD0694" w:rsidRPr="009D7A55">
        <w:rPr>
          <w:rFonts w:ascii="Arial" w:hAnsi="Arial" w:cs="Arial"/>
          <w:color w:val="2E2E2E"/>
          <w:sz w:val="24"/>
          <w:szCs w:val="24"/>
        </w:rPr>
        <w:t xml:space="preserve">tro activity is not strongly </w:t>
      </w:r>
      <w:r w:rsidRPr="009D7A55">
        <w:rPr>
          <w:rFonts w:ascii="Arial" w:hAnsi="Arial" w:cs="Arial"/>
          <w:color w:val="2E2E2E"/>
          <w:sz w:val="24"/>
          <w:szCs w:val="24"/>
        </w:rPr>
        <w:t xml:space="preserve">associated with in vivo activity (e.g., EPO), the combination </w:t>
      </w:r>
      <w:r w:rsidR="00FD0694" w:rsidRPr="009D7A55">
        <w:rPr>
          <w:rFonts w:ascii="Arial" w:hAnsi="Arial" w:cs="Arial"/>
          <w:color w:val="2E2E2E"/>
          <w:sz w:val="24"/>
          <w:szCs w:val="24"/>
        </w:rPr>
        <w:t xml:space="preserve">of in vitro cell-based </w:t>
      </w:r>
      <w:r w:rsidR="00987336" w:rsidRPr="009D7A55">
        <w:rPr>
          <w:rFonts w:ascii="Arial" w:hAnsi="Arial" w:cs="Arial"/>
          <w:color w:val="2E2E2E"/>
          <w:sz w:val="24"/>
          <w:szCs w:val="24"/>
        </w:rPr>
        <w:t>assay and</w:t>
      </w:r>
      <w:r w:rsidRPr="009D7A55">
        <w:rPr>
          <w:rFonts w:ascii="Arial" w:hAnsi="Arial" w:cs="Arial"/>
          <w:color w:val="2E2E2E"/>
          <w:sz w:val="24"/>
          <w:szCs w:val="24"/>
        </w:rPr>
        <w:t xml:space="preserve"> a suitable physicochemical method (e.g., IEF, glycan analysis) may substitute f</w:t>
      </w:r>
      <w:r w:rsidR="00FD0694" w:rsidRPr="009D7A55">
        <w:rPr>
          <w:rFonts w:ascii="Arial" w:hAnsi="Arial" w:cs="Arial"/>
          <w:color w:val="2E2E2E"/>
          <w:sz w:val="24"/>
          <w:szCs w:val="24"/>
        </w:rPr>
        <w:t xml:space="preserve">or </w:t>
      </w:r>
      <w:r w:rsidR="00987336" w:rsidRPr="009D7A55">
        <w:rPr>
          <w:rFonts w:ascii="Arial" w:hAnsi="Arial" w:cs="Arial"/>
          <w:color w:val="2E2E2E"/>
          <w:sz w:val="24"/>
          <w:szCs w:val="24"/>
        </w:rPr>
        <w:t>in vivo</w:t>
      </w:r>
      <w:r w:rsidRPr="009D7A55">
        <w:rPr>
          <w:rFonts w:ascii="Arial" w:hAnsi="Arial" w:cs="Arial"/>
          <w:color w:val="2E2E2E"/>
          <w:sz w:val="24"/>
          <w:szCs w:val="24"/>
        </w:rPr>
        <w:t xml:space="preserve"> assays. </w:t>
      </w:r>
    </w:p>
    <w:p w14:paraId="4AE1F29B" w14:textId="77777777" w:rsidR="00410E1C" w:rsidRDefault="00C75787" w:rsidP="0023374C">
      <w:pPr>
        <w:spacing w:line="360" w:lineRule="auto"/>
        <w:jc w:val="both"/>
        <w:rPr>
          <w:rFonts w:ascii="Arial" w:hAnsi="Arial" w:cs="Arial"/>
          <w:color w:val="2E2E2E"/>
          <w:sz w:val="24"/>
          <w:szCs w:val="24"/>
        </w:rPr>
      </w:pPr>
      <w:r w:rsidRPr="009D7A55">
        <w:rPr>
          <w:rFonts w:ascii="Arial" w:hAnsi="Arial" w:cs="Arial"/>
          <w:color w:val="2E2E2E"/>
          <w:sz w:val="24"/>
          <w:szCs w:val="24"/>
        </w:rPr>
        <w:t>However, a need for in vivo assays may</w:t>
      </w:r>
      <w:r w:rsidR="00FD0694" w:rsidRPr="009D7A55">
        <w:rPr>
          <w:rFonts w:ascii="Arial" w:hAnsi="Arial" w:cs="Arial"/>
          <w:color w:val="2E2E2E"/>
          <w:sz w:val="24"/>
          <w:szCs w:val="24"/>
        </w:rPr>
        <w:t xml:space="preserve"> remain when in vitro assays </w:t>
      </w:r>
      <w:r w:rsidRPr="009D7A55">
        <w:rPr>
          <w:rFonts w:ascii="Arial" w:hAnsi="Arial" w:cs="Arial"/>
          <w:color w:val="2E2E2E"/>
          <w:sz w:val="24"/>
          <w:szCs w:val="24"/>
        </w:rPr>
        <w:t>cannot detect differences that may affect in vivo activity.</w:t>
      </w:r>
    </w:p>
    <w:p w14:paraId="5924F9CD" w14:textId="77777777" w:rsidR="00EF75C3" w:rsidRPr="009D7A55" w:rsidRDefault="00EF75C3" w:rsidP="0023374C">
      <w:pPr>
        <w:spacing w:line="360" w:lineRule="auto"/>
        <w:jc w:val="both"/>
        <w:rPr>
          <w:rFonts w:ascii="Arial" w:hAnsi="Arial" w:cs="Arial"/>
          <w:color w:val="2E2E2E"/>
          <w:sz w:val="24"/>
          <w:szCs w:val="24"/>
        </w:rPr>
      </w:pPr>
      <w:r w:rsidRPr="009D7A55">
        <w:rPr>
          <w:rFonts w:ascii="Arial" w:hAnsi="Arial" w:cs="Arial"/>
          <w:color w:val="2E2E2E"/>
          <w:sz w:val="24"/>
          <w:szCs w:val="24"/>
        </w:rPr>
        <w:t>Cells or tissues from human or animal donors can be cultured in the laboratory and used to assess the activity of a Test article. In the case of cytokines, the majority of assays use cells from the hematopoietic system and subsets of hematopoietic cells from peripheral blood such as peripheral blood mononuclear cells or peripheral blood lymphocytes. For proteins that act on solid tissues, such as growth factors and hormones, specific tissue on which they act can be removed from animals, dissociated, and cultured for a limited period either as adherent or semi-adherent cells. Although an ex vivo assay system has the advantage of similarity to the natural milieu, it may also suffer from substantial donor-to-donor variability, as well as challenging availability of appropriate cells.</w:t>
      </w:r>
    </w:p>
    <w:p w14:paraId="7A9010F9" w14:textId="77777777" w:rsidR="0003746D" w:rsidRPr="009D7A55" w:rsidRDefault="00721019"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Bioassays that involve live tissues or cells from an animal (e.g., rat hepatocyte glucagon method) require process management similar to that of in vivo assays to minimize assay variability and bias. The level of effort to manage bias (e.g., randomization) should be appropriate for the purpose of the assay. Additional factors that may affect assay results include time of day, weight or maturity of animal, </w:t>
      </w:r>
      <w:r w:rsidR="00CF21FA" w:rsidRPr="009D7A55">
        <w:rPr>
          <w:rFonts w:ascii="Arial" w:hAnsi="Arial" w:cs="Arial"/>
          <w:color w:val="2E2E2E"/>
          <w:sz w:val="24"/>
          <w:szCs w:val="24"/>
        </w:rPr>
        <w:t>anaesthetic</w:t>
      </w:r>
      <w:r w:rsidRPr="009D7A55">
        <w:rPr>
          <w:rFonts w:ascii="Arial" w:hAnsi="Arial" w:cs="Arial"/>
          <w:color w:val="2E2E2E"/>
          <w:sz w:val="24"/>
          <w:szCs w:val="24"/>
        </w:rPr>
        <w:t xml:space="preserve"> used, buffer components/reagents, incubation bath temperature and position, and cell viability.</w:t>
      </w:r>
    </w:p>
    <w:p w14:paraId="03E8290E" w14:textId="77777777" w:rsidR="00721019" w:rsidRPr="009D7A55" w:rsidRDefault="00326CBD"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Cell-based bioassay design should reflect knowledge of the factors that influence response of cells to the Test agent. Response variability is often reflected in parameters such as slope, EC50 of the </w:t>
      </w:r>
      <w:r w:rsidR="006C20C6" w:rsidRPr="009D7A55">
        <w:rPr>
          <w:rFonts w:ascii="Arial" w:hAnsi="Arial" w:cs="Arial"/>
          <w:color w:val="2E2E2E"/>
          <w:sz w:val="24"/>
          <w:szCs w:val="24"/>
        </w:rPr>
        <w:t>dose–response</w:t>
      </w:r>
      <w:r w:rsidRPr="009D7A55">
        <w:rPr>
          <w:rFonts w:ascii="Arial" w:hAnsi="Arial" w:cs="Arial"/>
          <w:color w:val="2E2E2E"/>
          <w:sz w:val="24"/>
          <w:szCs w:val="24"/>
        </w:rPr>
        <w:t xml:space="preserve"> curve, or the ratio of maximum to minimum response. Even though the adoption of relative potency methodology alleviates the effect of these parameters on potency estimates, such response variability could result in significant effects on system suitability, precision, and accuracy. Therefore sources of variability relevant to a given bioassay method should be identified, and control strategies to minimize their effects should be implemented.</w:t>
      </w:r>
    </w:p>
    <w:p w14:paraId="7C7BB6A7" w14:textId="77777777" w:rsidR="00F2788C" w:rsidRPr="009D7A55" w:rsidRDefault="00C16A27"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The development of a cell-based bioassay begins with the selection or generation of </w:t>
      </w:r>
      <w:r w:rsidR="006C20C6" w:rsidRPr="009D7A55">
        <w:rPr>
          <w:rFonts w:ascii="Arial" w:hAnsi="Arial" w:cs="Arial"/>
          <w:color w:val="2E2E2E"/>
          <w:sz w:val="24"/>
          <w:szCs w:val="24"/>
        </w:rPr>
        <w:t>a cell</w:t>
      </w:r>
      <w:r w:rsidRPr="009D7A55">
        <w:rPr>
          <w:rFonts w:ascii="Arial" w:hAnsi="Arial" w:cs="Arial"/>
          <w:color w:val="2E2E2E"/>
          <w:sz w:val="24"/>
          <w:szCs w:val="24"/>
        </w:rPr>
        <w:t xml:space="preserve"> substrate. The cell substrate is usually the most critical reagent in a cell-based</w:t>
      </w:r>
      <w:r w:rsidR="006C20C6" w:rsidRPr="009D7A55">
        <w:rPr>
          <w:rFonts w:ascii="Arial" w:hAnsi="Arial" w:cs="Arial"/>
          <w:color w:val="2E2E2E"/>
          <w:sz w:val="24"/>
          <w:szCs w:val="24"/>
        </w:rPr>
        <w:t xml:space="preserve"> </w:t>
      </w:r>
      <w:r w:rsidRPr="009D7A55">
        <w:rPr>
          <w:rFonts w:ascii="Arial" w:hAnsi="Arial" w:cs="Arial"/>
          <w:color w:val="2E2E2E"/>
          <w:sz w:val="24"/>
          <w:szCs w:val="24"/>
        </w:rPr>
        <w:lastRenderedPageBreak/>
        <w:t xml:space="preserve">assay. To ensure an adequate and consistent supply of cells for product testing, the </w:t>
      </w:r>
      <w:r w:rsidR="00A42382" w:rsidRPr="009D7A55">
        <w:rPr>
          <w:rFonts w:ascii="Arial" w:hAnsi="Arial" w:cs="Arial"/>
          <w:color w:val="2E2E2E"/>
          <w:sz w:val="24"/>
          <w:szCs w:val="24"/>
        </w:rPr>
        <w:t>cell line</w:t>
      </w:r>
      <w:r w:rsidRPr="009D7A55">
        <w:rPr>
          <w:rFonts w:ascii="Arial" w:hAnsi="Arial" w:cs="Arial"/>
          <w:color w:val="2E2E2E"/>
          <w:sz w:val="24"/>
          <w:szCs w:val="24"/>
        </w:rPr>
        <w:t>(s) used in the assay should be banked. Several considerations arise in developing the assay cell banks.</w:t>
      </w:r>
    </w:p>
    <w:p w14:paraId="311B2A31" w14:textId="71759A81" w:rsidR="00FB2326" w:rsidRPr="00211F7A" w:rsidRDefault="00FB2326" w:rsidP="00211F7A">
      <w:pPr>
        <w:spacing w:line="360" w:lineRule="auto"/>
        <w:jc w:val="center"/>
        <w:rPr>
          <w:rFonts w:ascii="Arial" w:hAnsi="Arial" w:cs="Arial"/>
          <w:b/>
          <w:color w:val="2E2E2E"/>
          <w:sz w:val="24"/>
          <w:szCs w:val="24"/>
        </w:rPr>
      </w:pPr>
      <w:r w:rsidRPr="00211F7A">
        <w:rPr>
          <w:rFonts w:ascii="Arial" w:hAnsi="Arial" w:cs="Arial"/>
          <w:b/>
          <w:color w:val="2E2E2E"/>
          <w:sz w:val="24"/>
          <w:szCs w:val="24"/>
        </w:rPr>
        <w:t xml:space="preserve">Selection </w:t>
      </w:r>
      <w:r w:rsidR="0096076F" w:rsidRPr="00211F7A">
        <w:rPr>
          <w:rFonts w:ascii="Arial" w:hAnsi="Arial" w:cs="Arial"/>
          <w:b/>
          <w:color w:val="2E2E2E"/>
          <w:sz w:val="24"/>
          <w:szCs w:val="24"/>
        </w:rPr>
        <w:t xml:space="preserve">and identification </w:t>
      </w:r>
      <w:r w:rsidRPr="00211F7A">
        <w:rPr>
          <w:rFonts w:ascii="Arial" w:hAnsi="Arial" w:cs="Arial"/>
          <w:b/>
          <w:color w:val="2E2E2E"/>
          <w:sz w:val="24"/>
          <w:szCs w:val="24"/>
        </w:rPr>
        <w:t xml:space="preserve">of cell </w:t>
      </w:r>
      <w:r w:rsidR="0096076F" w:rsidRPr="00211F7A">
        <w:rPr>
          <w:rFonts w:ascii="Arial" w:hAnsi="Arial" w:cs="Arial"/>
          <w:b/>
          <w:color w:val="2E2E2E"/>
          <w:sz w:val="24"/>
          <w:szCs w:val="24"/>
        </w:rPr>
        <w:t>substrate</w:t>
      </w:r>
      <w:r w:rsidR="002B6015" w:rsidRPr="00211F7A">
        <w:rPr>
          <w:rFonts w:ascii="Arial" w:hAnsi="Arial" w:cs="Arial"/>
          <w:b/>
          <w:color w:val="2E2E2E"/>
          <w:sz w:val="24"/>
          <w:szCs w:val="24"/>
        </w:rPr>
        <w:t xml:space="preserve"> or cell line</w:t>
      </w:r>
    </w:p>
    <w:p w14:paraId="7A2E67A6" w14:textId="77777777" w:rsidR="00F2788C" w:rsidRPr="009D7A55" w:rsidRDefault="00FB2326"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The source of the cell line, whether generated by the product manufacturer or </w:t>
      </w:r>
      <w:r w:rsidR="00F539E5" w:rsidRPr="009D7A55">
        <w:rPr>
          <w:rFonts w:ascii="Arial" w:hAnsi="Arial" w:cs="Arial"/>
          <w:color w:val="2E2E2E"/>
          <w:sz w:val="24"/>
          <w:szCs w:val="24"/>
        </w:rPr>
        <w:t>acquired from</w:t>
      </w:r>
      <w:r w:rsidRPr="009D7A55">
        <w:rPr>
          <w:rFonts w:ascii="Arial" w:hAnsi="Arial" w:cs="Arial"/>
          <w:color w:val="2E2E2E"/>
          <w:sz w:val="24"/>
          <w:szCs w:val="24"/>
        </w:rPr>
        <w:t xml:space="preserve"> a collaborator, academic institution, or culture collection, must have </w:t>
      </w:r>
      <w:r w:rsidR="00F539E5" w:rsidRPr="009D7A55">
        <w:rPr>
          <w:rFonts w:ascii="Arial" w:hAnsi="Arial" w:cs="Arial"/>
          <w:color w:val="2E2E2E"/>
          <w:sz w:val="24"/>
          <w:szCs w:val="24"/>
        </w:rPr>
        <w:t>documentation that</w:t>
      </w:r>
      <w:r w:rsidRPr="009D7A55">
        <w:rPr>
          <w:rFonts w:ascii="Arial" w:hAnsi="Arial" w:cs="Arial"/>
          <w:color w:val="2E2E2E"/>
          <w:sz w:val="24"/>
          <w:szCs w:val="24"/>
        </w:rPr>
        <w:t xml:space="preserve"> details the cell line’s history from origin to banking and supports its application for commercial use. The origin, generation, and propagation of the cell line through to </w:t>
      </w:r>
      <w:r w:rsidR="00F539E5" w:rsidRPr="009D7A55">
        <w:rPr>
          <w:rFonts w:ascii="Arial" w:hAnsi="Arial" w:cs="Arial"/>
          <w:color w:val="2E2E2E"/>
          <w:sz w:val="24"/>
          <w:szCs w:val="24"/>
        </w:rPr>
        <w:t>the point</w:t>
      </w:r>
      <w:r w:rsidRPr="009D7A55">
        <w:rPr>
          <w:rFonts w:ascii="Arial" w:hAnsi="Arial" w:cs="Arial"/>
          <w:color w:val="2E2E2E"/>
          <w:sz w:val="24"/>
          <w:szCs w:val="24"/>
        </w:rPr>
        <w:t xml:space="preserve"> at which the cell line is selected for use must be documented and described </w:t>
      </w:r>
      <w:r w:rsidR="00F539E5" w:rsidRPr="009D7A55">
        <w:rPr>
          <w:rFonts w:ascii="Arial" w:hAnsi="Arial" w:cs="Arial"/>
          <w:color w:val="2E2E2E"/>
          <w:sz w:val="24"/>
          <w:szCs w:val="24"/>
        </w:rPr>
        <w:t>in detail</w:t>
      </w:r>
      <w:r w:rsidRPr="009D7A55">
        <w:rPr>
          <w:rFonts w:ascii="Arial" w:hAnsi="Arial" w:cs="Arial"/>
          <w:color w:val="2E2E2E"/>
          <w:sz w:val="24"/>
          <w:szCs w:val="24"/>
        </w:rPr>
        <w:t xml:space="preserve"> sufficient to permit recreation of a similar cell line if necessary. </w:t>
      </w:r>
      <w:r w:rsidR="00066CF8" w:rsidRPr="009D7A55">
        <w:rPr>
          <w:rFonts w:ascii="Arial" w:hAnsi="Arial" w:cs="Arial"/>
          <w:color w:val="2E2E2E"/>
          <w:sz w:val="24"/>
          <w:szCs w:val="24"/>
        </w:rPr>
        <w:t>Information pertaining</w:t>
      </w:r>
      <w:r w:rsidRPr="009D7A55">
        <w:rPr>
          <w:rFonts w:ascii="Arial" w:hAnsi="Arial" w:cs="Arial"/>
          <w:color w:val="2E2E2E"/>
          <w:sz w:val="24"/>
          <w:szCs w:val="24"/>
        </w:rPr>
        <w:t xml:space="preserve"> to the cell line should be documented during assay development and </w:t>
      </w:r>
      <w:r w:rsidR="00F539E5" w:rsidRPr="009D7A55">
        <w:rPr>
          <w:rFonts w:ascii="Arial" w:hAnsi="Arial" w:cs="Arial"/>
          <w:color w:val="2E2E2E"/>
          <w:sz w:val="24"/>
          <w:szCs w:val="24"/>
        </w:rPr>
        <w:t>before banking</w:t>
      </w:r>
      <w:r w:rsidRPr="009D7A55">
        <w:rPr>
          <w:rFonts w:ascii="Arial" w:hAnsi="Arial" w:cs="Arial"/>
          <w:color w:val="2E2E2E"/>
          <w:sz w:val="24"/>
          <w:szCs w:val="24"/>
        </w:rPr>
        <w:t>. This information may include but is not limited to identity (e.g., isoenzyme,  phenotypic markers, genetic analysis); morphology (e.g., archived photographic images); purity (e.g., mycoplasma, bacteria, fungus and virus testing); cryopreservation;  thaw and culture conditions (e.g., media components, thaw temperature and method,  methods of propagation, seeding densities, harvest conditions); thaw viability  (immediately after being frozen and after time in storage); growth characteristics (e.g., cell doubling times); and functional stability (e.g., ploidy)</w:t>
      </w:r>
    </w:p>
    <w:p w14:paraId="614B40F1" w14:textId="77777777" w:rsidR="00D67388" w:rsidRPr="002B6015" w:rsidRDefault="00796A8F" w:rsidP="0023374C">
      <w:pPr>
        <w:spacing w:line="360" w:lineRule="auto"/>
        <w:jc w:val="both"/>
        <w:rPr>
          <w:rFonts w:ascii="Arial" w:hAnsi="Arial" w:cs="Arial"/>
          <w:b/>
          <w:sz w:val="24"/>
          <w:szCs w:val="24"/>
          <w:u w:val="single"/>
        </w:rPr>
      </w:pPr>
      <w:r w:rsidRPr="002B6015">
        <w:rPr>
          <w:rFonts w:ascii="Arial" w:hAnsi="Arial" w:cs="Arial"/>
          <w:b/>
          <w:sz w:val="24"/>
          <w:szCs w:val="24"/>
          <w:u w:val="single"/>
        </w:rPr>
        <w:t>STATISTICAL A</w:t>
      </w:r>
      <w:r w:rsidR="002B6015">
        <w:rPr>
          <w:rFonts w:ascii="Arial" w:hAnsi="Arial" w:cs="Arial"/>
          <w:b/>
          <w:sz w:val="24"/>
          <w:szCs w:val="24"/>
          <w:u w:val="single"/>
        </w:rPr>
        <w:t>SPECTS OF BIOASSAY FUNDAMENTALS</w:t>
      </w:r>
    </w:p>
    <w:p w14:paraId="1F073E49" w14:textId="77777777" w:rsidR="003E3CF8" w:rsidRPr="009D7A55" w:rsidRDefault="00796A8F" w:rsidP="0023374C">
      <w:pPr>
        <w:spacing w:line="360" w:lineRule="auto"/>
        <w:jc w:val="both"/>
        <w:rPr>
          <w:rFonts w:ascii="Arial" w:hAnsi="Arial" w:cs="Arial"/>
          <w:color w:val="2E2E2E"/>
          <w:sz w:val="24"/>
          <w:szCs w:val="24"/>
        </w:rPr>
      </w:pPr>
      <w:r w:rsidRPr="009D7A55">
        <w:rPr>
          <w:rFonts w:ascii="Arial" w:hAnsi="Arial" w:cs="Arial"/>
          <w:color w:val="2E2E2E"/>
          <w:sz w:val="24"/>
          <w:szCs w:val="24"/>
        </w:rPr>
        <w:t>The statistical elements of bioassay development include con</w:t>
      </w:r>
      <w:r w:rsidR="006E1A37" w:rsidRPr="009D7A55">
        <w:rPr>
          <w:rFonts w:ascii="Arial" w:hAnsi="Arial" w:cs="Arial"/>
          <w:color w:val="2E2E2E"/>
          <w:sz w:val="24"/>
          <w:szCs w:val="24"/>
        </w:rPr>
        <w:t xml:space="preserve">sideration of data type and </w:t>
      </w:r>
      <w:r w:rsidRPr="009D7A55">
        <w:rPr>
          <w:rFonts w:ascii="Arial" w:hAnsi="Arial" w:cs="Arial"/>
          <w:color w:val="2E2E2E"/>
          <w:sz w:val="24"/>
          <w:szCs w:val="24"/>
        </w:rPr>
        <w:t>the bioassay model, along with statistical criteria for assess</w:t>
      </w:r>
      <w:r w:rsidR="006E1A37" w:rsidRPr="009D7A55">
        <w:rPr>
          <w:rFonts w:ascii="Arial" w:hAnsi="Arial" w:cs="Arial"/>
          <w:color w:val="2E2E2E"/>
          <w:sz w:val="24"/>
          <w:szCs w:val="24"/>
        </w:rPr>
        <w:t>ing and ensuring the quality</w:t>
      </w:r>
      <w:r w:rsidRPr="009D7A55">
        <w:rPr>
          <w:rFonts w:ascii="Arial" w:hAnsi="Arial" w:cs="Arial"/>
          <w:color w:val="2E2E2E"/>
          <w:sz w:val="24"/>
          <w:szCs w:val="24"/>
        </w:rPr>
        <w:t xml:space="preserve"> of bioassay results. These form the framework for the bioas</w:t>
      </w:r>
      <w:r w:rsidR="006E1A37" w:rsidRPr="009D7A55">
        <w:rPr>
          <w:rFonts w:ascii="Arial" w:hAnsi="Arial" w:cs="Arial"/>
          <w:color w:val="2E2E2E"/>
          <w:sz w:val="24"/>
          <w:szCs w:val="24"/>
        </w:rPr>
        <w:t>say system that will be used</w:t>
      </w:r>
      <w:r w:rsidRPr="009D7A55">
        <w:rPr>
          <w:rFonts w:ascii="Arial" w:hAnsi="Arial" w:cs="Arial"/>
          <w:color w:val="2E2E2E"/>
          <w:sz w:val="24"/>
          <w:szCs w:val="24"/>
        </w:rPr>
        <w:t xml:space="preserve"> to estimate the pot</w:t>
      </w:r>
      <w:r w:rsidR="003E3CF8" w:rsidRPr="009D7A55">
        <w:rPr>
          <w:rFonts w:ascii="Arial" w:hAnsi="Arial" w:cs="Arial"/>
          <w:color w:val="2E2E2E"/>
          <w:sz w:val="24"/>
          <w:szCs w:val="24"/>
        </w:rPr>
        <w:t xml:space="preserve">ency of a Test article. </w:t>
      </w:r>
    </w:p>
    <w:p w14:paraId="73ED3D19" w14:textId="77777777" w:rsidR="003E3CF8" w:rsidRPr="009D7A55" w:rsidRDefault="00796A8F" w:rsidP="0023374C">
      <w:pPr>
        <w:spacing w:line="360" w:lineRule="auto"/>
        <w:jc w:val="both"/>
        <w:rPr>
          <w:rFonts w:ascii="Arial" w:hAnsi="Arial" w:cs="Arial"/>
          <w:color w:val="2E2E2E"/>
          <w:sz w:val="24"/>
          <w:szCs w:val="24"/>
        </w:rPr>
      </w:pPr>
      <w:r w:rsidRPr="009D7A55">
        <w:rPr>
          <w:rFonts w:ascii="Arial" w:hAnsi="Arial" w:cs="Arial"/>
          <w:color w:val="2E2E2E"/>
          <w:sz w:val="24"/>
          <w:szCs w:val="24"/>
        </w:rPr>
        <w:t>There are fundamentally two bioassay data typ</w:t>
      </w:r>
      <w:r w:rsidR="003E3CF8" w:rsidRPr="009D7A55">
        <w:rPr>
          <w:rFonts w:ascii="Arial" w:hAnsi="Arial" w:cs="Arial"/>
          <w:color w:val="2E2E2E"/>
          <w:sz w:val="24"/>
          <w:szCs w:val="24"/>
        </w:rPr>
        <w:t>es:</w:t>
      </w:r>
    </w:p>
    <w:p w14:paraId="6F4DEC54" w14:textId="77777777" w:rsidR="002B6015" w:rsidRPr="007F7197" w:rsidRDefault="006E1A37" w:rsidP="0023374C">
      <w:pPr>
        <w:spacing w:line="360" w:lineRule="auto"/>
        <w:jc w:val="both"/>
        <w:rPr>
          <w:rFonts w:ascii="Arial" w:hAnsi="Arial" w:cs="Arial"/>
          <w:b/>
          <w:color w:val="2E2E2E"/>
          <w:sz w:val="24"/>
          <w:szCs w:val="24"/>
        </w:rPr>
      </w:pPr>
      <w:r w:rsidRPr="007F7197">
        <w:rPr>
          <w:rFonts w:ascii="Arial" w:hAnsi="Arial" w:cs="Arial"/>
          <w:b/>
          <w:color w:val="2E2E2E"/>
          <w:sz w:val="24"/>
          <w:szCs w:val="24"/>
        </w:rPr>
        <w:t>Quantitative</w:t>
      </w:r>
      <w:r w:rsidR="003E3CF8" w:rsidRPr="007F7197">
        <w:rPr>
          <w:rFonts w:ascii="Arial" w:hAnsi="Arial" w:cs="Arial"/>
          <w:b/>
          <w:color w:val="2E2E2E"/>
          <w:sz w:val="24"/>
          <w:szCs w:val="24"/>
        </w:rPr>
        <w:t xml:space="preserve"> and </w:t>
      </w:r>
      <w:r w:rsidRPr="007F7197">
        <w:rPr>
          <w:rFonts w:ascii="Arial" w:hAnsi="Arial" w:cs="Arial"/>
          <w:b/>
          <w:color w:val="2E2E2E"/>
          <w:sz w:val="24"/>
          <w:szCs w:val="24"/>
        </w:rPr>
        <w:t>quantal (</w:t>
      </w:r>
      <w:r w:rsidR="007F7197" w:rsidRPr="007F7197">
        <w:rPr>
          <w:rFonts w:ascii="Arial" w:hAnsi="Arial" w:cs="Arial"/>
          <w:b/>
          <w:color w:val="2E2E2E"/>
          <w:sz w:val="24"/>
          <w:szCs w:val="24"/>
        </w:rPr>
        <w:t>categorical)</w:t>
      </w:r>
      <w:r w:rsidR="00796A8F" w:rsidRPr="007F7197">
        <w:rPr>
          <w:rFonts w:ascii="Arial" w:hAnsi="Arial" w:cs="Arial"/>
          <w:b/>
          <w:color w:val="2E2E2E"/>
          <w:sz w:val="24"/>
          <w:szCs w:val="24"/>
        </w:rPr>
        <w:t xml:space="preserve"> </w:t>
      </w:r>
    </w:p>
    <w:p w14:paraId="1B704349" w14:textId="77777777" w:rsidR="00DF1731" w:rsidRPr="009D7A55" w:rsidRDefault="00796A8F" w:rsidP="0023374C">
      <w:pPr>
        <w:spacing w:line="360" w:lineRule="auto"/>
        <w:jc w:val="both"/>
        <w:rPr>
          <w:rFonts w:ascii="Arial" w:hAnsi="Arial" w:cs="Arial"/>
          <w:color w:val="2E2E2E"/>
          <w:sz w:val="24"/>
          <w:szCs w:val="24"/>
        </w:rPr>
      </w:pPr>
      <w:r w:rsidRPr="007F7197">
        <w:rPr>
          <w:rFonts w:ascii="Arial" w:hAnsi="Arial" w:cs="Arial"/>
          <w:b/>
          <w:color w:val="2E2E2E"/>
          <w:sz w:val="24"/>
          <w:szCs w:val="24"/>
        </w:rPr>
        <w:t>Quantitative data</w:t>
      </w:r>
      <w:r w:rsidRPr="009D7A55">
        <w:rPr>
          <w:rFonts w:ascii="Arial" w:hAnsi="Arial" w:cs="Arial"/>
          <w:color w:val="2E2E2E"/>
          <w:sz w:val="24"/>
          <w:szCs w:val="24"/>
        </w:rPr>
        <w:t xml:space="preserve"> can be either continu</w:t>
      </w:r>
      <w:r w:rsidR="00AE2775" w:rsidRPr="009D7A55">
        <w:rPr>
          <w:rFonts w:ascii="Arial" w:hAnsi="Arial" w:cs="Arial"/>
          <w:color w:val="2E2E2E"/>
          <w:sz w:val="24"/>
          <w:szCs w:val="24"/>
        </w:rPr>
        <w:t>ous (e.g., collected from an</w:t>
      </w:r>
      <w:r w:rsidRPr="009D7A55">
        <w:rPr>
          <w:rFonts w:ascii="Arial" w:hAnsi="Arial" w:cs="Arial"/>
          <w:color w:val="2E2E2E"/>
          <w:sz w:val="24"/>
          <w:szCs w:val="24"/>
        </w:rPr>
        <w:t xml:space="preserve"> instrument), counts (e.g., plaque-forming units), or discre</w:t>
      </w:r>
      <w:r w:rsidR="00AE2775" w:rsidRPr="009D7A55">
        <w:rPr>
          <w:rFonts w:ascii="Arial" w:hAnsi="Arial" w:cs="Arial"/>
          <w:color w:val="2E2E2E"/>
          <w:sz w:val="24"/>
          <w:szCs w:val="24"/>
        </w:rPr>
        <w:t xml:space="preserve">te (e.g., endpoint dilution </w:t>
      </w:r>
      <w:r w:rsidR="008143A9" w:rsidRPr="009D7A55">
        <w:rPr>
          <w:rFonts w:ascii="Arial" w:hAnsi="Arial" w:cs="Arial"/>
          <w:color w:val="2E2E2E"/>
          <w:sz w:val="24"/>
          <w:szCs w:val="24"/>
        </w:rPr>
        <w:t>titres</w:t>
      </w:r>
      <w:r w:rsidRPr="009D7A55">
        <w:rPr>
          <w:rFonts w:ascii="Arial" w:hAnsi="Arial" w:cs="Arial"/>
          <w:color w:val="2E2E2E"/>
          <w:sz w:val="24"/>
          <w:szCs w:val="24"/>
        </w:rPr>
        <w:t xml:space="preserve">). </w:t>
      </w:r>
    </w:p>
    <w:p w14:paraId="3CD2093B" w14:textId="77777777" w:rsidR="00DF1731" w:rsidRPr="009D7A55" w:rsidRDefault="00796A8F" w:rsidP="0023374C">
      <w:pPr>
        <w:spacing w:line="360" w:lineRule="auto"/>
        <w:jc w:val="both"/>
        <w:rPr>
          <w:rFonts w:ascii="Arial" w:hAnsi="Arial" w:cs="Arial"/>
          <w:color w:val="2E2E2E"/>
          <w:sz w:val="24"/>
          <w:szCs w:val="24"/>
        </w:rPr>
      </w:pPr>
      <w:r w:rsidRPr="007F7197">
        <w:rPr>
          <w:rFonts w:ascii="Arial" w:hAnsi="Arial" w:cs="Arial"/>
          <w:b/>
          <w:color w:val="2E2E2E"/>
          <w:sz w:val="24"/>
          <w:szCs w:val="24"/>
        </w:rPr>
        <w:t>Quantal data</w:t>
      </w:r>
      <w:r w:rsidRPr="009D7A55">
        <w:rPr>
          <w:rFonts w:ascii="Arial" w:hAnsi="Arial" w:cs="Arial"/>
          <w:color w:val="2E2E2E"/>
          <w:sz w:val="24"/>
          <w:szCs w:val="24"/>
        </w:rPr>
        <w:t xml:space="preserve"> are typically dichotomous, e.g., surv</w:t>
      </w:r>
      <w:r w:rsidR="00AE2775" w:rsidRPr="009D7A55">
        <w:rPr>
          <w:rFonts w:ascii="Arial" w:hAnsi="Arial" w:cs="Arial"/>
          <w:color w:val="2E2E2E"/>
          <w:sz w:val="24"/>
          <w:szCs w:val="24"/>
        </w:rPr>
        <w:t>ival in an animal model that</w:t>
      </w:r>
      <w:r w:rsidRPr="009D7A55">
        <w:rPr>
          <w:rFonts w:ascii="Arial" w:hAnsi="Arial" w:cs="Arial"/>
          <w:color w:val="2E2E2E"/>
          <w:sz w:val="24"/>
          <w:szCs w:val="24"/>
        </w:rPr>
        <w:t xml:space="preserve"> uses challenge with a pathogen to measure the protection a</w:t>
      </w:r>
      <w:r w:rsidR="00AE2775" w:rsidRPr="009D7A55">
        <w:rPr>
          <w:rFonts w:ascii="Arial" w:hAnsi="Arial" w:cs="Arial"/>
          <w:color w:val="2E2E2E"/>
          <w:sz w:val="24"/>
          <w:szCs w:val="24"/>
        </w:rPr>
        <w:t xml:space="preserve">fforded by a Test article or </w:t>
      </w:r>
      <w:r w:rsidR="00AE2775" w:rsidRPr="009D7A55">
        <w:rPr>
          <w:rFonts w:ascii="Arial" w:hAnsi="Arial" w:cs="Arial"/>
          <w:color w:val="2E2E2E"/>
          <w:sz w:val="24"/>
          <w:szCs w:val="24"/>
        </w:rPr>
        <w:lastRenderedPageBreak/>
        <w:t>positivity</w:t>
      </w:r>
      <w:r w:rsidRPr="009D7A55">
        <w:rPr>
          <w:rFonts w:ascii="Arial" w:hAnsi="Arial" w:cs="Arial"/>
          <w:color w:val="2E2E2E"/>
          <w:sz w:val="24"/>
          <w:szCs w:val="24"/>
        </w:rPr>
        <w:t xml:space="preserve"> in a plate-based infectivity assay </w:t>
      </w:r>
      <w:r w:rsidR="00AE2775" w:rsidRPr="009D7A55">
        <w:rPr>
          <w:rFonts w:ascii="Arial" w:hAnsi="Arial" w:cs="Arial"/>
          <w:color w:val="2E2E2E"/>
          <w:sz w:val="24"/>
          <w:szCs w:val="24"/>
        </w:rPr>
        <w:t>those results</w:t>
      </w:r>
      <w:r w:rsidRPr="009D7A55">
        <w:rPr>
          <w:rFonts w:ascii="Arial" w:hAnsi="Arial" w:cs="Arial"/>
          <w:color w:val="2E2E2E"/>
          <w:sz w:val="24"/>
          <w:szCs w:val="24"/>
        </w:rPr>
        <w:t xml:space="preserve"> in des</w:t>
      </w:r>
      <w:r w:rsidR="00AE2775" w:rsidRPr="009D7A55">
        <w:rPr>
          <w:rFonts w:ascii="Arial" w:hAnsi="Arial" w:cs="Arial"/>
          <w:color w:val="2E2E2E"/>
          <w:sz w:val="24"/>
          <w:szCs w:val="24"/>
        </w:rPr>
        <w:t>truction of a cell monolayer</w:t>
      </w:r>
      <w:r w:rsidRPr="009D7A55">
        <w:rPr>
          <w:rFonts w:ascii="Arial" w:hAnsi="Arial" w:cs="Arial"/>
          <w:color w:val="2E2E2E"/>
          <w:sz w:val="24"/>
          <w:szCs w:val="24"/>
        </w:rPr>
        <w:t xml:space="preserve"> following administration of an infectious agent. </w:t>
      </w:r>
    </w:p>
    <w:p w14:paraId="60B901BC" w14:textId="7FD15781" w:rsidR="00796A8F" w:rsidRPr="009D7A55" w:rsidRDefault="00796A8F" w:rsidP="0023374C">
      <w:pPr>
        <w:spacing w:line="360" w:lineRule="auto"/>
        <w:jc w:val="both"/>
        <w:rPr>
          <w:rFonts w:ascii="Arial" w:hAnsi="Arial" w:cs="Arial"/>
          <w:color w:val="2E2E2E"/>
          <w:sz w:val="24"/>
          <w:szCs w:val="24"/>
        </w:rPr>
      </w:pPr>
      <w:r w:rsidRPr="009D7A55">
        <w:rPr>
          <w:rFonts w:ascii="Arial" w:hAnsi="Arial" w:cs="Arial"/>
          <w:color w:val="2E2E2E"/>
          <w:sz w:val="24"/>
          <w:szCs w:val="24"/>
        </w:rPr>
        <w:t>Quantitativ</w:t>
      </w:r>
      <w:r w:rsidR="00AE2775" w:rsidRPr="009D7A55">
        <w:rPr>
          <w:rFonts w:ascii="Arial" w:hAnsi="Arial" w:cs="Arial"/>
          <w:color w:val="2E2E2E"/>
          <w:sz w:val="24"/>
          <w:szCs w:val="24"/>
        </w:rPr>
        <w:t>e data can be transformed to</w:t>
      </w:r>
      <w:r w:rsidRPr="009D7A55">
        <w:rPr>
          <w:rFonts w:ascii="Arial" w:hAnsi="Arial" w:cs="Arial"/>
          <w:color w:val="2E2E2E"/>
          <w:sz w:val="24"/>
          <w:szCs w:val="24"/>
        </w:rPr>
        <w:t xml:space="preserve"> quantal data by selecting a threshold that statistically disti</w:t>
      </w:r>
      <w:r w:rsidR="00AE2775" w:rsidRPr="009D7A55">
        <w:rPr>
          <w:rFonts w:ascii="Arial" w:hAnsi="Arial" w:cs="Arial"/>
          <w:color w:val="2E2E2E"/>
          <w:sz w:val="24"/>
          <w:szCs w:val="24"/>
        </w:rPr>
        <w:t>nguishes a positive response</w:t>
      </w:r>
      <w:r w:rsidRPr="009D7A55">
        <w:rPr>
          <w:rFonts w:ascii="Arial" w:hAnsi="Arial" w:cs="Arial"/>
          <w:color w:val="2E2E2E"/>
          <w:sz w:val="24"/>
          <w:szCs w:val="24"/>
        </w:rPr>
        <w:t xml:space="preserve"> from a negative response. Such a threshold can be calcul</w:t>
      </w:r>
      <w:r w:rsidR="00AE2775" w:rsidRPr="009D7A55">
        <w:rPr>
          <w:rFonts w:ascii="Arial" w:hAnsi="Arial" w:cs="Arial"/>
          <w:color w:val="2E2E2E"/>
          <w:sz w:val="24"/>
          <w:szCs w:val="24"/>
        </w:rPr>
        <w:t>ated from data acquired from</w:t>
      </w:r>
      <w:r w:rsidRPr="009D7A55">
        <w:rPr>
          <w:rFonts w:ascii="Arial" w:hAnsi="Arial" w:cs="Arial"/>
          <w:color w:val="2E2E2E"/>
          <w:sz w:val="24"/>
          <w:szCs w:val="24"/>
        </w:rPr>
        <w:t xml:space="preserve"> a negative control, e.g., adding (or subtracting) a measure of uncertainty, su</w:t>
      </w:r>
      <w:r w:rsidR="00AE2775" w:rsidRPr="009D7A55">
        <w:rPr>
          <w:rFonts w:ascii="Arial" w:hAnsi="Arial" w:cs="Arial"/>
          <w:color w:val="2E2E2E"/>
          <w:sz w:val="24"/>
          <w:szCs w:val="24"/>
        </w:rPr>
        <w:t>ch as two</w:t>
      </w:r>
      <w:r w:rsidRPr="009D7A55">
        <w:rPr>
          <w:rFonts w:ascii="Arial" w:hAnsi="Arial" w:cs="Arial"/>
          <w:color w:val="2E2E2E"/>
          <w:sz w:val="24"/>
          <w:szCs w:val="24"/>
        </w:rPr>
        <w:t xml:space="preserve"> times the standard deviation of negative control respon</w:t>
      </w:r>
      <w:r w:rsidR="00AE2775" w:rsidRPr="009D7A55">
        <w:rPr>
          <w:rFonts w:ascii="Arial" w:hAnsi="Arial" w:cs="Arial"/>
          <w:color w:val="2E2E2E"/>
          <w:sz w:val="24"/>
          <w:szCs w:val="24"/>
        </w:rPr>
        <w:t>ses, to the negative control</w:t>
      </w:r>
      <w:r w:rsidRPr="009D7A55">
        <w:rPr>
          <w:rFonts w:ascii="Arial" w:hAnsi="Arial" w:cs="Arial"/>
          <w:color w:val="2E2E2E"/>
          <w:sz w:val="24"/>
          <w:szCs w:val="24"/>
        </w:rPr>
        <w:t xml:space="preserve"> average. Analysts should be cautious about transforming </w:t>
      </w:r>
      <w:r w:rsidR="00AE2775" w:rsidRPr="009D7A55">
        <w:rPr>
          <w:rFonts w:ascii="Arial" w:hAnsi="Arial" w:cs="Arial"/>
          <w:color w:val="2E2E2E"/>
          <w:sz w:val="24"/>
          <w:szCs w:val="24"/>
        </w:rPr>
        <w:t>quantitative data to quantal</w:t>
      </w:r>
      <w:r w:rsidRPr="009D7A55">
        <w:rPr>
          <w:rFonts w:ascii="Arial" w:hAnsi="Arial" w:cs="Arial"/>
          <w:color w:val="2E2E2E"/>
          <w:sz w:val="24"/>
          <w:szCs w:val="24"/>
        </w:rPr>
        <w:t xml:space="preserve"> data because this results in a loss of information that may affec</w:t>
      </w:r>
      <w:r w:rsidR="00AE2775" w:rsidRPr="009D7A55">
        <w:rPr>
          <w:rFonts w:ascii="Arial" w:hAnsi="Arial" w:cs="Arial"/>
          <w:color w:val="2E2E2E"/>
          <w:sz w:val="24"/>
          <w:szCs w:val="24"/>
        </w:rPr>
        <w:t>t bioassay</w:t>
      </w:r>
      <w:r w:rsidRPr="009D7A55">
        <w:rPr>
          <w:rFonts w:ascii="Arial" w:hAnsi="Arial" w:cs="Arial"/>
          <w:color w:val="2E2E2E"/>
          <w:sz w:val="24"/>
          <w:szCs w:val="24"/>
        </w:rPr>
        <w:t xml:space="preserve"> measurement</w:t>
      </w:r>
      <w:r w:rsidR="00211F7A">
        <w:rPr>
          <w:rFonts w:ascii="Arial" w:hAnsi="Arial" w:cs="Arial"/>
          <w:color w:val="2E2E2E"/>
          <w:sz w:val="24"/>
          <w:szCs w:val="24"/>
        </w:rPr>
        <w:t xml:space="preserve"> (</w:t>
      </w:r>
      <w:r w:rsidR="00211F7A" w:rsidRPr="00211F7A">
        <w:rPr>
          <w:rFonts w:ascii="Arial" w:hAnsi="Arial" w:cs="Arial"/>
          <w:i/>
          <w:iCs/>
          <w:color w:val="2E2E2E"/>
          <w:sz w:val="24"/>
          <w:szCs w:val="24"/>
        </w:rPr>
        <w:t>Ref USP Chapter 1032</w:t>
      </w:r>
      <w:r w:rsidR="00211F7A">
        <w:rPr>
          <w:rFonts w:ascii="Arial" w:hAnsi="Arial" w:cs="Arial"/>
          <w:color w:val="2E2E2E"/>
          <w:sz w:val="24"/>
          <w:szCs w:val="24"/>
        </w:rPr>
        <w:t>)</w:t>
      </w:r>
      <w:r w:rsidRPr="009D7A55">
        <w:rPr>
          <w:rFonts w:ascii="Arial" w:hAnsi="Arial" w:cs="Arial"/>
          <w:color w:val="2E2E2E"/>
          <w:sz w:val="24"/>
          <w:szCs w:val="24"/>
        </w:rPr>
        <w:t>.</w:t>
      </w:r>
    </w:p>
    <w:p w14:paraId="34847951" w14:textId="77777777" w:rsidR="00970A99" w:rsidRPr="009D7A55" w:rsidRDefault="00654D48" w:rsidP="0023374C">
      <w:pPr>
        <w:spacing w:line="360" w:lineRule="auto"/>
        <w:jc w:val="both"/>
        <w:rPr>
          <w:rFonts w:ascii="Arial" w:hAnsi="Arial" w:cs="Arial"/>
          <w:b/>
          <w:color w:val="2E2E2E"/>
          <w:sz w:val="24"/>
          <w:szCs w:val="24"/>
          <w:u w:val="single"/>
        </w:rPr>
      </w:pPr>
      <w:r w:rsidRPr="009D7A55">
        <w:rPr>
          <w:rFonts w:ascii="Arial" w:hAnsi="Arial" w:cs="Arial"/>
          <w:b/>
          <w:color w:val="2E2E2E"/>
          <w:sz w:val="24"/>
          <w:szCs w:val="24"/>
          <w:u w:val="single"/>
        </w:rPr>
        <w:t>BIOANALYTICAL METHOD VALIDATION GUIDING PRINCIPLE:</w:t>
      </w:r>
    </w:p>
    <w:p w14:paraId="592EE11B" w14:textId="77777777" w:rsidR="00D67388" w:rsidRPr="009D7A55" w:rsidRDefault="00654D48" w:rsidP="0023374C">
      <w:pPr>
        <w:spacing w:line="360" w:lineRule="auto"/>
        <w:jc w:val="both"/>
        <w:rPr>
          <w:rFonts w:ascii="Arial" w:hAnsi="Arial" w:cs="Arial"/>
          <w:color w:val="2E2E2E"/>
          <w:sz w:val="24"/>
          <w:szCs w:val="24"/>
        </w:rPr>
      </w:pPr>
      <w:r w:rsidRPr="009D7A55">
        <w:rPr>
          <w:rFonts w:ascii="Arial" w:hAnsi="Arial" w:cs="Arial"/>
          <w:color w:val="2E2E2E"/>
          <w:sz w:val="24"/>
          <w:szCs w:val="24"/>
        </w:rPr>
        <w:t>The purpose of bioanalytical method development is to define the design, operating conditions, limitations, and suitability of the method for its intended purpose and to ensure that the method is optimized for validation.</w:t>
      </w:r>
    </w:p>
    <w:p w14:paraId="767EA9FD" w14:textId="77777777" w:rsidR="00133DCA" w:rsidRPr="009D7A55" w:rsidRDefault="00654D48" w:rsidP="0023374C">
      <w:pPr>
        <w:spacing w:line="360" w:lineRule="auto"/>
        <w:jc w:val="both"/>
        <w:rPr>
          <w:rFonts w:ascii="Arial" w:hAnsi="Arial" w:cs="Arial"/>
          <w:color w:val="2E2E2E"/>
          <w:sz w:val="24"/>
          <w:szCs w:val="24"/>
        </w:rPr>
      </w:pPr>
      <w:r w:rsidRPr="009D7A55">
        <w:rPr>
          <w:rFonts w:ascii="Arial" w:hAnsi="Arial" w:cs="Arial"/>
          <w:color w:val="2E2E2E"/>
          <w:sz w:val="24"/>
          <w:szCs w:val="24"/>
        </w:rPr>
        <w:t>Method development involves optimizing the procedures and conditions involved with extracting and detecting the analyte. Method development includes the optimization of the following bioanalytical parameters to ensure that the method is suitable for validation:</w:t>
      </w:r>
    </w:p>
    <w:p w14:paraId="744C3F4D" w14:textId="77777777" w:rsidR="00133DCA" w:rsidRPr="009D7A55" w:rsidRDefault="00654D48"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 • Reference standards </w:t>
      </w:r>
    </w:p>
    <w:p w14:paraId="2C25587F" w14:textId="77777777" w:rsidR="00133DCA" w:rsidRPr="009D7A55" w:rsidRDefault="00654D48"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 Critical reagents </w:t>
      </w:r>
    </w:p>
    <w:p w14:paraId="2FC0CCCA" w14:textId="77777777" w:rsidR="00133DCA" w:rsidRPr="009D7A55" w:rsidRDefault="00654D48"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Calibration curve</w:t>
      </w:r>
    </w:p>
    <w:p w14:paraId="127D3442" w14:textId="77777777" w:rsidR="00133DCA" w:rsidRPr="009D7A55" w:rsidRDefault="00654D48"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 • Quality control samples (QCs) </w:t>
      </w:r>
    </w:p>
    <w:p w14:paraId="684A7767" w14:textId="77777777" w:rsidR="00133DCA" w:rsidRPr="009D7A55" w:rsidRDefault="00654D48"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 Selectivity and specificity </w:t>
      </w:r>
    </w:p>
    <w:p w14:paraId="0BD3A9CD" w14:textId="77777777" w:rsidR="00133DCA" w:rsidRPr="009D7A55" w:rsidRDefault="00654D48"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 Sensitivity </w:t>
      </w:r>
    </w:p>
    <w:p w14:paraId="5225C8DB" w14:textId="77777777" w:rsidR="00133DCA" w:rsidRPr="009D7A55" w:rsidRDefault="00654D48"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Accuracy</w:t>
      </w:r>
    </w:p>
    <w:p w14:paraId="0E9759EB" w14:textId="77777777" w:rsidR="00133DCA" w:rsidRPr="009D7A55" w:rsidRDefault="00654D48"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 • Precision</w:t>
      </w:r>
    </w:p>
    <w:p w14:paraId="5F615679" w14:textId="77777777" w:rsidR="00133DCA" w:rsidRPr="009D7A55" w:rsidRDefault="00654D48"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 • Recovery </w:t>
      </w:r>
    </w:p>
    <w:p w14:paraId="343F5273" w14:textId="77777777" w:rsidR="00133DCA" w:rsidRPr="009D7A55" w:rsidRDefault="00654D48"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 Stability of the analyte in the matrix </w:t>
      </w:r>
    </w:p>
    <w:p w14:paraId="7C4ACE3B" w14:textId="77777777" w:rsidR="001B4E5E" w:rsidRDefault="001B4E5E" w:rsidP="0023374C">
      <w:pPr>
        <w:spacing w:line="360" w:lineRule="auto"/>
        <w:jc w:val="both"/>
        <w:rPr>
          <w:rFonts w:ascii="Arial" w:hAnsi="Arial" w:cs="Arial"/>
          <w:color w:val="2E2E2E"/>
          <w:sz w:val="24"/>
          <w:szCs w:val="24"/>
        </w:rPr>
      </w:pPr>
    </w:p>
    <w:p w14:paraId="5CD6A013" w14:textId="36CF599D" w:rsidR="001B4E5E" w:rsidRDefault="00654D48" w:rsidP="0023374C">
      <w:pPr>
        <w:spacing w:line="360" w:lineRule="auto"/>
        <w:jc w:val="both"/>
        <w:rPr>
          <w:rFonts w:ascii="Arial" w:hAnsi="Arial" w:cs="Arial"/>
          <w:color w:val="2E2E2E"/>
          <w:sz w:val="24"/>
          <w:szCs w:val="24"/>
        </w:rPr>
      </w:pPr>
      <w:r w:rsidRPr="009D7A55">
        <w:rPr>
          <w:rFonts w:ascii="Arial" w:hAnsi="Arial" w:cs="Arial"/>
          <w:color w:val="2E2E2E"/>
          <w:sz w:val="24"/>
          <w:szCs w:val="24"/>
        </w:rPr>
        <w:lastRenderedPageBreak/>
        <w:t>Bioanalytical method development does not require exten</w:t>
      </w:r>
      <w:r w:rsidR="001B4E5E">
        <w:rPr>
          <w:rFonts w:ascii="Arial" w:hAnsi="Arial" w:cs="Arial"/>
          <w:color w:val="2E2E2E"/>
          <w:sz w:val="24"/>
          <w:szCs w:val="24"/>
        </w:rPr>
        <w:t xml:space="preserve">sive record keeping or notation. </w:t>
      </w:r>
      <w:r w:rsidR="00EB1212" w:rsidRPr="009D7A55">
        <w:rPr>
          <w:rFonts w:ascii="Arial" w:hAnsi="Arial" w:cs="Arial"/>
          <w:color w:val="2E2E2E"/>
          <w:sz w:val="24"/>
          <w:szCs w:val="24"/>
        </w:rPr>
        <w:t>Bioanalytical method validation proves that the optimized method is suited to the analysis of the study samples</w:t>
      </w:r>
      <w:r w:rsidR="00211F7A">
        <w:rPr>
          <w:rFonts w:ascii="Arial" w:hAnsi="Arial" w:cs="Arial"/>
          <w:color w:val="2E2E2E"/>
          <w:sz w:val="24"/>
          <w:szCs w:val="24"/>
        </w:rPr>
        <w:t xml:space="preserve"> (</w:t>
      </w:r>
      <w:r w:rsidR="00211F7A" w:rsidRPr="00211F7A">
        <w:rPr>
          <w:rFonts w:ascii="Arial" w:hAnsi="Arial" w:cs="Arial"/>
          <w:i/>
          <w:iCs/>
          <w:color w:val="2E2E2E"/>
          <w:sz w:val="24"/>
          <w:szCs w:val="24"/>
        </w:rPr>
        <w:t>Ref may 2018 biopharmaceuticals 05/24/18</w:t>
      </w:r>
      <w:r w:rsidR="00211F7A">
        <w:rPr>
          <w:rFonts w:ascii="Arial" w:hAnsi="Arial" w:cs="Arial"/>
          <w:color w:val="2E2E2E"/>
          <w:sz w:val="24"/>
          <w:szCs w:val="24"/>
        </w:rPr>
        <w:t>)</w:t>
      </w:r>
      <w:r w:rsidR="00EB1212" w:rsidRPr="009D7A55">
        <w:rPr>
          <w:rFonts w:ascii="Arial" w:hAnsi="Arial" w:cs="Arial"/>
          <w:color w:val="2E2E2E"/>
          <w:sz w:val="24"/>
          <w:szCs w:val="24"/>
        </w:rPr>
        <w:t xml:space="preserve">. </w:t>
      </w:r>
    </w:p>
    <w:p w14:paraId="30C7CF72" w14:textId="77777777" w:rsidR="00D67388" w:rsidRPr="009D7A55" w:rsidRDefault="00EB1212" w:rsidP="0023374C">
      <w:pPr>
        <w:spacing w:line="360" w:lineRule="auto"/>
        <w:jc w:val="both"/>
        <w:rPr>
          <w:rFonts w:ascii="Arial" w:hAnsi="Arial" w:cs="Arial"/>
          <w:color w:val="2E2E2E"/>
          <w:sz w:val="24"/>
          <w:szCs w:val="24"/>
        </w:rPr>
      </w:pPr>
      <w:r w:rsidRPr="009D7A55">
        <w:rPr>
          <w:rFonts w:ascii="Arial" w:hAnsi="Arial" w:cs="Arial"/>
          <w:color w:val="2E2E2E"/>
          <w:sz w:val="24"/>
          <w:szCs w:val="24"/>
        </w:rPr>
        <w:t>The sponsor should:</w:t>
      </w:r>
    </w:p>
    <w:p w14:paraId="7C6E1A62" w14:textId="77777777" w:rsidR="00F842A4" w:rsidRPr="009D7A55" w:rsidRDefault="006C781B" w:rsidP="001B4E5E">
      <w:pPr>
        <w:numPr>
          <w:ilvl w:val="0"/>
          <w:numId w:val="5"/>
        </w:numPr>
        <w:spacing w:line="360" w:lineRule="auto"/>
        <w:ind w:left="90"/>
        <w:jc w:val="both"/>
        <w:rPr>
          <w:rFonts w:ascii="Arial" w:hAnsi="Arial" w:cs="Arial"/>
          <w:color w:val="2E2E2E"/>
          <w:sz w:val="24"/>
          <w:szCs w:val="24"/>
        </w:rPr>
      </w:pPr>
      <w:r w:rsidRPr="009D7A55">
        <w:rPr>
          <w:rFonts w:ascii="Arial" w:hAnsi="Arial" w:cs="Arial"/>
          <w:color w:val="2E2E2E"/>
          <w:sz w:val="24"/>
          <w:szCs w:val="24"/>
        </w:rPr>
        <w:t xml:space="preserve">Conduct a full validation of any new bioanalytical method for the analysis of a new drug entity, its metabolite(s), or biomarkers. </w:t>
      </w:r>
    </w:p>
    <w:p w14:paraId="26F716DE" w14:textId="77777777" w:rsidR="00F842A4" w:rsidRPr="009D7A55" w:rsidRDefault="006C781B" w:rsidP="001B4E5E">
      <w:pPr>
        <w:numPr>
          <w:ilvl w:val="0"/>
          <w:numId w:val="5"/>
        </w:numPr>
        <w:spacing w:line="360" w:lineRule="auto"/>
        <w:ind w:left="90"/>
        <w:jc w:val="both"/>
        <w:rPr>
          <w:rFonts w:ascii="Arial" w:hAnsi="Arial" w:cs="Arial"/>
          <w:color w:val="2E2E2E"/>
          <w:sz w:val="24"/>
          <w:szCs w:val="24"/>
        </w:rPr>
      </w:pPr>
      <w:r w:rsidRPr="009D7A55">
        <w:rPr>
          <w:rFonts w:ascii="Arial" w:hAnsi="Arial" w:cs="Arial"/>
          <w:color w:val="2E2E2E"/>
          <w:sz w:val="24"/>
          <w:szCs w:val="24"/>
        </w:rPr>
        <w:t>Conduct a full validation for any revisions to an existing validated method that adds a metabolite or an additional analyte.</w:t>
      </w:r>
    </w:p>
    <w:p w14:paraId="70350076" w14:textId="77777777" w:rsidR="00F842A4" w:rsidRPr="009D7A55" w:rsidRDefault="006C781B" w:rsidP="001B4E5E">
      <w:pPr>
        <w:numPr>
          <w:ilvl w:val="0"/>
          <w:numId w:val="5"/>
        </w:numPr>
        <w:spacing w:line="360" w:lineRule="auto"/>
        <w:ind w:left="90"/>
        <w:jc w:val="both"/>
        <w:rPr>
          <w:rFonts w:ascii="Arial" w:hAnsi="Arial" w:cs="Arial"/>
          <w:color w:val="2E2E2E"/>
          <w:sz w:val="24"/>
          <w:szCs w:val="24"/>
        </w:rPr>
      </w:pPr>
      <w:r w:rsidRPr="009D7A55">
        <w:rPr>
          <w:rFonts w:ascii="Arial" w:hAnsi="Arial" w:cs="Arial"/>
          <w:color w:val="2E2E2E"/>
          <w:sz w:val="24"/>
          <w:szCs w:val="24"/>
        </w:rPr>
        <w:t>Establish a detailed, written description (e.g., protocol, study plan, and/or standard operating procedure (SOP)) for the bioanalytical method before initiating validation. The description should identify procedures that control critical parameters in the method (e.g., environmental, matrix, procedural variables) from the time of collection of the samples to the time of analysis to minimize their effects on the measurement of the analyte in the matrix.</w:t>
      </w:r>
    </w:p>
    <w:p w14:paraId="3C5FA973" w14:textId="77777777" w:rsidR="00F842A4" w:rsidRPr="009D7A55" w:rsidRDefault="006C781B" w:rsidP="001B4E5E">
      <w:pPr>
        <w:numPr>
          <w:ilvl w:val="0"/>
          <w:numId w:val="5"/>
        </w:numPr>
        <w:spacing w:line="360" w:lineRule="auto"/>
        <w:ind w:left="90"/>
        <w:jc w:val="both"/>
        <w:rPr>
          <w:rFonts w:ascii="Arial" w:hAnsi="Arial" w:cs="Arial"/>
          <w:color w:val="2E2E2E"/>
          <w:sz w:val="24"/>
          <w:szCs w:val="24"/>
        </w:rPr>
      </w:pPr>
      <w:r w:rsidRPr="009D7A55">
        <w:rPr>
          <w:rFonts w:ascii="Arial" w:hAnsi="Arial" w:cs="Arial"/>
          <w:color w:val="2E2E2E"/>
          <w:sz w:val="24"/>
          <w:szCs w:val="24"/>
        </w:rPr>
        <w:t xml:space="preserve">Document and report (in the method validation report) all experiments used to make claims or draw conclusions about the validity of the method. </w:t>
      </w:r>
    </w:p>
    <w:p w14:paraId="3CF480E9" w14:textId="77777777" w:rsidR="00EB1212" w:rsidRPr="009D7A55" w:rsidRDefault="006C781B" w:rsidP="001B4E5E">
      <w:pPr>
        <w:numPr>
          <w:ilvl w:val="0"/>
          <w:numId w:val="5"/>
        </w:numPr>
        <w:spacing w:line="360" w:lineRule="auto"/>
        <w:ind w:left="90"/>
        <w:jc w:val="both"/>
        <w:rPr>
          <w:rFonts w:ascii="Arial" w:hAnsi="Arial" w:cs="Arial"/>
          <w:color w:val="2E2E2E"/>
          <w:sz w:val="24"/>
          <w:szCs w:val="24"/>
        </w:rPr>
      </w:pPr>
      <w:r w:rsidRPr="009D7A55">
        <w:rPr>
          <w:rFonts w:ascii="Arial" w:hAnsi="Arial" w:cs="Arial"/>
          <w:color w:val="2E2E2E"/>
          <w:sz w:val="24"/>
          <w:szCs w:val="24"/>
        </w:rPr>
        <w:t>Validate the measurement of each analyte in the biological matrix</w:t>
      </w:r>
      <w:r w:rsidR="00F12AAF" w:rsidRPr="009D7A55">
        <w:rPr>
          <w:rFonts w:ascii="Arial" w:hAnsi="Arial" w:cs="Arial"/>
          <w:color w:val="2E2E2E"/>
          <w:sz w:val="24"/>
          <w:szCs w:val="24"/>
        </w:rPr>
        <w:t>.</w:t>
      </w:r>
    </w:p>
    <w:p w14:paraId="0B024636" w14:textId="77777777" w:rsidR="007F2863" w:rsidRDefault="007F2863" w:rsidP="0023374C">
      <w:pPr>
        <w:spacing w:line="360" w:lineRule="auto"/>
        <w:jc w:val="both"/>
        <w:rPr>
          <w:rFonts w:ascii="Arial" w:hAnsi="Arial" w:cs="Arial"/>
          <w:b/>
          <w:color w:val="2E2E2E"/>
          <w:sz w:val="24"/>
          <w:szCs w:val="24"/>
        </w:rPr>
      </w:pPr>
    </w:p>
    <w:p w14:paraId="714C37BE" w14:textId="77777777" w:rsidR="00F12AAF" w:rsidRPr="00A340D7" w:rsidRDefault="00F12AAF" w:rsidP="0023374C">
      <w:pPr>
        <w:spacing w:line="360" w:lineRule="auto"/>
        <w:jc w:val="both"/>
        <w:rPr>
          <w:rFonts w:ascii="Arial" w:hAnsi="Arial" w:cs="Arial"/>
          <w:b/>
          <w:color w:val="2E2E2E"/>
          <w:sz w:val="24"/>
          <w:szCs w:val="24"/>
          <w:u w:val="single"/>
        </w:rPr>
      </w:pPr>
      <w:r w:rsidRPr="00A340D7">
        <w:rPr>
          <w:rFonts w:ascii="Arial" w:hAnsi="Arial" w:cs="Arial"/>
          <w:b/>
          <w:color w:val="2E2E2E"/>
          <w:sz w:val="24"/>
          <w:szCs w:val="24"/>
          <w:u w:val="single"/>
        </w:rPr>
        <w:t>BIOANALYTICAL PARAMETER THAT PLAYS CRITICAL ROLES IN METHOD VALIDATION OF BIOLOGICAL ASSAYS</w:t>
      </w:r>
      <w:r w:rsidR="00A340D7" w:rsidRPr="00A340D7">
        <w:rPr>
          <w:rFonts w:ascii="Arial" w:hAnsi="Arial" w:cs="Arial"/>
          <w:b/>
          <w:color w:val="2E2E2E"/>
          <w:sz w:val="24"/>
          <w:szCs w:val="24"/>
          <w:u w:val="single"/>
        </w:rPr>
        <w:t>:</w:t>
      </w:r>
    </w:p>
    <w:p w14:paraId="140361B9" w14:textId="77777777" w:rsidR="00D67388" w:rsidRPr="009D7A55" w:rsidRDefault="00A340D7" w:rsidP="0023374C">
      <w:pPr>
        <w:spacing w:line="360" w:lineRule="auto"/>
        <w:jc w:val="both"/>
        <w:rPr>
          <w:rFonts w:ascii="Arial" w:hAnsi="Arial" w:cs="Arial"/>
          <w:b/>
          <w:color w:val="2E2E2E"/>
          <w:sz w:val="24"/>
          <w:szCs w:val="24"/>
          <w:u w:val="single"/>
        </w:rPr>
      </w:pPr>
      <w:r>
        <w:rPr>
          <w:rFonts w:ascii="Arial" w:hAnsi="Arial" w:cs="Arial"/>
          <w:b/>
          <w:color w:val="2E2E2E"/>
          <w:sz w:val="24"/>
          <w:szCs w:val="24"/>
          <w:u w:val="single"/>
        </w:rPr>
        <w:t>REFERENCE STANDARDS</w:t>
      </w:r>
    </w:p>
    <w:p w14:paraId="60C8A6AF" w14:textId="4E02E043" w:rsidR="00F842A4" w:rsidRPr="009D7A55" w:rsidRDefault="00F842A4" w:rsidP="0023374C">
      <w:pPr>
        <w:spacing w:line="360" w:lineRule="auto"/>
        <w:jc w:val="both"/>
        <w:rPr>
          <w:rFonts w:ascii="Arial" w:hAnsi="Arial" w:cs="Arial"/>
          <w:color w:val="2E2E2E"/>
          <w:sz w:val="24"/>
          <w:szCs w:val="24"/>
        </w:rPr>
      </w:pPr>
      <w:r w:rsidRPr="009D7A55">
        <w:rPr>
          <w:rFonts w:ascii="Arial" w:hAnsi="Arial" w:cs="Arial"/>
          <w:color w:val="2E2E2E"/>
          <w:sz w:val="24"/>
          <w:szCs w:val="24"/>
        </w:rPr>
        <w:t>The purity of reference standards used to prepare calibrators and QCs can affect the study data. Therefore, the sponsor should use authenticated analytical reference standards with known identities and purities to prepare sol</w:t>
      </w:r>
      <w:r w:rsidR="007F1B47">
        <w:rPr>
          <w:rFonts w:ascii="Arial" w:hAnsi="Arial" w:cs="Arial"/>
          <w:color w:val="2E2E2E"/>
          <w:sz w:val="24"/>
          <w:szCs w:val="24"/>
        </w:rPr>
        <w:t xml:space="preserve">utions of known concentrations. </w:t>
      </w:r>
      <w:r w:rsidR="00286921" w:rsidRPr="009D7A55">
        <w:rPr>
          <w:rFonts w:ascii="Arial" w:hAnsi="Arial" w:cs="Arial"/>
          <w:color w:val="2E2E2E"/>
          <w:sz w:val="24"/>
          <w:szCs w:val="24"/>
        </w:rPr>
        <w:t xml:space="preserve">The sponsor should provide the certificates of analyses (CoA), including the source, lot number, and expiration date (with the exception of United States Pharmacopeia (USP) standards) for commercially available reference standards. For internally or externally generated reference standards that do not have a CoA, the sponsor should provide evidence of the standard’s identity and purity in </w:t>
      </w:r>
      <w:r w:rsidR="00286921" w:rsidRPr="009D7A55">
        <w:rPr>
          <w:rFonts w:ascii="Arial" w:hAnsi="Arial" w:cs="Arial"/>
          <w:color w:val="2E2E2E"/>
          <w:sz w:val="24"/>
          <w:szCs w:val="24"/>
        </w:rPr>
        <w:lastRenderedPageBreak/>
        <w:t>addition to the source and the lot number. When using expired reference standards, the sponsor should provide an updated CoA or re-establish the identity and purity of the standard</w:t>
      </w:r>
      <w:r w:rsidR="00D84413">
        <w:rPr>
          <w:rFonts w:ascii="Arial" w:hAnsi="Arial" w:cs="Arial"/>
          <w:color w:val="2E2E2E"/>
          <w:sz w:val="24"/>
          <w:szCs w:val="24"/>
        </w:rPr>
        <w:t xml:space="preserve"> (</w:t>
      </w:r>
      <w:r w:rsidR="00D84413" w:rsidRPr="00211F7A">
        <w:rPr>
          <w:rFonts w:ascii="Arial" w:hAnsi="Arial" w:cs="Arial"/>
          <w:i/>
          <w:iCs/>
          <w:color w:val="2E2E2E"/>
          <w:sz w:val="24"/>
          <w:szCs w:val="24"/>
        </w:rPr>
        <w:t>Ref may 2018 biopharmaceuticals 05/24/18</w:t>
      </w:r>
      <w:r w:rsidR="00D84413">
        <w:rPr>
          <w:rFonts w:ascii="Arial" w:hAnsi="Arial" w:cs="Arial"/>
          <w:color w:val="2E2E2E"/>
          <w:sz w:val="24"/>
          <w:szCs w:val="24"/>
        </w:rPr>
        <w:t>)</w:t>
      </w:r>
      <w:r w:rsidR="00286921" w:rsidRPr="009D7A55">
        <w:rPr>
          <w:rFonts w:ascii="Arial" w:hAnsi="Arial" w:cs="Arial"/>
          <w:color w:val="2E2E2E"/>
          <w:sz w:val="24"/>
          <w:szCs w:val="24"/>
        </w:rPr>
        <w:t>.</w:t>
      </w:r>
    </w:p>
    <w:p w14:paraId="0CAF756C" w14:textId="77777777" w:rsidR="00672CD9" w:rsidRPr="009D7A55" w:rsidRDefault="00A340D7" w:rsidP="0023374C">
      <w:pPr>
        <w:spacing w:line="360" w:lineRule="auto"/>
        <w:jc w:val="both"/>
        <w:rPr>
          <w:rFonts w:ascii="Arial" w:hAnsi="Arial" w:cs="Arial"/>
          <w:b/>
          <w:color w:val="2E2E2E"/>
          <w:sz w:val="24"/>
          <w:szCs w:val="24"/>
          <w:u w:val="single"/>
        </w:rPr>
      </w:pPr>
      <w:r>
        <w:rPr>
          <w:rFonts w:ascii="Arial" w:hAnsi="Arial" w:cs="Arial"/>
          <w:b/>
          <w:color w:val="2E2E2E"/>
          <w:sz w:val="24"/>
          <w:szCs w:val="24"/>
          <w:u w:val="single"/>
        </w:rPr>
        <w:t>CRITICAL REAGENTS</w:t>
      </w:r>
    </w:p>
    <w:p w14:paraId="42386EA6" w14:textId="77777777" w:rsidR="00814FDE" w:rsidRDefault="00672CD9"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Assay validation is important when there are changes to the critical reagents, such as lot-to-lot changes or switches to another </w:t>
      </w:r>
      <w:r w:rsidR="007F1B47">
        <w:rPr>
          <w:rFonts w:ascii="Arial" w:hAnsi="Arial" w:cs="Arial"/>
          <w:color w:val="2E2E2E"/>
          <w:sz w:val="24"/>
          <w:szCs w:val="24"/>
        </w:rPr>
        <w:t xml:space="preserve">make of </w:t>
      </w:r>
      <w:r w:rsidRPr="009D7A55">
        <w:rPr>
          <w:rFonts w:ascii="Arial" w:hAnsi="Arial" w:cs="Arial"/>
          <w:color w:val="2E2E2E"/>
          <w:sz w:val="24"/>
          <w:szCs w:val="24"/>
        </w:rPr>
        <w:t xml:space="preserve">reagent. For example, if there are changes to the </w:t>
      </w:r>
      <w:r w:rsidR="007F2863" w:rsidRPr="009D7A55">
        <w:rPr>
          <w:rFonts w:ascii="Arial" w:hAnsi="Arial" w:cs="Arial"/>
          <w:color w:val="2E2E2E"/>
          <w:sz w:val="24"/>
          <w:szCs w:val="24"/>
        </w:rPr>
        <w:t>labelled</w:t>
      </w:r>
      <w:r w:rsidRPr="009D7A55">
        <w:rPr>
          <w:rFonts w:ascii="Arial" w:hAnsi="Arial" w:cs="Arial"/>
          <w:color w:val="2E2E2E"/>
          <w:sz w:val="24"/>
          <w:szCs w:val="24"/>
        </w:rPr>
        <w:t xml:space="preserve"> analytes, detector reagents, or antibodies</w:t>
      </w:r>
      <w:r w:rsidR="0057317C">
        <w:rPr>
          <w:rFonts w:ascii="Arial" w:hAnsi="Arial" w:cs="Arial"/>
          <w:color w:val="2E2E2E"/>
          <w:sz w:val="24"/>
          <w:szCs w:val="24"/>
        </w:rPr>
        <w:t>.</w:t>
      </w:r>
      <w:r w:rsidRPr="009D7A55">
        <w:rPr>
          <w:rFonts w:ascii="Arial" w:hAnsi="Arial" w:cs="Arial"/>
          <w:color w:val="2E2E2E"/>
          <w:sz w:val="24"/>
          <w:szCs w:val="24"/>
        </w:rPr>
        <w:t xml:space="preserve"> </w:t>
      </w:r>
    </w:p>
    <w:p w14:paraId="09F9BBE9" w14:textId="77777777" w:rsidR="005671F7" w:rsidRPr="009D7A55" w:rsidRDefault="0057317C" w:rsidP="0023374C">
      <w:pPr>
        <w:spacing w:line="360" w:lineRule="auto"/>
        <w:jc w:val="both"/>
        <w:rPr>
          <w:rFonts w:ascii="Arial" w:hAnsi="Arial" w:cs="Arial"/>
          <w:color w:val="2E2E2E"/>
          <w:sz w:val="24"/>
          <w:szCs w:val="24"/>
        </w:rPr>
      </w:pPr>
      <w:r>
        <w:rPr>
          <w:rFonts w:ascii="Arial" w:hAnsi="Arial" w:cs="Arial"/>
          <w:color w:val="2E2E2E"/>
          <w:sz w:val="24"/>
          <w:szCs w:val="24"/>
        </w:rPr>
        <w:t>T</w:t>
      </w:r>
      <w:r w:rsidR="00672CD9" w:rsidRPr="009D7A55">
        <w:rPr>
          <w:rFonts w:ascii="Arial" w:hAnsi="Arial" w:cs="Arial"/>
          <w:color w:val="2E2E2E"/>
          <w:sz w:val="24"/>
          <w:szCs w:val="24"/>
        </w:rPr>
        <w:t xml:space="preserve">he sponsor should: </w:t>
      </w:r>
    </w:p>
    <w:p w14:paraId="4CAA98CF" w14:textId="77777777" w:rsidR="005671F7" w:rsidRPr="009D7A55" w:rsidRDefault="00672CD9"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 Evaluate binding </w:t>
      </w:r>
      <w:r w:rsidR="00C41CBC">
        <w:rPr>
          <w:rFonts w:ascii="Arial" w:hAnsi="Arial" w:cs="Arial"/>
          <w:color w:val="2E2E2E"/>
          <w:sz w:val="24"/>
          <w:szCs w:val="24"/>
        </w:rPr>
        <w:t xml:space="preserve">to specific sites </w:t>
      </w:r>
      <w:r w:rsidRPr="009D7A55">
        <w:rPr>
          <w:rFonts w:ascii="Arial" w:hAnsi="Arial" w:cs="Arial"/>
          <w:color w:val="2E2E2E"/>
          <w:sz w:val="24"/>
          <w:szCs w:val="24"/>
        </w:rPr>
        <w:t>and re-optimize assays</w:t>
      </w:r>
      <w:r w:rsidR="00C41CBC">
        <w:rPr>
          <w:rFonts w:ascii="Arial" w:hAnsi="Arial" w:cs="Arial"/>
          <w:color w:val="2E2E2E"/>
          <w:sz w:val="24"/>
          <w:szCs w:val="24"/>
        </w:rPr>
        <w:t xml:space="preserve"> if required</w:t>
      </w:r>
      <w:r w:rsidRPr="009D7A55">
        <w:rPr>
          <w:rFonts w:ascii="Arial" w:hAnsi="Arial" w:cs="Arial"/>
          <w:color w:val="2E2E2E"/>
          <w:sz w:val="24"/>
          <w:szCs w:val="24"/>
        </w:rPr>
        <w:t xml:space="preserve"> </w:t>
      </w:r>
    </w:p>
    <w:p w14:paraId="47B51BC2" w14:textId="77777777" w:rsidR="005671F7" w:rsidRPr="009D7A55" w:rsidRDefault="00672CD9"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 Verify performance with a standard curve and QCs </w:t>
      </w:r>
      <w:r w:rsidR="00C41CBC">
        <w:rPr>
          <w:rFonts w:ascii="Arial" w:hAnsi="Arial" w:cs="Arial"/>
          <w:color w:val="2E2E2E"/>
          <w:sz w:val="24"/>
          <w:szCs w:val="24"/>
        </w:rPr>
        <w:t>preparations</w:t>
      </w:r>
    </w:p>
    <w:p w14:paraId="09F6C429" w14:textId="77777777" w:rsidR="00672CD9" w:rsidRDefault="00672CD9"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 Evaluate </w:t>
      </w:r>
      <w:r w:rsidR="00C41CBC" w:rsidRPr="009D7A55">
        <w:rPr>
          <w:rFonts w:ascii="Arial" w:hAnsi="Arial" w:cs="Arial"/>
          <w:color w:val="2E2E2E"/>
          <w:sz w:val="24"/>
          <w:szCs w:val="24"/>
        </w:rPr>
        <w:t>cross-reactivity</w:t>
      </w:r>
      <w:r w:rsidR="00C41CBC">
        <w:rPr>
          <w:rFonts w:ascii="Arial" w:hAnsi="Arial" w:cs="Arial"/>
          <w:color w:val="2E2E2E"/>
          <w:sz w:val="24"/>
          <w:szCs w:val="24"/>
        </w:rPr>
        <w:t xml:space="preserve"> with other reagents in same assay</w:t>
      </w:r>
    </w:p>
    <w:p w14:paraId="5AD014D6" w14:textId="77777777" w:rsidR="00CE4CBC" w:rsidRPr="009D7A55" w:rsidRDefault="00CE4CBC" w:rsidP="00CE4CBC">
      <w:pPr>
        <w:numPr>
          <w:ilvl w:val="0"/>
          <w:numId w:val="7"/>
        </w:numPr>
        <w:spacing w:line="360" w:lineRule="auto"/>
        <w:ind w:left="180" w:hanging="180"/>
        <w:jc w:val="both"/>
        <w:rPr>
          <w:rFonts w:ascii="Arial" w:hAnsi="Arial" w:cs="Arial"/>
          <w:color w:val="2E2E2E"/>
          <w:sz w:val="24"/>
          <w:szCs w:val="24"/>
        </w:rPr>
      </w:pPr>
      <w:r>
        <w:rPr>
          <w:rFonts w:ascii="Arial" w:hAnsi="Arial" w:cs="Arial"/>
          <w:color w:val="2E2E2E"/>
          <w:sz w:val="24"/>
          <w:szCs w:val="24"/>
        </w:rPr>
        <w:t>Performed the bridging study between the reagents.</w:t>
      </w:r>
    </w:p>
    <w:p w14:paraId="7BBC3B91" w14:textId="77777777" w:rsidR="00F842A4" w:rsidRPr="009D7A55" w:rsidRDefault="00A340D7" w:rsidP="0023374C">
      <w:pPr>
        <w:spacing w:line="360" w:lineRule="auto"/>
        <w:jc w:val="both"/>
        <w:rPr>
          <w:rFonts w:ascii="Arial" w:hAnsi="Arial" w:cs="Arial"/>
          <w:b/>
          <w:color w:val="2E2E2E"/>
          <w:sz w:val="24"/>
          <w:szCs w:val="24"/>
          <w:u w:val="single"/>
        </w:rPr>
      </w:pPr>
      <w:r>
        <w:rPr>
          <w:rFonts w:ascii="Arial" w:hAnsi="Arial" w:cs="Arial"/>
          <w:b/>
          <w:color w:val="2E2E2E"/>
          <w:sz w:val="24"/>
          <w:szCs w:val="24"/>
          <w:u w:val="single"/>
        </w:rPr>
        <w:t>CALIBRATION CURVE</w:t>
      </w:r>
    </w:p>
    <w:p w14:paraId="7F46241B" w14:textId="77777777" w:rsidR="00286921" w:rsidRPr="009D7A55" w:rsidRDefault="00C41CBC" w:rsidP="0023374C">
      <w:pPr>
        <w:spacing w:line="360" w:lineRule="auto"/>
        <w:jc w:val="both"/>
        <w:rPr>
          <w:rFonts w:ascii="Arial" w:hAnsi="Arial" w:cs="Arial"/>
          <w:color w:val="2E2E2E"/>
          <w:sz w:val="24"/>
          <w:szCs w:val="24"/>
        </w:rPr>
      </w:pPr>
      <w:r>
        <w:rPr>
          <w:rFonts w:ascii="Arial" w:hAnsi="Arial" w:cs="Arial"/>
          <w:color w:val="2E2E2E"/>
          <w:sz w:val="24"/>
          <w:szCs w:val="24"/>
        </w:rPr>
        <w:t xml:space="preserve">When the method is </w:t>
      </w:r>
      <w:r w:rsidR="00286921" w:rsidRPr="009D7A55">
        <w:rPr>
          <w:rFonts w:ascii="Arial" w:hAnsi="Arial" w:cs="Arial"/>
          <w:color w:val="2E2E2E"/>
          <w:sz w:val="24"/>
          <w:szCs w:val="24"/>
        </w:rPr>
        <w:t>validated, the calibration curve should be continuous and reproducible. The sponsor should prepare the calibration standards in the same biological matrix as the samples in the intended study. Study samples may contain more than one analyte. The sponsor should generate a calibration curve for each analyte in the sample. When surrogate matrices are necessary, the sponsor should justify and validate the calibration curves.</w:t>
      </w:r>
    </w:p>
    <w:p w14:paraId="40E41885" w14:textId="77777777" w:rsidR="00D67388" w:rsidRPr="009D7A55" w:rsidRDefault="00A340D7" w:rsidP="0023374C">
      <w:pPr>
        <w:spacing w:line="360" w:lineRule="auto"/>
        <w:jc w:val="both"/>
        <w:rPr>
          <w:rFonts w:ascii="Arial" w:hAnsi="Arial" w:cs="Arial"/>
          <w:b/>
          <w:color w:val="2E2E2E"/>
          <w:sz w:val="24"/>
          <w:szCs w:val="24"/>
          <w:u w:val="single"/>
        </w:rPr>
      </w:pPr>
      <w:r>
        <w:rPr>
          <w:rFonts w:ascii="Arial" w:hAnsi="Arial" w:cs="Arial"/>
          <w:b/>
          <w:color w:val="2E2E2E"/>
          <w:sz w:val="24"/>
          <w:szCs w:val="24"/>
          <w:u w:val="single"/>
        </w:rPr>
        <w:t>QUALITY CONTROL SAMPLES</w:t>
      </w:r>
    </w:p>
    <w:p w14:paraId="098D71C6" w14:textId="77777777" w:rsidR="00042F43" w:rsidRPr="009D7A55" w:rsidRDefault="0057317C" w:rsidP="0023374C">
      <w:pPr>
        <w:spacing w:line="360" w:lineRule="auto"/>
        <w:jc w:val="both"/>
        <w:rPr>
          <w:rFonts w:ascii="Arial" w:hAnsi="Arial" w:cs="Arial"/>
          <w:color w:val="2E2E2E"/>
          <w:sz w:val="24"/>
          <w:szCs w:val="24"/>
        </w:rPr>
      </w:pPr>
      <w:r>
        <w:rPr>
          <w:rFonts w:ascii="Arial" w:hAnsi="Arial" w:cs="Arial"/>
          <w:color w:val="2E2E2E"/>
          <w:sz w:val="24"/>
          <w:szCs w:val="24"/>
        </w:rPr>
        <w:t xml:space="preserve">Quality control </w:t>
      </w:r>
      <w:proofErr w:type="gramStart"/>
      <w:r>
        <w:rPr>
          <w:rFonts w:ascii="Arial" w:hAnsi="Arial" w:cs="Arial"/>
          <w:color w:val="2E2E2E"/>
          <w:sz w:val="24"/>
          <w:szCs w:val="24"/>
        </w:rPr>
        <w:t xml:space="preserve">samples </w:t>
      </w:r>
      <w:r w:rsidR="00042F43" w:rsidRPr="009D7A55">
        <w:rPr>
          <w:rFonts w:ascii="Arial" w:hAnsi="Arial" w:cs="Arial"/>
          <w:color w:val="2E2E2E"/>
          <w:sz w:val="24"/>
          <w:szCs w:val="24"/>
        </w:rPr>
        <w:t xml:space="preserve"> are</w:t>
      </w:r>
      <w:proofErr w:type="gramEnd"/>
      <w:r w:rsidR="00042F43" w:rsidRPr="009D7A55">
        <w:rPr>
          <w:rFonts w:ascii="Arial" w:hAnsi="Arial" w:cs="Arial"/>
          <w:color w:val="2E2E2E"/>
          <w:sz w:val="24"/>
          <w:szCs w:val="24"/>
        </w:rPr>
        <w:t xml:space="preserve"> used to assess the precision and accuracy of an assay and the stability of the samples. Sponsors should prepare QCs in the same matrix as the study samples to be ass</w:t>
      </w:r>
      <w:r>
        <w:rPr>
          <w:rFonts w:ascii="Arial" w:hAnsi="Arial" w:cs="Arial"/>
          <w:color w:val="2E2E2E"/>
          <w:sz w:val="24"/>
          <w:szCs w:val="24"/>
        </w:rPr>
        <w:t>essed</w:t>
      </w:r>
      <w:r w:rsidR="00042F43" w:rsidRPr="009D7A55">
        <w:rPr>
          <w:rFonts w:ascii="Arial" w:hAnsi="Arial" w:cs="Arial"/>
          <w:color w:val="2E2E2E"/>
          <w:sz w:val="24"/>
          <w:szCs w:val="24"/>
        </w:rPr>
        <w:t xml:space="preserve"> with the validated method. Freshly prepared QCs are recommended for precision and accuracy analyses during method development, as stability data are generally not available at this time.</w:t>
      </w:r>
    </w:p>
    <w:p w14:paraId="12526909" w14:textId="56E175C3" w:rsidR="00042F43" w:rsidRPr="009D7A55" w:rsidRDefault="00042F43" w:rsidP="0023374C">
      <w:pPr>
        <w:spacing w:line="360" w:lineRule="auto"/>
        <w:jc w:val="both"/>
        <w:rPr>
          <w:rFonts w:ascii="Arial" w:hAnsi="Arial" w:cs="Arial"/>
          <w:color w:val="2E2E2E"/>
          <w:sz w:val="24"/>
          <w:szCs w:val="24"/>
        </w:rPr>
      </w:pPr>
      <w:r w:rsidRPr="009D7A55">
        <w:rPr>
          <w:rFonts w:ascii="Arial" w:hAnsi="Arial" w:cs="Arial"/>
          <w:color w:val="2E2E2E"/>
          <w:sz w:val="24"/>
          <w:szCs w:val="24"/>
        </w:rPr>
        <w:t>During method validation, QCs evaluate the performance of a method and the stability of an analyte. Performance QCs</w:t>
      </w:r>
      <w:r w:rsidR="00220E23">
        <w:rPr>
          <w:rFonts w:ascii="Arial" w:hAnsi="Arial" w:cs="Arial"/>
          <w:color w:val="2E2E2E"/>
          <w:sz w:val="24"/>
          <w:szCs w:val="24"/>
        </w:rPr>
        <w:t xml:space="preserve"> (50%, 100%, 150% &amp; 200%)</w:t>
      </w:r>
      <w:r w:rsidRPr="009D7A55">
        <w:rPr>
          <w:rFonts w:ascii="Arial" w:hAnsi="Arial" w:cs="Arial"/>
          <w:color w:val="2E2E2E"/>
          <w:sz w:val="24"/>
          <w:szCs w:val="24"/>
        </w:rPr>
        <w:t xml:space="preserve"> are included in validation runs to determine the preci</w:t>
      </w:r>
      <w:r w:rsidR="00220E23">
        <w:rPr>
          <w:rFonts w:ascii="Arial" w:hAnsi="Arial" w:cs="Arial"/>
          <w:color w:val="2E2E2E"/>
          <w:sz w:val="24"/>
          <w:szCs w:val="24"/>
        </w:rPr>
        <w:t>sion and accuracy of the method</w:t>
      </w:r>
      <w:r w:rsidRPr="009D7A55">
        <w:rPr>
          <w:rFonts w:ascii="Arial" w:hAnsi="Arial" w:cs="Arial"/>
          <w:color w:val="2E2E2E"/>
          <w:sz w:val="24"/>
          <w:szCs w:val="24"/>
        </w:rPr>
        <w:t xml:space="preserve">. Stability QCs </w:t>
      </w:r>
      <w:r w:rsidRPr="009D7A55">
        <w:rPr>
          <w:rFonts w:ascii="Arial" w:hAnsi="Arial" w:cs="Arial"/>
          <w:color w:val="2E2E2E"/>
          <w:sz w:val="24"/>
          <w:szCs w:val="24"/>
        </w:rPr>
        <w:lastRenderedPageBreak/>
        <w:t>evaluate the stability of an analyte under various stress conditions</w:t>
      </w:r>
      <w:r w:rsidR="00D84413">
        <w:rPr>
          <w:rFonts w:ascii="Arial" w:hAnsi="Arial" w:cs="Arial"/>
          <w:color w:val="2E2E2E"/>
          <w:sz w:val="24"/>
          <w:szCs w:val="24"/>
        </w:rPr>
        <w:t xml:space="preserve"> (</w:t>
      </w:r>
      <w:r w:rsidR="00D84413" w:rsidRPr="00211F7A">
        <w:rPr>
          <w:rFonts w:ascii="Arial" w:hAnsi="Arial" w:cs="Arial"/>
          <w:i/>
          <w:iCs/>
          <w:color w:val="2E2E2E"/>
          <w:sz w:val="24"/>
          <w:szCs w:val="24"/>
        </w:rPr>
        <w:t>Ref may 2018 biopharmaceuticals 05/24/18</w:t>
      </w:r>
      <w:r w:rsidR="00D84413">
        <w:rPr>
          <w:rFonts w:ascii="Arial" w:hAnsi="Arial" w:cs="Arial"/>
          <w:color w:val="2E2E2E"/>
          <w:sz w:val="24"/>
          <w:szCs w:val="24"/>
        </w:rPr>
        <w:t>)</w:t>
      </w:r>
      <w:r w:rsidRPr="009D7A55">
        <w:rPr>
          <w:rFonts w:ascii="Arial" w:hAnsi="Arial" w:cs="Arial"/>
          <w:color w:val="2E2E2E"/>
          <w:sz w:val="24"/>
          <w:szCs w:val="24"/>
        </w:rPr>
        <w:t>.</w:t>
      </w:r>
    </w:p>
    <w:p w14:paraId="7E944945" w14:textId="77777777" w:rsidR="00CF3378" w:rsidRPr="009D7A55" w:rsidRDefault="00CF3378" w:rsidP="0023374C">
      <w:pPr>
        <w:spacing w:line="360" w:lineRule="auto"/>
        <w:jc w:val="both"/>
        <w:rPr>
          <w:rFonts w:ascii="Arial" w:hAnsi="Arial" w:cs="Arial"/>
          <w:color w:val="2E2E2E"/>
          <w:sz w:val="24"/>
          <w:szCs w:val="24"/>
        </w:rPr>
      </w:pPr>
      <w:r w:rsidRPr="009D7A55">
        <w:rPr>
          <w:rFonts w:ascii="Arial" w:hAnsi="Arial" w:cs="Arial"/>
          <w:color w:val="2E2E2E"/>
          <w:sz w:val="24"/>
          <w:szCs w:val="24"/>
        </w:rPr>
        <w:t>The sponsor should prepare any calibration standards and QCs from separate stock solutions. However, if the sponsor can demonstrate the precision and accuracy in one validation run using calibrators and QCs prepared from separate stock solutions, then the sponsor can use calibrators and QCs prepared from the same stock solution in subsequent runs. The sponsor should make up calibrators and QCs in lots of blank matrix that is free of interference or matrix effects.</w:t>
      </w:r>
    </w:p>
    <w:p w14:paraId="19CBD574" w14:textId="77777777" w:rsidR="00042F43" w:rsidRPr="009D7A55" w:rsidRDefault="005A7910" w:rsidP="0023374C">
      <w:pPr>
        <w:spacing w:line="360" w:lineRule="auto"/>
        <w:jc w:val="both"/>
        <w:rPr>
          <w:rFonts w:ascii="Arial" w:hAnsi="Arial" w:cs="Arial"/>
          <w:b/>
          <w:color w:val="2E2E2E"/>
          <w:sz w:val="24"/>
          <w:szCs w:val="24"/>
          <w:u w:val="single"/>
        </w:rPr>
      </w:pPr>
      <w:r w:rsidRPr="009D7A55">
        <w:rPr>
          <w:rFonts w:ascii="Arial" w:hAnsi="Arial" w:cs="Arial"/>
          <w:b/>
          <w:color w:val="2E2E2E"/>
          <w:sz w:val="24"/>
          <w:szCs w:val="24"/>
          <w:u w:val="single"/>
        </w:rPr>
        <w:t>SELECTIVITY AND SPECIFICITY</w:t>
      </w:r>
    </w:p>
    <w:p w14:paraId="3BC88082" w14:textId="77777777" w:rsidR="00042F43" w:rsidRPr="009D7A55" w:rsidRDefault="0029390A" w:rsidP="0023374C">
      <w:pPr>
        <w:spacing w:line="360" w:lineRule="auto"/>
        <w:jc w:val="both"/>
        <w:rPr>
          <w:rFonts w:ascii="Arial" w:hAnsi="Arial" w:cs="Arial"/>
          <w:color w:val="2E2E2E"/>
          <w:sz w:val="24"/>
          <w:szCs w:val="24"/>
        </w:rPr>
      </w:pPr>
      <w:r w:rsidRPr="009D7A55">
        <w:rPr>
          <w:rFonts w:ascii="Arial" w:hAnsi="Arial" w:cs="Arial"/>
          <w:color w:val="2E2E2E"/>
          <w:sz w:val="24"/>
          <w:szCs w:val="24"/>
        </w:rPr>
        <w:t>During validation, the sponsor should confirm that the assay is free of potential interfering substances including endogenous matrix components, metabolites, anticipated concomitant medications, etc. If the study sample contains more than one analyte and the analytes are intended to be quantified by different methods, the sponsor should test each method for interference from the other analyte.</w:t>
      </w:r>
    </w:p>
    <w:p w14:paraId="15F6CC01" w14:textId="77777777" w:rsidR="0029390A" w:rsidRPr="009D7A55" w:rsidRDefault="0029390A"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The sponsor should </w:t>
      </w:r>
      <w:r w:rsidR="005F4533" w:rsidRPr="009D7A55">
        <w:rPr>
          <w:rFonts w:ascii="Arial" w:hAnsi="Arial" w:cs="Arial"/>
          <w:color w:val="2E2E2E"/>
          <w:sz w:val="24"/>
          <w:szCs w:val="24"/>
        </w:rPr>
        <w:t>analyse</w:t>
      </w:r>
      <w:r w:rsidRPr="009D7A55">
        <w:rPr>
          <w:rFonts w:ascii="Arial" w:hAnsi="Arial" w:cs="Arial"/>
          <w:color w:val="2E2E2E"/>
          <w:sz w:val="24"/>
          <w:szCs w:val="24"/>
        </w:rPr>
        <w:t xml:space="preserve"> blank samples of the appropriate biological matrix (e.g. plasma) from at least six individual </w:t>
      </w:r>
      <w:r w:rsidR="00733168">
        <w:rPr>
          <w:rFonts w:ascii="Arial" w:hAnsi="Arial" w:cs="Arial"/>
          <w:color w:val="2E2E2E"/>
          <w:sz w:val="24"/>
          <w:szCs w:val="24"/>
        </w:rPr>
        <w:t>preparations</w:t>
      </w:r>
      <w:r w:rsidRPr="009D7A55">
        <w:rPr>
          <w:rFonts w:ascii="Arial" w:hAnsi="Arial" w:cs="Arial"/>
          <w:color w:val="2E2E2E"/>
          <w:sz w:val="24"/>
          <w:szCs w:val="24"/>
        </w:rPr>
        <w:t>. The sponsor should ensure that there are no matrix effects throughout the application of the method.</w:t>
      </w:r>
    </w:p>
    <w:p w14:paraId="37FCEE7F" w14:textId="77777777" w:rsidR="00D67388" w:rsidRPr="009D7A55" w:rsidRDefault="0029390A"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For LBAs (ligand Binding Assays), it is important to investigate any interference originating from structurally or physiologically similar </w:t>
      </w:r>
      <w:r w:rsidR="00EC5D6E" w:rsidRPr="009D7A55">
        <w:rPr>
          <w:rFonts w:ascii="Arial" w:hAnsi="Arial" w:cs="Arial"/>
          <w:color w:val="2E2E2E"/>
          <w:sz w:val="24"/>
          <w:szCs w:val="24"/>
        </w:rPr>
        <w:t>analyses</w:t>
      </w:r>
      <w:r w:rsidRPr="009D7A55">
        <w:rPr>
          <w:rFonts w:ascii="Arial" w:hAnsi="Arial" w:cs="Arial"/>
          <w:color w:val="2E2E2E"/>
          <w:sz w:val="24"/>
          <w:szCs w:val="24"/>
        </w:rPr>
        <w:t xml:space="preserve"> (i.e., exogenous interference) or matrix effects (i.e., endogenous interference). Investigating exogenous interference involves determining the cross-reactivity of molecules that could potentially interfere with the binding interaction, including molecules structurally related to the drug, any metabolites, concomitant medications (and their significant metabolites), or endogenous matrix components. The sponsor should evaluate each factor individually and in combination with the analyte of interest to determine its ability to cause interference.</w:t>
      </w:r>
    </w:p>
    <w:p w14:paraId="7D565773" w14:textId="77777777" w:rsidR="0029390A" w:rsidRPr="009D7A55" w:rsidRDefault="00733168" w:rsidP="0023374C">
      <w:pPr>
        <w:spacing w:line="360" w:lineRule="auto"/>
        <w:jc w:val="both"/>
        <w:rPr>
          <w:rFonts w:ascii="Arial" w:hAnsi="Arial" w:cs="Arial"/>
          <w:b/>
          <w:color w:val="2E2E2E"/>
          <w:sz w:val="24"/>
          <w:szCs w:val="24"/>
          <w:u w:val="single"/>
        </w:rPr>
      </w:pPr>
      <w:r w:rsidRPr="009D7A55">
        <w:rPr>
          <w:rFonts w:ascii="Arial" w:hAnsi="Arial" w:cs="Arial"/>
          <w:b/>
          <w:color w:val="2E2E2E"/>
          <w:sz w:val="24"/>
          <w:szCs w:val="24"/>
          <w:u w:val="single"/>
        </w:rPr>
        <w:t>SENSITIVITY</w:t>
      </w:r>
    </w:p>
    <w:p w14:paraId="7465C465" w14:textId="77777777" w:rsidR="0029390A" w:rsidRPr="009D7A55" w:rsidRDefault="00EC5D6E" w:rsidP="0023374C">
      <w:pPr>
        <w:spacing w:line="360" w:lineRule="auto"/>
        <w:jc w:val="both"/>
        <w:rPr>
          <w:rFonts w:ascii="Arial" w:hAnsi="Arial" w:cs="Arial"/>
          <w:color w:val="2E2E2E"/>
          <w:sz w:val="24"/>
          <w:szCs w:val="24"/>
        </w:rPr>
      </w:pPr>
      <w:r w:rsidRPr="009D7A55">
        <w:rPr>
          <w:rFonts w:ascii="Arial" w:hAnsi="Arial" w:cs="Arial"/>
          <w:color w:val="2E2E2E"/>
          <w:sz w:val="24"/>
          <w:szCs w:val="24"/>
        </w:rPr>
        <w:t>The method should be developed and validated such that it will be able to meet the requirements necessary for the intended study samples. The LLOQ evaluation can be done separately or as part of the precision and accuracy assessment for the calibration range.</w:t>
      </w:r>
    </w:p>
    <w:p w14:paraId="7F2C4D00" w14:textId="77777777" w:rsidR="00E404F0" w:rsidRPr="009D7A55" w:rsidRDefault="00733168" w:rsidP="0023374C">
      <w:pPr>
        <w:spacing w:line="360" w:lineRule="auto"/>
        <w:jc w:val="both"/>
        <w:rPr>
          <w:rFonts w:ascii="Arial" w:hAnsi="Arial" w:cs="Arial"/>
          <w:b/>
          <w:color w:val="2E2E2E"/>
          <w:sz w:val="24"/>
          <w:szCs w:val="24"/>
          <w:u w:val="single"/>
        </w:rPr>
      </w:pPr>
      <w:r w:rsidRPr="009D7A55">
        <w:rPr>
          <w:rFonts w:ascii="Arial" w:hAnsi="Arial" w:cs="Arial"/>
          <w:b/>
          <w:color w:val="2E2E2E"/>
          <w:sz w:val="24"/>
          <w:szCs w:val="24"/>
          <w:u w:val="single"/>
        </w:rPr>
        <w:lastRenderedPageBreak/>
        <w:t>ACCURACY, PRECISION, AND RECOVERY</w:t>
      </w:r>
    </w:p>
    <w:p w14:paraId="6192F202" w14:textId="77777777" w:rsidR="00E404F0" w:rsidRPr="009D7A55" w:rsidRDefault="00E404F0" w:rsidP="0023374C">
      <w:pPr>
        <w:spacing w:line="360" w:lineRule="auto"/>
        <w:jc w:val="both"/>
        <w:rPr>
          <w:rFonts w:ascii="Arial" w:hAnsi="Arial" w:cs="Arial"/>
          <w:color w:val="2E2E2E"/>
          <w:sz w:val="24"/>
          <w:szCs w:val="24"/>
        </w:rPr>
      </w:pPr>
      <w:r w:rsidRPr="009D7A55">
        <w:rPr>
          <w:rFonts w:ascii="Arial" w:hAnsi="Arial" w:cs="Arial"/>
          <w:color w:val="2E2E2E"/>
          <w:sz w:val="24"/>
          <w:szCs w:val="24"/>
        </w:rPr>
        <w:t>Method validation experiments for estimating accuracy and precision should include a minimum of three (for C</w:t>
      </w:r>
      <w:r w:rsidR="00381A11">
        <w:rPr>
          <w:rFonts w:ascii="Arial" w:hAnsi="Arial" w:cs="Arial"/>
          <w:color w:val="2E2E2E"/>
          <w:sz w:val="24"/>
          <w:szCs w:val="24"/>
        </w:rPr>
        <w:t xml:space="preserve">ell </w:t>
      </w:r>
      <w:r w:rsidRPr="009D7A55">
        <w:rPr>
          <w:rFonts w:ascii="Arial" w:hAnsi="Arial" w:cs="Arial"/>
          <w:color w:val="2E2E2E"/>
          <w:sz w:val="24"/>
          <w:szCs w:val="24"/>
        </w:rPr>
        <w:t>C</w:t>
      </w:r>
      <w:r w:rsidR="00381A11">
        <w:rPr>
          <w:rFonts w:ascii="Arial" w:hAnsi="Arial" w:cs="Arial"/>
          <w:color w:val="2E2E2E"/>
          <w:sz w:val="24"/>
          <w:szCs w:val="24"/>
        </w:rPr>
        <w:t>ulture</w:t>
      </w:r>
      <w:r w:rsidRPr="009D7A55">
        <w:rPr>
          <w:rFonts w:ascii="Arial" w:hAnsi="Arial" w:cs="Arial"/>
          <w:color w:val="2E2E2E"/>
          <w:sz w:val="24"/>
          <w:szCs w:val="24"/>
        </w:rPr>
        <w:t xml:space="preserve">) and six (for </w:t>
      </w:r>
      <w:r w:rsidR="00381A11" w:rsidRPr="009D7A55">
        <w:rPr>
          <w:rFonts w:ascii="Arial" w:hAnsi="Arial" w:cs="Arial"/>
          <w:color w:val="2E2E2E"/>
          <w:sz w:val="24"/>
          <w:szCs w:val="24"/>
        </w:rPr>
        <w:t>L</w:t>
      </w:r>
      <w:r w:rsidR="00381A11">
        <w:rPr>
          <w:rFonts w:ascii="Arial" w:hAnsi="Arial" w:cs="Arial"/>
          <w:color w:val="2E2E2E"/>
          <w:sz w:val="24"/>
          <w:szCs w:val="24"/>
        </w:rPr>
        <w:t xml:space="preserve">igand </w:t>
      </w:r>
      <w:r w:rsidRPr="009D7A55">
        <w:rPr>
          <w:rFonts w:ascii="Arial" w:hAnsi="Arial" w:cs="Arial"/>
          <w:color w:val="2E2E2E"/>
          <w:sz w:val="24"/>
          <w:szCs w:val="24"/>
        </w:rPr>
        <w:t>B</w:t>
      </w:r>
      <w:r w:rsidR="00381A11">
        <w:rPr>
          <w:rFonts w:ascii="Arial" w:hAnsi="Arial" w:cs="Arial"/>
          <w:color w:val="2E2E2E"/>
          <w:sz w:val="24"/>
          <w:szCs w:val="24"/>
        </w:rPr>
        <w:t xml:space="preserve">inding </w:t>
      </w:r>
      <w:r w:rsidRPr="009D7A55">
        <w:rPr>
          <w:rFonts w:ascii="Arial" w:hAnsi="Arial" w:cs="Arial"/>
          <w:color w:val="2E2E2E"/>
          <w:sz w:val="24"/>
          <w:szCs w:val="24"/>
        </w:rPr>
        <w:t>As</w:t>
      </w:r>
      <w:r w:rsidR="00381A11">
        <w:rPr>
          <w:rFonts w:ascii="Arial" w:hAnsi="Arial" w:cs="Arial"/>
          <w:color w:val="2E2E2E"/>
          <w:sz w:val="24"/>
          <w:szCs w:val="24"/>
        </w:rPr>
        <w:t>says)</w:t>
      </w:r>
      <w:r w:rsidRPr="009D7A55">
        <w:rPr>
          <w:rFonts w:ascii="Arial" w:hAnsi="Arial" w:cs="Arial"/>
          <w:color w:val="2E2E2E"/>
          <w:sz w:val="24"/>
          <w:szCs w:val="24"/>
        </w:rPr>
        <w:t xml:space="preserve"> independent runs (i.e., accuracy and precision (A</w:t>
      </w:r>
      <w:r w:rsidR="00381A11">
        <w:rPr>
          <w:rFonts w:ascii="Arial" w:hAnsi="Arial" w:cs="Arial"/>
          <w:color w:val="2E2E2E"/>
          <w:sz w:val="24"/>
          <w:szCs w:val="24"/>
        </w:rPr>
        <w:t>ccuracy</w:t>
      </w:r>
      <w:r w:rsidRPr="009D7A55">
        <w:rPr>
          <w:rFonts w:ascii="Arial" w:hAnsi="Arial" w:cs="Arial"/>
          <w:color w:val="2E2E2E"/>
          <w:sz w:val="24"/>
          <w:szCs w:val="24"/>
        </w:rPr>
        <w:t xml:space="preserve"> &amp; P</w:t>
      </w:r>
      <w:r w:rsidR="00381A11">
        <w:rPr>
          <w:rFonts w:ascii="Arial" w:hAnsi="Arial" w:cs="Arial"/>
          <w:color w:val="2E2E2E"/>
          <w:sz w:val="24"/>
          <w:szCs w:val="24"/>
        </w:rPr>
        <w:t>recision</w:t>
      </w:r>
      <w:r w:rsidR="00AC2E41">
        <w:rPr>
          <w:rFonts w:ascii="Arial" w:hAnsi="Arial" w:cs="Arial"/>
          <w:color w:val="2E2E2E"/>
          <w:sz w:val="24"/>
          <w:szCs w:val="24"/>
        </w:rPr>
        <w:t>, A &amp; P runs) runs</w:t>
      </w:r>
      <w:r w:rsidRPr="009D7A55">
        <w:rPr>
          <w:rFonts w:ascii="Arial" w:hAnsi="Arial" w:cs="Arial"/>
          <w:color w:val="2E2E2E"/>
          <w:sz w:val="24"/>
          <w:szCs w:val="24"/>
        </w:rPr>
        <w:t xml:space="preserve">) conducted over several days. Each A &amp; P run should include a calibration curve and multiple QC concentrations that are </w:t>
      </w:r>
      <w:r w:rsidR="005F4533" w:rsidRPr="009D7A55">
        <w:rPr>
          <w:rFonts w:ascii="Arial" w:hAnsi="Arial" w:cs="Arial"/>
          <w:color w:val="2E2E2E"/>
          <w:sz w:val="24"/>
          <w:szCs w:val="24"/>
        </w:rPr>
        <w:t>analysed</w:t>
      </w:r>
      <w:r w:rsidRPr="009D7A55">
        <w:rPr>
          <w:rFonts w:ascii="Arial" w:hAnsi="Arial" w:cs="Arial"/>
          <w:color w:val="2E2E2E"/>
          <w:sz w:val="24"/>
          <w:szCs w:val="24"/>
        </w:rPr>
        <w:t xml:space="preserve"> in replicates. The sponsor should determine the accuracy and precision of the method based on the performance of the QC in the A &amp; P runs.</w:t>
      </w:r>
      <w:r w:rsidR="00AC2E41">
        <w:rPr>
          <w:rFonts w:ascii="Arial" w:hAnsi="Arial" w:cs="Arial"/>
          <w:color w:val="2E2E2E"/>
          <w:sz w:val="24"/>
          <w:szCs w:val="24"/>
        </w:rPr>
        <w:t xml:space="preserve"> </w:t>
      </w:r>
      <w:r w:rsidRPr="009D7A55">
        <w:rPr>
          <w:rFonts w:ascii="Arial" w:hAnsi="Arial" w:cs="Arial"/>
          <w:color w:val="2E2E2E"/>
          <w:sz w:val="24"/>
          <w:szCs w:val="24"/>
        </w:rPr>
        <w:t>The sponsor should use freshly prepared calibrators and QCs in all A &amp; P runs. Use of freshly prepared QCs in all A &amp; P runs is preferred; however, if this is not possible, the sponsor should use freshly prepared QCs in one or more A &amp; P runs</w:t>
      </w:r>
    </w:p>
    <w:p w14:paraId="5D5B1E0D" w14:textId="77777777" w:rsidR="0029390A" w:rsidRPr="009D7A55" w:rsidRDefault="00AC2E41" w:rsidP="0023374C">
      <w:pPr>
        <w:spacing w:line="360" w:lineRule="auto"/>
        <w:jc w:val="both"/>
        <w:rPr>
          <w:rFonts w:ascii="Arial" w:hAnsi="Arial" w:cs="Arial"/>
          <w:b/>
          <w:color w:val="2E2E2E"/>
          <w:sz w:val="24"/>
          <w:szCs w:val="24"/>
          <w:u w:val="single"/>
        </w:rPr>
      </w:pPr>
      <w:r w:rsidRPr="009D7A55">
        <w:rPr>
          <w:rFonts w:ascii="Arial" w:hAnsi="Arial" w:cs="Arial"/>
          <w:b/>
          <w:color w:val="2E2E2E"/>
          <w:sz w:val="24"/>
          <w:szCs w:val="24"/>
          <w:u w:val="single"/>
        </w:rPr>
        <w:t>STABILITY</w:t>
      </w:r>
    </w:p>
    <w:p w14:paraId="0B9CC513" w14:textId="77777777" w:rsidR="0034677F" w:rsidRPr="009D7A55" w:rsidRDefault="0034677F" w:rsidP="0023374C">
      <w:pPr>
        <w:spacing w:line="360" w:lineRule="auto"/>
        <w:jc w:val="both"/>
        <w:rPr>
          <w:rFonts w:ascii="Arial" w:hAnsi="Arial" w:cs="Arial"/>
          <w:color w:val="2E2E2E"/>
          <w:sz w:val="24"/>
          <w:szCs w:val="24"/>
        </w:rPr>
      </w:pPr>
      <w:r w:rsidRPr="009D7A55">
        <w:rPr>
          <w:rFonts w:ascii="Arial" w:hAnsi="Arial" w:cs="Arial"/>
          <w:color w:val="2E2E2E"/>
          <w:sz w:val="24"/>
          <w:szCs w:val="24"/>
        </w:rPr>
        <w:t>During validation, stability evaluations should cover the expected sample conditions before receipt at the analytical site (e.g., at the clinical site, during shipment, and at all other secondary sites) as well as during receipt and analysis at the analytical site. Validation of drug stability in a biological fluid is a function of the storage conditions, the physicochemical properties of the drug, the matrix, and the container system. The stability of an analyte in a particular matrix and container system is relevant only to that matrix and container system and should not be extrapolated to other matrices and container systems.</w:t>
      </w:r>
    </w:p>
    <w:p w14:paraId="1841100B" w14:textId="77777777" w:rsidR="0034677F" w:rsidRPr="009D7A55" w:rsidRDefault="00C02D61" w:rsidP="0023374C">
      <w:pPr>
        <w:spacing w:line="360" w:lineRule="auto"/>
        <w:jc w:val="both"/>
        <w:rPr>
          <w:rFonts w:ascii="Arial" w:hAnsi="Arial" w:cs="Arial"/>
          <w:color w:val="2E2E2E"/>
          <w:sz w:val="24"/>
          <w:szCs w:val="24"/>
        </w:rPr>
      </w:pPr>
      <w:r w:rsidRPr="009D7A55">
        <w:rPr>
          <w:rFonts w:ascii="Arial" w:hAnsi="Arial" w:cs="Arial"/>
          <w:color w:val="2E2E2E"/>
          <w:sz w:val="24"/>
          <w:szCs w:val="24"/>
        </w:rPr>
        <w:t>All stability determinations (see list below) should use a set of samples prepared from a freshly made stock solution of the analyte in the appropriate analyte-free, interference-free biological matrix.</w:t>
      </w:r>
    </w:p>
    <w:p w14:paraId="13113AEF" w14:textId="77777777" w:rsidR="00C02D61" w:rsidRPr="009D7A55" w:rsidRDefault="00AA3076" w:rsidP="0023374C">
      <w:pPr>
        <w:spacing w:line="360" w:lineRule="auto"/>
        <w:jc w:val="both"/>
        <w:rPr>
          <w:rFonts w:ascii="Arial" w:hAnsi="Arial" w:cs="Arial"/>
          <w:b/>
          <w:color w:val="2E2E2E"/>
          <w:sz w:val="24"/>
          <w:szCs w:val="24"/>
          <w:u w:val="single"/>
        </w:rPr>
      </w:pPr>
      <w:r w:rsidRPr="009D7A55">
        <w:rPr>
          <w:rFonts w:ascii="Arial" w:hAnsi="Arial" w:cs="Arial"/>
          <w:b/>
          <w:color w:val="2E2E2E"/>
          <w:sz w:val="24"/>
          <w:szCs w:val="24"/>
          <w:u w:val="single"/>
        </w:rPr>
        <w:t>DILUTION EFFECTS</w:t>
      </w:r>
    </w:p>
    <w:p w14:paraId="170E9A80" w14:textId="77777777" w:rsidR="00BA3E30" w:rsidRPr="009D7A55" w:rsidRDefault="00C02D61" w:rsidP="0023374C">
      <w:pPr>
        <w:spacing w:line="360" w:lineRule="auto"/>
        <w:jc w:val="both"/>
        <w:rPr>
          <w:rFonts w:ascii="Arial" w:hAnsi="Arial" w:cs="Arial"/>
          <w:color w:val="2E2E2E"/>
          <w:sz w:val="24"/>
          <w:szCs w:val="24"/>
        </w:rPr>
      </w:pPr>
      <w:r w:rsidRPr="009D7A55">
        <w:rPr>
          <w:rFonts w:ascii="Arial" w:hAnsi="Arial" w:cs="Arial"/>
          <w:color w:val="2E2E2E"/>
          <w:sz w:val="24"/>
          <w:szCs w:val="24"/>
        </w:rPr>
        <w:t>If the method measures diluted samples, the integrity of the dilution should be monitored during validation by diluting QC samples above the ULOQ with like matrix to bring to within quantitation range, and the accuracy and precision of these diluted QCs should be demonstrated. Dilutions used during the validation should mimic the expected dilutions in the study. The prozone effect should be demonstrated in LBAs</w:t>
      </w:r>
      <w:r w:rsidR="00672CD9" w:rsidRPr="009D7A55">
        <w:rPr>
          <w:rFonts w:ascii="Arial" w:hAnsi="Arial" w:cs="Arial"/>
          <w:color w:val="2E2E2E"/>
          <w:sz w:val="24"/>
          <w:szCs w:val="24"/>
        </w:rPr>
        <w:t>.</w:t>
      </w:r>
    </w:p>
    <w:p w14:paraId="2649D267" w14:textId="77777777" w:rsidR="00BA3E30" w:rsidRPr="009D7A55" w:rsidRDefault="00AA3076" w:rsidP="0023374C">
      <w:pPr>
        <w:spacing w:line="360" w:lineRule="auto"/>
        <w:jc w:val="both"/>
        <w:rPr>
          <w:rFonts w:ascii="Arial" w:hAnsi="Arial" w:cs="Arial"/>
          <w:b/>
          <w:color w:val="2E2E2E"/>
          <w:sz w:val="24"/>
          <w:szCs w:val="24"/>
          <w:u w:val="single"/>
        </w:rPr>
      </w:pPr>
      <w:r w:rsidRPr="009D7A55">
        <w:rPr>
          <w:rFonts w:ascii="Arial" w:hAnsi="Arial" w:cs="Arial"/>
          <w:b/>
          <w:color w:val="2E2E2E"/>
          <w:sz w:val="24"/>
          <w:szCs w:val="24"/>
          <w:u w:val="single"/>
        </w:rPr>
        <w:t>CONCLUSION:</w:t>
      </w:r>
    </w:p>
    <w:p w14:paraId="79199234" w14:textId="300AEEA8" w:rsidR="00E723D4" w:rsidRPr="00B070C5" w:rsidRDefault="00B070C5" w:rsidP="00B070C5">
      <w:pPr>
        <w:spacing w:line="360" w:lineRule="auto"/>
        <w:jc w:val="both"/>
        <w:rPr>
          <w:rFonts w:ascii="Arial" w:hAnsi="Arial" w:cs="Arial"/>
          <w:color w:val="2E2E2E"/>
          <w:sz w:val="24"/>
          <w:szCs w:val="24"/>
        </w:rPr>
      </w:pPr>
      <w:r w:rsidRPr="00B070C5">
        <w:rPr>
          <w:rFonts w:ascii="Arial" w:hAnsi="Arial" w:cs="Arial"/>
          <w:color w:val="2E2E2E"/>
          <w:sz w:val="24"/>
          <w:szCs w:val="24"/>
        </w:rPr>
        <w:lastRenderedPageBreak/>
        <w:t>Based on different approaches it can be concluded that biological assays play significant roles in industries, academics, and research institutes at various levels. Development and validation of biologicals assays are critical to measure the quality parameters of commercial drugs or products. During development, we need to consider the critical parameters of method development to assess the method variability and to overcome the method problems or errors. Method Validation of biological assays is critical to providing a high competent and robust method for industrial usage purposes. Method validation defines the selectivity, accuracy, precision, stability, and robustness of the method, which enhance the reliability of the method in its regular usage</w:t>
      </w:r>
      <w:r w:rsidR="00D84413">
        <w:rPr>
          <w:rFonts w:ascii="Arial" w:hAnsi="Arial" w:cs="Arial"/>
          <w:color w:val="2E2E2E"/>
          <w:sz w:val="24"/>
          <w:szCs w:val="24"/>
        </w:rPr>
        <w:t xml:space="preserve"> (</w:t>
      </w:r>
      <w:r w:rsidR="00D84413" w:rsidRPr="00211F7A">
        <w:rPr>
          <w:rFonts w:ascii="Arial" w:hAnsi="Arial" w:cs="Arial"/>
          <w:i/>
          <w:iCs/>
          <w:color w:val="2E2E2E"/>
          <w:sz w:val="24"/>
          <w:szCs w:val="24"/>
        </w:rPr>
        <w:t>Ref may 2018 biopharmaceuticals 05/24/18</w:t>
      </w:r>
      <w:r w:rsidR="00D84413">
        <w:rPr>
          <w:rFonts w:ascii="Arial" w:hAnsi="Arial" w:cs="Arial"/>
          <w:color w:val="2E2E2E"/>
          <w:sz w:val="24"/>
          <w:szCs w:val="24"/>
        </w:rPr>
        <w:t>)</w:t>
      </w:r>
      <w:r w:rsidRPr="00B070C5">
        <w:rPr>
          <w:rFonts w:ascii="Arial" w:hAnsi="Arial" w:cs="Arial"/>
          <w:color w:val="2E2E2E"/>
          <w:sz w:val="24"/>
          <w:szCs w:val="24"/>
        </w:rPr>
        <w:t>.</w:t>
      </w:r>
    </w:p>
    <w:p w14:paraId="650ADE75" w14:textId="77777777" w:rsidR="007A2AF5" w:rsidRPr="009D7A55" w:rsidRDefault="009B4DD6" w:rsidP="009D7A55">
      <w:pPr>
        <w:pStyle w:val="Heading2"/>
        <w:spacing w:after="240" w:afterAutospacing="0"/>
        <w:jc w:val="both"/>
        <w:rPr>
          <w:rFonts w:ascii="Arial" w:eastAsiaTheme="minorHAnsi" w:hAnsi="Arial" w:cs="Arial"/>
          <w:bCs w:val="0"/>
          <w:sz w:val="24"/>
          <w:szCs w:val="24"/>
          <w:u w:val="single"/>
          <w:lang w:eastAsia="en-US"/>
        </w:rPr>
      </w:pPr>
      <w:r w:rsidRPr="009D7A55">
        <w:rPr>
          <w:rFonts w:ascii="Arial" w:eastAsiaTheme="minorHAnsi" w:hAnsi="Arial" w:cs="Arial"/>
          <w:bCs w:val="0"/>
          <w:sz w:val="24"/>
          <w:szCs w:val="24"/>
          <w:u w:val="single"/>
          <w:lang w:eastAsia="en-US"/>
        </w:rPr>
        <w:t>REFERENCES</w:t>
      </w:r>
    </w:p>
    <w:p w14:paraId="6D051B39" w14:textId="77777777" w:rsidR="007A2AF5" w:rsidRPr="009D7A55" w:rsidRDefault="007A2AF5" w:rsidP="009D7A55">
      <w:pPr>
        <w:numPr>
          <w:ilvl w:val="0"/>
          <w:numId w:val="2"/>
        </w:numPr>
        <w:spacing w:after="240" w:line="240" w:lineRule="auto"/>
        <w:jc w:val="both"/>
        <w:rPr>
          <w:rFonts w:ascii="Arial" w:hAnsi="Arial" w:cs="Arial"/>
          <w:sz w:val="24"/>
          <w:szCs w:val="24"/>
        </w:rPr>
      </w:pPr>
      <w:r w:rsidRPr="009D7A55">
        <w:rPr>
          <w:rFonts w:ascii="Arial" w:hAnsi="Arial" w:cs="Arial"/>
          <w:sz w:val="24"/>
          <w:szCs w:val="24"/>
        </w:rPr>
        <w:t xml:space="preserve">USP Chapter </w:t>
      </w:r>
      <w:r w:rsidRPr="009D7A55">
        <w:rPr>
          <w:rFonts w:ascii="Arial" w:eastAsia="MS Gothic" w:hAnsi="Arial" w:cs="Arial"/>
          <w:sz w:val="24"/>
          <w:szCs w:val="24"/>
        </w:rPr>
        <w:t>〈</w:t>
      </w:r>
      <w:r w:rsidRPr="009D7A55">
        <w:rPr>
          <w:rFonts w:ascii="Arial" w:hAnsi="Arial" w:cs="Arial"/>
          <w:sz w:val="24"/>
          <w:szCs w:val="24"/>
        </w:rPr>
        <w:t>1033</w:t>
      </w:r>
      <w:r w:rsidRPr="009D7A55">
        <w:rPr>
          <w:rFonts w:ascii="Arial" w:eastAsia="MS Gothic" w:hAnsi="Arial" w:cs="Arial"/>
          <w:sz w:val="24"/>
          <w:szCs w:val="24"/>
        </w:rPr>
        <w:t>〉</w:t>
      </w:r>
      <w:r w:rsidRPr="009D7A55">
        <w:rPr>
          <w:rFonts w:ascii="Arial" w:hAnsi="Arial" w:cs="Arial"/>
          <w:sz w:val="24"/>
          <w:szCs w:val="24"/>
        </w:rPr>
        <w:t xml:space="preserve"> Biological Assay Validation</w:t>
      </w:r>
      <w:r w:rsidR="00ED12AE" w:rsidRPr="009D7A55">
        <w:rPr>
          <w:rFonts w:ascii="Arial" w:hAnsi="Arial" w:cs="Arial"/>
          <w:sz w:val="24"/>
          <w:szCs w:val="24"/>
        </w:rPr>
        <w:t xml:space="preserve">, </w:t>
      </w:r>
      <w:r w:rsidRPr="009D7A55">
        <w:rPr>
          <w:rFonts w:ascii="Arial" w:hAnsi="Arial" w:cs="Arial"/>
          <w:sz w:val="24"/>
          <w:szCs w:val="24"/>
        </w:rPr>
        <w:t>USP Pharmacopeial Convention, Rockville, MD (2013)</w:t>
      </w:r>
    </w:p>
    <w:p w14:paraId="77F2490C" w14:textId="77777777" w:rsidR="007A2AF5" w:rsidRPr="009D7A55" w:rsidRDefault="002D6B3F" w:rsidP="009D7A55">
      <w:pPr>
        <w:numPr>
          <w:ilvl w:val="0"/>
          <w:numId w:val="2"/>
        </w:numPr>
        <w:spacing w:after="240" w:line="240" w:lineRule="auto"/>
        <w:jc w:val="both"/>
        <w:rPr>
          <w:rFonts w:ascii="Arial" w:hAnsi="Arial" w:cs="Arial"/>
          <w:sz w:val="24"/>
          <w:szCs w:val="24"/>
        </w:rPr>
      </w:pPr>
      <w:r w:rsidRPr="009D7A55">
        <w:rPr>
          <w:rFonts w:ascii="Arial" w:hAnsi="Arial" w:cs="Arial"/>
          <w:sz w:val="24"/>
          <w:szCs w:val="24"/>
        </w:rPr>
        <w:t>N. Rieder, H. Gazzano,</w:t>
      </w:r>
      <w:r w:rsidR="007A2AF5" w:rsidRPr="009D7A55">
        <w:rPr>
          <w:rFonts w:ascii="Arial" w:hAnsi="Arial" w:cs="Arial"/>
          <w:sz w:val="24"/>
          <w:szCs w:val="24"/>
        </w:rPr>
        <w:t>Santoro, M. Schenerman, R. Strause, C. Fuchs, A. Mire-Sluis, L.D. McLeold</w:t>
      </w:r>
      <w:r w:rsidR="002A34F4" w:rsidRPr="009D7A55">
        <w:rPr>
          <w:rFonts w:ascii="Arial" w:hAnsi="Arial" w:cs="Arial"/>
          <w:sz w:val="24"/>
          <w:szCs w:val="24"/>
        </w:rPr>
        <w:t xml:space="preserve"> . </w:t>
      </w:r>
      <w:r w:rsidR="007A2AF5" w:rsidRPr="009D7A55">
        <w:rPr>
          <w:rFonts w:ascii="Arial" w:hAnsi="Arial" w:cs="Arial"/>
          <w:sz w:val="24"/>
          <w:szCs w:val="24"/>
        </w:rPr>
        <w:t>The roles of bioactivity assays in lot release and stability testing</w:t>
      </w:r>
      <w:r w:rsidRPr="009D7A55">
        <w:rPr>
          <w:rFonts w:ascii="Arial" w:hAnsi="Arial" w:cs="Arial"/>
          <w:sz w:val="24"/>
          <w:szCs w:val="24"/>
        </w:rPr>
        <w:t xml:space="preserve">. </w:t>
      </w:r>
      <w:r w:rsidR="007A2AF5" w:rsidRPr="009D7A55">
        <w:rPr>
          <w:rFonts w:ascii="Arial" w:hAnsi="Arial" w:cs="Arial"/>
          <w:sz w:val="24"/>
          <w:szCs w:val="24"/>
        </w:rPr>
        <w:t>Bioprocess Int. (2010), pp. 33-42</w:t>
      </w:r>
    </w:p>
    <w:p w14:paraId="24E94E91" w14:textId="77777777" w:rsidR="007A2AF5" w:rsidRPr="009D7A55" w:rsidRDefault="007A2AF5" w:rsidP="009D7A55">
      <w:pPr>
        <w:numPr>
          <w:ilvl w:val="0"/>
          <w:numId w:val="2"/>
        </w:numPr>
        <w:spacing w:after="240" w:line="240" w:lineRule="auto"/>
        <w:jc w:val="both"/>
        <w:rPr>
          <w:rFonts w:ascii="Arial" w:hAnsi="Arial" w:cs="Arial"/>
          <w:sz w:val="24"/>
          <w:szCs w:val="24"/>
        </w:rPr>
      </w:pPr>
      <w:r w:rsidRPr="009D7A55">
        <w:rPr>
          <w:rFonts w:ascii="Arial" w:hAnsi="Arial" w:cs="Arial"/>
          <w:sz w:val="24"/>
          <w:szCs w:val="24"/>
        </w:rPr>
        <w:t>J. Robinson</w:t>
      </w:r>
      <w:r w:rsidR="002A34F4" w:rsidRPr="009D7A55">
        <w:rPr>
          <w:rFonts w:ascii="Arial" w:hAnsi="Arial" w:cs="Arial"/>
          <w:sz w:val="24"/>
          <w:szCs w:val="24"/>
        </w:rPr>
        <w:t xml:space="preserve">, </w:t>
      </w:r>
      <w:r w:rsidRPr="009D7A55">
        <w:rPr>
          <w:rFonts w:ascii="Arial" w:hAnsi="Arial" w:cs="Arial"/>
          <w:sz w:val="24"/>
          <w:szCs w:val="24"/>
        </w:rPr>
        <w:t xml:space="preserve">Assay Acceptance Criteria for </w:t>
      </w:r>
      <w:proofErr w:type="spellStart"/>
      <w:r w:rsidRPr="009D7A55">
        <w:rPr>
          <w:rFonts w:ascii="Arial" w:hAnsi="Arial" w:cs="Arial"/>
          <w:sz w:val="24"/>
          <w:szCs w:val="24"/>
        </w:rPr>
        <w:t>Multiwell</w:t>
      </w:r>
      <w:proofErr w:type="spellEnd"/>
      <w:r w:rsidRPr="009D7A55">
        <w:rPr>
          <w:rFonts w:ascii="Arial" w:hAnsi="Arial" w:cs="Arial"/>
          <w:sz w:val="24"/>
          <w:szCs w:val="24"/>
        </w:rPr>
        <w:t>-Plate-Based Biological Potency Assays</w:t>
      </w:r>
      <w:r w:rsidR="002D6B3F" w:rsidRPr="009D7A55">
        <w:rPr>
          <w:rFonts w:ascii="Arial" w:hAnsi="Arial" w:cs="Arial"/>
          <w:sz w:val="24"/>
          <w:szCs w:val="24"/>
        </w:rPr>
        <w:t xml:space="preserve">. </w:t>
      </w:r>
      <w:r w:rsidRPr="009D7A55">
        <w:rPr>
          <w:rFonts w:ascii="Arial" w:hAnsi="Arial" w:cs="Arial"/>
          <w:sz w:val="24"/>
          <w:szCs w:val="24"/>
        </w:rPr>
        <w:t xml:space="preserve">CASSS Bioassays 2014 </w:t>
      </w:r>
      <w:proofErr w:type="spellStart"/>
      <w:r w:rsidRPr="009D7A55">
        <w:rPr>
          <w:rFonts w:ascii="Arial" w:hAnsi="Arial" w:cs="Arial"/>
          <w:sz w:val="24"/>
          <w:szCs w:val="24"/>
        </w:rPr>
        <w:t>BioProcess</w:t>
      </w:r>
      <w:proofErr w:type="spellEnd"/>
      <w:r w:rsidRPr="009D7A55">
        <w:rPr>
          <w:rFonts w:ascii="Arial" w:hAnsi="Arial" w:cs="Arial"/>
          <w:sz w:val="24"/>
          <w:szCs w:val="24"/>
        </w:rPr>
        <w:t xml:space="preserve"> Int., 12 (2014), pp. 30-41</w:t>
      </w:r>
    </w:p>
    <w:p w14:paraId="2577D83C" w14:textId="77777777" w:rsidR="007A2AF5" w:rsidRPr="009D7A55" w:rsidRDefault="007A2AF5" w:rsidP="009D7A55">
      <w:pPr>
        <w:numPr>
          <w:ilvl w:val="0"/>
          <w:numId w:val="2"/>
        </w:numPr>
        <w:spacing w:after="240" w:line="240" w:lineRule="auto"/>
        <w:jc w:val="both"/>
        <w:rPr>
          <w:rFonts w:ascii="Arial" w:hAnsi="Arial" w:cs="Arial"/>
          <w:sz w:val="24"/>
          <w:szCs w:val="24"/>
        </w:rPr>
      </w:pPr>
      <w:r w:rsidRPr="009D7A55">
        <w:rPr>
          <w:rFonts w:ascii="Arial" w:hAnsi="Arial" w:cs="Arial"/>
          <w:sz w:val="24"/>
          <w:szCs w:val="24"/>
        </w:rPr>
        <w:t>E.R.R. </w:t>
      </w:r>
      <w:proofErr w:type="spellStart"/>
      <w:r w:rsidRPr="009D7A55">
        <w:rPr>
          <w:rFonts w:ascii="Arial" w:hAnsi="Arial" w:cs="Arial"/>
          <w:sz w:val="24"/>
          <w:szCs w:val="24"/>
        </w:rPr>
        <w:t>Bortolotto</w:t>
      </w:r>
      <w:proofErr w:type="spellEnd"/>
      <w:r w:rsidRPr="009D7A55">
        <w:rPr>
          <w:rFonts w:ascii="Arial" w:hAnsi="Arial" w:cs="Arial"/>
          <w:sz w:val="24"/>
          <w:szCs w:val="24"/>
        </w:rPr>
        <w:t>, B. Teodorescu, A. </w:t>
      </w:r>
      <w:proofErr w:type="spellStart"/>
      <w:r w:rsidRPr="009D7A55">
        <w:rPr>
          <w:rFonts w:ascii="Arial" w:hAnsi="Arial" w:cs="Arial"/>
          <w:sz w:val="24"/>
          <w:szCs w:val="24"/>
        </w:rPr>
        <w:t>Wielant</w:t>
      </w:r>
      <w:proofErr w:type="spellEnd"/>
      <w:r w:rsidRPr="009D7A55">
        <w:rPr>
          <w:rFonts w:ascii="Arial" w:hAnsi="Arial" w:cs="Arial"/>
          <w:sz w:val="24"/>
          <w:szCs w:val="24"/>
        </w:rPr>
        <w:t>, G. </w:t>
      </w:r>
      <w:proofErr w:type="spellStart"/>
      <w:r w:rsidRPr="009D7A55">
        <w:rPr>
          <w:rFonts w:ascii="Arial" w:hAnsi="Arial" w:cs="Arial"/>
          <w:sz w:val="24"/>
          <w:szCs w:val="24"/>
        </w:rPr>
        <w:t>Debauve</w:t>
      </w:r>
      <w:proofErr w:type="spellEnd"/>
      <w:r w:rsidR="002D6B3F" w:rsidRPr="009D7A55">
        <w:rPr>
          <w:rFonts w:ascii="Arial" w:hAnsi="Arial" w:cs="Arial"/>
          <w:sz w:val="24"/>
          <w:szCs w:val="24"/>
        </w:rPr>
        <w:t>,</w:t>
      </w:r>
      <w:r w:rsidR="00791A5A" w:rsidRPr="009D7A55">
        <w:rPr>
          <w:rFonts w:ascii="Arial" w:hAnsi="Arial" w:cs="Arial"/>
          <w:sz w:val="24"/>
          <w:szCs w:val="24"/>
        </w:rPr>
        <w:t xml:space="preserve"> </w:t>
      </w:r>
      <w:proofErr w:type="gramStart"/>
      <w:r w:rsidRPr="009D7A55">
        <w:rPr>
          <w:rFonts w:ascii="Arial" w:hAnsi="Arial" w:cs="Arial"/>
          <w:sz w:val="24"/>
          <w:szCs w:val="24"/>
        </w:rPr>
        <w:t>Assessing</w:t>
      </w:r>
      <w:proofErr w:type="gramEnd"/>
      <w:r w:rsidRPr="009D7A55">
        <w:rPr>
          <w:rFonts w:ascii="Arial" w:hAnsi="Arial" w:cs="Arial"/>
          <w:sz w:val="24"/>
          <w:szCs w:val="24"/>
        </w:rPr>
        <w:t xml:space="preserve"> similarity with parallel-line and parallel curve models: Implementing the USP development/validation approach to a relative potency assay</w:t>
      </w:r>
      <w:r w:rsidR="00D840BD" w:rsidRPr="009D7A55">
        <w:rPr>
          <w:rFonts w:ascii="Arial" w:hAnsi="Arial" w:cs="Arial"/>
          <w:sz w:val="24"/>
          <w:szCs w:val="24"/>
        </w:rPr>
        <w:t xml:space="preserve">. </w:t>
      </w:r>
      <w:r w:rsidRPr="009D7A55">
        <w:rPr>
          <w:rFonts w:ascii="Arial" w:hAnsi="Arial" w:cs="Arial"/>
          <w:sz w:val="24"/>
          <w:szCs w:val="24"/>
        </w:rPr>
        <w:t>Bioprocess Int., 13 (2015), pp. 26-37</w:t>
      </w:r>
    </w:p>
    <w:p w14:paraId="01AF3B2F" w14:textId="77777777" w:rsidR="007A2AF5" w:rsidRPr="009D7A55" w:rsidRDefault="007A2AF5" w:rsidP="009D7A55">
      <w:pPr>
        <w:numPr>
          <w:ilvl w:val="0"/>
          <w:numId w:val="2"/>
        </w:numPr>
        <w:spacing w:after="240" w:line="240" w:lineRule="auto"/>
        <w:jc w:val="both"/>
        <w:rPr>
          <w:rFonts w:ascii="Arial" w:hAnsi="Arial" w:cs="Arial"/>
          <w:sz w:val="24"/>
          <w:szCs w:val="24"/>
        </w:rPr>
      </w:pPr>
      <w:r w:rsidRPr="009D7A55">
        <w:rPr>
          <w:rFonts w:ascii="Arial" w:hAnsi="Arial" w:cs="Arial"/>
          <w:sz w:val="24"/>
          <w:szCs w:val="24"/>
        </w:rPr>
        <w:t>K. Nishi, S. Isobe, Y. Zhu, </w:t>
      </w:r>
      <w:r w:rsidRPr="009D7A55">
        <w:rPr>
          <w:rFonts w:ascii="Arial" w:hAnsi="Arial" w:cs="Arial"/>
          <w:i/>
          <w:iCs/>
          <w:sz w:val="24"/>
          <w:szCs w:val="24"/>
        </w:rPr>
        <w:t>et al.</w:t>
      </w:r>
      <w:r w:rsidR="002D6B3F" w:rsidRPr="009D7A55">
        <w:rPr>
          <w:rFonts w:ascii="Arial" w:hAnsi="Arial" w:cs="Arial"/>
          <w:i/>
          <w:iCs/>
          <w:sz w:val="24"/>
          <w:szCs w:val="24"/>
        </w:rPr>
        <w:t xml:space="preserve">, </w:t>
      </w:r>
      <w:r w:rsidRPr="009D7A55">
        <w:rPr>
          <w:rFonts w:ascii="Arial" w:hAnsi="Arial" w:cs="Arial"/>
          <w:sz w:val="24"/>
          <w:szCs w:val="24"/>
        </w:rPr>
        <w:t>Fluorescence-based bioassays for the detection and evaluation of food materials</w:t>
      </w:r>
      <w:r w:rsidR="002D6B3F" w:rsidRPr="009D7A55">
        <w:rPr>
          <w:rFonts w:ascii="Arial" w:hAnsi="Arial" w:cs="Arial"/>
          <w:sz w:val="24"/>
          <w:szCs w:val="24"/>
        </w:rPr>
        <w:t xml:space="preserve"> </w:t>
      </w:r>
      <w:r w:rsidRPr="009D7A55">
        <w:rPr>
          <w:rFonts w:ascii="Arial" w:hAnsi="Arial" w:cs="Arial"/>
          <w:sz w:val="24"/>
          <w:szCs w:val="24"/>
        </w:rPr>
        <w:t>Sensors (Basel), 15 (2015), pp. 25831-25867</w:t>
      </w:r>
    </w:p>
    <w:p w14:paraId="3A7E3531" w14:textId="77777777" w:rsidR="007A2AF5" w:rsidRPr="009D7A55" w:rsidRDefault="007A2AF5" w:rsidP="009D7A55">
      <w:pPr>
        <w:numPr>
          <w:ilvl w:val="0"/>
          <w:numId w:val="2"/>
        </w:numPr>
        <w:spacing w:after="0" w:line="240" w:lineRule="auto"/>
        <w:jc w:val="both"/>
        <w:rPr>
          <w:rFonts w:ascii="Arial" w:hAnsi="Arial" w:cs="Arial"/>
          <w:sz w:val="24"/>
          <w:szCs w:val="24"/>
        </w:rPr>
      </w:pPr>
      <w:r w:rsidRPr="009D7A55">
        <w:rPr>
          <w:rFonts w:ascii="Arial" w:hAnsi="Arial" w:cs="Arial"/>
          <w:sz w:val="24"/>
          <w:szCs w:val="24"/>
        </w:rPr>
        <w:t>C.A. Lopez-Morales, M.P. Miranda-Hernandez, L.C. Juarez-Bayardo, </w:t>
      </w:r>
      <w:r w:rsidRPr="009D7A55">
        <w:rPr>
          <w:rFonts w:ascii="Arial" w:hAnsi="Arial" w:cs="Arial"/>
          <w:i/>
          <w:iCs/>
          <w:sz w:val="24"/>
          <w:szCs w:val="24"/>
        </w:rPr>
        <w:t>et al.</w:t>
      </w:r>
    </w:p>
    <w:p w14:paraId="16CB7EB5" w14:textId="77777777" w:rsidR="007A2AF5" w:rsidRPr="009D7A55" w:rsidRDefault="007A2AF5" w:rsidP="009D7A55">
      <w:pPr>
        <w:ind w:left="720"/>
        <w:jc w:val="both"/>
        <w:rPr>
          <w:rFonts w:ascii="Arial" w:hAnsi="Arial" w:cs="Arial"/>
          <w:sz w:val="24"/>
          <w:szCs w:val="24"/>
        </w:rPr>
      </w:pPr>
      <w:r w:rsidRPr="009D7A55">
        <w:rPr>
          <w:rFonts w:ascii="Arial" w:hAnsi="Arial" w:cs="Arial"/>
          <w:sz w:val="24"/>
          <w:szCs w:val="24"/>
        </w:rPr>
        <w:t>Physicochemical and biological characterization of a biosimilar trastuzumab</w:t>
      </w:r>
    </w:p>
    <w:p w14:paraId="17C8B16F" w14:textId="77777777" w:rsidR="007A2AF5" w:rsidRPr="009D7A55" w:rsidRDefault="007A2AF5" w:rsidP="009D7A55">
      <w:pPr>
        <w:spacing w:after="240"/>
        <w:ind w:left="720"/>
        <w:jc w:val="both"/>
        <w:rPr>
          <w:rFonts w:ascii="Arial" w:hAnsi="Arial" w:cs="Arial"/>
          <w:sz w:val="24"/>
          <w:szCs w:val="24"/>
        </w:rPr>
      </w:pPr>
      <w:r w:rsidRPr="009D7A55">
        <w:rPr>
          <w:rFonts w:ascii="Arial" w:hAnsi="Arial" w:cs="Arial"/>
          <w:sz w:val="24"/>
          <w:szCs w:val="24"/>
        </w:rPr>
        <w:t>BioMed Res. Int., 2015 (2015), p. 427235</w:t>
      </w:r>
    </w:p>
    <w:p w14:paraId="094BB456" w14:textId="77777777" w:rsidR="007A2AF5" w:rsidRPr="009D7A55" w:rsidRDefault="007A2AF5" w:rsidP="009D7A55">
      <w:pPr>
        <w:numPr>
          <w:ilvl w:val="0"/>
          <w:numId w:val="2"/>
        </w:numPr>
        <w:spacing w:after="240" w:line="240" w:lineRule="auto"/>
        <w:jc w:val="both"/>
        <w:rPr>
          <w:rFonts w:ascii="Arial" w:hAnsi="Arial" w:cs="Arial"/>
          <w:sz w:val="24"/>
          <w:szCs w:val="24"/>
        </w:rPr>
      </w:pPr>
      <w:r w:rsidRPr="009D7A55">
        <w:rPr>
          <w:rFonts w:ascii="Arial" w:hAnsi="Arial" w:cs="Arial"/>
          <w:sz w:val="24"/>
          <w:szCs w:val="24"/>
        </w:rPr>
        <w:t>FDA Guidance for Industry–Analytical Procedures and Method Validation, Chemistry, Manufacturing, and Controls Documentation</w:t>
      </w:r>
    </w:p>
    <w:p w14:paraId="385205E2" w14:textId="77777777" w:rsidR="007A2AF5" w:rsidRPr="009D7A55" w:rsidRDefault="007A2AF5" w:rsidP="009D7A55">
      <w:pPr>
        <w:spacing w:after="240"/>
        <w:ind w:left="720"/>
        <w:jc w:val="both"/>
        <w:rPr>
          <w:rFonts w:ascii="Arial" w:hAnsi="Arial" w:cs="Arial"/>
          <w:sz w:val="24"/>
          <w:szCs w:val="24"/>
        </w:rPr>
      </w:pPr>
      <w:proofErr w:type="spellStart"/>
      <w:r w:rsidRPr="009D7A55">
        <w:rPr>
          <w:rFonts w:ascii="Arial" w:hAnsi="Arial" w:cs="Arial"/>
          <w:sz w:val="24"/>
          <w:szCs w:val="24"/>
        </w:rPr>
        <w:t>Center</w:t>
      </w:r>
      <w:proofErr w:type="spellEnd"/>
      <w:r w:rsidRPr="009D7A55">
        <w:rPr>
          <w:rFonts w:ascii="Arial" w:hAnsi="Arial" w:cs="Arial"/>
          <w:sz w:val="24"/>
          <w:szCs w:val="24"/>
        </w:rPr>
        <w:t xml:space="preserve"> for Drug Evaluation and Research (CDER) and </w:t>
      </w:r>
      <w:proofErr w:type="spellStart"/>
      <w:r w:rsidRPr="009D7A55">
        <w:rPr>
          <w:rFonts w:ascii="Arial" w:hAnsi="Arial" w:cs="Arial"/>
          <w:sz w:val="24"/>
          <w:szCs w:val="24"/>
        </w:rPr>
        <w:t>Center</w:t>
      </w:r>
      <w:proofErr w:type="spellEnd"/>
      <w:r w:rsidRPr="009D7A55">
        <w:rPr>
          <w:rFonts w:ascii="Arial" w:hAnsi="Arial" w:cs="Arial"/>
          <w:sz w:val="24"/>
          <w:szCs w:val="24"/>
        </w:rPr>
        <w:t xml:space="preserve"> for Biologics Evaluation and Research (CBER) (2000)</w:t>
      </w:r>
    </w:p>
    <w:p w14:paraId="3DB8833F" w14:textId="77777777" w:rsidR="007A2AF5" w:rsidRPr="009D7A55" w:rsidRDefault="007A2AF5" w:rsidP="009D7A55">
      <w:pPr>
        <w:numPr>
          <w:ilvl w:val="0"/>
          <w:numId w:val="2"/>
        </w:numPr>
        <w:spacing w:after="240" w:line="240" w:lineRule="auto"/>
        <w:jc w:val="both"/>
        <w:rPr>
          <w:rFonts w:ascii="Arial" w:hAnsi="Arial" w:cs="Arial"/>
          <w:sz w:val="24"/>
          <w:szCs w:val="24"/>
        </w:rPr>
      </w:pPr>
      <w:r w:rsidRPr="009D7A55">
        <w:rPr>
          <w:rFonts w:ascii="Arial" w:hAnsi="Arial" w:cs="Arial"/>
          <w:sz w:val="24"/>
          <w:szCs w:val="24"/>
        </w:rPr>
        <w:t>C.C. Chan</w:t>
      </w:r>
      <w:r w:rsidR="009A0FB7" w:rsidRPr="009D7A55">
        <w:rPr>
          <w:rFonts w:ascii="Arial" w:hAnsi="Arial" w:cs="Arial"/>
          <w:sz w:val="24"/>
          <w:szCs w:val="24"/>
        </w:rPr>
        <w:t xml:space="preserve">, </w:t>
      </w:r>
      <w:r w:rsidRPr="009D7A55">
        <w:rPr>
          <w:rFonts w:ascii="Arial" w:hAnsi="Arial" w:cs="Arial"/>
          <w:sz w:val="24"/>
          <w:szCs w:val="24"/>
        </w:rPr>
        <w:t>Analytical Method Validation and Instrument Performance Verification</w:t>
      </w:r>
      <w:r w:rsidR="00D840BD" w:rsidRPr="009D7A55">
        <w:rPr>
          <w:rFonts w:ascii="Arial" w:hAnsi="Arial" w:cs="Arial"/>
          <w:sz w:val="24"/>
          <w:szCs w:val="24"/>
        </w:rPr>
        <w:t xml:space="preserve">, </w:t>
      </w:r>
      <w:r w:rsidRPr="009D7A55">
        <w:rPr>
          <w:rFonts w:ascii="Arial" w:hAnsi="Arial" w:cs="Arial"/>
          <w:sz w:val="24"/>
          <w:szCs w:val="24"/>
        </w:rPr>
        <w:t>John Wiley &amp; Sons, Hoboken, N.J (2004)</w:t>
      </w:r>
    </w:p>
    <w:p w14:paraId="6A8FE10D" w14:textId="77777777" w:rsidR="007A2AF5" w:rsidRPr="009D7A55" w:rsidRDefault="007A2AF5" w:rsidP="009D7A55">
      <w:pPr>
        <w:numPr>
          <w:ilvl w:val="0"/>
          <w:numId w:val="2"/>
        </w:numPr>
        <w:spacing w:after="240" w:line="240" w:lineRule="auto"/>
        <w:jc w:val="both"/>
        <w:rPr>
          <w:rFonts w:ascii="Arial" w:hAnsi="Arial" w:cs="Arial"/>
          <w:color w:val="737373"/>
          <w:sz w:val="24"/>
          <w:szCs w:val="24"/>
        </w:rPr>
      </w:pPr>
      <w:r w:rsidRPr="009D7A55">
        <w:rPr>
          <w:rFonts w:ascii="Arial" w:hAnsi="Arial" w:cs="Arial"/>
          <w:sz w:val="24"/>
          <w:szCs w:val="24"/>
        </w:rPr>
        <w:lastRenderedPageBreak/>
        <w:t>International Conference on Harmonization Validation of Analytical Procedures: Text and Methodology Q2(R1)</w:t>
      </w:r>
      <w:r w:rsidR="009A0FB7" w:rsidRPr="009D7A55">
        <w:rPr>
          <w:rFonts w:ascii="Arial" w:hAnsi="Arial" w:cs="Arial"/>
          <w:sz w:val="24"/>
          <w:szCs w:val="24"/>
        </w:rPr>
        <w:t xml:space="preserve">, </w:t>
      </w:r>
      <w:r w:rsidRPr="009D7A55">
        <w:rPr>
          <w:rFonts w:ascii="Arial" w:hAnsi="Arial" w:cs="Arial"/>
          <w:color w:val="737373"/>
          <w:sz w:val="24"/>
          <w:szCs w:val="24"/>
        </w:rPr>
        <w:t>(</w:t>
      </w:r>
      <w:r w:rsidRPr="009D7A55">
        <w:rPr>
          <w:rFonts w:ascii="Arial" w:hAnsi="Arial" w:cs="Arial"/>
          <w:color w:val="000000" w:themeColor="text1"/>
          <w:sz w:val="24"/>
          <w:szCs w:val="24"/>
        </w:rPr>
        <w:t>2005)</w:t>
      </w:r>
    </w:p>
    <w:p w14:paraId="2CB98F68" w14:textId="77777777" w:rsidR="007A2AF5" w:rsidRPr="009D7A55" w:rsidRDefault="007A2AF5" w:rsidP="009D7A55">
      <w:pPr>
        <w:numPr>
          <w:ilvl w:val="0"/>
          <w:numId w:val="2"/>
        </w:numPr>
        <w:spacing w:after="240" w:line="240" w:lineRule="auto"/>
        <w:jc w:val="both"/>
        <w:rPr>
          <w:rFonts w:ascii="Arial" w:hAnsi="Arial" w:cs="Arial"/>
          <w:sz w:val="24"/>
          <w:szCs w:val="24"/>
        </w:rPr>
      </w:pPr>
      <w:r w:rsidRPr="009D7A55">
        <w:rPr>
          <w:rFonts w:ascii="Arial" w:hAnsi="Arial" w:cs="Arial"/>
          <w:sz w:val="24"/>
          <w:szCs w:val="24"/>
        </w:rPr>
        <w:t>G. Tiwari, R. Tiwari</w:t>
      </w:r>
      <w:r w:rsidR="009A0FB7" w:rsidRPr="009D7A55">
        <w:rPr>
          <w:rFonts w:ascii="Arial" w:hAnsi="Arial" w:cs="Arial"/>
          <w:sz w:val="24"/>
          <w:szCs w:val="24"/>
        </w:rPr>
        <w:t xml:space="preserve">, </w:t>
      </w:r>
      <w:r w:rsidRPr="009D7A55">
        <w:rPr>
          <w:rFonts w:ascii="Arial" w:hAnsi="Arial" w:cs="Arial"/>
          <w:sz w:val="24"/>
          <w:szCs w:val="24"/>
        </w:rPr>
        <w:t>Bioanalytical method validation: an updated review</w:t>
      </w:r>
    </w:p>
    <w:p w14:paraId="65BF60E5" w14:textId="77777777" w:rsidR="007A2AF5" w:rsidRPr="009D7A55" w:rsidRDefault="007A2AF5" w:rsidP="009D7A55">
      <w:pPr>
        <w:spacing w:after="240"/>
        <w:ind w:left="720"/>
        <w:jc w:val="both"/>
        <w:rPr>
          <w:rFonts w:ascii="Arial" w:hAnsi="Arial" w:cs="Arial"/>
          <w:sz w:val="24"/>
          <w:szCs w:val="24"/>
        </w:rPr>
      </w:pPr>
      <w:r w:rsidRPr="009D7A55">
        <w:rPr>
          <w:rFonts w:ascii="Arial" w:hAnsi="Arial" w:cs="Arial"/>
          <w:sz w:val="24"/>
          <w:szCs w:val="24"/>
        </w:rPr>
        <w:t>Pharm. Methods, 1 (2010), pp. 25-38</w:t>
      </w:r>
    </w:p>
    <w:p w14:paraId="79F52268" w14:textId="77777777" w:rsidR="00D67388" w:rsidRPr="009D7A55" w:rsidRDefault="00000000" w:rsidP="009D7A55">
      <w:pPr>
        <w:numPr>
          <w:ilvl w:val="0"/>
          <w:numId w:val="2"/>
        </w:numPr>
        <w:spacing w:after="240" w:line="240" w:lineRule="auto"/>
        <w:jc w:val="both"/>
        <w:rPr>
          <w:rFonts w:ascii="Arial" w:hAnsi="Arial" w:cs="Arial"/>
          <w:sz w:val="24"/>
          <w:szCs w:val="24"/>
        </w:rPr>
      </w:pPr>
      <w:hyperlink r:id="rId19" w:tooltip="Go to Journal of Pharmaceutical and Biomedical Analysis on ScienceDirect" w:history="1">
        <w:r w:rsidR="00D67388" w:rsidRPr="009D7A55">
          <w:rPr>
            <w:rFonts w:ascii="Arial" w:hAnsi="Arial" w:cs="Arial"/>
            <w:sz w:val="24"/>
            <w:szCs w:val="24"/>
          </w:rPr>
          <w:t>Journal of Pharmaceutical and Biomedical Analysis</w:t>
        </w:r>
      </w:hyperlink>
      <w:r w:rsidR="001F3AF2" w:rsidRPr="009D7A55">
        <w:rPr>
          <w:rFonts w:ascii="Arial" w:hAnsi="Arial" w:cs="Arial"/>
          <w:sz w:val="24"/>
          <w:szCs w:val="24"/>
        </w:rPr>
        <w:t xml:space="preserve">, </w:t>
      </w:r>
      <w:hyperlink r:id="rId20" w:tooltip="Go to table of contents for this volume/issue" w:history="1">
        <w:r w:rsidR="00D67388" w:rsidRPr="009D7A55">
          <w:rPr>
            <w:rFonts w:ascii="Arial" w:hAnsi="Arial" w:cs="Arial"/>
            <w:sz w:val="24"/>
            <w:szCs w:val="24"/>
          </w:rPr>
          <w:t>Volume 155</w:t>
        </w:r>
      </w:hyperlink>
      <w:r w:rsidR="00D67388" w:rsidRPr="009D7A55">
        <w:rPr>
          <w:rFonts w:ascii="Arial" w:hAnsi="Arial" w:cs="Arial"/>
          <w:sz w:val="24"/>
          <w:szCs w:val="24"/>
        </w:rPr>
        <w:t>, 5 June 2018, Pages 235-240, Development and validation of a bioassay to evaluate binding of adalimumab to cell membrane-anchored TNFα using flow cytometry detection</w:t>
      </w:r>
      <w:r w:rsidR="005671F7" w:rsidRPr="009D7A55">
        <w:rPr>
          <w:rFonts w:ascii="Arial" w:hAnsi="Arial" w:cs="Arial"/>
          <w:sz w:val="24"/>
          <w:szCs w:val="24"/>
        </w:rPr>
        <w:t>.</w:t>
      </w:r>
    </w:p>
    <w:p w14:paraId="4C35DB3A" w14:textId="77777777" w:rsidR="00D67388" w:rsidRPr="00A41B74" w:rsidRDefault="005671F7" w:rsidP="009F2D4F">
      <w:pPr>
        <w:numPr>
          <w:ilvl w:val="0"/>
          <w:numId w:val="2"/>
        </w:numPr>
        <w:spacing w:after="0" w:line="240" w:lineRule="auto"/>
        <w:jc w:val="both"/>
        <w:rPr>
          <w:rFonts w:ascii="Arial" w:hAnsi="Arial" w:cs="Arial"/>
          <w:color w:val="2E2E2E"/>
          <w:sz w:val="24"/>
          <w:szCs w:val="24"/>
        </w:rPr>
      </w:pPr>
      <w:r w:rsidRPr="00A41B74">
        <w:rPr>
          <w:rFonts w:ascii="Arial" w:hAnsi="Arial" w:cs="Arial"/>
          <w:sz w:val="24"/>
          <w:szCs w:val="24"/>
        </w:rPr>
        <w:t xml:space="preserve">Bioanalytical Method Validation Guidance for Industry, U.S. Department of Health and Human Services Food and Drug Administration </w:t>
      </w:r>
      <w:proofErr w:type="spellStart"/>
      <w:r w:rsidRPr="00A41B74">
        <w:rPr>
          <w:rFonts w:ascii="Arial" w:hAnsi="Arial" w:cs="Arial"/>
          <w:sz w:val="24"/>
          <w:szCs w:val="24"/>
        </w:rPr>
        <w:t>Center</w:t>
      </w:r>
      <w:proofErr w:type="spellEnd"/>
      <w:r w:rsidRPr="00A41B74">
        <w:rPr>
          <w:rFonts w:ascii="Arial" w:hAnsi="Arial" w:cs="Arial"/>
          <w:sz w:val="24"/>
          <w:szCs w:val="24"/>
        </w:rPr>
        <w:t xml:space="preserve"> for Drug Evaluation and Research (CDER) </w:t>
      </w:r>
      <w:proofErr w:type="spellStart"/>
      <w:r w:rsidRPr="00A41B74">
        <w:rPr>
          <w:rFonts w:ascii="Arial" w:hAnsi="Arial" w:cs="Arial"/>
          <w:sz w:val="24"/>
          <w:szCs w:val="24"/>
        </w:rPr>
        <w:t>Center</w:t>
      </w:r>
      <w:proofErr w:type="spellEnd"/>
      <w:r w:rsidRPr="00A41B74">
        <w:rPr>
          <w:rFonts w:ascii="Arial" w:hAnsi="Arial" w:cs="Arial"/>
          <w:sz w:val="24"/>
          <w:szCs w:val="24"/>
        </w:rPr>
        <w:t xml:space="preserve"> for Veterinary Medicine (CVM), May 2018 Biopharmaceutics05/24/18.</w:t>
      </w:r>
    </w:p>
    <w:sectPr w:rsidR="00D67388" w:rsidRPr="00A41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C5B"/>
    <w:multiLevelType w:val="hybridMultilevel"/>
    <w:tmpl w:val="2AE02F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A68245C"/>
    <w:multiLevelType w:val="hybridMultilevel"/>
    <w:tmpl w:val="060EC30C"/>
    <w:lvl w:ilvl="0" w:tplc="54C6A84A">
      <w:start w:val="1"/>
      <w:numFmt w:val="bullet"/>
      <w:lvlText w:val=""/>
      <w:lvlJc w:val="left"/>
      <w:pPr>
        <w:ind w:left="720" w:hanging="360"/>
      </w:pPr>
      <w:rPr>
        <w:rFonts w:ascii="Symbol" w:hAnsi="Symbol" w:hint="default"/>
        <w:sz w:val="12"/>
        <w:szCs w:val="1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B381F30"/>
    <w:multiLevelType w:val="hybridMultilevel"/>
    <w:tmpl w:val="512C90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697DC4"/>
    <w:multiLevelType w:val="hybridMultilevel"/>
    <w:tmpl w:val="5A8AC1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06934DB"/>
    <w:multiLevelType w:val="hybridMultilevel"/>
    <w:tmpl w:val="D488DC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DD330E4"/>
    <w:multiLevelType w:val="hybridMultilevel"/>
    <w:tmpl w:val="085E802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2692222"/>
    <w:multiLevelType w:val="multilevel"/>
    <w:tmpl w:val="95044F4E"/>
    <w:lvl w:ilvl="0">
      <w:start w:val="1"/>
      <w:numFmt w:val="decimal"/>
      <w:lvlText w:val="%1."/>
      <w:lvlJc w:val="left"/>
      <w:pPr>
        <w:tabs>
          <w:tab w:val="num" w:pos="720"/>
        </w:tabs>
        <w:ind w:left="720" w:hanging="360"/>
      </w:pPr>
      <w:rPr>
        <w:b w:val="0"/>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7072920">
    <w:abstractNumId w:val="2"/>
  </w:num>
  <w:num w:numId="2" w16cid:durableId="1820879113">
    <w:abstractNumId w:val="6"/>
  </w:num>
  <w:num w:numId="3" w16cid:durableId="1968849827">
    <w:abstractNumId w:val="5"/>
  </w:num>
  <w:num w:numId="4" w16cid:durableId="1911966788">
    <w:abstractNumId w:val="4"/>
  </w:num>
  <w:num w:numId="5" w16cid:durableId="1825388175">
    <w:abstractNumId w:val="3"/>
  </w:num>
  <w:num w:numId="6" w16cid:durableId="854341375">
    <w:abstractNumId w:val="0"/>
  </w:num>
  <w:num w:numId="7" w16cid:durableId="476535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F6A"/>
    <w:rsid w:val="00004DAA"/>
    <w:rsid w:val="00013BAC"/>
    <w:rsid w:val="0003746D"/>
    <w:rsid w:val="00042F43"/>
    <w:rsid w:val="00054260"/>
    <w:rsid w:val="00066CF8"/>
    <w:rsid w:val="00087118"/>
    <w:rsid w:val="000955A7"/>
    <w:rsid w:val="000A0E99"/>
    <w:rsid w:val="000C3A79"/>
    <w:rsid w:val="00111F40"/>
    <w:rsid w:val="00133DCA"/>
    <w:rsid w:val="00134C9B"/>
    <w:rsid w:val="00143565"/>
    <w:rsid w:val="001A026C"/>
    <w:rsid w:val="001B48B1"/>
    <w:rsid w:val="001B4E5E"/>
    <w:rsid w:val="001B66D0"/>
    <w:rsid w:val="001D6DE4"/>
    <w:rsid w:val="001F3AF2"/>
    <w:rsid w:val="00211F7A"/>
    <w:rsid w:val="002125D0"/>
    <w:rsid w:val="00220E23"/>
    <w:rsid w:val="0023374C"/>
    <w:rsid w:val="00286921"/>
    <w:rsid w:val="0029390A"/>
    <w:rsid w:val="00296B40"/>
    <w:rsid w:val="002A34F4"/>
    <w:rsid w:val="002B6015"/>
    <w:rsid w:val="002D6B3F"/>
    <w:rsid w:val="003102C2"/>
    <w:rsid w:val="003164D0"/>
    <w:rsid w:val="00326CBD"/>
    <w:rsid w:val="0034677F"/>
    <w:rsid w:val="00381A11"/>
    <w:rsid w:val="003E3CF8"/>
    <w:rsid w:val="003F4B73"/>
    <w:rsid w:val="00410E1C"/>
    <w:rsid w:val="004458B6"/>
    <w:rsid w:val="0046382A"/>
    <w:rsid w:val="00490231"/>
    <w:rsid w:val="00500F6A"/>
    <w:rsid w:val="00562D1F"/>
    <w:rsid w:val="005671F7"/>
    <w:rsid w:val="0057317C"/>
    <w:rsid w:val="005A073E"/>
    <w:rsid w:val="005A7910"/>
    <w:rsid w:val="005E1C7E"/>
    <w:rsid w:val="005F4533"/>
    <w:rsid w:val="00654D48"/>
    <w:rsid w:val="00672CD9"/>
    <w:rsid w:val="006C20C6"/>
    <w:rsid w:val="006C781B"/>
    <w:rsid w:val="006E1A37"/>
    <w:rsid w:val="006E1A60"/>
    <w:rsid w:val="00700F20"/>
    <w:rsid w:val="00721019"/>
    <w:rsid w:val="00730D95"/>
    <w:rsid w:val="00733168"/>
    <w:rsid w:val="00791A5A"/>
    <w:rsid w:val="00796A8F"/>
    <w:rsid w:val="007A2AF5"/>
    <w:rsid w:val="007C01F8"/>
    <w:rsid w:val="007C0B44"/>
    <w:rsid w:val="007D7589"/>
    <w:rsid w:val="007F1B47"/>
    <w:rsid w:val="007F2863"/>
    <w:rsid w:val="007F7197"/>
    <w:rsid w:val="008143A9"/>
    <w:rsid w:val="00814FDE"/>
    <w:rsid w:val="008A4A27"/>
    <w:rsid w:val="008C7FAF"/>
    <w:rsid w:val="008F06BD"/>
    <w:rsid w:val="008F07AF"/>
    <w:rsid w:val="008F7170"/>
    <w:rsid w:val="00956DF9"/>
    <w:rsid w:val="0096076F"/>
    <w:rsid w:val="00970A99"/>
    <w:rsid w:val="00987336"/>
    <w:rsid w:val="009936E1"/>
    <w:rsid w:val="009A0FB7"/>
    <w:rsid w:val="009B4DD6"/>
    <w:rsid w:val="009D7A55"/>
    <w:rsid w:val="00A11930"/>
    <w:rsid w:val="00A32AE7"/>
    <w:rsid w:val="00A340D7"/>
    <w:rsid w:val="00A41B74"/>
    <w:rsid w:val="00A42382"/>
    <w:rsid w:val="00AA2AFC"/>
    <w:rsid w:val="00AA3076"/>
    <w:rsid w:val="00AC2E41"/>
    <w:rsid w:val="00AE2775"/>
    <w:rsid w:val="00B070C5"/>
    <w:rsid w:val="00B80F5F"/>
    <w:rsid w:val="00B92038"/>
    <w:rsid w:val="00BA3E30"/>
    <w:rsid w:val="00BC04D5"/>
    <w:rsid w:val="00C02D61"/>
    <w:rsid w:val="00C16A27"/>
    <w:rsid w:val="00C41CBC"/>
    <w:rsid w:val="00C64A71"/>
    <w:rsid w:val="00C75787"/>
    <w:rsid w:val="00C76671"/>
    <w:rsid w:val="00CC1A8E"/>
    <w:rsid w:val="00CE4CBC"/>
    <w:rsid w:val="00CF21FA"/>
    <w:rsid w:val="00CF3378"/>
    <w:rsid w:val="00D01007"/>
    <w:rsid w:val="00D15986"/>
    <w:rsid w:val="00D52B0A"/>
    <w:rsid w:val="00D67388"/>
    <w:rsid w:val="00D840BD"/>
    <w:rsid w:val="00D84413"/>
    <w:rsid w:val="00DA3DEE"/>
    <w:rsid w:val="00DE48C6"/>
    <w:rsid w:val="00DF1731"/>
    <w:rsid w:val="00E20809"/>
    <w:rsid w:val="00E404F0"/>
    <w:rsid w:val="00E45283"/>
    <w:rsid w:val="00E53AA4"/>
    <w:rsid w:val="00E70B3E"/>
    <w:rsid w:val="00E723D4"/>
    <w:rsid w:val="00E966D7"/>
    <w:rsid w:val="00EB1212"/>
    <w:rsid w:val="00EC5D6E"/>
    <w:rsid w:val="00ED12AE"/>
    <w:rsid w:val="00EF75C3"/>
    <w:rsid w:val="00F03ED5"/>
    <w:rsid w:val="00F12AAF"/>
    <w:rsid w:val="00F23D86"/>
    <w:rsid w:val="00F2788C"/>
    <w:rsid w:val="00F449A7"/>
    <w:rsid w:val="00F539E5"/>
    <w:rsid w:val="00F842A4"/>
    <w:rsid w:val="00FB2326"/>
    <w:rsid w:val="00FC2E5E"/>
    <w:rsid w:val="00FD069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31C3"/>
  <w15:chartTrackingRefBased/>
  <w15:docId w15:val="{ACE7D30C-61F6-4A3E-9367-A7A53D29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3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6738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7388"/>
    <w:rPr>
      <w:rFonts w:ascii="Times New Roman" w:eastAsia="Times New Roman" w:hAnsi="Times New Roman" w:cs="Times New Roman"/>
      <w:b/>
      <w:bCs/>
      <w:sz w:val="36"/>
      <w:szCs w:val="36"/>
      <w:lang w:eastAsia="en-IN"/>
    </w:rPr>
  </w:style>
  <w:style w:type="character" w:customStyle="1" w:styleId="anchor-text">
    <w:name w:val="anchor-text"/>
    <w:basedOn w:val="DefaultParagraphFont"/>
    <w:rsid w:val="00D67388"/>
  </w:style>
  <w:style w:type="character" w:customStyle="1" w:styleId="Heading1Char">
    <w:name w:val="Heading 1 Char"/>
    <w:basedOn w:val="DefaultParagraphFont"/>
    <w:link w:val="Heading1"/>
    <w:uiPriority w:val="9"/>
    <w:rsid w:val="00D67388"/>
    <w:rPr>
      <w:rFonts w:asciiTheme="majorHAnsi" w:eastAsiaTheme="majorEastAsia" w:hAnsiTheme="majorHAnsi" w:cstheme="majorBidi"/>
      <w:color w:val="2E74B5" w:themeColor="accent1" w:themeShade="BF"/>
      <w:sz w:val="32"/>
      <w:szCs w:val="32"/>
    </w:rPr>
  </w:style>
  <w:style w:type="character" w:customStyle="1" w:styleId="title-text">
    <w:name w:val="title-text"/>
    <w:basedOn w:val="DefaultParagraphFont"/>
    <w:rsid w:val="00D67388"/>
  </w:style>
  <w:style w:type="paragraph" w:styleId="NormalWeb">
    <w:name w:val="Normal (Web)"/>
    <w:basedOn w:val="Normal"/>
    <w:uiPriority w:val="99"/>
    <w:semiHidden/>
    <w:unhideWhenUsed/>
    <w:rsid w:val="00D6738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B48B1"/>
    <w:rPr>
      <w:i/>
      <w:iCs/>
    </w:rPr>
  </w:style>
  <w:style w:type="character" w:styleId="Hyperlink">
    <w:name w:val="Hyperlink"/>
    <w:basedOn w:val="DefaultParagraphFont"/>
    <w:uiPriority w:val="99"/>
    <w:semiHidden/>
    <w:unhideWhenUsed/>
    <w:rsid w:val="001B48B1"/>
    <w:rPr>
      <w:color w:val="0000FF"/>
      <w:u w:val="single"/>
    </w:rPr>
  </w:style>
  <w:style w:type="character" w:customStyle="1" w:styleId="label">
    <w:name w:val="label"/>
    <w:basedOn w:val="DefaultParagraphFont"/>
    <w:rsid w:val="007A2AF5"/>
  </w:style>
  <w:style w:type="character" w:customStyle="1" w:styleId="reference">
    <w:name w:val="reference"/>
    <w:basedOn w:val="DefaultParagraphFont"/>
    <w:rsid w:val="007A2AF5"/>
  </w:style>
  <w:style w:type="character" w:customStyle="1" w:styleId="text">
    <w:name w:val="text"/>
    <w:basedOn w:val="DefaultParagraphFont"/>
    <w:rsid w:val="007A2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8264">
      <w:bodyDiv w:val="1"/>
      <w:marLeft w:val="0"/>
      <w:marRight w:val="0"/>
      <w:marTop w:val="0"/>
      <w:marBottom w:val="0"/>
      <w:divBdr>
        <w:top w:val="none" w:sz="0" w:space="0" w:color="auto"/>
        <w:left w:val="none" w:sz="0" w:space="0" w:color="auto"/>
        <w:bottom w:val="none" w:sz="0" w:space="0" w:color="auto"/>
        <w:right w:val="none" w:sz="0" w:space="0" w:color="auto"/>
      </w:divBdr>
    </w:div>
    <w:div w:id="519202734">
      <w:bodyDiv w:val="1"/>
      <w:marLeft w:val="0"/>
      <w:marRight w:val="0"/>
      <w:marTop w:val="0"/>
      <w:marBottom w:val="0"/>
      <w:divBdr>
        <w:top w:val="none" w:sz="0" w:space="0" w:color="auto"/>
        <w:left w:val="none" w:sz="0" w:space="0" w:color="auto"/>
        <w:bottom w:val="none" w:sz="0" w:space="0" w:color="auto"/>
        <w:right w:val="none" w:sz="0" w:space="0" w:color="auto"/>
      </w:divBdr>
    </w:div>
    <w:div w:id="828907501">
      <w:bodyDiv w:val="1"/>
      <w:marLeft w:val="0"/>
      <w:marRight w:val="0"/>
      <w:marTop w:val="0"/>
      <w:marBottom w:val="0"/>
      <w:divBdr>
        <w:top w:val="none" w:sz="0" w:space="0" w:color="auto"/>
        <w:left w:val="none" w:sz="0" w:space="0" w:color="auto"/>
        <w:bottom w:val="none" w:sz="0" w:space="0" w:color="auto"/>
        <w:right w:val="none" w:sz="0" w:space="0" w:color="auto"/>
      </w:divBdr>
      <w:divsChild>
        <w:div w:id="2075204301">
          <w:marLeft w:val="0"/>
          <w:marRight w:val="0"/>
          <w:marTop w:val="0"/>
          <w:marBottom w:val="0"/>
          <w:divBdr>
            <w:top w:val="none" w:sz="0" w:space="0" w:color="auto"/>
            <w:left w:val="none" w:sz="0" w:space="0" w:color="auto"/>
            <w:bottom w:val="none" w:sz="0" w:space="0" w:color="auto"/>
            <w:right w:val="none" w:sz="0" w:space="0" w:color="auto"/>
          </w:divBdr>
          <w:divsChild>
            <w:div w:id="1429153731">
              <w:marLeft w:val="0"/>
              <w:marRight w:val="0"/>
              <w:marTop w:val="0"/>
              <w:marBottom w:val="0"/>
              <w:divBdr>
                <w:top w:val="none" w:sz="0" w:space="0" w:color="auto"/>
                <w:left w:val="none" w:sz="0" w:space="0" w:color="auto"/>
                <w:bottom w:val="none" w:sz="0" w:space="0" w:color="auto"/>
                <w:right w:val="none" w:sz="0" w:space="0" w:color="auto"/>
              </w:divBdr>
            </w:div>
          </w:divsChild>
        </w:div>
        <w:div w:id="1072117916">
          <w:marLeft w:val="0"/>
          <w:marRight w:val="0"/>
          <w:marTop w:val="0"/>
          <w:marBottom w:val="0"/>
          <w:divBdr>
            <w:top w:val="none" w:sz="0" w:space="0" w:color="auto"/>
            <w:left w:val="none" w:sz="0" w:space="0" w:color="auto"/>
            <w:bottom w:val="none" w:sz="0" w:space="0" w:color="auto"/>
            <w:right w:val="none" w:sz="0" w:space="0" w:color="auto"/>
          </w:divBdr>
        </w:div>
        <w:div w:id="1103182134">
          <w:marLeft w:val="0"/>
          <w:marRight w:val="0"/>
          <w:marTop w:val="60"/>
          <w:marBottom w:val="0"/>
          <w:divBdr>
            <w:top w:val="none" w:sz="0" w:space="0" w:color="auto"/>
            <w:left w:val="none" w:sz="0" w:space="0" w:color="auto"/>
            <w:bottom w:val="none" w:sz="0" w:space="0" w:color="auto"/>
            <w:right w:val="none" w:sz="0" w:space="0" w:color="auto"/>
          </w:divBdr>
        </w:div>
        <w:div w:id="737477650">
          <w:marLeft w:val="0"/>
          <w:marRight w:val="0"/>
          <w:marTop w:val="0"/>
          <w:marBottom w:val="0"/>
          <w:divBdr>
            <w:top w:val="none" w:sz="0" w:space="0" w:color="auto"/>
            <w:left w:val="none" w:sz="0" w:space="0" w:color="auto"/>
            <w:bottom w:val="none" w:sz="0" w:space="0" w:color="auto"/>
            <w:right w:val="none" w:sz="0" w:space="0" w:color="auto"/>
          </w:divBdr>
          <w:divsChild>
            <w:div w:id="1413887806">
              <w:marLeft w:val="0"/>
              <w:marRight w:val="0"/>
              <w:marTop w:val="0"/>
              <w:marBottom w:val="0"/>
              <w:divBdr>
                <w:top w:val="none" w:sz="0" w:space="0" w:color="auto"/>
                <w:left w:val="none" w:sz="0" w:space="0" w:color="auto"/>
                <w:bottom w:val="none" w:sz="0" w:space="0" w:color="auto"/>
                <w:right w:val="none" w:sz="0" w:space="0" w:color="auto"/>
              </w:divBdr>
            </w:div>
            <w:div w:id="1604460010">
              <w:marLeft w:val="0"/>
              <w:marRight w:val="0"/>
              <w:marTop w:val="0"/>
              <w:marBottom w:val="0"/>
              <w:divBdr>
                <w:top w:val="none" w:sz="0" w:space="0" w:color="auto"/>
                <w:left w:val="none" w:sz="0" w:space="0" w:color="auto"/>
                <w:bottom w:val="none" w:sz="0" w:space="0" w:color="auto"/>
                <w:right w:val="none" w:sz="0" w:space="0" w:color="auto"/>
              </w:divBdr>
            </w:div>
          </w:divsChild>
        </w:div>
        <w:div w:id="988707261">
          <w:marLeft w:val="0"/>
          <w:marRight w:val="0"/>
          <w:marTop w:val="0"/>
          <w:marBottom w:val="0"/>
          <w:divBdr>
            <w:top w:val="none" w:sz="0" w:space="0" w:color="auto"/>
            <w:left w:val="none" w:sz="0" w:space="0" w:color="auto"/>
            <w:bottom w:val="none" w:sz="0" w:space="0" w:color="auto"/>
            <w:right w:val="none" w:sz="0" w:space="0" w:color="auto"/>
          </w:divBdr>
        </w:div>
        <w:div w:id="1749377801">
          <w:marLeft w:val="0"/>
          <w:marRight w:val="0"/>
          <w:marTop w:val="60"/>
          <w:marBottom w:val="0"/>
          <w:divBdr>
            <w:top w:val="none" w:sz="0" w:space="0" w:color="auto"/>
            <w:left w:val="none" w:sz="0" w:space="0" w:color="auto"/>
            <w:bottom w:val="none" w:sz="0" w:space="0" w:color="auto"/>
            <w:right w:val="none" w:sz="0" w:space="0" w:color="auto"/>
          </w:divBdr>
        </w:div>
        <w:div w:id="2001613259">
          <w:marLeft w:val="0"/>
          <w:marRight w:val="0"/>
          <w:marTop w:val="0"/>
          <w:marBottom w:val="0"/>
          <w:divBdr>
            <w:top w:val="none" w:sz="0" w:space="0" w:color="auto"/>
            <w:left w:val="none" w:sz="0" w:space="0" w:color="auto"/>
            <w:bottom w:val="none" w:sz="0" w:space="0" w:color="auto"/>
            <w:right w:val="none" w:sz="0" w:space="0" w:color="auto"/>
          </w:divBdr>
          <w:divsChild>
            <w:div w:id="91240958">
              <w:marLeft w:val="0"/>
              <w:marRight w:val="0"/>
              <w:marTop w:val="0"/>
              <w:marBottom w:val="0"/>
              <w:divBdr>
                <w:top w:val="none" w:sz="0" w:space="0" w:color="auto"/>
                <w:left w:val="none" w:sz="0" w:space="0" w:color="auto"/>
                <w:bottom w:val="none" w:sz="0" w:space="0" w:color="auto"/>
                <w:right w:val="none" w:sz="0" w:space="0" w:color="auto"/>
              </w:divBdr>
            </w:div>
            <w:div w:id="1292174463">
              <w:marLeft w:val="0"/>
              <w:marRight w:val="0"/>
              <w:marTop w:val="0"/>
              <w:marBottom w:val="0"/>
              <w:divBdr>
                <w:top w:val="none" w:sz="0" w:space="0" w:color="auto"/>
                <w:left w:val="none" w:sz="0" w:space="0" w:color="auto"/>
                <w:bottom w:val="none" w:sz="0" w:space="0" w:color="auto"/>
                <w:right w:val="none" w:sz="0" w:space="0" w:color="auto"/>
              </w:divBdr>
            </w:div>
          </w:divsChild>
        </w:div>
        <w:div w:id="1314916250">
          <w:marLeft w:val="0"/>
          <w:marRight w:val="0"/>
          <w:marTop w:val="0"/>
          <w:marBottom w:val="0"/>
          <w:divBdr>
            <w:top w:val="none" w:sz="0" w:space="0" w:color="auto"/>
            <w:left w:val="none" w:sz="0" w:space="0" w:color="auto"/>
            <w:bottom w:val="none" w:sz="0" w:space="0" w:color="auto"/>
            <w:right w:val="none" w:sz="0" w:space="0" w:color="auto"/>
          </w:divBdr>
        </w:div>
        <w:div w:id="470710476">
          <w:marLeft w:val="0"/>
          <w:marRight w:val="0"/>
          <w:marTop w:val="60"/>
          <w:marBottom w:val="0"/>
          <w:divBdr>
            <w:top w:val="none" w:sz="0" w:space="0" w:color="auto"/>
            <w:left w:val="none" w:sz="0" w:space="0" w:color="auto"/>
            <w:bottom w:val="none" w:sz="0" w:space="0" w:color="auto"/>
            <w:right w:val="none" w:sz="0" w:space="0" w:color="auto"/>
          </w:divBdr>
        </w:div>
        <w:div w:id="277682270">
          <w:marLeft w:val="0"/>
          <w:marRight w:val="0"/>
          <w:marTop w:val="0"/>
          <w:marBottom w:val="0"/>
          <w:divBdr>
            <w:top w:val="none" w:sz="0" w:space="0" w:color="auto"/>
            <w:left w:val="none" w:sz="0" w:space="0" w:color="auto"/>
            <w:bottom w:val="none" w:sz="0" w:space="0" w:color="auto"/>
            <w:right w:val="none" w:sz="0" w:space="0" w:color="auto"/>
          </w:divBdr>
          <w:divsChild>
            <w:div w:id="1325940164">
              <w:marLeft w:val="0"/>
              <w:marRight w:val="0"/>
              <w:marTop w:val="0"/>
              <w:marBottom w:val="0"/>
              <w:divBdr>
                <w:top w:val="none" w:sz="0" w:space="0" w:color="auto"/>
                <w:left w:val="none" w:sz="0" w:space="0" w:color="auto"/>
                <w:bottom w:val="none" w:sz="0" w:space="0" w:color="auto"/>
                <w:right w:val="none" w:sz="0" w:space="0" w:color="auto"/>
              </w:divBdr>
            </w:div>
            <w:div w:id="615336722">
              <w:marLeft w:val="0"/>
              <w:marRight w:val="0"/>
              <w:marTop w:val="0"/>
              <w:marBottom w:val="0"/>
              <w:divBdr>
                <w:top w:val="none" w:sz="0" w:space="0" w:color="auto"/>
                <w:left w:val="none" w:sz="0" w:space="0" w:color="auto"/>
                <w:bottom w:val="none" w:sz="0" w:space="0" w:color="auto"/>
                <w:right w:val="none" w:sz="0" w:space="0" w:color="auto"/>
              </w:divBdr>
            </w:div>
          </w:divsChild>
        </w:div>
        <w:div w:id="1465350300">
          <w:marLeft w:val="0"/>
          <w:marRight w:val="0"/>
          <w:marTop w:val="0"/>
          <w:marBottom w:val="0"/>
          <w:divBdr>
            <w:top w:val="none" w:sz="0" w:space="0" w:color="auto"/>
            <w:left w:val="none" w:sz="0" w:space="0" w:color="auto"/>
            <w:bottom w:val="none" w:sz="0" w:space="0" w:color="auto"/>
            <w:right w:val="none" w:sz="0" w:space="0" w:color="auto"/>
          </w:divBdr>
        </w:div>
        <w:div w:id="765927057">
          <w:marLeft w:val="0"/>
          <w:marRight w:val="0"/>
          <w:marTop w:val="60"/>
          <w:marBottom w:val="0"/>
          <w:divBdr>
            <w:top w:val="none" w:sz="0" w:space="0" w:color="auto"/>
            <w:left w:val="none" w:sz="0" w:space="0" w:color="auto"/>
            <w:bottom w:val="none" w:sz="0" w:space="0" w:color="auto"/>
            <w:right w:val="none" w:sz="0" w:space="0" w:color="auto"/>
          </w:divBdr>
        </w:div>
        <w:div w:id="1224760354">
          <w:marLeft w:val="0"/>
          <w:marRight w:val="0"/>
          <w:marTop w:val="0"/>
          <w:marBottom w:val="0"/>
          <w:divBdr>
            <w:top w:val="none" w:sz="0" w:space="0" w:color="auto"/>
            <w:left w:val="none" w:sz="0" w:space="0" w:color="auto"/>
            <w:bottom w:val="none" w:sz="0" w:space="0" w:color="auto"/>
            <w:right w:val="none" w:sz="0" w:space="0" w:color="auto"/>
          </w:divBdr>
          <w:divsChild>
            <w:div w:id="981889040">
              <w:marLeft w:val="0"/>
              <w:marRight w:val="0"/>
              <w:marTop w:val="0"/>
              <w:marBottom w:val="0"/>
              <w:divBdr>
                <w:top w:val="none" w:sz="0" w:space="0" w:color="auto"/>
                <w:left w:val="none" w:sz="0" w:space="0" w:color="auto"/>
                <w:bottom w:val="none" w:sz="0" w:space="0" w:color="auto"/>
                <w:right w:val="none" w:sz="0" w:space="0" w:color="auto"/>
              </w:divBdr>
            </w:div>
            <w:div w:id="1308779762">
              <w:marLeft w:val="0"/>
              <w:marRight w:val="0"/>
              <w:marTop w:val="0"/>
              <w:marBottom w:val="0"/>
              <w:divBdr>
                <w:top w:val="none" w:sz="0" w:space="0" w:color="auto"/>
                <w:left w:val="none" w:sz="0" w:space="0" w:color="auto"/>
                <w:bottom w:val="none" w:sz="0" w:space="0" w:color="auto"/>
                <w:right w:val="none" w:sz="0" w:space="0" w:color="auto"/>
              </w:divBdr>
            </w:div>
          </w:divsChild>
        </w:div>
        <w:div w:id="974143024">
          <w:marLeft w:val="0"/>
          <w:marRight w:val="0"/>
          <w:marTop w:val="0"/>
          <w:marBottom w:val="0"/>
          <w:divBdr>
            <w:top w:val="none" w:sz="0" w:space="0" w:color="auto"/>
            <w:left w:val="none" w:sz="0" w:space="0" w:color="auto"/>
            <w:bottom w:val="none" w:sz="0" w:space="0" w:color="auto"/>
            <w:right w:val="none" w:sz="0" w:space="0" w:color="auto"/>
          </w:divBdr>
        </w:div>
        <w:div w:id="1736735076">
          <w:marLeft w:val="0"/>
          <w:marRight w:val="0"/>
          <w:marTop w:val="60"/>
          <w:marBottom w:val="0"/>
          <w:divBdr>
            <w:top w:val="none" w:sz="0" w:space="0" w:color="auto"/>
            <w:left w:val="none" w:sz="0" w:space="0" w:color="auto"/>
            <w:bottom w:val="none" w:sz="0" w:space="0" w:color="auto"/>
            <w:right w:val="none" w:sz="0" w:space="0" w:color="auto"/>
          </w:divBdr>
          <w:divsChild>
            <w:div w:id="1139766006">
              <w:marLeft w:val="0"/>
              <w:marRight w:val="360"/>
              <w:marTop w:val="0"/>
              <w:marBottom w:val="0"/>
              <w:divBdr>
                <w:top w:val="none" w:sz="0" w:space="0" w:color="auto"/>
                <w:left w:val="none" w:sz="0" w:space="0" w:color="auto"/>
                <w:bottom w:val="none" w:sz="0" w:space="0" w:color="auto"/>
                <w:right w:val="none" w:sz="0" w:space="0" w:color="auto"/>
              </w:divBdr>
            </w:div>
          </w:divsChild>
        </w:div>
        <w:div w:id="270741226">
          <w:marLeft w:val="0"/>
          <w:marRight w:val="0"/>
          <w:marTop w:val="0"/>
          <w:marBottom w:val="0"/>
          <w:divBdr>
            <w:top w:val="none" w:sz="0" w:space="0" w:color="auto"/>
            <w:left w:val="none" w:sz="0" w:space="0" w:color="auto"/>
            <w:bottom w:val="none" w:sz="0" w:space="0" w:color="auto"/>
            <w:right w:val="none" w:sz="0" w:space="0" w:color="auto"/>
          </w:divBdr>
          <w:divsChild>
            <w:div w:id="601492895">
              <w:marLeft w:val="0"/>
              <w:marRight w:val="0"/>
              <w:marTop w:val="0"/>
              <w:marBottom w:val="0"/>
              <w:divBdr>
                <w:top w:val="none" w:sz="0" w:space="0" w:color="auto"/>
                <w:left w:val="none" w:sz="0" w:space="0" w:color="auto"/>
                <w:bottom w:val="none" w:sz="0" w:space="0" w:color="auto"/>
                <w:right w:val="none" w:sz="0" w:space="0" w:color="auto"/>
              </w:divBdr>
            </w:div>
            <w:div w:id="343485340">
              <w:marLeft w:val="0"/>
              <w:marRight w:val="0"/>
              <w:marTop w:val="0"/>
              <w:marBottom w:val="0"/>
              <w:divBdr>
                <w:top w:val="none" w:sz="0" w:space="0" w:color="auto"/>
                <w:left w:val="none" w:sz="0" w:space="0" w:color="auto"/>
                <w:bottom w:val="none" w:sz="0" w:space="0" w:color="auto"/>
                <w:right w:val="none" w:sz="0" w:space="0" w:color="auto"/>
              </w:divBdr>
            </w:div>
          </w:divsChild>
        </w:div>
        <w:div w:id="1776091355">
          <w:marLeft w:val="0"/>
          <w:marRight w:val="0"/>
          <w:marTop w:val="0"/>
          <w:marBottom w:val="0"/>
          <w:divBdr>
            <w:top w:val="none" w:sz="0" w:space="0" w:color="auto"/>
            <w:left w:val="none" w:sz="0" w:space="0" w:color="auto"/>
            <w:bottom w:val="none" w:sz="0" w:space="0" w:color="auto"/>
            <w:right w:val="none" w:sz="0" w:space="0" w:color="auto"/>
          </w:divBdr>
        </w:div>
        <w:div w:id="1594431498">
          <w:marLeft w:val="0"/>
          <w:marRight w:val="0"/>
          <w:marTop w:val="60"/>
          <w:marBottom w:val="0"/>
          <w:divBdr>
            <w:top w:val="none" w:sz="0" w:space="0" w:color="auto"/>
            <w:left w:val="none" w:sz="0" w:space="0" w:color="auto"/>
            <w:bottom w:val="none" w:sz="0" w:space="0" w:color="auto"/>
            <w:right w:val="none" w:sz="0" w:space="0" w:color="auto"/>
          </w:divBdr>
        </w:div>
        <w:div w:id="1303390316">
          <w:marLeft w:val="0"/>
          <w:marRight w:val="0"/>
          <w:marTop w:val="0"/>
          <w:marBottom w:val="0"/>
          <w:divBdr>
            <w:top w:val="none" w:sz="0" w:space="0" w:color="auto"/>
            <w:left w:val="none" w:sz="0" w:space="0" w:color="auto"/>
            <w:bottom w:val="none" w:sz="0" w:space="0" w:color="auto"/>
            <w:right w:val="none" w:sz="0" w:space="0" w:color="auto"/>
          </w:divBdr>
          <w:divsChild>
            <w:div w:id="1290356559">
              <w:marLeft w:val="0"/>
              <w:marRight w:val="0"/>
              <w:marTop w:val="0"/>
              <w:marBottom w:val="0"/>
              <w:divBdr>
                <w:top w:val="none" w:sz="0" w:space="0" w:color="auto"/>
                <w:left w:val="none" w:sz="0" w:space="0" w:color="auto"/>
                <w:bottom w:val="none" w:sz="0" w:space="0" w:color="auto"/>
                <w:right w:val="none" w:sz="0" w:space="0" w:color="auto"/>
              </w:divBdr>
            </w:div>
          </w:divsChild>
        </w:div>
        <w:div w:id="1115444923">
          <w:marLeft w:val="0"/>
          <w:marRight w:val="0"/>
          <w:marTop w:val="0"/>
          <w:marBottom w:val="0"/>
          <w:divBdr>
            <w:top w:val="none" w:sz="0" w:space="0" w:color="auto"/>
            <w:left w:val="none" w:sz="0" w:space="0" w:color="auto"/>
            <w:bottom w:val="none" w:sz="0" w:space="0" w:color="auto"/>
            <w:right w:val="none" w:sz="0" w:space="0" w:color="auto"/>
          </w:divBdr>
        </w:div>
        <w:div w:id="1758137133">
          <w:marLeft w:val="0"/>
          <w:marRight w:val="0"/>
          <w:marTop w:val="60"/>
          <w:marBottom w:val="0"/>
          <w:divBdr>
            <w:top w:val="none" w:sz="0" w:space="0" w:color="auto"/>
            <w:left w:val="none" w:sz="0" w:space="0" w:color="auto"/>
            <w:bottom w:val="none" w:sz="0" w:space="0" w:color="auto"/>
            <w:right w:val="none" w:sz="0" w:space="0" w:color="auto"/>
          </w:divBdr>
        </w:div>
        <w:div w:id="577372534">
          <w:marLeft w:val="0"/>
          <w:marRight w:val="0"/>
          <w:marTop w:val="0"/>
          <w:marBottom w:val="0"/>
          <w:divBdr>
            <w:top w:val="none" w:sz="0" w:space="0" w:color="auto"/>
            <w:left w:val="none" w:sz="0" w:space="0" w:color="auto"/>
            <w:bottom w:val="none" w:sz="0" w:space="0" w:color="auto"/>
            <w:right w:val="none" w:sz="0" w:space="0" w:color="auto"/>
          </w:divBdr>
          <w:divsChild>
            <w:div w:id="1272083128">
              <w:marLeft w:val="0"/>
              <w:marRight w:val="0"/>
              <w:marTop w:val="0"/>
              <w:marBottom w:val="0"/>
              <w:divBdr>
                <w:top w:val="none" w:sz="0" w:space="0" w:color="auto"/>
                <w:left w:val="none" w:sz="0" w:space="0" w:color="auto"/>
                <w:bottom w:val="none" w:sz="0" w:space="0" w:color="auto"/>
                <w:right w:val="none" w:sz="0" w:space="0" w:color="auto"/>
              </w:divBdr>
            </w:div>
            <w:div w:id="633213467">
              <w:marLeft w:val="0"/>
              <w:marRight w:val="0"/>
              <w:marTop w:val="0"/>
              <w:marBottom w:val="0"/>
              <w:divBdr>
                <w:top w:val="none" w:sz="0" w:space="0" w:color="auto"/>
                <w:left w:val="none" w:sz="0" w:space="0" w:color="auto"/>
                <w:bottom w:val="none" w:sz="0" w:space="0" w:color="auto"/>
                <w:right w:val="none" w:sz="0" w:space="0" w:color="auto"/>
              </w:divBdr>
            </w:div>
          </w:divsChild>
        </w:div>
        <w:div w:id="545679518">
          <w:marLeft w:val="0"/>
          <w:marRight w:val="0"/>
          <w:marTop w:val="0"/>
          <w:marBottom w:val="0"/>
          <w:divBdr>
            <w:top w:val="none" w:sz="0" w:space="0" w:color="auto"/>
            <w:left w:val="none" w:sz="0" w:space="0" w:color="auto"/>
            <w:bottom w:val="none" w:sz="0" w:space="0" w:color="auto"/>
            <w:right w:val="none" w:sz="0" w:space="0" w:color="auto"/>
          </w:divBdr>
        </w:div>
        <w:div w:id="322661217">
          <w:marLeft w:val="0"/>
          <w:marRight w:val="0"/>
          <w:marTop w:val="60"/>
          <w:marBottom w:val="0"/>
          <w:divBdr>
            <w:top w:val="none" w:sz="0" w:space="0" w:color="auto"/>
            <w:left w:val="none" w:sz="0" w:space="0" w:color="auto"/>
            <w:bottom w:val="none" w:sz="0" w:space="0" w:color="auto"/>
            <w:right w:val="none" w:sz="0" w:space="0" w:color="auto"/>
          </w:divBdr>
        </w:div>
        <w:div w:id="103960611">
          <w:marLeft w:val="0"/>
          <w:marRight w:val="0"/>
          <w:marTop w:val="0"/>
          <w:marBottom w:val="0"/>
          <w:divBdr>
            <w:top w:val="none" w:sz="0" w:space="0" w:color="auto"/>
            <w:left w:val="none" w:sz="0" w:space="0" w:color="auto"/>
            <w:bottom w:val="none" w:sz="0" w:space="0" w:color="auto"/>
            <w:right w:val="none" w:sz="0" w:space="0" w:color="auto"/>
          </w:divBdr>
          <w:divsChild>
            <w:div w:id="110825223">
              <w:marLeft w:val="0"/>
              <w:marRight w:val="0"/>
              <w:marTop w:val="0"/>
              <w:marBottom w:val="0"/>
              <w:divBdr>
                <w:top w:val="none" w:sz="0" w:space="0" w:color="auto"/>
                <w:left w:val="none" w:sz="0" w:space="0" w:color="auto"/>
                <w:bottom w:val="none" w:sz="0" w:space="0" w:color="auto"/>
                <w:right w:val="none" w:sz="0" w:space="0" w:color="auto"/>
              </w:divBdr>
            </w:div>
          </w:divsChild>
        </w:div>
        <w:div w:id="1925021553">
          <w:marLeft w:val="0"/>
          <w:marRight w:val="0"/>
          <w:marTop w:val="0"/>
          <w:marBottom w:val="0"/>
          <w:divBdr>
            <w:top w:val="none" w:sz="0" w:space="0" w:color="auto"/>
            <w:left w:val="none" w:sz="0" w:space="0" w:color="auto"/>
            <w:bottom w:val="none" w:sz="0" w:space="0" w:color="auto"/>
            <w:right w:val="none" w:sz="0" w:space="0" w:color="auto"/>
          </w:divBdr>
        </w:div>
        <w:div w:id="1296638951">
          <w:marLeft w:val="0"/>
          <w:marRight w:val="0"/>
          <w:marTop w:val="60"/>
          <w:marBottom w:val="0"/>
          <w:divBdr>
            <w:top w:val="none" w:sz="0" w:space="0" w:color="auto"/>
            <w:left w:val="none" w:sz="0" w:space="0" w:color="auto"/>
            <w:bottom w:val="none" w:sz="0" w:space="0" w:color="auto"/>
            <w:right w:val="none" w:sz="0" w:space="0" w:color="auto"/>
          </w:divBdr>
        </w:div>
        <w:div w:id="1777285178">
          <w:marLeft w:val="0"/>
          <w:marRight w:val="0"/>
          <w:marTop w:val="0"/>
          <w:marBottom w:val="0"/>
          <w:divBdr>
            <w:top w:val="none" w:sz="0" w:space="0" w:color="auto"/>
            <w:left w:val="none" w:sz="0" w:space="0" w:color="auto"/>
            <w:bottom w:val="none" w:sz="0" w:space="0" w:color="auto"/>
            <w:right w:val="none" w:sz="0" w:space="0" w:color="auto"/>
          </w:divBdr>
          <w:divsChild>
            <w:div w:id="1864394601">
              <w:marLeft w:val="0"/>
              <w:marRight w:val="0"/>
              <w:marTop w:val="0"/>
              <w:marBottom w:val="0"/>
              <w:divBdr>
                <w:top w:val="none" w:sz="0" w:space="0" w:color="auto"/>
                <w:left w:val="none" w:sz="0" w:space="0" w:color="auto"/>
                <w:bottom w:val="none" w:sz="0" w:space="0" w:color="auto"/>
                <w:right w:val="none" w:sz="0" w:space="0" w:color="auto"/>
              </w:divBdr>
            </w:div>
            <w:div w:id="1590113503">
              <w:marLeft w:val="0"/>
              <w:marRight w:val="0"/>
              <w:marTop w:val="0"/>
              <w:marBottom w:val="0"/>
              <w:divBdr>
                <w:top w:val="none" w:sz="0" w:space="0" w:color="auto"/>
                <w:left w:val="none" w:sz="0" w:space="0" w:color="auto"/>
                <w:bottom w:val="none" w:sz="0" w:space="0" w:color="auto"/>
                <w:right w:val="none" w:sz="0" w:space="0" w:color="auto"/>
              </w:divBdr>
            </w:div>
          </w:divsChild>
        </w:div>
        <w:div w:id="316543848">
          <w:marLeft w:val="0"/>
          <w:marRight w:val="0"/>
          <w:marTop w:val="0"/>
          <w:marBottom w:val="0"/>
          <w:divBdr>
            <w:top w:val="none" w:sz="0" w:space="0" w:color="auto"/>
            <w:left w:val="none" w:sz="0" w:space="0" w:color="auto"/>
            <w:bottom w:val="none" w:sz="0" w:space="0" w:color="auto"/>
            <w:right w:val="none" w:sz="0" w:space="0" w:color="auto"/>
          </w:divBdr>
        </w:div>
        <w:div w:id="372653679">
          <w:marLeft w:val="0"/>
          <w:marRight w:val="0"/>
          <w:marTop w:val="60"/>
          <w:marBottom w:val="0"/>
          <w:divBdr>
            <w:top w:val="none" w:sz="0" w:space="0" w:color="auto"/>
            <w:left w:val="none" w:sz="0" w:space="0" w:color="auto"/>
            <w:bottom w:val="none" w:sz="0" w:space="0" w:color="auto"/>
            <w:right w:val="none" w:sz="0" w:space="0" w:color="auto"/>
          </w:divBdr>
        </w:div>
      </w:divsChild>
    </w:div>
    <w:div w:id="205037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731708518305363" TargetMode="External"/><Relationship Id="rId13" Type="http://schemas.openxmlformats.org/officeDocument/2006/relationships/hyperlink" Target="https://www.sciencedirect.com/science/article/pii/S0731708518305363" TargetMode="External"/><Relationship Id="rId18" Type="http://schemas.openxmlformats.org/officeDocument/2006/relationships/hyperlink" Target="https://www.sciencedirect.com/science/article/pii/S073170851830536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ciencedirect.com/science/article/pii/S0731708518305363" TargetMode="External"/><Relationship Id="rId12" Type="http://schemas.openxmlformats.org/officeDocument/2006/relationships/hyperlink" Target="https://www.sciencedirect.com/science/article/pii/S0731708518305363" TargetMode="External"/><Relationship Id="rId17" Type="http://schemas.openxmlformats.org/officeDocument/2006/relationships/hyperlink" Target="https://www.sciencedirect.com/science/article/pii/S0731708518305363" TargetMode="External"/><Relationship Id="rId2" Type="http://schemas.openxmlformats.org/officeDocument/2006/relationships/styles" Target="styles.xml"/><Relationship Id="rId16" Type="http://schemas.openxmlformats.org/officeDocument/2006/relationships/hyperlink" Target="https://www.sciencedirect.com/science/article/pii/S0731708518305363" TargetMode="External"/><Relationship Id="rId20" Type="http://schemas.openxmlformats.org/officeDocument/2006/relationships/hyperlink" Target="https://www.sciencedirect.com/journal/journal-of-pharmaceutical-and-biomedical-analysis/vol/155/suppl/C" TargetMode="External"/><Relationship Id="rId1" Type="http://schemas.openxmlformats.org/officeDocument/2006/relationships/numbering" Target="numbering.xml"/><Relationship Id="rId6" Type="http://schemas.openxmlformats.org/officeDocument/2006/relationships/hyperlink" Target="https://www.sciencedirect.com/science/article/pii/S0731708518305363" TargetMode="External"/><Relationship Id="rId11" Type="http://schemas.openxmlformats.org/officeDocument/2006/relationships/hyperlink" Target="https://www.sciencedirect.com/science/article/pii/S0731708518305363" TargetMode="External"/><Relationship Id="rId5" Type="http://schemas.openxmlformats.org/officeDocument/2006/relationships/hyperlink" Target="https://www.sciencedirect.com/science/article/pii/S0731708518305363" TargetMode="External"/><Relationship Id="rId15" Type="http://schemas.openxmlformats.org/officeDocument/2006/relationships/hyperlink" Target="https://www.sciencedirect.com/science/article/pii/S0731708518305363" TargetMode="External"/><Relationship Id="rId10" Type="http://schemas.openxmlformats.org/officeDocument/2006/relationships/hyperlink" Target="https://www.sciencedirect.com/topics/pharmacology-toxicology-and-pharmaceutical-science/biological-activity" TargetMode="External"/><Relationship Id="rId19" Type="http://schemas.openxmlformats.org/officeDocument/2006/relationships/hyperlink" Target="https://www.sciencedirect.com/journal/journal-of-pharmaceutical-and-biomedical-analysis" TargetMode="External"/><Relationship Id="rId4" Type="http://schemas.openxmlformats.org/officeDocument/2006/relationships/webSettings" Target="webSettings.xml"/><Relationship Id="rId9" Type="http://schemas.openxmlformats.org/officeDocument/2006/relationships/hyperlink" Target="https://www.sciencedirect.com/science/article/pii/S0731708518305363" TargetMode="External"/><Relationship Id="rId14" Type="http://schemas.openxmlformats.org/officeDocument/2006/relationships/hyperlink" Target="https://www.sciencedirect.com/science/article/pii/S073170851830536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3739</Words>
  <Characters>21315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gandharv rawat</dc:creator>
  <cp:keywords/>
  <dc:description/>
  <cp:lastModifiedBy>Dell</cp:lastModifiedBy>
  <cp:revision>3</cp:revision>
  <dcterms:created xsi:type="dcterms:W3CDTF">2023-08-28T15:40:00Z</dcterms:created>
  <dcterms:modified xsi:type="dcterms:W3CDTF">2023-08-28T15:45:00Z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c034a8549606d338aa93240cabf48c2d80b32468c0d86301404309f3e0e29662</vt:lpwstr>
  </property>
</Properties>
</file>