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A347" w14:textId="3248C6AC" w:rsidR="00006C1A" w:rsidRPr="0043742F" w:rsidRDefault="005F762B" w:rsidP="0043742F">
      <w:pPr>
        <w:spacing w:line="360" w:lineRule="auto"/>
        <w:jc w:val="center"/>
        <w:rPr>
          <w:rFonts w:ascii="Times New Roman" w:hAnsi="Times New Roman" w:cs="Times New Roman"/>
          <w:b/>
          <w:bCs/>
          <w:color w:val="000000" w:themeColor="text1"/>
          <w:sz w:val="32"/>
          <w:szCs w:val="32"/>
          <w:shd w:val="clear" w:color="auto" w:fill="FFFFFF"/>
        </w:rPr>
      </w:pPr>
      <w:bookmarkStart w:id="0" w:name="_Hlk96546234"/>
      <w:r w:rsidRPr="0043742F">
        <w:rPr>
          <w:rFonts w:ascii="Times New Roman" w:hAnsi="Times New Roman" w:cs="Times New Roman"/>
          <w:b/>
          <w:bCs/>
          <w:color w:val="000000" w:themeColor="text1"/>
          <w:sz w:val="32"/>
          <w:szCs w:val="32"/>
          <w:shd w:val="clear" w:color="auto" w:fill="FFFFFF"/>
        </w:rPr>
        <w:t>A prospective clinical observation</w:t>
      </w:r>
      <w:r w:rsidR="00006C1A" w:rsidRPr="0043742F">
        <w:rPr>
          <w:rFonts w:ascii="Times New Roman" w:hAnsi="Times New Roman" w:cs="Times New Roman"/>
          <w:b/>
          <w:bCs/>
          <w:color w:val="000000" w:themeColor="text1"/>
          <w:sz w:val="32"/>
          <w:szCs w:val="32"/>
          <w:shd w:val="clear" w:color="auto" w:fill="FFFFFF"/>
        </w:rPr>
        <w:t xml:space="preserve"> of thrombotic complication</w:t>
      </w:r>
      <w:r w:rsidR="008A7DC0" w:rsidRPr="0043742F">
        <w:rPr>
          <w:rFonts w:ascii="Times New Roman" w:hAnsi="Times New Roman" w:cs="Times New Roman"/>
          <w:b/>
          <w:bCs/>
          <w:color w:val="000000" w:themeColor="text1"/>
          <w:sz w:val="32"/>
          <w:szCs w:val="32"/>
          <w:shd w:val="clear" w:color="auto" w:fill="FFFFFF"/>
        </w:rPr>
        <w:t>s</w:t>
      </w:r>
      <w:r w:rsidR="00006C1A" w:rsidRPr="0043742F">
        <w:rPr>
          <w:rFonts w:ascii="Times New Roman" w:hAnsi="Times New Roman" w:cs="Times New Roman"/>
          <w:b/>
          <w:bCs/>
          <w:color w:val="000000" w:themeColor="text1"/>
          <w:sz w:val="32"/>
          <w:szCs w:val="32"/>
          <w:shd w:val="clear" w:color="auto" w:fill="FFFFFF"/>
        </w:rPr>
        <w:t xml:space="preserve"> in </w:t>
      </w:r>
      <w:r w:rsidR="00B7187F" w:rsidRPr="0043742F">
        <w:rPr>
          <w:rFonts w:ascii="Times New Roman" w:hAnsi="Times New Roman" w:cs="Times New Roman"/>
          <w:b/>
          <w:bCs/>
          <w:color w:val="000000" w:themeColor="text1"/>
          <w:sz w:val="32"/>
          <w:szCs w:val="32"/>
          <w:shd w:val="clear" w:color="auto" w:fill="FFFFFF"/>
        </w:rPr>
        <w:t>COVID</w:t>
      </w:r>
      <w:r w:rsidR="00006C1A" w:rsidRPr="0043742F">
        <w:rPr>
          <w:rFonts w:ascii="Times New Roman" w:hAnsi="Times New Roman" w:cs="Times New Roman"/>
          <w:b/>
          <w:bCs/>
          <w:color w:val="000000" w:themeColor="text1"/>
          <w:sz w:val="32"/>
          <w:szCs w:val="32"/>
          <w:shd w:val="clear" w:color="auto" w:fill="FFFFFF"/>
        </w:rPr>
        <w:t xml:space="preserve"> - 19</w:t>
      </w:r>
    </w:p>
    <w:p w14:paraId="4D2EA863" w14:textId="180CBFC6" w:rsidR="00CA4C17" w:rsidRDefault="00006C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Dr Imran khan, </w:t>
      </w:r>
      <w:r w:rsidR="00D454CA">
        <w:rPr>
          <w:rFonts w:ascii="Times New Roman" w:hAnsi="Times New Roman" w:cs="Times New Roman"/>
          <w:color w:val="000000" w:themeColor="text1"/>
          <w:sz w:val="24"/>
          <w:szCs w:val="24"/>
          <w:shd w:val="clear" w:color="auto" w:fill="FFFFFF"/>
        </w:rPr>
        <w:t xml:space="preserve">Senior resident, </w:t>
      </w:r>
      <w:r w:rsidRPr="00C24FB0">
        <w:rPr>
          <w:rFonts w:ascii="Times New Roman" w:hAnsi="Times New Roman" w:cs="Times New Roman"/>
          <w:color w:val="000000" w:themeColor="text1"/>
          <w:sz w:val="24"/>
          <w:szCs w:val="24"/>
          <w:shd w:val="clear" w:color="auto" w:fill="FFFFFF"/>
        </w:rPr>
        <w:t>Dept of</w:t>
      </w:r>
      <w:r w:rsidR="00D454CA">
        <w:rPr>
          <w:rFonts w:ascii="Times New Roman" w:hAnsi="Times New Roman" w:cs="Times New Roman"/>
          <w:color w:val="000000" w:themeColor="text1"/>
          <w:sz w:val="24"/>
          <w:szCs w:val="24"/>
          <w:shd w:val="clear" w:color="auto" w:fill="FFFFFF"/>
        </w:rPr>
        <w:t xml:space="preserve"> Cardiology</w:t>
      </w:r>
      <w:r w:rsidRPr="00C24FB0">
        <w:rPr>
          <w:rFonts w:ascii="Times New Roman" w:hAnsi="Times New Roman" w:cs="Times New Roman"/>
          <w:color w:val="000000" w:themeColor="text1"/>
          <w:sz w:val="24"/>
          <w:szCs w:val="24"/>
          <w:shd w:val="clear" w:color="auto" w:fill="FFFFFF"/>
        </w:rPr>
        <w:t xml:space="preserve">, </w:t>
      </w:r>
      <w:r w:rsidR="00D454CA">
        <w:rPr>
          <w:rFonts w:ascii="Times New Roman" w:hAnsi="Times New Roman" w:cs="Times New Roman"/>
          <w:color w:val="000000" w:themeColor="text1"/>
          <w:sz w:val="24"/>
          <w:szCs w:val="24"/>
          <w:shd w:val="clear" w:color="auto" w:fill="FFFFFF"/>
        </w:rPr>
        <w:t xml:space="preserve">MS Ramaiah </w:t>
      </w:r>
      <w:r w:rsidRPr="00C24FB0">
        <w:rPr>
          <w:rFonts w:ascii="Times New Roman" w:hAnsi="Times New Roman" w:cs="Times New Roman"/>
          <w:color w:val="000000" w:themeColor="text1"/>
          <w:sz w:val="24"/>
          <w:szCs w:val="24"/>
          <w:shd w:val="clear" w:color="auto" w:fill="FFFFFF"/>
        </w:rPr>
        <w:t xml:space="preserve">Medical College, </w:t>
      </w:r>
      <w:r w:rsidR="0032640A" w:rsidRPr="00C24FB0">
        <w:rPr>
          <w:rFonts w:ascii="Times New Roman" w:hAnsi="Times New Roman" w:cs="Times New Roman"/>
          <w:color w:val="000000" w:themeColor="text1"/>
          <w:sz w:val="24"/>
          <w:szCs w:val="24"/>
          <w:shd w:val="clear" w:color="auto" w:fill="FFFFFF"/>
        </w:rPr>
        <w:t>Bangalore</w:t>
      </w:r>
      <w:r w:rsidRPr="00C24FB0">
        <w:rPr>
          <w:rFonts w:ascii="Times New Roman" w:hAnsi="Times New Roman" w:cs="Times New Roman"/>
          <w:color w:val="000000" w:themeColor="text1"/>
          <w:sz w:val="24"/>
          <w:szCs w:val="24"/>
          <w:shd w:val="clear" w:color="auto" w:fill="FFFFFF"/>
        </w:rPr>
        <w:t>.</w:t>
      </w:r>
      <w:r w:rsidR="00DD58B6">
        <w:rPr>
          <w:rFonts w:ascii="Times New Roman" w:hAnsi="Times New Roman" w:cs="Times New Roman"/>
          <w:color w:val="000000" w:themeColor="text1"/>
          <w:sz w:val="24"/>
          <w:szCs w:val="24"/>
          <w:shd w:val="clear" w:color="auto" w:fill="FFFFFF"/>
        </w:rPr>
        <w:t xml:space="preserve"> </w:t>
      </w:r>
      <w:r w:rsidR="00D454CA">
        <w:rPr>
          <w:rFonts w:ascii="Times New Roman" w:hAnsi="Times New Roman" w:cs="Times New Roman"/>
          <w:color w:val="000000" w:themeColor="text1"/>
          <w:sz w:val="24"/>
          <w:szCs w:val="24"/>
          <w:shd w:val="clear" w:color="auto" w:fill="FFFFFF"/>
        </w:rPr>
        <w:t xml:space="preserve">Dr Balaji V, Assistant Professor, Dept of General Medicine, Rajarajeswari Medical college, </w:t>
      </w:r>
      <w:r w:rsidR="00D454CA" w:rsidRPr="00C24FB0">
        <w:rPr>
          <w:rFonts w:ascii="Times New Roman" w:hAnsi="Times New Roman" w:cs="Times New Roman"/>
          <w:color w:val="000000" w:themeColor="text1"/>
          <w:sz w:val="24"/>
          <w:szCs w:val="24"/>
          <w:shd w:val="clear" w:color="auto" w:fill="FFFFFF"/>
        </w:rPr>
        <w:t>Bangalore.</w:t>
      </w:r>
    </w:p>
    <w:bookmarkEnd w:id="0"/>
    <w:p w14:paraId="559CE750" w14:textId="233B06BC" w:rsidR="0062205F" w:rsidRPr="00C24FB0" w:rsidRDefault="0062205F" w:rsidP="00904327">
      <w:pPr>
        <w:spacing w:line="360" w:lineRule="auto"/>
        <w:jc w:val="both"/>
        <w:rPr>
          <w:rFonts w:ascii="Times New Roman" w:hAnsi="Times New Roman" w:cs="Times New Roman"/>
          <w:b/>
          <w:bCs/>
          <w:color w:val="000000" w:themeColor="text1"/>
          <w:sz w:val="24"/>
          <w:szCs w:val="24"/>
          <w:u w:val="single"/>
          <w:shd w:val="clear" w:color="auto" w:fill="FFFFFF"/>
        </w:rPr>
      </w:pPr>
      <w:r w:rsidRPr="00C24FB0">
        <w:rPr>
          <w:rFonts w:ascii="Times New Roman" w:hAnsi="Times New Roman" w:cs="Times New Roman"/>
          <w:b/>
          <w:bCs/>
          <w:color w:val="000000" w:themeColor="text1"/>
          <w:sz w:val="24"/>
          <w:szCs w:val="24"/>
          <w:u w:val="single"/>
          <w:shd w:val="clear" w:color="auto" w:fill="FFFFFF"/>
        </w:rPr>
        <w:t>INTRODUCTION</w:t>
      </w:r>
    </w:p>
    <w:p w14:paraId="015777AD" w14:textId="726CDE66"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In December of 2019, severe acute respiratory syndrome coronavirus 2 (SARS-CoV-2) began to infect humans in the city of Wuhan in the Hubei province of China. Later it rapidly spread to the rest of the world and declared as pandemic by the World Health Organization (WHO) in March of 2020.</w:t>
      </w:r>
      <w:r w:rsidRPr="00C24FB0">
        <w:rPr>
          <w:rFonts w:ascii="Times New Roman" w:hAnsi="Times New Roman" w:cs="Times New Roman"/>
          <w:color w:val="000000" w:themeColor="text1"/>
          <w:sz w:val="24"/>
          <w:szCs w:val="24"/>
          <w:shd w:val="clear" w:color="auto" w:fill="FFFFFF"/>
          <w:vertAlign w:val="superscript"/>
        </w:rPr>
        <w:t>1</w:t>
      </w:r>
    </w:p>
    <w:p w14:paraId="1F853884" w14:textId="77777777"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At the time of this writing the burden of covid 19 in our country was 22,723,468 of the active cases and 22097 deaths.</w:t>
      </w:r>
      <w:r w:rsidRPr="00C24FB0">
        <w:rPr>
          <w:rFonts w:ascii="Times New Roman" w:hAnsi="Times New Roman" w:cs="Times New Roman"/>
          <w:color w:val="000000" w:themeColor="text1"/>
          <w:sz w:val="24"/>
          <w:szCs w:val="24"/>
          <w:shd w:val="clear" w:color="auto" w:fill="FFFFFF"/>
          <w:vertAlign w:val="superscript"/>
        </w:rPr>
        <w:t>2</w:t>
      </w:r>
      <w:r w:rsidRPr="00C24FB0">
        <w:rPr>
          <w:rFonts w:ascii="Times New Roman" w:hAnsi="Times New Roman" w:cs="Times New Roman"/>
          <w:color w:val="000000" w:themeColor="text1"/>
          <w:sz w:val="24"/>
          <w:szCs w:val="24"/>
          <w:shd w:val="clear" w:color="auto" w:fill="FFFFFF"/>
        </w:rPr>
        <w:t xml:space="preserve"> </w:t>
      </w:r>
    </w:p>
    <w:p w14:paraId="2AA57E7E" w14:textId="6DAD7D58"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Clinical manifestations range from mild fever to severe pneumonia. Bilateral pneumonia is the main finding in hospitalized patients and at least 5% initially present in serious condition, requiring advanced medical support or intensive care. </w:t>
      </w:r>
      <w:r w:rsidR="0062205F" w:rsidRPr="00C24FB0">
        <w:rPr>
          <w:rFonts w:ascii="Times New Roman" w:hAnsi="Times New Roman" w:cs="Times New Roman"/>
          <w:color w:val="000000" w:themeColor="text1"/>
          <w:sz w:val="24"/>
          <w:szCs w:val="24"/>
          <w:shd w:val="clear" w:color="auto" w:fill="FFFFFF"/>
          <w:vertAlign w:val="superscript"/>
        </w:rPr>
        <w:t>3</w:t>
      </w:r>
    </w:p>
    <w:p w14:paraId="53D9BE72" w14:textId="5C23D5AB"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Recent clinical trials suggested that COVID 19 related thromboembolic complications are the major cause for increased incidence of morbidity and mortality. The probable cause might be the higher affinity of virus to angiotensin-converting enzyme 2 (ACE 2) which on binding of the virus will lead to release of inflammatory markers as a result of increased Angiotensin I levels in serum.</w:t>
      </w:r>
      <w:r w:rsidR="0062205F" w:rsidRPr="00C24FB0">
        <w:rPr>
          <w:rFonts w:ascii="Times New Roman" w:hAnsi="Times New Roman" w:cs="Times New Roman"/>
          <w:color w:val="000000" w:themeColor="text1"/>
          <w:sz w:val="24"/>
          <w:szCs w:val="24"/>
          <w:shd w:val="clear" w:color="auto" w:fill="FFFFFF"/>
          <w:vertAlign w:val="superscript"/>
        </w:rPr>
        <w:t>4,5</w:t>
      </w:r>
      <w:r w:rsidRPr="00C24FB0">
        <w:rPr>
          <w:rFonts w:ascii="Times New Roman" w:hAnsi="Times New Roman" w:cs="Times New Roman"/>
          <w:color w:val="000000" w:themeColor="text1"/>
          <w:sz w:val="24"/>
          <w:szCs w:val="24"/>
          <w:shd w:val="clear" w:color="auto" w:fill="FFFFFF"/>
        </w:rPr>
        <w:t xml:space="preserve"> Hence the further thrombotic events. Kolk FA et al observed 31% mortality due to vascular events in their patients COVID 19 among which 27% and 3.7% were due to venous and arterial thromboembolism. </w:t>
      </w:r>
      <w:r w:rsidR="0062205F" w:rsidRPr="00C24FB0">
        <w:rPr>
          <w:rFonts w:ascii="Times New Roman" w:hAnsi="Times New Roman" w:cs="Times New Roman"/>
          <w:color w:val="000000" w:themeColor="text1"/>
          <w:sz w:val="24"/>
          <w:szCs w:val="24"/>
          <w:shd w:val="clear" w:color="auto" w:fill="FFFFFF"/>
          <w:vertAlign w:val="superscript"/>
        </w:rPr>
        <w:t>6</w:t>
      </w:r>
    </w:p>
    <w:p w14:paraId="03AD49A5" w14:textId="029FEB4C" w:rsidR="00006C1A" w:rsidRPr="00C24FB0" w:rsidRDefault="00411035" w:rsidP="0090432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Hence, w</w:t>
      </w:r>
      <w:r w:rsidR="00006C1A" w:rsidRPr="00C24FB0">
        <w:rPr>
          <w:rFonts w:ascii="Times New Roman" w:hAnsi="Times New Roman" w:cs="Times New Roman"/>
          <w:color w:val="000000" w:themeColor="text1"/>
          <w:sz w:val="24"/>
          <w:szCs w:val="24"/>
          <w:shd w:val="clear" w:color="auto" w:fill="FFFFFF"/>
        </w:rPr>
        <w:t xml:space="preserve">e conducted a study to evaluate the prevalence of vascular complications due to COVID 19 and to analyse the difference in the inflammatory markers before and after the events. </w:t>
      </w:r>
    </w:p>
    <w:p w14:paraId="29EEEBD3" w14:textId="77777777" w:rsidR="00006C1A" w:rsidRPr="00C24FB0" w:rsidRDefault="00006C1A" w:rsidP="00904327">
      <w:pPr>
        <w:spacing w:line="360" w:lineRule="auto"/>
        <w:jc w:val="both"/>
        <w:rPr>
          <w:rFonts w:ascii="Times New Roman" w:hAnsi="Times New Roman" w:cs="Times New Roman"/>
          <w:b/>
          <w:bCs/>
          <w:color w:val="000000" w:themeColor="text1"/>
          <w:sz w:val="24"/>
          <w:szCs w:val="24"/>
          <w:u w:val="single"/>
          <w:shd w:val="clear" w:color="auto" w:fill="FFFFFF"/>
        </w:rPr>
      </w:pPr>
      <w:r w:rsidRPr="00C24FB0">
        <w:rPr>
          <w:rFonts w:ascii="Times New Roman" w:hAnsi="Times New Roman" w:cs="Times New Roman"/>
          <w:b/>
          <w:bCs/>
          <w:color w:val="000000" w:themeColor="text1"/>
          <w:sz w:val="24"/>
          <w:szCs w:val="24"/>
          <w:u w:val="single"/>
          <w:shd w:val="clear" w:color="auto" w:fill="FFFFFF"/>
        </w:rPr>
        <w:t>MATERIALS AND METHODOLOGY</w:t>
      </w:r>
    </w:p>
    <w:p w14:paraId="4977F5B3" w14:textId="71533DF2" w:rsidR="00B228F8" w:rsidRDefault="00A074B0" w:rsidP="0090432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Present study was a p</w:t>
      </w:r>
      <w:r w:rsidR="00006C1A" w:rsidRPr="00C24FB0">
        <w:rPr>
          <w:rFonts w:ascii="Times New Roman" w:hAnsi="Times New Roman" w:cs="Times New Roman"/>
          <w:color w:val="000000" w:themeColor="text1"/>
          <w:sz w:val="24"/>
          <w:szCs w:val="24"/>
          <w:shd w:val="clear" w:color="auto" w:fill="FFFFFF"/>
        </w:rPr>
        <w:t>rospective observational study</w:t>
      </w:r>
      <w:r>
        <w:rPr>
          <w:rFonts w:ascii="Times New Roman" w:hAnsi="Times New Roman" w:cs="Times New Roman"/>
          <w:color w:val="000000" w:themeColor="text1"/>
          <w:sz w:val="24"/>
          <w:szCs w:val="24"/>
          <w:shd w:val="clear" w:color="auto" w:fill="FFFFFF"/>
        </w:rPr>
        <w:t xml:space="preserve"> conducted at the </w:t>
      </w:r>
      <w:r w:rsidR="008D548A">
        <w:rPr>
          <w:rFonts w:ascii="Times New Roman" w:hAnsi="Times New Roman" w:cs="Times New Roman"/>
          <w:color w:val="000000" w:themeColor="text1"/>
          <w:sz w:val="24"/>
          <w:szCs w:val="24"/>
          <w:shd w:val="clear" w:color="auto" w:fill="FFFFFF"/>
        </w:rPr>
        <w:t>D</w:t>
      </w:r>
      <w:r w:rsidR="00006C1A" w:rsidRPr="00C24FB0">
        <w:rPr>
          <w:rFonts w:ascii="Times New Roman" w:hAnsi="Times New Roman" w:cs="Times New Roman"/>
          <w:color w:val="000000" w:themeColor="text1"/>
          <w:sz w:val="24"/>
          <w:szCs w:val="24"/>
          <w:shd w:val="clear" w:color="auto" w:fill="FFFFFF"/>
        </w:rPr>
        <w:t>epartment of general medicine, Bangalore Medical College, Bangalore Karnataka</w:t>
      </w:r>
      <w:r>
        <w:rPr>
          <w:rFonts w:ascii="Times New Roman" w:hAnsi="Times New Roman" w:cs="Times New Roman"/>
          <w:color w:val="000000" w:themeColor="text1"/>
          <w:sz w:val="24"/>
          <w:szCs w:val="24"/>
          <w:shd w:val="clear" w:color="auto" w:fill="FFFFFF"/>
        </w:rPr>
        <w:t xml:space="preserve"> by including the patients </w:t>
      </w:r>
      <w:r>
        <w:rPr>
          <w:rFonts w:ascii="Times New Roman" w:hAnsi="Times New Roman" w:cs="Times New Roman"/>
          <w:color w:val="000000" w:themeColor="text1"/>
          <w:sz w:val="24"/>
          <w:szCs w:val="24"/>
          <w:shd w:val="clear" w:color="auto" w:fill="FFFFFF"/>
        </w:rPr>
        <w:lastRenderedPageBreak/>
        <w:t xml:space="preserve">between </w:t>
      </w:r>
      <w:r w:rsidR="008D548A">
        <w:rPr>
          <w:rFonts w:ascii="Times New Roman" w:hAnsi="Times New Roman" w:cs="Times New Roman"/>
          <w:color w:val="000000" w:themeColor="text1"/>
          <w:sz w:val="24"/>
          <w:szCs w:val="24"/>
          <w:shd w:val="clear" w:color="auto" w:fill="FFFFFF"/>
        </w:rPr>
        <w:t>1 Aug 2021 to 30 Oct 2021</w:t>
      </w:r>
      <w:r>
        <w:rPr>
          <w:rFonts w:ascii="Times New Roman" w:hAnsi="Times New Roman" w:cs="Times New Roman"/>
          <w:color w:val="000000" w:themeColor="text1"/>
          <w:sz w:val="24"/>
          <w:szCs w:val="24"/>
          <w:shd w:val="clear" w:color="auto" w:fill="FFFFFF"/>
        </w:rPr>
        <w:t>.</w:t>
      </w:r>
      <w:r w:rsidR="00E678A8">
        <w:rPr>
          <w:rFonts w:ascii="Times New Roman" w:hAnsi="Times New Roman" w:cs="Times New Roman"/>
          <w:color w:val="000000" w:themeColor="text1"/>
          <w:sz w:val="24"/>
          <w:szCs w:val="24"/>
          <w:shd w:val="clear" w:color="auto" w:fill="FFFFFF"/>
        </w:rPr>
        <w:t xml:space="preserve"> </w:t>
      </w:r>
      <w:r w:rsidR="00006C1A" w:rsidRPr="00C24FB0">
        <w:rPr>
          <w:rFonts w:ascii="Times New Roman" w:hAnsi="Times New Roman" w:cs="Times New Roman"/>
          <w:color w:val="000000" w:themeColor="text1"/>
          <w:sz w:val="24"/>
          <w:szCs w:val="24"/>
          <w:shd w:val="clear" w:color="auto" w:fill="FFFFFF"/>
        </w:rPr>
        <w:t>After obtaining the ethical committee clearance</w:t>
      </w:r>
      <w:r w:rsidR="00B228F8">
        <w:rPr>
          <w:rFonts w:ascii="Times New Roman" w:hAnsi="Times New Roman" w:cs="Times New Roman"/>
          <w:color w:val="000000" w:themeColor="text1"/>
          <w:sz w:val="24"/>
          <w:szCs w:val="24"/>
          <w:shd w:val="clear" w:color="auto" w:fill="FFFFFF"/>
        </w:rPr>
        <w:t xml:space="preserve"> (IEC:</w:t>
      </w:r>
      <w:r w:rsidR="006D23E1">
        <w:rPr>
          <w:rFonts w:ascii="Times New Roman" w:hAnsi="Times New Roman" w:cs="Times New Roman"/>
          <w:color w:val="000000" w:themeColor="text1"/>
          <w:sz w:val="24"/>
          <w:szCs w:val="24"/>
          <w:shd w:val="clear" w:color="auto" w:fill="FFFFFF"/>
        </w:rPr>
        <w:t xml:space="preserve"> BMCRI/PS/103/2021-22</w:t>
      </w:r>
      <w:r w:rsidR="00B228F8">
        <w:rPr>
          <w:rFonts w:ascii="Times New Roman" w:hAnsi="Times New Roman" w:cs="Times New Roman"/>
          <w:color w:val="000000" w:themeColor="text1"/>
          <w:sz w:val="24"/>
          <w:szCs w:val="24"/>
          <w:shd w:val="clear" w:color="auto" w:fill="FFFFFF"/>
        </w:rPr>
        <w:t>)</w:t>
      </w:r>
      <w:r w:rsidR="00006C1A" w:rsidRPr="00C24FB0">
        <w:rPr>
          <w:rFonts w:ascii="Times New Roman" w:hAnsi="Times New Roman" w:cs="Times New Roman"/>
          <w:color w:val="000000" w:themeColor="text1"/>
          <w:sz w:val="24"/>
          <w:szCs w:val="24"/>
          <w:shd w:val="clear" w:color="auto" w:fill="FFFFFF"/>
        </w:rPr>
        <w:t xml:space="preserve"> </w:t>
      </w:r>
    </w:p>
    <w:p w14:paraId="7BA76A98" w14:textId="18BC8260" w:rsidR="00F279EE" w:rsidRPr="00E678A8" w:rsidRDefault="00E678A8" w:rsidP="00904327">
      <w:pPr>
        <w:spacing w:line="360" w:lineRule="auto"/>
        <w:jc w:val="both"/>
        <w:rPr>
          <w:rStyle w:val="Emphasis"/>
          <w:rFonts w:ascii="Arial" w:hAnsi="Arial" w:cs="Arial"/>
          <w:b/>
          <w:bCs/>
          <w:i w:val="0"/>
          <w:iCs w:val="0"/>
          <w:color w:val="5F6368"/>
          <w:sz w:val="21"/>
          <w:szCs w:val="21"/>
          <w:shd w:val="clear" w:color="auto" w:fill="FFFFFF"/>
        </w:rPr>
      </w:pPr>
      <w:r>
        <w:rPr>
          <w:rFonts w:ascii="Times New Roman" w:hAnsi="Times New Roman" w:cs="Times New Roman"/>
          <w:color w:val="000000" w:themeColor="text1"/>
          <w:sz w:val="24"/>
          <w:szCs w:val="24"/>
          <w:shd w:val="clear" w:color="auto" w:fill="FFFFFF"/>
        </w:rPr>
        <w:t xml:space="preserve">We had included </w:t>
      </w:r>
      <w:r w:rsidRPr="00A12902">
        <w:rPr>
          <w:rFonts w:ascii="Times New Roman" w:hAnsi="Times New Roman" w:cs="Times New Roman"/>
          <w:color w:val="000000" w:themeColor="text1"/>
          <w:sz w:val="24"/>
          <w:szCs w:val="24"/>
          <w:shd w:val="clear" w:color="auto" w:fill="FFFFFF"/>
        </w:rPr>
        <w:t xml:space="preserve">75 patients </w:t>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by </w:t>
      </w:r>
      <w:r w:rsidRPr="00A12902">
        <w:rPr>
          <w:rStyle w:val="Emphasis"/>
          <w:rFonts w:ascii="Times New Roman" w:hAnsi="Times New Roman" w:cs="Times New Roman"/>
          <w:i w:val="0"/>
          <w:iCs w:val="0"/>
          <w:color w:val="000000" w:themeColor="text1"/>
          <w:sz w:val="24"/>
          <w:szCs w:val="24"/>
          <w:shd w:val="clear" w:color="auto" w:fill="FFFFFF"/>
        </w:rPr>
        <w:t>Convenience sampling</w:t>
      </w:r>
      <w:r>
        <w:rPr>
          <w:rStyle w:val="Emphasis"/>
          <w:rFonts w:ascii="Times New Roman" w:hAnsi="Times New Roman" w:cs="Times New Roman"/>
          <w:i w:val="0"/>
          <w:iCs w:val="0"/>
          <w:color w:val="000000" w:themeColor="text1"/>
          <w:sz w:val="24"/>
          <w:szCs w:val="24"/>
          <w:shd w:val="clear" w:color="auto" w:fill="FFFFFF"/>
        </w:rPr>
        <w:t>)</w:t>
      </w:r>
      <w:r>
        <w:rPr>
          <w:rStyle w:val="Emphasis"/>
          <w:rFonts w:ascii="Arial" w:hAnsi="Arial" w:cs="Arial"/>
          <w:b/>
          <w:bCs/>
          <w:i w:val="0"/>
          <w:iCs w:val="0"/>
          <w:color w:val="5F6368"/>
          <w:sz w:val="21"/>
          <w:szCs w:val="21"/>
          <w:shd w:val="clear" w:color="auto" w:fill="FFFFFF"/>
        </w:rPr>
        <w:t xml:space="preserve"> </w:t>
      </w:r>
      <w:r w:rsidR="00006C1A" w:rsidRPr="00C24FB0">
        <w:rPr>
          <w:rFonts w:ascii="Times New Roman" w:hAnsi="Times New Roman" w:cs="Times New Roman"/>
          <w:color w:val="000000" w:themeColor="text1"/>
          <w:sz w:val="24"/>
          <w:szCs w:val="24"/>
          <w:shd w:val="clear" w:color="auto" w:fill="FFFFFF"/>
        </w:rPr>
        <w:t xml:space="preserve">aged more than 18 years who were willing to participate in the study. </w:t>
      </w:r>
      <w:r>
        <w:rPr>
          <w:rFonts w:ascii="Times New Roman" w:hAnsi="Times New Roman" w:cs="Times New Roman"/>
          <w:color w:val="000000" w:themeColor="text1"/>
          <w:sz w:val="24"/>
          <w:szCs w:val="24"/>
          <w:shd w:val="clear" w:color="auto" w:fill="FFFFFF"/>
        </w:rPr>
        <w:t>Whereas t</w:t>
      </w:r>
      <w:r w:rsidR="00006C1A" w:rsidRPr="00C24FB0">
        <w:rPr>
          <w:rFonts w:ascii="Times New Roman" w:hAnsi="Times New Roman" w:cs="Times New Roman"/>
          <w:color w:val="000000" w:themeColor="text1"/>
          <w:sz w:val="24"/>
          <w:szCs w:val="24"/>
          <w:shd w:val="clear" w:color="auto" w:fill="FFFFFF"/>
        </w:rPr>
        <w:t>he pregnant and lactating women, patients with known cases of cardiovascular disease, DVT</w:t>
      </w:r>
      <w:r w:rsidR="00413B86">
        <w:rPr>
          <w:rFonts w:ascii="Times New Roman" w:hAnsi="Times New Roman" w:cs="Times New Roman"/>
          <w:color w:val="000000" w:themeColor="text1"/>
          <w:sz w:val="24"/>
          <w:szCs w:val="24"/>
          <w:shd w:val="clear" w:color="auto" w:fill="FFFFFF"/>
        </w:rPr>
        <w:t xml:space="preserve"> (Deep vein thrombosis)</w:t>
      </w:r>
      <w:r w:rsidR="00006C1A" w:rsidRPr="00C24FB0">
        <w:rPr>
          <w:rFonts w:ascii="Times New Roman" w:hAnsi="Times New Roman" w:cs="Times New Roman"/>
          <w:color w:val="000000" w:themeColor="text1"/>
          <w:sz w:val="24"/>
          <w:szCs w:val="24"/>
          <w:shd w:val="clear" w:color="auto" w:fill="FFFFFF"/>
        </w:rPr>
        <w:t xml:space="preserve">, Varicose veins and those who had underwent any kind of cardiopulmonary surgery were excluded from the study. </w:t>
      </w:r>
      <w:r w:rsidR="00F279EE" w:rsidRPr="00BE1D65">
        <w:rPr>
          <w:rStyle w:val="Emphasis"/>
          <w:rFonts w:ascii="Times New Roman" w:hAnsi="Times New Roman" w:cs="Times New Roman"/>
          <w:i w:val="0"/>
          <w:iCs w:val="0"/>
          <w:color w:val="000000" w:themeColor="text1"/>
          <w:sz w:val="24"/>
          <w:szCs w:val="24"/>
          <w:shd w:val="clear" w:color="auto" w:fill="FFFFFF"/>
        </w:rPr>
        <w:t xml:space="preserve">Basic demographic details of all the patients are recruited and their covid 19 RTPCR report is verified. </w:t>
      </w:r>
    </w:p>
    <w:p w14:paraId="69CB9F9A" w14:textId="4275ECEB" w:rsidR="00BE1D65" w:rsidRPr="00BE1D65" w:rsidRDefault="00413B86" w:rsidP="00904327">
      <w:pPr>
        <w:spacing w:line="360" w:lineRule="auto"/>
        <w:jc w:val="both"/>
        <w:rPr>
          <w:rFonts w:ascii="Times New Roman" w:hAnsi="Times New Roman" w:cs="Times New Roman"/>
          <w:color w:val="000000" w:themeColor="text1"/>
          <w:sz w:val="24"/>
          <w:szCs w:val="24"/>
          <w:shd w:val="clear" w:color="auto" w:fill="FFFFFF"/>
        </w:rPr>
      </w:pPr>
      <w:r>
        <w:rPr>
          <w:rStyle w:val="Emphasis"/>
          <w:rFonts w:ascii="Times New Roman" w:hAnsi="Times New Roman" w:cs="Times New Roman"/>
          <w:i w:val="0"/>
          <w:iCs w:val="0"/>
          <w:color w:val="000000" w:themeColor="text1"/>
          <w:sz w:val="24"/>
          <w:szCs w:val="24"/>
          <w:shd w:val="clear" w:color="auto" w:fill="FFFFFF"/>
        </w:rPr>
        <w:t xml:space="preserve">Blood investigations such as </w:t>
      </w:r>
      <w:r w:rsidR="00BE1D65" w:rsidRPr="00BE1D65">
        <w:rPr>
          <w:rStyle w:val="Emphasis"/>
          <w:rFonts w:ascii="Times New Roman" w:hAnsi="Times New Roman" w:cs="Times New Roman"/>
          <w:i w:val="0"/>
          <w:iCs w:val="0"/>
          <w:color w:val="000000" w:themeColor="text1"/>
          <w:sz w:val="24"/>
          <w:szCs w:val="24"/>
          <w:shd w:val="clear" w:color="auto" w:fill="FFFFFF"/>
        </w:rPr>
        <w:t>CBC</w:t>
      </w:r>
      <w:r>
        <w:rPr>
          <w:rStyle w:val="Emphasis"/>
          <w:rFonts w:ascii="Times New Roman" w:hAnsi="Times New Roman" w:cs="Times New Roman"/>
          <w:i w:val="0"/>
          <w:iCs w:val="0"/>
          <w:color w:val="000000" w:themeColor="text1"/>
          <w:sz w:val="24"/>
          <w:szCs w:val="24"/>
          <w:shd w:val="clear" w:color="auto" w:fill="FFFFFF"/>
        </w:rPr>
        <w:t xml:space="preserve"> (Complete blood count)</w:t>
      </w:r>
      <w:r w:rsidR="00BE1D65" w:rsidRPr="00BE1D65">
        <w:rPr>
          <w:rStyle w:val="Emphasis"/>
          <w:rFonts w:ascii="Times New Roman" w:hAnsi="Times New Roman" w:cs="Times New Roman"/>
          <w:i w:val="0"/>
          <w:iCs w:val="0"/>
          <w:color w:val="000000" w:themeColor="text1"/>
          <w:sz w:val="24"/>
          <w:szCs w:val="24"/>
          <w:shd w:val="clear" w:color="auto" w:fill="FFFFFF"/>
        </w:rPr>
        <w:t>, Platelet, PT</w:t>
      </w:r>
      <w:r>
        <w:rPr>
          <w:rStyle w:val="Emphasis"/>
          <w:rFonts w:ascii="Times New Roman" w:hAnsi="Times New Roman" w:cs="Times New Roman"/>
          <w:i w:val="0"/>
          <w:iCs w:val="0"/>
          <w:color w:val="000000" w:themeColor="text1"/>
          <w:sz w:val="24"/>
          <w:szCs w:val="24"/>
          <w:shd w:val="clear" w:color="auto" w:fill="FFFFFF"/>
        </w:rPr>
        <w:t xml:space="preserve"> (Prothrombin time)</w:t>
      </w:r>
      <w:r w:rsidR="00BE1D65" w:rsidRPr="00BE1D65">
        <w:rPr>
          <w:rStyle w:val="Emphasis"/>
          <w:rFonts w:ascii="Times New Roman" w:hAnsi="Times New Roman" w:cs="Times New Roman"/>
          <w:i w:val="0"/>
          <w:iCs w:val="0"/>
          <w:color w:val="000000" w:themeColor="text1"/>
          <w:sz w:val="24"/>
          <w:szCs w:val="24"/>
          <w:shd w:val="clear" w:color="auto" w:fill="FFFFFF"/>
        </w:rPr>
        <w:t>, aPTT</w:t>
      </w:r>
      <w:r>
        <w:rPr>
          <w:rStyle w:val="Emphasis"/>
          <w:rFonts w:ascii="Times New Roman" w:hAnsi="Times New Roman" w:cs="Times New Roman"/>
          <w:i w:val="0"/>
          <w:iCs w:val="0"/>
          <w:color w:val="000000" w:themeColor="text1"/>
          <w:sz w:val="24"/>
          <w:szCs w:val="24"/>
          <w:shd w:val="clear" w:color="auto" w:fill="FFFFFF"/>
        </w:rPr>
        <w:t xml:space="preserve"> (activated partial thromboplastin time)</w:t>
      </w:r>
      <w:r w:rsidR="00BE1D65" w:rsidRPr="00BE1D65">
        <w:rPr>
          <w:rStyle w:val="Emphasis"/>
          <w:rFonts w:ascii="Times New Roman" w:hAnsi="Times New Roman" w:cs="Times New Roman"/>
          <w:i w:val="0"/>
          <w:iCs w:val="0"/>
          <w:color w:val="000000" w:themeColor="text1"/>
          <w:sz w:val="24"/>
          <w:szCs w:val="24"/>
          <w:shd w:val="clear" w:color="auto" w:fill="FFFFFF"/>
        </w:rPr>
        <w:t xml:space="preserve"> and the covid markers such as CRP, D dimer, IL6, LDH, Serum ferritin were tested at the time of admission and after the onset of thrombotic events were noted and tabulated for further analysis.</w:t>
      </w:r>
    </w:p>
    <w:p w14:paraId="1275A3F4" w14:textId="77777777"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All the recruited data was tabulated in MS excel and analysed using SPSS software version 2.0 with suitable statistical tests.</w:t>
      </w:r>
    </w:p>
    <w:p w14:paraId="461F8382" w14:textId="77777777" w:rsidR="00006C1A" w:rsidRPr="00C24FB0" w:rsidRDefault="00006C1A" w:rsidP="00904327">
      <w:pPr>
        <w:spacing w:line="360" w:lineRule="auto"/>
        <w:jc w:val="both"/>
        <w:rPr>
          <w:rFonts w:ascii="Times New Roman" w:hAnsi="Times New Roman" w:cs="Times New Roman"/>
          <w:b/>
          <w:bCs/>
          <w:color w:val="000000" w:themeColor="text1"/>
          <w:sz w:val="24"/>
          <w:szCs w:val="24"/>
          <w:u w:val="single"/>
          <w:shd w:val="clear" w:color="auto" w:fill="FFFFFF"/>
        </w:rPr>
      </w:pPr>
      <w:r w:rsidRPr="00C24FB0">
        <w:rPr>
          <w:rFonts w:ascii="Times New Roman" w:hAnsi="Times New Roman" w:cs="Times New Roman"/>
          <w:b/>
          <w:bCs/>
          <w:color w:val="000000" w:themeColor="text1"/>
          <w:sz w:val="24"/>
          <w:szCs w:val="24"/>
          <w:u w:val="single"/>
          <w:shd w:val="clear" w:color="auto" w:fill="FFFFFF"/>
        </w:rPr>
        <w:t>RESULTS</w:t>
      </w:r>
    </w:p>
    <w:p w14:paraId="109A5057" w14:textId="701364DD" w:rsidR="00CC3FAE" w:rsidRPr="00C24FB0" w:rsidRDefault="00006C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Based on the analysis, the average age of the recruited patients was 56.6±12.78 years. Forty-one patients were aged less than 60 years and the rest t</w:t>
      </w:r>
      <w:r w:rsidR="001F58A6" w:rsidRPr="00C24FB0">
        <w:rPr>
          <w:rFonts w:ascii="Times New Roman" w:hAnsi="Times New Roman" w:cs="Times New Roman"/>
          <w:color w:val="000000" w:themeColor="text1"/>
          <w:sz w:val="24"/>
          <w:szCs w:val="24"/>
          <w:shd w:val="clear" w:color="auto" w:fill="FFFFFF"/>
        </w:rPr>
        <w:t>hirty</w:t>
      </w:r>
      <w:r w:rsidRPr="00C24FB0">
        <w:rPr>
          <w:rFonts w:ascii="Times New Roman" w:hAnsi="Times New Roman" w:cs="Times New Roman"/>
          <w:color w:val="000000" w:themeColor="text1"/>
          <w:sz w:val="24"/>
          <w:szCs w:val="24"/>
          <w:shd w:val="clear" w:color="auto" w:fill="FFFFFF"/>
        </w:rPr>
        <w:t xml:space="preserve">-four were aged more than 60 years. </w:t>
      </w:r>
      <w:r w:rsidR="007A02C4" w:rsidRPr="00C24FB0">
        <w:rPr>
          <w:rFonts w:ascii="Times New Roman" w:hAnsi="Times New Roman" w:cs="Times New Roman"/>
          <w:color w:val="000000" w:themeColor="text1"/>
          <w:sz w:val="24"/>
          <w:szCs w:val="24"/>
          <w:shd w:val="clear" w:color="auto" w:fill="FFFFFF"/>
        </w:rPr>
        <w:t>There were 53 (70.7%) and 22 (29.3%) males and females respectively</w:t>
      </w:r>
      <w:r w:rsidR="00CC3FAE" w:rsidRPr="00C24FB0">
        <w:rPr>
          <w:rFonts w:ascii="Times New Roman" w:hAnsi="Times New Roman" w:cs="Times New Roman"/>
          <w:color w:val="000000" w:themeColor="text1"/>
          <w:sz w:val="24"/>
          <w:szCs w:val="24"/>
          <w:shd w:val="clear" w:color="auto" w:fill="FFFFFF"/>
        </w:rPr>
        <w:t>, which is illustrated in figure 1.</w:t>
      </w:r>
      <w:r w:rsidR="007A02C4" w:rsidRPr="00C24FB0">
        <w:rPr>
          <w:rFonts w:ascii="Times New Roman" w:hAnsi="Times New Roman" w:cs="Times New Roman"/>
          <w:color w:val="000000" w:themeColor="text1"/>
          <w:sz w:val="24"/>
          <w:szCs w:val="24"/>
          <w:shd w:val="clear" w:color="auto" w:fill="FFFFFF"/>
        </w:rPr>
        <w:t xml:space="preserve"> </w:t>
      </w:r>
    </w:p>
    <w:p w14:paraId="40A55F94" w14:textId="6D3EA1BB" w:rsidR="002273D9" w:rsidRPr="00C24FB0" w:rsidRDefault="00CC3FAE"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Figure 2 illustrates the distribution of comorbid conditions. </w:t>
      </w:r>
      <w:r w:rsidR="005D1E44" w:rsidRPr="00C24FB0">
        <w:rPr>
          <w:rFonts w:ascii="Times New Roman" w:hAnsi="Times New Roman" w:cs="Times New Roman"/>
          <w:color w:val="000000" w:themeColor="text1"/>
          <w:sz w:val="24"/>
          <w:szCs w:val="24"/>
          <w:shd w:val="clear" w:color="auto" w:fill="FFFFFF"/>
        </w:rPr>
        <w:t xml:space="preserve">Out of 45 recruited study samples, 40 were suffering from the comorbid conditions. Of which, </w:t>
      </w:r>
      <w:r w:rsidR="00006C1A" w:rsidRPr="00C24FB0">
        <w:rPr>
          <w:rFonts w:ascii="Times New Roman" w:hAnsi="Times New Roman" w:cs="Times New Roman"/>
          <w:color w:val="000000" w:themeColor="text1"/>
          <w:sz w:val="24"/>
          <w:szCs w:val="24"/>
          <w:shd w:val="clear" w:color="auto" w:fill="FFFFFF"/>
        </w:rPr>
        <w:t>1</w:t>
      </w:r>
      <w:r w:rsidR="005D1E44" w:rsidRPr="00C24FB0">
        <w:rPr>
          <w:rFonts w:ascii="Times New Roman" w:hAnsi="Times New Roman" w:cs="Times New Roman"/>
          <w:color w:val="000000" w:themeColor="text1"/>
          <w:sz w:val="24"/>
          <w:szCs w:val="24"/>
          <w:shd w:val="clear" w:color="auto" w:fill="FFFFFF"/>
        </w:rPr>
        <w:t>7</w:t>
      </w:r>
      <w:r w:rsidR="00006C1A" w:rsidRPr="00C24FB0">
        <w:rPr>
          <w:rFonts w:ascii="Times New Roman" w:hAnsi="Times New Roman" w:cs="Times New Roman"/>
          <w:color w:val="000000" w:themeColor="text1"/>
          <w:sz w:val="24"/>
          <w:szCs w:val="24"/>
          <w:shd w:val="clear" w:color="auto" w:fill="FFFFFF"/>
        </w:rPr>
        <w:t xml:space="preserve"> (2</w:t>
      </w:r>
      <w:r w:rsidR="005D1E44" w:rsidRPr="00C24FB0">
        <w:rPr>
          <w:rFonts w:ascii="Times New Roman" w:hAnsi="Times New Roman" w:cs="Times New Roman"/>
          <w:color w:val="000000" w:themeColor="text1"/>
          <w:sz w:val="24"/>
          <w:szCs w:val="24"/>
          <w:shd w:val="clear" w:color="auto" w:fill="FFFFFF"/>
        </w:rPr>
        <w:t>2.7</w:t>
      </w:r>
      <w:r w:rsidR="00006C1A" w:rsidRPr="00C24FB0">
        <w:rPr>
          <w:rFonts w:ascii="Times New Roman" w:hAnsi="Times New Roman" w:cs="Times New Roman"/>
          <w:color w:val="000000" w:themeColor="text1"/>
          <w:sz w:val="24"/>
          <w:szCs w:val="24"/>
          <w:shd w:val="clear" w:color="auto" w:fill="FFFFFF"/>
        </w:rPr>
        <w:t xml:space="preserve">%) </w:t>
      </w:r>
      <w:r w:rsidR="005D1E44" w:rsidRPr="00C24FB0">
        <w:rPr>
          <w:rFonts w:ascii="Times New Roman" w:hAnsi="Times New Roman" w:cs="Times New Roman"/>
          <w:color w:val="000000" w:themeColor="text1"/>
          <w:sz w:val="24"/>
          <w:szCs w:val="24"/>
          <w:shd w:val="clear" w:color="auto" w:fill="FFFFFF"/>
        </w:rPr>
        <w:t>were known cases of controlled</w:t>
      </w:r>
      <w:r w:rsidR="00006C1A" w:rsidRPr="00C24FB0">
        <w:rPr>
          <w:rFonts w:ascii="Times New Roman" w:hAnsi="Times New Roman" w:cs="Times New Roman"/>
          <w:color w:val="000000" w:themeColor="text1"/>
          <w:sz w:val="24"/>
          <w:szCs w:val="24"/>
          <w:shd w:val="clear" w:color="auto" w:fill="FFFFFF"/>
        </w:rPr>
        <w:t xml:space="preserve"> hypertension (HTN) and diabetes. 15 (20%) and </w:t>
      </w:r>
      <w:r w:rsidR="005D1E44" w:rsidRPr="00C24FB0">
        <w:rPr>
          <w:rFonts w:ascii="Times New Roman" w:hAnsi="Times New Roman" w:cs="Times New Roman"/>
          <w:color w:val="000000" w:themeColor="text1"/>
          <w:sz w:val="24"/>
          <w:szCs w:val="24"/>
          <w:shd w:val="clear" w:color="auto" w:fill="FFFFFF"/>
        </w:rPr>
        <w:t>8</w:t>
      </w:r>
      <w:r w:rsidR="00006C1A" w:rsidRPr="00C24FB0">
        <w:rPr>
          <w:rFonts w:ascii="Times New Roman" w:hAnsi="Times New Roman" w:cs="Times New Roman"/>
          <w:color w:val="000000" w:themeColor="text1"/>
          <w:sz w:val="24"/>
          <w:szCs w:val="24"/>
          <w:shd w:val="clear" w:color="auto" w:fill="FFFFFF"/>
        </w:rPr>
        <w:t xml:space="preserve"> (</w:t>
      </w:r>
      <w:r w:rsidR="005D1E44" w:rsidRPr="00C24FB0">
        <w:rPr>
          <w:rFonts w:ascii="Times New Roman" w:hAnsi="Times New Roman" w:cs="Times New Roman"/>
          <w:color w:val="000000" w:themeColor="text1"/>
          <w:sz w:val="24"/>
          <w:szCs w:val="24"/>
          <w:shd w:val="clear" w:color="auto" w:fill="FFFFFF"/>
        </w:rPr>
        <w:t>10</w:t>
      </w:r>
      <w:r w:rsidR="00006C1A" w:rsidRPr="00C24FB0">
        <w:rPr>
          <w:rFonts w:ascii="Times New Roman" w:hAnsi="Times New Roman" w:cs="Times New Roman"/>
          <w:color w:val="000000" w:themeColor="text1"/>
          <w:sz w:val="24"/>
          <w:szCs w:val="24"/>
          <w:shd w:val="clear" w:color="auto" w:fill="FFFFFF"/>
        </w:rPr>
        <w:t>.7%) were suffering from HTN and DM.</w:t>
      </w:r>
      <w:r w:rsidR="005D1E44" w:rsidRPr="00C24FB0">
        <w:rPr>
          <w:rFonts w:ascii="Times New Roman" w:hAnsi="Times New Roman" w:cs="Times New Roman"/>
          <w:color w:val="000000" w:themeColor="text1"/>
          <w:sz w:val="24"/>
          <w:szCs w:val="24"/>
          <w:shd w:val="clear" w:color="auto" w:fill="FFFFFF"/>
        </w:rPr>
        <w:t xml:space="preserve"> </w:t>
      </w:r>
      <w:r w:rsidR="00006C1A" w:rsidRPr="00C24FB0">
        <w:rPr>
          <w:rFonts w:ascii="Times New Roman" w:hAnsi="Times New Roman" w:cs="Times New Roman"/>
          <w:color w:val="000000" w:themeColor="text1"/>
          <w:sz w:val="24"/>
          <w:szCs w:val="24"/>
          <w:shd w:val="clear" w:color="auto" w:fill="FFFFFF"/>
        </w:rPr>
        <w:t xml:space="preserve">Majority of the patients were diagnosed with severe form accounting for about 35 (47%) followed by mild form in 22 (29%) and 18 (24%) were diagnosed with moderate form of COVID 19. </w:t>
      </w:r>
    </w:p>
    <w:p w14:paraId="16CF616C" w14:textId="53B21ADB" w:rsidR="0000319D" w:rsidRPr="00C24FB0" w:rsidRDefault="008913F1"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The incidence of thrombotic events was 70.7% (53/75). </w:t>
      </w:r>
      <w:r w:rsidR="0000319D" w:rsidRPr="00C24FB0">
        <w:rPr>
          <w:rFonts w:ascii="Times New Roman" w:hAnsi="Times New Roman" w:cs="Times New Roman"/>
          <w:color w:val="000000" w:themeColor="text1"/>
          <w:sz w:val="24"/>
          <w:szCs w:val="24"/>
          <w:shd w:val="clear" w:color="auto" w:fill="FFFFFF"/>
        </w:rPr>
        <w:t xml:space="preserve">Table 2 and figure 4 illustrates the number of patients developed thrombotic events. The incidence of </w:t>
      </w:r>
      <w:r w:rsidR="00626521" w:rsidRPr="00C24FB0">
        <w:rPr>
          <w:rFonts w:ascii="Times New Roman" w:hAnsi="Times New Roman" w:cs="Times New Roman"/>
          <w:color w:val="000000" w:themeColor="text1"/>
          <w:sz w:val="24"/>
          <w:szCs w:val="24"/>
          <w:shd w:val="clear" w:color="auto" w:fill="FFFFFF"/>
        </w:rPr>
        <w:t xml:space="preserve">arterial </w:t>
      </w:r>
      <w:r w:rsidR="0000319D" w:rsidRPr="00C24FB0">
        <w:rPr>
          <w:rFonts w:ascii="Times New Roman" w:hAnsi="Times New Roman" w:cs="Times New Roman"/>
          <w:color w:val="000000" w:themeColor="text1"/>
          <w:sz w:val="24"/>
          <w:szCs w:val="24"/>
          <w:shd w:val="clear" w:color="auto" w:fill="FFFFFF"/>
        </w:rPr>
        <w:t>thrombo</w:t>
      </w:r>
      <w:r w:rsidR="00626521" w:rsidRPr="00C24FB0">
        <w:rPr>
          <w:rFonts w:ascii="Times New Roman" w:hAnsi="Times New Roman" w:cs="Times New Roman"/>
          <w:color w:val="000000" w:themeColor="text1"/>
          <w:sz w:val="24"/>
          <w:szCs w:val="24"/>
          <w:shd w:val="clear" w:color="auto" w:fill="FFFFFF"/>
        </w:rPr>
        <w:t xml:space="preserve">embolic </w:t>
      </w:r>
      <w:r w:rsidR="0000319D" w:rsidRPr="00C24FB0">
        <w:rPr>
          <w:rFonts w:ascii="Times New Roman" w:hAnsi="Times New Roman" w:cs="Times New Roman"/>
          <w:color w:val="000000" w:themeColor="text1"/>
          <w:sz w:val="24"/>
          <w:szCs w:val="24"/>
          <w:shd w:val="clear" w:color="auto" w:fill="FFFFFF"/>
        </w:rPr>
        <w:t xml:space="preserve">events was 48%, involving 36 patients of the overall study population. Of these 36 patients, majority of them were suffering from CVA accounting for about 12 (16%) of the patients followed by 11 (14.7%) with IHD. Three patients (4%) had developed </w:t>
      </w:r>
      <w:r w:rsidR="004D22E3" w:rsidRPr="00C24FB0">
        <w:rPr>
          <w:rFonts w:ascii="Times New Roman" w:hAnsi="Times New Roman" w:cs="Times New Roman"/>
          <w:color w:val="000000" w:themeColor="text1"/>
          <w:sz w:val="24"/>
          <w:szCs w:val="24"/>
          <w:shd w:val="clear" w:color="auto" w:fill="FFFFFF"/>
        </w:rPr>
        <w:t>mesenteric</w:t>
      </w:r>
      <w:r w:rsidR="0000319D" w:rsidRPr="00C24FB0">
        <w:rPr>
          <w:rFonts w:ascii="Times New Roman" w:hAnsi="Times New Roman" w:cs="Times New Roman"/>
          <w:color w:val="000000" w:themeColor="text1"/>
          <w:sz w:val="24"/>
          <w:szCs w:val="24"/>
          <w:shd w:val="clear" w:color="auto" w:fill="FFFFFF"/>
        </w:rPr>
        <w:t xml:space="preserve"> ischemia. Two patients (2.7%) each had developed acute infarcts, CAD, </w:t>
      </w:r>
      <w:r w:rsidR="004D22E3" w:rsidRPr="00C24FB0">
        <w:rPr>
          <w:rFonts w:ascii="Times New Roman" w:hAnsi="Times New Roman" w:cs="Times New Roman"/>
          <w:color w:val="000000" w:themeColor="text1"/>
          <w:sz w:val="24"/>
          <w:szCs w:val="24"/>
          <w:shd w:val="clear" w:color="auto" w:fill="FFFFFF"/>
        </w:rPr>
        <w:t>haemorrhagic</w:t>
      </w:r>
      <w:r w:rsidR="0000319D" w:rsidRPr="00C24FB0">
        <w:rPr>
          <w:rFonts w:ascii="Times New Roman" w:hAnsi="Times New Roman" w:cs="Times New Roman"/>
          <w:color w:val="000000" w:themeColor="text1"/>
          <w:sz w:val="24"/>
          <w:szCs w:val="24"/>
          <w:shd w:val="clear" w:color="auto" w:fill="FFFFFF"/>
        </w:rPr>
        <w:t xml:space="preserve"> stroke, small </w:t>
      </w:r>
      <w:r w:rsidR="0000319D" w:rsidRPr="00C24FB0">
        <w:rPr>
          <w:rFonts w:ascii="Times New Roman" w:hAnsi="Times New Roman" w:cs="Times New Roman"/>
          <w:color w:val="000000" w:themeColor="text1"/>
          <w:sz w:val="24"/>
          <w:szCs w:val="24"/>
          <w:shd w:val="clear" w:color="auto" w:fill="FFFFFF"/>
        </w:rPr>
        <w:lastRenderedPageBreak/>
        <w:t xml:space="preserve">vessel ischemia. One each (1.3%) had developed </w:t>
      </w:r>
      <w:r w:rsidRPr="00C24FB0">
        <w:rPr>
          <w:rFonts w:ascii="Times New Roman" w:hAnsi="Times New Roman" w:cs="Times New Roman"/>
          <w:color w:val="000000" w:themeColor="text1"/>
          <w:sz w:val="24"/>
          <w:szCs w:val="24"/>
          <w:shd w:val="clear" w:color="auto" w:fill="FFFFFF"/>
        </w:rPr>
        <w:t>Fournier’s</w:t>
      </w:r>
      <w:r w:rsidR="0000319D" w:rsidRPr="00C24FB0">
        <w:rPr>
          <w:rFonts w:ascii="Times New Roman" w:hAnsi="Times New Roman" w:cs="Times New Roman"/>
          <w:color w:val="000000" w:themeColor="text1"/>
          <w:sz w:val="24"/>
          <w:szCs w:val="24"/>
          <w:shd w:val="clear" w:color="auto" w:fill="FFFFFF"/>
        </w:rPr>
        <w:t xml:space="preserve"> gangrene and pulmonar</w:t>
      </w:r>
      <w:r w:rsidR="00283642" w:rsidRPr="00C24FB0">
        <w:rPr>
          <w:rFonts w:ascii="Times New Roman" w:hAnsi="Times New Roman" w:cs="Times New Roman"/>
          <w:color w:val="000000" w:themeColor="text1"/>
          <w:sz w:val="24"/>
          <w:szCs w:val="24"/>
          <w:shd w:val="clear" w:color="auto" w:fill="FFFFFF"/>
        </w:rPr>
        <w:t>y</w:t>
      </w:r>
      <w:r w:rsidR="0000319D" w:rsidRPr="00C24FB0">
        <w:rPr>
          <w:rFonts w:ascii="Times New Roman" w:hAnsi="Times New Roman" w:cs="Times New Roman"/>
          <w:color w:val="000000" w:themeColor="text1"/>
          <w:sz w:val="24"/>
          <w:szCs w:val="24"/>
          <w:shd w:val="clear" w:color="auto" w:fill="FFFFFF"/>
        </w:rPr>
        <w:t xml:space="preserve"> embolism.</w:t>
      </w:r>
    </w:p>
    <w:p w14:paraId="3CD34957" w14:textId="66A4154F" w:rsidR="009C3E03" w:rsidRPr="00C24FB0" w:rsidRDefault="009C3E03"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About 22.66% (17/75) of patients had developed venous thromboembolic events. Of which, 13 (17.3%) patients had developed DVT. The occurrence of DVT was statistically significant. Two patients had developed venous ulcer and one each had developed portal mesenteric vein thrombosis and complete thrombosis of cephalic vein.</w:t>
      </w:r>
    </w:p>
    <w:p w14:paraId="49AC34E1" w14:textId="6DB9F559" w:rsidR="009219CA" w:rsidRPr="00A12902" w:rsidRDefault="009C3E03"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The average values of inflammatory markers have been entered in Table 4. We observed that all the inflammatory markers had increased after the onset of thrombotic events with significant p value of &lt;0.05.</w:t>
      </w:r>
      <w:r w:rsidR="00C72C18" w:rsidRPr="00C24FB0">
        <w:rPr>
          <w:rFonts w:ascii="Times New Roman" w:hAnsi="Times New Roman" w:cs="Times New Roman"/>
          <w:color w:val="000000" w:themeColor="text1"/>
          <w:sz w:val="24"/>
          <w:szCs w:val="24"/>
          <w:shd w:val="clear" w:color="auto" w:fill="FFFFFF"/>
        </w:rPr>
        <w:t xml:space="preserve"> Serum ferritin, LDH, IL 6 and fibrinogen were almost raised by 50% of the pre-event values. </w:t>
      </w:r>
      <w:r w:rsidR="008913F1" w:rsidRPr="00C24FB0">
        <w:rPr>
          <w:rFonts w:ascii="Times New Roman" w:hAnsi="Times New Roman" w:cs="Times New Roman"/>
          <w:color w:val="000000" w:themeColor="text1"/>
          <w:sz w:val="24"/>
          <w:szCs w:val="24"/>
          <w:shd w:val="clear" w:color="auto" w:fill="FFFFFF"/>
        </w:rPr>
        <w:t xml:space="preserve">Majority of these thrombotic events were observed among the patients aged more than 60 years and those with comorbid conditions. </w:t>
      </w:r>
      <w:r w:rsidR="009219CA" w:rsidRPr="00C24FB0">
        <w:rPr>
          <w:rFonts w:ascii="Times New Roman" w:hAnsi="Times New Roman" w:cs="Times New Roman"/>
          <w:color w:val="000000" w:themeColor="text1"/>
          <w:sz w:val="24"/>
          <w:szCs w:val="24"/>
          <w:shd w:val="clear" w:color="auto" w:fill="FFFFFF"/>
        </w:rPr>
        <w:t>But there no statistically significant difference observed.</w:t>
      </w:r>
    </w:p>
    <w:p w14:paraId="3015EDAC" w14:textId="7CEA758A" w:rsidR="00B145D1" w:rsidRPr="00C24FB0" w:rsidRDefault="00B145D1"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Table 1: Distribution on age</w:t>
      </w:r>
    </w:p>
    <w:tbl>
      <w:tblPr>
        <w:tblStyle w:val="TableGrid"/>
        <w:tblW w:w="0" w:type="auto"/>
        <w:tblLook w:val="04A0" w:firstRow="1" w:lastRow="0" w:firstColumn="1" w:lastColumn="0" w:noHBand="0" w:noVBand="1"/>
      </w:tblPr>
      <w:tblGrid>
        <w:gridCol w:w="3542"/>
        <w:gridCol w:w="3542"/>
      </w:tblGrid>
      <w:tr w:rsidR="00C24FB0" w:rsidRPr="00C24FB0" w14:paraId="3EBCB47C" w14:textId="77777777" w:rsidTr="00F60C28">
        <w:trPr>
          <w:trHeight w:val="608"/>
        </w:trPr>
        <w:tc>
          <w:tcPr>
            <w:tcW w:w="3542" w:type="dxa"/>
          </w:tcPr>
          <w:p w14:paraId="656B5E53" w14:textId="42D21E5F" w:rsidR="00B145D1" w:rsidRPr="00C24FB0" w:rsidRDefault="00B145D1"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Age</w:t>
            </w:r>
          </w:p>
        </w:tc>
        <w:tc>
          <w:tcPr>
            <w:tcW w:w="3542" w:type="dxa"/>
          </w:tcPr>
          <w:p w14:paraId="630E82CC" w14:textId="1DCF9EA5" w:rsidR="00B145D1" w:rsidRPr="00C24FB0" w:rsidRDefault="00B145D1"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N (%)</w:t>
            </w:r>
          </w:p>
        </w:tc>
      </w:tr>
      <w:tr w:rsidR="00C24FB0" w:rsidRPr="00C24FB0" w14:paraId="1CA018AF" w14:textId="77777777" w:rsidTr="00F60C28">
        <w:trPr>
          <w:trHeight w:val="608"/>
        </w:trPr>
        <w:tc>
          <w:tcPr>
            <w:tcW w:w="3542" w:type="dxa"/>
          </w:tcPr>
          <w:p w14:paraId="6864D3DC" w14:textId="0833D310" w:rsidR="00B145D1" w:rsidRPr="00C24FB0" w:rsidRDefault="00B145D1"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&lt;60 years</w:t>
            </w:r>
          </w:p>
        </w:tc>
        <w:tc>
          <w:tcPr>
            <w:tcW w:w="3542" w:type="dxa"/>
          </w:tcPr>
          <w:p w14:paraId="7F207E74" w14:textId="139FC54B" w:rsidR="00B145D1" w:rsidRPr="00C24FB0" w:rsidRDefault="00B145D1"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41 (54.66)</w:t>
            </w:r>
          </w:p>
        </w:tc>
      </w:tr>
      <w:tr w:rsidR="00C24FB0" w:rsidRPr="00C24FB0" w14:paraId="109A1EBA" w14:textId="77777777" w:rsidTr="00F60C28">
        <w:trPr>
          <w:trHeight w:val="619"/>
        </w:trPr>
        <w:tc>
          <w:tcPr>
            <w:tcW w:w="3542" w:type="dxa"/>
          </w:tcPr>
          <w:p w14:paraId="44DFC4D2" w14:textId="5B668CC9" w:rsidR="00B145D1" w:rsidRPr="00C24FB0" w:rsidRDefault="00B145D1"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&gt;60 years</w:t>
            </w:r>
          </w:p>
        </w:tc>
        <w:tc>
          <w:tcPr>
            <w:tcW w:w="3542" w:type="dxa"/>
          </w:tcPr>
          <w:p w14:paraId="578E7E8F" w14:textId="1473F615" w:rsidR="00B145D1" w:rsidRPr="00C24FB0" w:rsidRDefault="00B145D1"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24 (46.44)</w:t>
            </w:r>
          </w:p>
        </w:tc>
      </w:tr>
    </w:tbl>
    <w:p w14:paraId="5B1D717D" w14:textId="470F26CE" w:rsidR="00B145D1" w:rsidRPr="00C24FB0" w:rsidRDefault="00B145D1" w:rsidP="00904327">
      <w:pPr>
        <w:spacing w:line="360" w:lineRule="auto"/>
        <w:jc w:val="both"/>
        <w:rPr>
          <w:rFonts w:ascii="Times New Roman" w:hAnsi="Times New Roman" w:cs="Times New Roman"/>
          <w:b/>
          <w:bCs/>
          <w:color w:val="000000" w:themeColor="text1"/>
          <w:sz w:val="24"/>
          <w:szCs w:val="24"/>
          <w:shd w:val="clear" w:color="auto" w:fill="FFFFFF"/>
        </w:rPr>
      </w:pPr>
    </w:p>
    <w:p w14:paraId="2B50961D" w14:textId="7E415EEB" w:rsidR="00281957" w:rsidRPr="00C24FB0" w:rsidRDefault="00281957"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noProof/>
          <w:color w:val="000000" w:themeColor="text1"/>
          <w:sz w:val="24"/>
          <w:szCs w:val="24"/>
          <w:shd w:val="clear" w:color="auto" w:fill="FFFFFF"/>
        </w:rPr>
        <w:drawing>
          <wp:inline distT="0" distB="0" distL="0" distR="0" wp14:anchorId="5BF68EBF" wp14:editId="0710E445">
            <wp:extent cx="3937000" cy="2774950"/>
            <wp:effectExtent l="0" t="0" r="63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E3672A" w14:textId="40CF69DD" w:rsidR="00281957" w:rsidRPr="00C24FB0" w:rsidRDefault="00281957"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Figure 1: Pie chart representing the distribution of gender</w:t>
      </w:r>
    </w:p>
    <w:p w14:paraId="0F737F2A" w14:textId="09E34A0A" w:rsidR="00DA7E90" w:rsidRPr="00C24FB0" w:rsidRDefault="004C568F" w:rsidP="0090432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DA7E90" w:rsidRPr="00C24FB0">
        <w:rPr>
          <w:rFonts w:ascii="Times New Roman" w:hAnsi="Times New Roman" w:cs="Times New Roman"/>
          <w:noProof/>
          <w:color w:val="000000" w:themeColor="text1"/>
          <w:sz w:val="24"/>
          <w:szCs w:val="24"/>
          <w:shd w:val="clear" w:color="auto" w:fill="FFFFFF"/>
        </w:rPr>
        <w:drawing>
          <wp:inline distT="0" distB="0" distL="0" distR="0" wp14:anchorId="19154AFA" wp14:editId="1DF1D191">
            <wp:extent cx="4121150" cy="19685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C98CB6" w14:textId="00096C5B" w:rsidR="00DA7E90" w:rsidRPr="00C24FB0" w:rsidRDefault="00DA7E90"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Figure </w:t>
      </w:r>
      <w:r w:rsidR="00D06981" w:rsidRPr="00C24FB0">
        <w:rPr>
          <w:rFonts w:ascii="Times New Roman" w:hAnsi="Times New Roman" w:cs="Times New Roman"/>
          <w:b/>
          <w:bCs/>
          <w:color w:val="000000" w:themeColor="text1"/>
          <w:sz w:val="24"/>
          <w:szCs w:val="24"/>
          <w:shd w:val="clear" w:color="auto" w:fill="FFFFFF"/>
        </w:rPr>
        <w:t>2</w:t>
      </w:r>
      <w:r w:rsidRPr="00C24FB0">
        <w:rPr>
          <w:rFonts w:ascii="Times New Roman" w:hAnsi="Times New Roman" w:cs="Times New Roman"/>
          <w:b/>
          <w:bCs/>
          <w:color w:val="000000" w:themeColor="text1"/>
          <w:sz w:val="24"/>
          <w:szCs w:val="24"/>
          <w:shd w:val="clear" w:color="auto" w:fill="FFFFFF"/>
        </w:rPr>
        <w:t>: Distribution of comorbid conditions.</w:t>
      </w:r>
    </w:p>
    <w:p w14:paraId="0EB02610" w14:textId="1FAB0084" w:rsidR="00006C1A" w:rsidRPr="00C24FB0" w:rsidRDefault="00006C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       </w:t>
      </w:r>
      <w:r w:rsidR="004C568F">
        <w:rPr>
          <w:rFonts w:ascii="Times New Roman" w:hAnsi="Times New Roman" w:cs="Times New Roman"/>
          <w:color w:val="000000" w:themeColor="text1"/>
          <w:sz w:val="24"/>
          <w:szCs w:val="24"/>
          <w:shd w:val="clear" w:color="auto" w:fill="FFFFFF"/>
        </w:rPr>
        <w:t xml:space="preserve">       </w:t>
      </w:r>
      <w:r w:rsidR="00E67F03" w:rsidRPr="00C24FB0">
        <w:rPr>
          <w:rFonts w:ascii="Times New Roman" w:hAnsi="Times New Roman" w:cs="Times New Roman"/>
          <w:noProof/>
          <w:color w:val="000000" w:themeColor="text1"/>
          <w:sz w:val="24"/>
          <w:szCs w:val="24"/>
          <w:shd w:val="clear" w:color="auto" w:fill="FFFFFF"/>
        </w:rPr>
        <w:drawing>
          <wp:inline distT="0" distB="0" distL="0" distR="0" wp14:anchorId="037E9DEE" wp14:editId="7D1DE30A">
            <wp:extent cx="4305300" cy="20447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2979CDA" w14:textId="340A1043" w:rsidR="002273D9" w:rsidRPr="00C24FB0" w:rsidRDefault="002273D9" w:rsidP="00904327">
      <w:pPr>
        <w:spacing w:after="0"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Figure </w:t>
      </w:r>
      <w:r w:rsidR="00D06981" w:rsidRPr="00C24FB0">
        <w:rPr>
          <w:rFonts w:ascii="Times New Roman" w:hAnsi="Times New Roman" w:cs="Times New Roman"/>
          <w:b/>
          <w:bCs/>
          <w:color w:val="000000" w:themeColor="text1"/>
          <w:sz w:val="24"/>
          <w:szCs w:val="24"/>
          <w:shd w:val="clear" w:color="auto" w:fill="FFFFFF"/>
        </w:rPr>
        <w:t>3</w:t>
      </w:r>
      <w:r w:rsidRPr="00C24FB0">
        <w:rPr>
          <w:rFonts w:ascii="Times New Roman" w:hAnsi="Times New Roman" w:cs="Times New Roman"/>
          <w:b/>
          <w:bCs/>
          <w:color w:val="000000" w:themeColor="text1"/>
          <w:sz w:val="24"/>
          <w:szCs w:val="24"/>
          <w:shd w:val="clear" w:color="auto" w:fill="FFFFFF"/>
        </w:rPr>
        <w:t>: Pie chart illustrating the distribution of severity of COVID 19 in recruited patients</w:t>
      </w:r>
    </w:p>
    <w:p w14:paraId="76401908" w14:textId="12064ACD" w:rsidR="00006C1A" w:rsidRPr="00C24FB0" w:rsidRDefault="00B145D1"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Table </w:t>
      </w:r>
      <w:r w:rsidR="000701EA" w:rsidRPr="00C24FB0">
        <w:rPr>
          <w:rFonts w:ascii="Times New Roman" w:hAnsi="Times New Roman" w:cs="Times New Roman"/>
          <w:b/>
          <w:bCs/>
          <w:color w:val="000000" w:themeColor="text1"/>
          <w:sz w:val="24"/>
          <w:szCs w:val="24"/>
          <w:shd w:val="clear" w:color="auto" w:fill="FFFFFF"/>
        </w:rPr>
        <w:t xml:space="preserve">2: Distribution if </w:t>
      </w:r>
      <w:r w:rsidR="00861671" w:rsidRPr="00C24FB0">
        <w:rPr>
          <w:rFonts w:ascii="Times New Roman" w:hAnsi="Times New Roman" w:cs="Times New Roman"/>
          <w:b/>
          <w:bCs/>
          <w:color w:val="000000" w:themeColor="text1"/>
          <w:sz w:val="24"/>
          <w:szCs w:val="24"/>
          <w:shd w:val="clear" w:color="auto" w:fill="FFFFFF"/>
        </w:rPr>
        <w:t xml:space="preserve">arterial </w:t>
      </w:r>
      <w:r w:rsidR="00626521" w:rsidRPr="00C24FB0">
        <w:rPr>
          <w:rFonts w:ascii="Times New Roman" w:hAnsi="Times New Roman" w:cs="Times New Roman"/>
          <w:b/>
          <w:bCs/>
          <w:color w:val="000000" w:themeColor="text1"/>
          <w:sz w:val="24"/>
          <w:szCs w:val="24"/>
          <w:shd w:val="clear" w:color="auto" w:fill="FFFFFF"/>
        </w:rPr>
        <w:t xml:space="preserve">thromboembolism events </w:t>
      </w:r>
      <w:r w:rsidR="000701EA" w:rsidRPr="00C24FB0">
        <w:rPr>
          <w:rFonts w:ascii="Times New Roman" w:hAnsi="Times New Roman" w:cs="Times New Roman"/>
          <w:b/>
          <w:bCs/>
          <w:color w:val="000000" w:themeColor="text1"/>
          <w:sz w:val="24"/>
          <w:szCs w:val="24"/>
          <w:shd w:val="clear" w:color="auto" w:fill="FFFFFF"/>
        </w:rPr>
        <w:t>among the recruited population</w:t>
      </w:r>
    </w:p>
    <w:tbl>
      <w:tblPr>
        <w:tblStyle w:val="TableGrid"/>
        <w:tblW w:w="5348" w:type="dxa"/>
        <w:tblInd w:w="1918" w:type="dxa"/>
        <w:tblLook w:val="04A0" w:firstRow="1" w:lastRow="0" w:firstColumn="1" w:lastColumn="0" w:noHBand="0" w:noVBand="1"/>
      </w:tblPr>
      <w:tblGrid>
        <w:gridCol w:w="3366"/>
        <w:gridCol w:w="991"/>
        <w:gridCol w:w="991"/>
      </w:tblGrid>
      <w:tr w:rsidR="00C24FB0" w:rsidRPr="00C24FB0" w14:paraId="57CE8731" w14:textId="77777777" w:rsidTr="00BE54E8">
        <w:trPr>
          <w:trHeight w:val="434"/>
        </w:trPr>
        <w:tc>
          <w:tcPr>
            <w:tcW w:w="3366" w:type="dxa"/>
            <w:noWrap/>
          </w:tcPr>
          <w:p w14:paraId="257BB3E9" w14:textId="4FA74D03" w:rsidR="00BE54E8" w:rsidRPr="00C24FB0" w:rsidRDefault="00BE54E8" w:rsidP="004C568F">
            <w:pPr>
              <w:spacing w:line="240" w:lineRule="auto"/>
              <w:rPr>
                <w:rFonts w:ascii="Times New Roman" w:hAnsi="Times New Roman" w:cs="Times New Roman"/>
                <w:b/>
                <w:bCs/>
                <w:color w:val="000000" w:themeColor="text1"/>
                <w:sz w:val="24"/>
                <w:szCs w:val="24"/>
              </w:rPr>
            </w:pPr>
            <w:r w:rsidRPr="00C24FB0">
              <w:rPr>
                <w:rFonts w:ascii="Times New Roman" w:hAnsi="Times New Roman" w:cs="Times New Roman"/>
                <w:b/>
                <w:bCs/>
                <w:color w:val="000000" w:themeColor="text1"/>
                <w:sz w:val="24"/>
                <w:szCs w:val="24"/>
              </w:rPr>
              <w:t xml:space="preserve"> </w:t>
            </w:r>
            <w:r w:rsidR="007644DA" w:rsidRPr="00C24FB0">
              <w:rPr>
                <w:rFonts w:ascii="Times New Roman" w:hAnsi="Times New Roman" w:cs="Times New Roman"/>
                <w:b/>
                <w:bCs/>
                <w:color w:val="000000" w:themeColor="text1"/>
                <w:sz w:val="24"/>
                <w:szCs w:val="24"/>
              </w:rPr>
              <w:t>Arterial thromboembolic events</w:t>
            </w:r>
          </w:p>
        </w:tc>
        <w:tc>
          <w:tcPr>
            <w:tcW w:w="991" w:type="dxa"/>
            <w:noWrap/>
          </w:tcPr>
          <w:p w14:paraId="15B1B6F5" w14:textId="3E73BCC3" w:rsidR="00BE54E8" w:rsidRPr="00C24FB0" w:rsidRDefault="00BE54E8" w:rsidP="004C568F">
            <w:pPr>
              <w:spacing w:line="240" w:lineRule="auto"/>
              <w:jc w:val="right"/>
              <w:rPr>
                <w:rFonts w:ascii="Times New Roman" w:hAnsi="Times New Roman" w:cs="Times New Roman"/>
                <w:b/>
                <w:bCs/>
                <w:color w:val="000000" w:themeColor="text1"/>
                <w:sz w:val="24"/>
                <w:szCs w:val="24"/>
              </w:rPr>
            </w:pPr>
            <w:r w:rsidRPr="00C24FB0">
              <w:rPr>
                <w:rFonts w:ascii="Times New Roman" w:hAnsi="Times New Roman" w:cs="Times New Roman"/>
                <w:b/>
                <w:bCs/>
                <w:color w:val="000000" w:themeColor="text1"/>
                <w:sz w:val="24"/>
                <w:szCs w:val="24"/>
              </w:rPr>
              <w:t>N</w:t>
            </w:r>
          </w:p>
        </w:tc>
        <w:tc>
          <w:tcPr>
            <w:tcW w:w="991" w:type="dxa"/>
            <w:noWrap/>
          </w:tcPr>
          <w:p w14:paraId="5DC48927" w14:textId="791D6139" w:rsidR="00BE54E8" w:rsidRPr="00C24FB0" w:rsidRDefault="00BE54E8" w:rsidP="004C568F">
            <w:pPr>
              <w:spacing w:line="240" w:lineRule="auto"/>
              <w:jc w:val="right"/>
              <w:rPr>
                <w:rFonts w:ascii="Times New Roman" w:hAnsi="Times New Roman" w:cs="Times New Roman"/>
                <w:b/>
                <w:bCs/>
                <w:color w:val="000000" w:themeColor="text1"/>
                <w:sz w:val="24"/>
                <w:szCs w:val="24"/>
              </w:rPr>
            </w:pPr>
            <w:r w:rsidRPr="00C24FB0">
              <w:rPr>
                <w:rFonts w:ascii="Times New Roman" w:hAnsi="Times New Roman" w:cs="Times New Roman"/>
                <w:b/>
                <w:bCs/>
                <w:color w:val="000000" w:themeColor="text1"/>
                <w:sz w:val="24"/>
                <w:szCs w:val="24"/>
              </w:rPr>
              <w:t>%</w:t>
            </w:r>
          </w:p>
        </w:tc>
      </w:tr>
      <w:tr w:rsidR="00C24FB0" w:rsidRPr="00C24FB0" w14:paraId="1F0FA53D" w14:textId="77777777" w:rsidTr="003314C7">
        <w:trPr>
          <w:trHeight w:val="434"/>
        </w:trPr>
        <w:tc>
          <w:tcPr>
            <w:tcW w:w="3366" w:type="dxa"/>
            <w:noWrap/>
            <w:vAlign w:val="center"/>
            <w:hideMark/>
          </w:tcPr>
          <w:p w14:paraId="65ABF6E9" w14:textId="77777777" w:rsidR="00A6593A" w:rsidRPr="00C24FB0" w:rsidRDefault="00A6593A" w:rsidP="004C568F">
            <w:pPr>
              <w:spacing w:line="240" w:lineRule="auto"/>
              <w:rPr>
                <w:rFonts w:ascii="Times New Roman" w:eastAsia="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Acute infract</w:t>
            </w:r>
          </w:p>
        </w:tc>
        <w:tc>
          <w:tcPr>
            <w:tcW w:w="991" w:type="dxa"/>
            <w:noWrap/>
            <w:vAlign w:val="center"/>
            <w:hideMark/>
          </w:tcPr>
          <w:p w14:paraId="112C2748"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w:t>
            </w:r>
          </w:p>
        </w:tc>
        <w:tc>
          <w:tcPr>
            <w:tcW w:w="991" w:type="dxa"/>
            <w:noWrap/>
            <w:vAlign w:val="center"/>
            <w:hideMark/>
          </w:tcPr>
          <w:p w14:paraId="65EBB871"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2.7%</w:t>
            </w:r>
          </w:p>
        </w:tc>
      </w:tr>
      <w:tr w:rsidR="00C24FB0" w:rsidRPr="00C24FB0" w14:paraId="34C3303E" w14:textId="77777777" w:rsidTr="003314C7">
        <w:trPr>
          <w:trHeight w:val="434"/>
        </w:trPr>
        <w:tc>
          <w:tcPr>
            <w:tcW w:w="3366" w:type="dxa"/>
            <w:noWrap/>
            <w:vAlign w:val="center"/>
            <w:hideMark/>
          </w:tcPr>
          <w:p w14:paraId="3642D500" w14:textId="77777777" w:rsidR="00A6593A" w:rsidRPr="00C24FB0" w:rsidRDefault="00A6593A" w:rsidP="004C568F">
            <w:pPr>
              <w:spacing w:line="240" w:lineRule="auto"/>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CAD</w:t>
            </w:r>
          </w:p>
        </w:tc>
        <w:tc>
          <w:tcPr>
            <w:tcW w:w="991" w:type="dxa"/>
            <w:noWrap/>
            <w:vAlign w:val="center"/>
            <w:hideMark/>
          </w:tcPr>
          <w:p w14:paraId="3CF2318C"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w:t>
            </w:r>
          </w:p>
        </w:tc>
        <w:tc>
          <w:tcPr>
            <w:tcW w:w="991" w:type="dxa"/>
            <w:noWrap/>
            <w:vAlign w:val="center"/>
            <w:hideMark/>
          </w:tcPr>
          <w:p w14:paraId="3263ABD1"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2.7%</w:t>
            </w:r>
          </w:p>
        </w:tc>
      </w:tr>
      <w:tr w:rsidR="00C24FB0" w:rsidRPr="00C24FB0" w14:paraId="36EF6417" w14:textId="77777777" w:rsidTr="003314C7">
        <w:trPr>
          <w:trHeight w:val="434"/>
        </w:trPr>
        <w:tc>
          <w:tcPr>
            <w:tcW w:w="3366" w:type="dxa"/>
            <w:noWrap/>
            <w:vAlign w:val="center"/>
            <w:hideMark/>
          </w:tcPr>
          <w:p w14:paraId="3F1E80A8" w14:textId="77777777" w:rsidR="00A6593A" w:rsidRPr="00C24FB0" w:rsidRDefault="00A6593A" w:rsidP="004C568F">
            <w:pPr>
              <w:spacing w:line="240" w:lineRule="auto"/>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CVA</w:t>
            </w:r>
          </w:p>
        </w:tc>
        <w:tc>
          <w:tcPr>
            <w:tcW w:w="991" w:type="dxa"/>
            <w:noWrap/>
            <w:vAlign w:val="center"/>
            <w:hideMark/>
          </w:tcPr>
          <w:p w14:paraId="103A8779"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12</w:t>
            </w:r>
          </w:p>
        </w:tc>
        <w:tc>
          <w:tcPr>
            <w:tcW w:w="991" w:type="dxa"/>
            <w:noWrap/>
            <w:vAlign w:val="center"/>
            <w:hideMark/>
          </w:tcPr>
          <w:p w14:paraId="306BE9A6"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16.0%</w:t>
            </w:r>
          </w:p>
        </w:tc>
      </w:tr>
      <w:tr w:rsidR="00C24FB0" w:rsidRPr="00C24FB0" w14:paraId="6DA06542" w14:textId="77777777" w:rsidTr="003314C7">
        <w:trPr>
          <w:trHeight w:val="434"/>
        </w:trPr>
        <w:tc>
          <w:tcPr>
            <w:tcW w:w="3366" w:type="dxa"/>
            <w:noWrap/>
            <w:vAlign w:val="bottom"/>
            <w:hideMark/>
          </w:tcPr>
          <w:p w14:paraId="18DF9795" w14:textId="77777777" w:rsidR="00A6593A" w:rsidRPr="00C24FB0" w:rsidRDefault="00A6593A" w:rsidP="004C568F">
            <w:pPr>
              <w:spacing w:line="240" w:lineRule="auto"/>
              <w:rPr>
                <w:rFonts w:ascii="Times New Roman" w:hAnsi="Times New Roman" w:cs="Times New Roman"/>
                <w:color w:val="000000" w:themeColor="text1"/>
                <w:sz w:val="24"/>
                <w:szCs w:val="24"/>
              </w:rPr>
            </w:pPr>
            <w:proofErr w:type="spellStart"/>
            <w:r w:rsidRPr="00C24FB0">
              <w:rPr>
                <w:rFonts w:ascii="Times New Roman" w:hAnsi="Times New Roman" w:cs="Times New Roman"/>
                <w:color w:val="000000" w:themeColor="text1"/>
                <w:sz w:val="24"/>
                <w:szCs w:val="24"/>
              </w:rPr>
              <w:t>Fourniers</w:t>
            </w:r>
            <w:proofErr w:type="spellEnd"/>
            <w:r w:rsidRPr="00C24FB0">
              <w:rPr>
                <w:rFonts w:ascii="Times New Roman" w:hAnsi="Times New Roman" w:cs="Times New Roman"/>
                <w:color w:val="000000" w:themeColor="text1"/>
                <w:sz w:val="24"/>
                <w:szCs w:val="24"/>
              </w:rPr>
              <w:t xml:space="preserve"> gangrene</w:t>
            </w:r>
          </w:p>
        </w:tc>
        <w:tc>
          <w:tcPr>
            <w:tcW w:w="991" w:type="dxa"/>
            <w:noWrap/>
            <w:vAlign w:val="center"/>
            <w:hideMark/>
          </w:tcPr>
          <w:p w14:paraId="54C6DEB5"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w:t>
            </w:r>
          </w:p>
        </w:tc>
        <w:tc>
          <w:tcPr>
            <w:tcW w:w="991" w:type="dxa"/>
            <w:noWrap/>
            <w:vAlign w:val="center"/>
            <w:hideMark/>
          </w:tcPr>
          <w:p w14:paraId="6C5AACB4"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1.3%</w:t>
            </w:r>
          </w:p>
        </w:tc>
      </w:tr>
      <w:tr w:rsidR="00C24FB0" w:rsidRPr="00C24FB0" w14:paraId="3B3FCB72" w14:textId="77777777" w:rsidTr="003314C7">
        <w:trPr>
          <w:trHeight w:val="434"/>
        </w:trPr>
        <w:tc>
          <w:tcPr>
            <w:tcW w:w="3366" w:type="dxa"/>
            <w:noWrap/>
            <w:vAlign w:val="bottom"/>
            <w:hideMark/>
          </w:tcPr>
          <w:p w14:paraId="3D597629" w14:textId="77777777" w:rsidR="00A6593A" w:rsidRPr="00C24FB0" w:rsidRDefault="00A6593A" w:rsidP="004C568F">
            <w:pPr>
              <w:spacing w:line="240" w:lineRule="auto"/>
              <w:rPr>
                <w:rFonts w:ascii="Times New Roman" w:hAnsi="Times New Roman" w:cs="Times New Roman"/>
                <w:color w:val="000000" w:themeColor="text1"/>
                <w:sz w:val="24"/>
                <w:szCs w:val="24"/>
              </w:rPr>
            </w:pPr>
            <w:proofErr w:type="spellStart"/>
            <w:r w:rsidRPr="00C24FB0">
              <w:rPr>
                <w:rFonts w:ascii="Times New Roman" w:hAnsi="Times New Roman" w:cs="Times New Roman"/>
                <w:color w:val="000000" w:themeColor="text1"/>
                <w:sz w:val="24"/>
                <w:szCs w:val="24"/>
              </w:rPr>
              <w:t>Haemorragic</w:t>
            </w:r>
            <w:proofErr w:type="spellEnd"/>
            <w:r w:rsidRPr="00C24FB0">
              <w:rPr>
                <w:rFonts w:ascii="Times New Roman" w:hAnsi="Times New Roman" w:cs="Times New Roman"/>
                <w:color w:val="000000" w:themeColor="text1"/>
                <w:sz w:val="24"/>
                <w:szCs w:val="24"/>
              </w:rPr>
              <w:t xml:space="preserve"> stroke </w:t>
            </w:r>
          </w:p>
        </w:tc>
        <w:tc>
          <w:tcPr>
            <w:tcW w:w="991" w:type="dxa"/>
            <w:noWrap/>
            <w:vAlign w:val="center"/>
            <w:hideMark/>
          </w:tcPr>
          <w:p w14:paraId="2C16CD00"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w:t>
            </w:r>
          </w:p>
        </w:tc>
        <w:tc>
          <w:tcPr>
            <w:tcW w:w="991" w:type="dxa"/>
            <w:noWrap/>
            <w:vAlign w:val="center"/>
            <w:hideMark/>
          </w:tcPr>
          <w:p w14:paraId="01C34522"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2.7%</w:t>
            </w:r>
          </w:p>
        </w:tc>
      </w:tr>
      <w:tr w:rsidR="00C24FB0" w:rsidRPr="00C24FB0" w14:paraId="527EB2AD" w14:textId="77777777" w:rsidTr="003314C7">
        <w:trPr>
          <w:trHeight w:val="434"/>
        </w:trPr>
        <w:tc>
          <w:tcPr>
            <w:tcW w:w="3366" w:type="dxa"/>
            <w:noWrap/>
            <w:vAlign w:val="center"/>
            <w:hideMark/>
          </w:tcPr>
          <w:p w14:paraId="196CA0B2" w14:textId="77777777" w:rsidR="00A6593A" w:rsidRPr="00C24FB0" w:rsidRDefault="00A6593A" w:rsidP="004C568F">
            <w:pPr>
              <w:spacing w:line="240" w:lineRule="auto"/>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IHD</w:t>
            </w:r>
          </w:p>
        </w:tc>
        <w:tc>
          <w:tcPr>
            <w:tcW w:w="991" w:type="dxa"/>
            <w:noWrap/>
            <w:vAlign w:val="center"/>
            <w:hideMark/>
          </w:tcPr>
          <w:p w14:paraId="775D93B1"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11</w:t>
            </w:r>
          </w:p>
        </w:tc>
        <w:tc>
          <w:tcPr>
            <w:tcW w:w="991" w:type="dxa"/>
            <w:noWrap/>
            <w:vAlign w:val="center"/>
            <w:hideMark/>
          </w:tcPr>
          <w:p w14:paraId="5BF7F4FF"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14.7%</w:t>
            </w:r>
          </w:p>
        </w:tc>
      </w:tr>
      <w:tr w:rsidR="00C24FB0" w:rsidRPr="00C24FB0" w14:paraId="118E8B72" w14:textId="77777777" w:rsidTr="003314C7">
        <w:trPr>
          <w:trHeight w:val="434"/>
        </w:trPr>
        <w:tc>
          <w:tcPr>
            <w:tcW w:w="3366" w:type="dxa"/>
            <w:noWrap/>
            <w:vAlign w:val="center"/>
            <w:hideMark/>
          </w:tcPr>
          <w:p w14:paraId="61998118" w14:textId="77777777" w:rsidR="00A6593A" w:rsidRPr="00C24FB0" w:rsidRDefault="00A6593A" w:rsidP="004C568F">
            <w:pPr>
              <w:spacing w:line="240" w:lineRule="auto"/>
              <w:rPr>
                <w:rFonts w:ascii="Times New Roman" w:hAnsi="Times New Roman" w:cs="Times New Roman"/>
                <w:color w:val="000000" w:themeColor="text1"/>
                <w:sz w:val="24"/>
                <w:szCs w:val="24"/>
              </w:rPr>
            </w:pPr>
            <w:proofErr w:type="spellStart"/>
            <w:r w:rsidRPr="00C24FB0">
              <w:rPr>
                <w:rFonts w:ascii="Times New Roman" w:hAnsi="Times New Roman" w:cs="Times New Roman"/>
                <w:color w:val="000000" w:themeColor="text1"/>
                <w:sz w:val="24"/>
                <w:szCs w:val="24"/>
              </w:rPr>
              <w:t>Mesentric</w:t>
            </w:r>
            <w:proofErr w:type="spellEnd"/>
            <w:r w:rsidRPr="00C24FB0">
              <w:rPr>
                <w:rFonts w:ascii="Times New Roman" w:hAnsi="Times New Roman" w:cs="Times New Roman"/>
                <w:color w:val="000000" w:themeColor="text1"/>
                <w:sz w:val="24"/>
                <w:szCs w:val="24"/>
              </w:rPr>
              <w:t xml:space="preserve"> ischemia</w:t>
            </w:r>
          </w:p>
        </w:tc>
        <w:tc>
          <w:tcPr>
            <w:tcW w:w="991" w:type="dxa"/>
            <w:noWrap/>
            <w:vAlign w:val="center"/>
            <w:hideMark/>
          </w:tcPr>
          <w:p w14:paraId="58FA6549"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3</w:t>
            </w:r>
          </w:p>
        </w:tc>
        <w:tc>
          <w:tcPr>
            <w:tcW w:w="991" w:type="dxa"/>
            <w:noWrap/>
            <w:vAlign w:val="center"/>
            <w:hideMark/>
          </w:tcPr>
          <w:p w14:paraId="190C8D1F"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4.0%</w:t>
            </w:r>
          </w:p>
        </w:tc>
      </w:tr>
      <w:tr w:rsidR="00C24FB0" w:rsidRPr="00C24FB0" w14:paraId="73B5AA00" w14:textId="77777777" w:rsidTr="003314C7">
        <w:trPr>
          <w:trHeight w:val="434"/>
        </w:trPr>
        <w:tc>
          <w:tcPr>
            <w:tcW w:w="3366" w:type="dxa"/>
            <w:noWrap/>
            <w:vAlign w:val="center"/>
            <w:hideMark/>
          </w:tcPr>
          <w:p w14:paraId="24885C33" w14:textId="77777777" w:rsidR="00A6593A" w:rsidRPr="00C24FB0" w:rsidRDefault="00A6593A" w:rsidP="004C568F">
            <w:pPr>
              <w:spacing w:line="240" w:lineRule="auto"/>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Pulmonary embolism</w:t>
            </w:r>
          </w:p>
        </w:tc>
        <w:tc>
          <w:tcPr>
            <w:tcW w:w="991" w:type="dxa"/>
            <w:noWrap/>
            <w:vAlign w:val="center"/>
            <w:hideMark/>
          </w:tcPr>
          <w:p w14:paraId="1E45C474"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w:t>
            </w:r>
          </w:p>
        </w:tc>
        <w:tc>
          <w:tcPr>
            <w:tcW w:w="991" w:type="dxa"/>
            <w:noWrap/>
            <w:vAlign w:val="center"/>
            <w:hideMark/>
          </w:tcPr>
          <w:p w14:paraId="758E6B42"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1.3%</w:t>
            </w:r>
          </w:p>
        </w:tc>
      </w:tr>
      <w:tr w:rsidR="00C24FB0" w:rsidRPr="00C24FB0" w14:paraId="4478375D" w14:textId="77777777" w:rsidTr="003314C7">
        <w:trPr>
          <w:trHeight w:val="434"/>
        </w:trPr>
        <w:tc>
          <w:tcPr>
            <w:tcW w:w="3366" w:type="dxa"/>
            <w:noWrap/>
            <w:vAlign w:val="center"/>
            <w:hideMark/>
          </w:tcPr>
          <w:p w14:paraId="1B47B8EA" w14:textId="77777777" w:rsidR="00A6593A" w:rsidRPr="00C24FB0" w:rsidRDefault="00A6593A" w:rsidP="004C568F">
            <w:pPr>
              <w:spacing w:line="240" w:lineRule="auto"/>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Small vessel ischemia</w:t>
            </w:r>
          </w:p>
        </w:tc>
        <w:tc>
          <w:tcPr>
            <w:tcW w:w="991" w:type="dxa"/>
            <w:noWrap/>
            <w:vAlign w:val="center"/>
            <w:hideMark/>
          </w:tcPr>
          <w:p w14:paraId="298DA6AD"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w:t>
            </w:r>
          </w:p>
        </w:tc>
        <w:tc>
          <w:tcPr>
            <w:tcW w:w="991" w:type="dxa"/>
            <w:noWrap/>
            <w:vAlign w:val="center"/>
            <w:hideMark/>
          </w:tcPr>
          <w:p w14:paraId="3A400122" w14:textId="77777777"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2.7%</w:t>
            </w:r>
          </w:p>
        </w:tc>
      </w:tr>
      <w:tr w:rsidR="00C24FB0" w:rsidRPr="00C24FB0" w14:paraId="52DE9E5C" w14:textId="77777777" w:rsidTr="003314C7">
        <w:trPr>
          <w:trHeight w:val="434"/>
        </w:trPr>
        <w:tc>
          <w:tcPr>
            <w:tcW w:w="3366" w:type="dxa"/>
            <w:noWrap/>
            <w:vAlign w:val="center"/>
          </w:tcPr>
          <w:p w14:paraId="493E2583" w14:textId="77777777" w:rsidR="00A6593A" w:rsidRPr="00C24FB0" w:rsidRDefault="00A6593A" w:rsidP="004C568F">
            <w:pPr>
              <w:spacing w:line="240" w:lineRule="auto"/>
              <w:rPr>
                <w:rFonts w:ascii="Times New Roman" w:hAnsi="Times New Roman" w:cs="Times New Roman"/>
                <w:color w:val="000000" w:themeColor="text1"/>
                <w:sz w:val="24"/>
                <w:szCs w:val="24"/>
              </w:rPr>
            </w:pPr>
          </w:p>
        </w:tc>
        <w:tc>
          <w:tcPr>
            <w:tcW w:w="991" w:type="dxa"/>
            <w:noWrap/>
            <w:vAlign w:val="center"/>
          </w:tcPr>
          <w:p w14:paraId="7031E4DC" w14:textId="1CB66115"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36</w:t>
            </w:r>
          </w:p>
        </w:tc>
        <w:tc>
          <w:tcPr>
            <w:tcW w:w="991" w:type="dxa"/>
            <w:noWrap/>
            <w:vAlign w:val="center"/>
          </w:tcPr>
          <w:p w14:paraId="4525B6B2" w14:textId="1BB712A9" w:rsidR="00A6593A" w:rsidRPr="00C24FB0" w:rsidRDefault="00A6593A" w:rsidP="004C568F">
            <w:pPr>
              <w:spacing w:line="240" w:lineRule="auto"/>
              <w:jc w:val="right"/>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48.0%</w:t>
            </w:r>
          </w:p>
        </w:tc>
      </w:tr>
    </w:tbl>
    <w:p w14:paraId="4790780F" w14:textId="27AA54AC" w:rsidR="004E2366" w:rsidRPr="00C24FB0" w:rsidRDefault="00E67F03"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  </w:t>
      </w:r>
    </w:p>
    <w:p w14:paraId="02D8C632" w14:textId="7E531992" w:rsidR="0000319D" w:rsidRPr="00C24FB0" w:rsidRDefault="0000319D"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noProof/>
          <w:color w:val="000000" w:themeColor="text1"/>
          <w:sz w:val="24"/>
          <w:szCs w:val="24"/>
          <w:shd w:val="clear" w:color="auto" w:fill="FFFFFF"/>
        </w:rPr>
        <w:drawing>
          <wp:inline distT="0" distB="0" distL="0" distR="0" wp14:anchorId="5508F7AA" wp14:editId="19F06770">
            <wp:extent cx="5746750" cy="26289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D7E775" w14:textId="51381047" w:rsidR="008923D4" w:rsidRPr="00C24FB0" w:rsidRDefault="008923D4"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Figure 4: Distribution of thrombotic events in studied samples</w:t>
      </w:r>
    </w:p>
    <w:p w14:paraId="16DF1404" w14:textId="2161A05F" w:rsidR="002B3E45" w:rsidRPr="00C24FB0" w:rsidRDefault="002B3E45"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CAD: Coronary artery disease.</w:t>
      </w:r>
      <w:r w:rsidR="00790155" w:rsidRPr="00C24FB0">
        <w:rPr>
          <w:rFonts w:ascii="Times New Roman" w:hAnsi="Times New Roman" w:cs="Times New Roman"/>
          <w:color w:val="000000" w:themeColor="text1"/>
          <w:sz w:val="24"/>
          <w:szCs w:val="24"/>
          <w:shd w:val="clear" w:color="auto" w:fill="FFFFFF"/>
        </w:rPr>
        <w:t xml:space="preserve"> CVA: Cerebrovascular accident </w:t>
      </w:r>
    </w:p>
    <w:p w14:paraId="3952227F" w14:textId="30609D67" w:rsidR="00790155" w:rsidRPr="00C24FB0" w:rsidRDefault="00790155"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IHD: Ischemic heart di</w:t>
      </w:r>
      <w:r w:rsidR="003F2C5C" w:rsidRPr="00C24FB0">
        <w:rPr>
          <w:rFonts w:ascii="Times New Roman" w:hAnsi="Times New Roman" w:cs="Times New Roman"/>
          <w:color w:val="000000" w:themeColor="text1"/>
          <w:sz w:val="24"/>
          <w:szCs w:val="24"/>
          <w:shd w:val="clear" w:color="auto" w:fill="FFFFFF"/>
        </w:rPr>
        <w:t>s</w:t>
      </w:r>
      <w:r w:rsidRPr="00C24FB0">
        <w:rPr>
          <w:rFonts w:ascii="Times New Roman" w:hAnsi="Times New Roman" w:cs="Times New Roman"/>
          <w:color w:val="000000" w:themeColor="text1"/>
          <w:sz w:val="24"/>
          <w:szCs w:val="24"/>
          <w:shd w:val="clear" w:color="auto" w:fill="FFFFFF"/>
        </w:rPr>
        <w:t xml:space="preserve">ease </w:t>
      </w:r>
    </w:p>
    <w:p w14:paraId="058342E7" w14:textId="0FECFCFD" w:rsidR="00283642" w:rsidRPr="00C24FB0" w:rsidRDefault="00283642"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Table 3: Distribution if venous thromboembolism events among the recruited population</w:t>
      </w:r>
    </w:p>
    <w:tbl>
      <w:tblPr>
        <w:tblStyle w:val="TableGrid"/>
        <w:tblW w:w="8759" w:type="dxa"/>
        <w:tblInd w:w="1013" w:type="dxa"/>
        <w:tblLook w:val="04A0" w:firstRow="1" w:lastRow="0" w:firstColumn="1" w:lastColumn="0" w:noHBand="0" w:noVBand="1"/>
      </w:tblPr>
      <w:tblGrid>
        <w:gridCol w:w="4907"/>
        <w:gridCol w:w="1418"/>
        <w:gridCol w:w="2434"/>
      </w:tblGrid>
      <w:tr w:rsidR="00C24FB0" w:rsidRPr="00C24FB0" w14:paraId="59903A66" w14:textId="77777777" w:rsidTr="004C568F">
        <w:trPr>
          <w:trHeight w:val="771"/>
        </w:trPr>
        <w:tc>
          <w:tcPr>
            <w:tcW w:w="4907" w:type="dxa"/>
          </w:tcPr>
          <w:p w14:paraId="3444B9E7" w14:textId="6FD92375" w:rsidR="007644DA" w:rsidRPr="00C24FB0" w:rsidRDefault="007644DA" w:rsidP="004C568F">
            <w:pPr>
              <w:spacing w:line="24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Venous thromboembolic events</w:t>
            </w:r>
          </w:p>
        </w:tc>
        <w:tc>
          <w:tcPr>
            <w:tcW w:w="1418" w:type="dxa"/>
          </w:tcPr>
          <w:p w14:paraId="4B9C94A1" w14:textId="26456B5F" w:rsidR="007644DA" w:rsidRPr="00C24FB0" w:rsidRDefault="007644DA" w:rsidP="004C568F">
            <w:pPr>
              <w:spacing w:line="24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N</w:t>
            </w:r>
          </w:p>
        </w:tc>
        <w:tc>
          <w:tcPr>
            <w:tcW w:w="2434" w:type="dxa"/>
          </w:tcPr>
          <w:p w14:paraId="50FEC9CA" w14:textId="5034EB16" w:rsidR="007644DA" w:rsidRPr="00C24FB0" w:rsidRDefault="007644DA" w:rsidP="004C568F">
            <w:pPr>
              <w:spacing w:line="24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w:t>
            </w:r>
          </w:p>
        </w:tc>
      </w:tr>
      <w:tr w:rsidR="00C24FB0" w:rsidRPr="00C24FB0" w14:paraId="632DD574" w14:textId="77777777" w:rsidTr="004C568F">
        <w:trPr>
          <w:trHeight w:val="392"/>
        </w:trPr>
        <w:tc>
          <w:tcPr>
            <w:tcW w:w="4907" w:type="dxa"/>
          </w:tcPr>
          <w:p w14:paraId="0D1D4A1A" w14:textId="743B6A93"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DVT</w:t>
            </w:r>
          </w:p>
        </w:tc>
        <w:tc>
          <w:tcPr>
            <w:tcW w:w="1418" w:type="dxa"/>
          </w:tcPr>
          <w:p w14:paraId="37B08244" w14:textId="33637F69"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13</w:t>
            </w:r>
          </w:p>
        </w:tc>
        <w:tc>
          <w:tcPr>
            <w:tcW w:w="2434" w:type="dxa"/>
            <w:vAlign w:val="center"/>
          </w:tcPr>
          <w:p w14:paraId="098234BC" w14:textId="2784B157"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17.3</w:t>
            </w:r>
          </w:p>
        </w:tc>
      </w:tr>
      <w:tr w:rsidR="00C24FB0" w:rsidRPr="00C24FB0" w14:paraId="0A7F384E" w14:textId="77777777" w:rsidTr="004C568F">
        <w:trPr>
          <w:trHeight w:val="673"/>
        </w:trPr>
        <w:tc>
          <w:tcPr>
            <w:tcW w:w="4907" w:type="dxa"/>
          </w:tcPr>
          <w:p w14:paraId="7062B614" w14:textId="4B7913FC"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Portal and mesenteric vein thrombosis</w:t>
            </w:r>
          </w:p>
        </w:tc>
        <w:tc>
          <w:tcPr>
            <w:tcW w:w="1418" w:type="dxa"/>
          </w:tcPr>
          <w:p w14:paraId="15F00F89" w14:textId="7E865239"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w:t>
            </w:r>
          </w:p>
        </w:tc>
        <w:tc>
          <w:tcPr>
            <w:tcW w:w="2434" w:type="dxa"/>
            <w:vAlign w:val="center"/>
          </w:tcPr>
          <w:p w14:paraId="3590AE65" w14:textId="28940DAE"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1.3</w:t>
            </w:r>
          </w:p>
        </w:tc>
      </w:tr>
      <w:tr w:rsidR="00C24FB0" w:rsidRPr="00C24FB0" w14:paraId="32E20F25" w14:textId="77777777" w:rsidTr="004C568F">
        <w:trPr>
          <w:trHeight w:val="385"/>
        </w:trPr>
        <w:tc>
          <w:tcPr>
            <w:tcW w:w="4907" w:type="dxa"/>
          </w:tcPr>
          <w:p w14:paraId="4D9FB31F" w14:textId="4BD3E46B"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Venous ulcer</w:t>
            </w:r>
          </w:p>
        </w:tc>
        <w:tc>
          <w:tcPr>
            <w:tcW w:w="1418" w:type="dxa"/>
          </w:tcPr>
          <w:p w14:paraId="02A77B3D" w14:textId="5CF4E2DD"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2</w:t>
            </w:r>
          </w:p>
        </w:tc>
        <w:tc>
          <w:tcPr>
            <w:tcW w:w="2434" w:type="dxa"/>
            <w:vAlign w:val="center"/>
          </w:tcPr>
          <w:p w14:paraId="6E2F97DE" w14:textId="328FDFBF"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2.7</w:t>
            </w:r>
          </w:p>
        </w:tc>
      </w:tr>
      <w:tr w:rsidR="00C24FB0" w:rsidRPr="00C24FB0" w14:paraId="2FB5E8D7" w14:textId="77777777" w:rsidTr="004C568F">
        <w:trPr>
          <w:trHeight w:val="680"/>
        </w:trPr>
        <w:tc>
          <w:tcPr>
            <w:tcW w:w="4907" w:type="dxa"/>
          </w:tcPr>
          <w:p w14:paraId="256BD3C9" w14:textId="38F2F237"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Complete thrombosis of cephalic vein</w:t>
            </w:r>
          </w:p>
        </w:tc>
        <w:tc>
          <w:tcPr>
            <w:tcW w:w="1418" w:type="dxa"/>
          </w:tcPr>
          <w:p w14:paraId="34A89B97" w14:textId="2E8BAE9E"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w:t>
            </w:r>
          </w:p>
        </w:tc>
        <w:tc>
          <w:tcPr>
            <w:tcW w:w="2434" w:type="dxa"/>
            <w:vAlign w:val="center"/>
          </w:tcPr>
          <w:p w14:paraId="4365B3F7" w14:textId="54875E8E" w:rsidR="00795095" w:rsidRPr="00C24FB0" w:rsidRDefault="00795095"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1.3</w:t>
            </w:r>
          </w:p>
        </w:tc>
      </w:tr>
      <w:tr w:rsidR="00C24FB0" w:rsidRPr="00C24FB0" w14:paraId="359E03D0" w14:textId="77777777" w:rsidTr="004C568F">
        <w:trPr>
          <w:trHeight w:val="680"/>
        </w:trPr>
        <w:tc>
          <w:tcPr>
            <w:tcW w:w="4907" w:type="dxa"/>
          </w:tcPr>
          <w:p w14:paraId="437D9452" w14:textId="6A923839" w:rsidR="00EB13BB" w:rsidRPr="00C24FB0" w:rsidRDefault="00EB13BB" w:rsidP="004C568F">
            <w:pPr>
              <w:spacing w:line="24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Total</w:t>
            </w:r>
          </w:p>
        </w:tc>
        <w:tc>
          <w:tcPr>
            <w:tcW w:w="1418" w:type="dxa"/>
          </w:tcPr>
          <w:p w14:paraId="43AFE1C9" w14:textId="09DED643" w:rsidR="00EB13BB" w:rsidRPr="00C24FB0" w:rsidRDefault="00EB13BB" w:rsidP="004C568F">
            <w:pPr>
              <w:spacing w:line="24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17</w:t>
            </w:r>
          </w:p>
        </w:tc>
        <w:tc>
          <w:tcPr>
            <w:tcW w:w="2434" w:type="dxa"/>
            <w:vAlign w:val="center"/>
          </w:tcPr>
          <w:p w14:paraId="1FA93755" w14:textId="77777777" w:rsidR="00A60BDC" w:rsidRPr="00C24FB0" w:rsidRDefault="00EB13BB" w:rsidP="004C568F">
            <w:pPr>
              <w:spacing w:line="240" w:lineRule="auto"/>
              <w:jc w:val="both"/>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 xml:space="preserve">22.66% </w:t>
            </w:r>
          </w:p>
          <w:p w14:paraId="4D75A73F" w14:textId="3140D7F2" w:rsidR="00EB13BB" w:rsidRPr="00C24FB0" w:rsidRDefault="00EB13BB" w:rsidP="004C568F">
            <w:pPr>
              <w:spacing w:line="240" w:lineRule="auto"/>
              <w:jc w:val="both"/>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rPr>
              <w:t>(Out of 75 samples)</w:t>
            </w:r>
          </w:p>
        </w:tc>
      </w:tr>
    </w:tbl>
    <w:p w14:paraId="6147E49B" w14:textId="144E1A0D" w:rsidR="00EB13BB" w:rsidRPr="00C24FB0" w:rsidRDefault="00A60BDC"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                </w:t>
      </w:r>
      <w:r w:rsidR="00EB13BB" w:rsidRPr="00C24FB0">
        <w:rPr>
          <w:rFonts w:ascii="Times New Roman" w:hAnsi="Times New Roman" w:cs="Times New Roman"/>
          <w:b/>
          <w:bCs/>
          <w:color w:val="000000" w:themeColor="text1"/>
          <w:sz w:val="24"/>
          <w:szCs w:val="24"/>
          <w:shd w:val="clear" w:color="auto" w:fill="FFFFFF"/>
        </w:rPr>
        <w:t xml:space="preserve"> p&lt;0.01</w:t>
      </w:r>
    </w:p>
    <w:p w14:paraId="53EC0607" w14:textId="219A07BE" w:rsidR="00EB13BB" w:rsidRPr="00C24FB0" w:rsidRDefault="00EB13BB"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noProof/>
          <w:color w:val="000000" w:themeColor="text1"/>
          <w:sz w:val="24"/>
          <w:szCs w:val="24"/>
          <w:shd w:val="clear" w:color="auto" w:fill="FFFFFF"/>
        </w:rPr>
        <w:lastRenderedPageBreak/>
        <w:drawing>
          <wp:inline distT="0" distB="0" distL="0" distR="0" wp14:anchorId="2D27D360" wp14:editId="1EB2E8AD">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130572" w14:textId="62FF18FE" w:rsidR="00EB13BB" w:rsidRPr="00C24FB0" w:rsidRDefault="001660C7"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Figure 5: Venous thromboembolic events </w:t>
      </w:r>
    </w:p>
    <w:p w14:paraId="42A891EE" w14:textId="2F3935AA" w:rsidR="0000319D" w:rsidRPr="00C24FB0" w:rsidRDefault="0000319D"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 xml:space="preserve">Table </w:t>
      </w:r>
      <w:r w:rsidR="00283642" w:rsidRPr="00C24FB0">
        <w:rPr>
          <w:rFonts w:ascii="Times New Roman" w:hAnsi="Times New Roman" w:cs="Times New Roman"/>
          <w:b/>
          <w:bCs/>
          <w:color w:val="000000" w:themeColor="text1"/>
          <w:sz w:val="24"/>
          <w:szCs w:val="24"/>
          <w:shd w:val="clear" w:color="auto" w:fill="FFFFFF"/>
        </w:rPr>
        <w:t>4</w:t>
      </w:r>
      <w:r w:rsidRPr="00C24FB0">
        <w:rPr>
          <w:rFonts w:ascii="Times New Roman" w:hAnsi="Times New Roman" w:cs="Times New Roman"/>
          <w:b/>
          <w:bCs/>
          <w:color w:val="000000" w:themeColor="text1"/>
          <w:sz w:val="24"/>
          <w:szCs w:val="24"/>
          <w:shd w:val="clear" w:color="auto" w:fill="FFFFFF"/>
        </w:rPr>
        <w:t>: Comparison of laboratory parameters before and after the thrombotic events</w:t>
      </w:r>
    </w:p>
    <w:tbl>
      <w:tblPr>
        <w:tblStyle w:val="TableGrid"/>
        <w:tblW w:w="0" w:type="auto"/>
        <w:tblLook w:val="04A0" w:firstRow="1" w:lastRow="0" w:firstColumn="1" w:lastColumn="0" w:noHBand="0" w:noVBand="1"/>
      </w:tblPr>
      <w:tblGrid>
        <w:gridCol w:w="2254"/>
        <w:gridCol w:w="2254"/>
        <w:gridCol w:w="2254"/>
        <w:gridCol w:w="2254"/>
      </w:tblGrid>
      <w:tr w:rsidR="00C24FB0" w:rsidRPr="00C24FB0" w14:paraId="7AE02A74" w14:textId="77777777" w:rsidTr="00C66B3C">
        <w:tc>
          <w:tcPr>
            <w:tcW w:w="2254" w:type="dxa"/>
          </w:tcPr>
          <w:p w14:paraId="71CD5D98" w14:textId="420D7EA7" w:rsidR="00C66B3C" w:rsidRPr="00C24FB0" w:rsidRDefault="00C66B3C"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Parameters</w:t>
            </w:r>
          </w:p>
        </w:tc>
        <w:tc>
          <w:tcPr>
            <w:tcW w:w="2254" w:type="dxa"/>
          </w:tcPr>
          <w:p w14:paraId="6E8C7FC9" w14:textId="78DDD4C5" w:rsidR="00C66B3C" w:rsidRPr="00C24FB0" w:rsidRDefault="00C66B3C" w:rsidP="00904327">
            <w:pPr>
              <w:spacing w:line="360" w:lineRule="auto"/>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At the time of admission</w:t>
            </w:r>
          </w:p>
        </w:tc>
        <w:tc>
          <w:tcPr>
            <w:tcW w:w="2254" w:type="dxa"/>
          </w:tcPr>
          <w:p w14:paraId="1F0F2DB2" w14:textId="05E39556" w:rsidR="00C66B3C" w:rsidRPr="00C24FB0" w:rsidRDefault="00C66B3C" w:rsidP="00904327">
            <w:pPr>
              <w:spacing w:line="360" w:lineRule="auto"/>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After the thrombotic event</w:t>
            </w:r>
          </w:p>
        </w:tc>
        <w:tc>
          <w:tcPr>
            <w:tcW w:w="2254" w:type="dxa"/>
          </w:tcPr>
          <w:p w14:paraId="2458B9E4" w14:textId="555A125A" w:rsidR="00C66B3C" w:rsidRPr="00C24FB0" w:rsidRDefault="00C66B3C"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P value</w:t>
            </w:r>
          </w:p>
        </w:tc>
      </w:tr>
      <w:tr w:rsidR="00C24FB0" w:rsidRPr="00C24FB0" w14:paraId="00BA2E83" w14:textId="77777777" w:rsidTr="003314C7">
        <w:tc>
          <w:tcPr>
            <w:tcW w:w="2254" w:type="dxa"/>
            <w:vAlign w:val="center"/>
          </w:tcPr>
          <w:p w14:paraId="04C9A10D" w14:textId="75ED82F1" w:rsidR="00C37D69" w:rsidRPr="00C24FB0" w:rsidRDefault="00C37D69"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rPr>
              <w:t>TC</w:t>
            </w:r>
          </w:p>
        </w:tc>
        <w:tc>
          <w:tcPr>
            <w:tcW w:w="2254" w:type="dxa"/>
            <w:vAlign w:val="center"/>
          </w:tcPr>
          <w:p w14:paraId="46341B68" w14:textId="017C9B38"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12.7±5.14</w:t>
            </w:r>
          </w:p>
        </w:tc>
        <w:tc>
          <w:tcPr>
            <w:tcW w:w="2254" w:type="dxa"/>
            <w:vAlign w:val="center"/>
          </w:tcPr>
          <w:p w14:paraId="580C3AA6" w14:textId="181ABC02"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14.3±5.67</w:t>
            </w:r>
          </w:p>
        </w:tc>
        <w:tc>
          <w:tcPr>
            <w:tcW w:w="2254" w:type="dxa"/>
            <w:vAlign w:val="center"/>
          </w:tcPr>
          <w:p w14:paraId="6832D249" w14:textId="614D6CF6" w:rsidR="00C37D69"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0.072</w:t>
            </w:r>
          </w:p>
        </w:tc>
      </w:tr>
      <w:tr w:rsidR="00C24FB0" w:rsidRPr="00C24FB0" w14:paraId="324B9A7C" w14:textId="77777777" w:rsidTr="003314C7">
        <w:tc>
          <w:tcPr>
            <w:tcW w:w="2254" w:type="dxa"/>
            <w:vAlign w:val="center"/>
          </w:tcPr>
          <w:p w14:paraId="019711F7" w14:textId="55AD1AB9" w:rsidR="00C37D69" w:rsidRPr="00C24FB0" w:rsidRDefault="00C37D69"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rPr>
              <w:t>PLT</w:t>
            </w:r>
          </w:p>
        </w:tc>
        <w:tc>
          <w:tcPr>
            <w:tcW w:w="2254" w:type="dxa"/>
            <w:vAlign w:val="center"/>
          </w:tcPr>
          <w:p w14:paraId="1B98D0F4" w14:textId="2F79D22A"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1.9±0.46</w:t>
            </w:r>
          </w:p>
        </w:tc>
        <w:tc>
          <w:tcPr>
            <w:tcW w:w="2254" w:type="dxa"/>
            <w:vAlign w:val="center"/>
          </w:tcPr>
          <w:p w14:paraId="5094E3A9" w14:textId="0ED6F622"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2.3±0.79</w:t>
            </w:r>
          </w:p>
        </w:tc>
        <w:tc>
          <w:tcPr>
            <w:tcW w:w="2254" w:type="dxa"/>
            <w:vAlign w:val="center"/>
          </w:tcPr>
          <w:p w14:paraId="7AEEB2BB" w14:textId="7934675C" w:rsidR="00C37D69"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0.002</w:t>
            </w:r>
          </w:p>
        </w:tc>
      </w:tr>
      <w:tr w:rsidR="00C24FB0" w:rsidRPr="00C24FB0" w14:paraId="6F61E02E" w14:textId="77777777" w:rsidTr="003314C7">
        <w:tc>
          <w:tcPr>
            <w:tcW w:w="2254" w:type="dxa"/>
            <w:vAlign w:val="center"/>
          </w:tcPr>
          <w:p w14:paraId="197245EA" w14:textId="75D72E72" w:rsidR="00C37D69" w:rsidRPr="00C24FB0" w:rsidRDefault="00C37D69"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rPr>
              <w:t>PT</w:t>
            </w:r>
          </w:p>
        </w:tc>
        <w:tc>
          <w:tcPr>
            <w:tcW w:w="2254" w:type="dxa"/>
            <w:vAlign w:val="center"/>
          </w:tcPr>
          <w:p w14:paraId="4FF0E4B1" w14:textId="1AECF0BD"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12.5±1.62</w:t>
            </w:r>
          </w:p>
        </w:tc>
        <w:tc>
          <w:tcPr>
            <w:tcW w:w="2254" w:type="dxa"/>
            <w:vAlign w:val="center"/>
          </w:tcPr>
          <w:p w14:paraId="67824D77" w14:textId="1BCB0520" w:rsidR="00C37D69"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rPr>
              <w:t>16.5±3.55</w:t>
            </w:r>
          </w:p>
        </w:tc>
        <w:tc>
          <w:tcPr>
            <w:tcW w:w="2254" w:type="dxa"/>
            <w:vAlign w:val="center"/>
          </w:tcPr>
          <w:p w14:paraId="0CE2AF0B" w14:textId="08D392AB" w:rsidR="00C37D69"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7D0080D8" w14:textId="77777777" w:rsidTr="00C66B3C">
        <w:tc>
          <w:tcPr>
            <w:tcW w:w="2254" w:type="dxa"/>
          </w:tcPr>
          <w:p w14:paraId="18E244D7" w14:textId="4AA243D3" w:rsidR="00C66B3C" w:rsidRPr="00C24FB0" w:rsidRDefault="00C37D69"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INR</w:t>
            </w:r>
          </w:p>
        </w:tc>
        <w:tc>
          <w:tcPr>
            <w:tcW w:w="2254" w:type="dxa"/>
          </w:tcPr>
          <w:p w14:paraId="3B77B6F6" w14:textId="48B18996" w:rsidR="00C66B3C"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w:t>
            </w:r>
            <w:r w:rsidRPr="00C24FB0">
              <w:rPr>
                <w:rFonts w:ascii="Times New Roman" w:hAnsi="Times New Roman" w:cs="Times New Roman"/>
                <w:color w:val="000000" w:themeColor="text1"/>
                <w:sz w:val="24"/>
                <w:szCs w:val="24"/>
              </w:rPr>
              <w:t>±0.12</w:t>
            </w:r>
          </w:p>
        </w:tc>
        <w:tc>
          <w:tcPr>
            <w:tcW w:w="2254" w:type="dxa"/>
          </w:tcPr>
          <w:p w14:paraId="7AB2C073" w14:textId="56C56B26" w:rsidR="00C66B3C" w:rsidRPr="00C24FB0" w:rsidRDefault="00C37D69"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1.4</w:t>
            </w:r>
            <w:r w:rsidRPr="00C24FB0">
              <w:rPr>
                <w:rFonts w:ascii="Times New Roman" w:hAnsi="Times New Roman" w:cs="Times New Roman"/>
                <w:color w:val="000000" w:themeColor="text1"/>
                <w:sz w:val="24"/>
                <w:szCs w:val="24"/>
              </w:rPr>
              <w:t>±0.22</w:t>
            </w:r>
          </w:p>
        </w:tc>
        <w:tc>
          <w:tcPr>
            <w:tcW w:w="2254" w:type="dxa"/>
          </w:tcPr>
          <w:p w14:paraId="368DE7C0" w14:textId="7918306C" w:rsidR="00C66B3C"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42572CF6" w14:textId="77777777" w:rsidTr="00C66B3C">
        <w:tc>
          <w:tcPr>
            <w:tcW w:w="2254" w:type="dxa"/>
          </w:tcPr>
          <w:p w14:paraId="175BE558" w14:textId="2B9030FA" w:rsidR="00C66B3C"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aPTT</w:t>
            </w:r>
          </w:p>
        </w:tc>
        <w:tc>
          <w:tcPr>
            <w:tcW w:w="2254" w:type="dxa"/>
          </w:tcPr>
          <w:p w14:paraId="3B7A12A6" w14:textId="15F5EA43"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34.8</w:t>
            </w:r>
            <w:r w:rsidRPr="00C24FB0">
              <w:rPr>
                <w:rFonts w:ascii="Times New Roman" w:hAnsi="Times New Roman" w:cs="Times New Roman"/>
                <w:color w:val="000000" w:themeColor="text1"/>
                <w:sz w:val="24"/>
                <w:szCs w:val="24"/>
              </w:rPr>
              <w:t>±4.6</w:t>
            </w:r>
          </w:p>
        </w:tc>
        <w:tc>
          <w:tcPr>
            <w:tcW w:w="2254" w:type="dxa"/>
          </w:tcPr>
          <w:p w14:paraId="552A2E30" w14:textId="55050BAF"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43.4</w:t>
            </w:r>
            <w:r w:rsidRPr="00C24FB0">
              <w:rPr>
                <w:rFonts w:ascii="Times New Roman" w:hAnsi="Times New Roman" w:cs="Times New Roman"/>
                <w:color w:val="000000" w:themeColor="text1"/>
                <w:sz w:val="24"/>
                <w:szCs w:val="24"/>
              </w:rPr>
              <w:t>±6.97</w:t>
            </w:r>
          </w:p>
        </w:tc>
        <w:tc>
          <w:tcPr>
            <w:tcW w:w="2254" w:type="dxa"/>
          </w:tcPr>
          <w:p w14:paraId="4E3AD701" w14:textId="2725639B" w:rsidR="00C66B3C"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77FE44F8" w14:textId="77777777" w:rsidTr="00C66B3C">
        <w:tc>
          <w:tcPr>
            <w:tcW w:w="2254" w:type="dxa"/>
          </w:tcPr>
          <w:p w14:paraId="2564ACEA" w14:textId="3167009B" w:rsidR="00C66B3C"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D dimer</w:t>
            </w:r>
          </w:p>
        </w:tc>
        <w:tc>
          <w:tcPr>
            <w:tcW w:w="2254" w:type="dxa"/>
          </w:tcPr>
          <w:p w14:paraId="224A54CB" w14:textId="06D994AC"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1.3</w:t>
            </w:r>
            <w:r w:rsidRPr="00C24FB0">
              <w:rPr>
                <w:rFonts w:ascii="Times New Roman" w:hAnsi="Times New Roman" w:cs="Times New Roman"/>
                <w:color w:val="000000" w:themeColor="text1"/>
                <w:sz w:val="24"/>
                <w:szCs w:val="24"/>
              </w:rPr>
              <w:t>±0.61</w:t>
            </w:r>
          </w:p>
        </w:tc>
        <w:tc>
          <w:tcPr>
            <w:tcW w:w="2254" w:type="dxa"/>
          </w:tcPr>
          <w:p w14:paraId="18A3A3AD" w14:textId="4086BC95"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2.9</w:t>
            </w:r>
            <w:r w:rsidRPr="00C24FB0">
              <w:rPr>
                <w:rFonts w:ascii="Times New Roman" w:hAnsi="Times New Roman" w:cs="Times New Roman"/>
                <w:color w:val="000000" w:themeColor="text1"/>
                <w:sz w:val="24"/>
                <w:szCs w:val="24"/>
              </w:rPr>
              <w:t>±0.97</w:t>
            </w:r>
          </w:p>
        </w:tc>
        <w:tc>
          <w:tcPr>
            <w:tcW w:w="2254" w:type="dxa"/>
          </w:tcPr>
          <w:p w14:paraId="58CAD29A" w14:textId="7F9C1A23" w:rsidR="00C66B3C" w:rsidRPr="00C24FB0" w:rsidRDefault="00583C84"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53784011" w14:textId="77777777" w:rsidTr="00C66B3C">
        <w:tc>
          <w:tcPr>
            <w:tcW w:w="2254" w:type="dxa"/>
          </w:tcPr>
          <w:p w14:paraId="70A8D4ED" w14:textId="42044BBF" w:rsidR="00C66B3C"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Fibrinogen</w:t>
            </w:r>
          </w:p>
        </w:tc>
        <w:tc>
          <w:tcPr>
            <w:tcW w:w="2254" w:type="dxa"/>
          </w:tcPr>
          <w:p w14:paraId="17FD8B99" w14:textId="53F8CADC"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255.2</w:t>
            </w:r>
            <w:r w:rsidRPr="00C24FB0">
              <w:rPr>
                <w:rFonts w:ascii="Times New Roman" w:hAnsi="Times New Roman" w:cs="Times New Roman"/>
                <w:color w:val="000000" w:themeColor="text1"/>
                <w:sz w:val="24"/>
                <w:szCs w:val="24"/>
              </w:rPr>
              <w:t>±41.21</w:t>
            </w:r>
          </w:p>
        </w:tc>
        <w:tc>
          <w:tcPr>
            <w:tcW w:w="2254" w:type="dxa"/>
          </w:tcPr>
          <w:p w14:paraId="74E13E07" w14:textId="09199B63" w:rsidR="00C66B3C"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427</w:t>
            </w:r>
            <w:r w:rsidRPr="00C24FB0">
              <w:rPr>
                <w:rFonts w:ascii="Times New Roman" w:hAnsi="Times New Roman" w:cs="Times New Roman"/>
                <w:color w:val="000000" w:themeColor="text1"/>
                <w:sz w:val="24"/>
                <w:szCs w:val="24"/>
              </w:rPr>
              <w:t>±79.51</w:t>
            </w:r>
          </w:p>
        </w:tc>
        <w:tc>
          <w:tcPr>
            <w:tcW w:w="2254" w:type="dxa"/>
          </w:tcPr>
          <w:p w14:paraId="00157D65" w14:textId="4AB2AA20" w:rsidR="00C66B3C" w:rsidRPr="00C24FB0" w:rsidRDefault="00583C84"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&lt;0.001</w:t>
            </w:r>
          </w:p>
        </w:tc>
      </w:tr>
      <w:tr w:rsidR="00C24FB0" w:rsidRPr="00C24FB0" w14:paraId="6EC4C650" w14:textId="77777777" w:rsidTr="00C66B3C">
        <w:tc>
          <w:tcPr>
            <w:tcW w:w="2254" w:type="dxa"/>
          </w:tcPr>
          <w:p w14:paraId="3E8DD2F2" w14:textId="44E4D6E0" w:rsidR="009B7E4A"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CRP</w:t>
            </w:r>
          </w:p>
        </w:tc>
        <w:tc>
          <w:tcPr>
            <w:tcW w:w="2254" w:type="dxa"/>
          </w:tcPr>
          <w:p w14:paraId="61E26641" w14:textId="0CE0B41D"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31.3</w:t>
            </w:r>
            <w:r w:rsidRPr="00C24FB0">
              <w:rPr>
                <w:rFonts w:ascii="Times New Roman" w:hAnsi="Times New Roman" w:cs="Times New Roman"/>
                <w:color w:val="000000" w:themeColor="text1"/>
                <w:sz w:val="24"/>
                <w:szCs w:val="24"/>
              </w:rPr>
              <w:t>±21.85</w:t>
            </w:r>
          </w:p>
        </w:tc>
        <w:tc>
          <w:tcPr>
            <w:tcW w:w="2254" w:type="dxa"/>
          </w:tcPr>
          <w:p w14:paraId="4579AB5F" w14:textId="04E59F36"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58.4</w:t>
            </w:r>
            <w:r w:rsidRPr="00C24FB0">
              <w:rPr>
                <w:rFonts w:ascii="Times New Roman" w:hAnsi="Times New Roman" w:cs="Times New Roman"/>
                <w:color w:val="000000" w:themeColor="text1"/>
                <w:sz w:val="24"/>
                <w:szCs w:val="24"/>
              </w:rPr>
              <w:t>±19.81</w:t>
            </w:r>
          </w:p>
        </w:tc>
        <w:tc>
          <w:tcPr>
            <w:tcW w:w="2254" w:type="dxa"/>
          </w:tcPr>
          <w:p w14:paraId="67B03A98" w14:textId="5B0D0955" w:rsidR="009B7E4A" w:rsidRPr="00C24FB0" w:rsidRDefault="00583C84"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7367C100" w14:textId="77777777" w:rsidTr="00C66B3C">
        <w:tc>
          <w:tcPr>
            <w:tcW w:w="2254" w:type="dxa"/>
          </w:tcPr>
          <w:p w14:paraId="4D5F255C" w14:textId="35BB86B2" w:rsidR="009B7E4A"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Ferritin</w:t>
            </w:r>
          </w:p>
        </w:tc>
        <w:tc>
          <w:tcPr>
            <w:tcW w:w="2254" w:type="dxa"/>
          </w:tcPr>
          <w:p w14:paraId="56291156" w14:textId="692BE019"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443.3</w:t>
            </w:r>
            <w:r w:rsidRPr="00C24FB0">
              <w:rPr>
                <w:rFonts w:ascii="Times New Roman" w:hAnsi="Times New Roman" w:cs="Times New Roman"/>
                <w:color w:val="000000" w:themeColor="text1"/>
                <w:sz w:val="24"/>
                <w:szCs w:val="24"/>
              </w:rPr>
              <w:t>±214.81</w:t>
            </w:r>
          </w:p>
        </w:tc>
        <w:tc>
          <w:tcPr>
            <w:tcW w:w="2254" w:type="dxa"/>
          </w:tcPr>
          <w:p w14:paraId="008B050F" w14:textId="290EF374"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1212.7</w:t>
            </w:r>
            <w:r w:rsidRPr="00C24FB0">
              <w:rPr>
                <w:rFonts w:ascii="Times New Roman" w:hAnsi="Times New Roman" w:cs="Times New Roman"/>
                <w:color w:val="000000" w:themeColor="text1"/>
                <w:sz w:val="24"/>
                <w:szCs w:val="24"/>
              </w:rPr>
              <w:t>±415.95</w:t>
            </w:r>
          </w:p>
        </w:tc>
        <w:tc>
          <w:tcPr>
            <w:tcW w:w="2254" w:type="dxa"/>
          </w:tcPr>
          <w:p w14:paraId="704DCABE" w14:textId="507C4081" w:rsidR="009B7E4A" w:rsidRPr="00C24FB0" w:rsidRDefault="00635CC6"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3993590B" w14:textId="77777777" w:rsidTr="00C66B3C">
        <w:tc>
          <w:tcPr>
            <w:tcW w:w="2254" w:type="dxa"/>
          </w:tcPr>
          <w:p w14:paraId="6D898F9E" w14:textId="5731F11C" w:rsidR="009B7E4A" w:rsidRPr="00C24FB0" w:rsidRDefault="009B7E4A"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IL-6</w:t>
            </w:r>
          </w:p>
        </w:tc>
        <w:tc>
          <w:tcPr>
            <w:tcW w:w="2254" w:type="dxa"/>
          </w:tcPr>
          <w:p w14:paraId="5157973C" w14:textId="17C6B7DC"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13.3</w:t>
            </w:r>
            <w:r w:rsidRPr="00C24FB0">
              <w:rPr>
                <w:rFonts w:ascii="Times New Roman" w:hAnsi="Times New Roman" w:cs="Times New Roman"/>
                <w:color w:val="000000" w:themeColor="text1"/>
                <w:sz w:val="24"/>
                <w:szCs w:val="24"/>
              </w:rPr>
              <w:t>±4.19</w:t>
            </w:r>
          </w:p>
        </w:tc>
        <w:tc>
          <w:tcPr>
            <w:tcW w:w="2254" w:type="dxa"/>
          </w:tcPr>
          <w:p w14:paraId="2851B5EF" w14:textId="10F6422A" w:rsidR="009B7E4A" w:rsidRPr="00C24FB0" w:rsidRDefault="009B7E4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54.9</w:t>
            </w:r>
            <w:r w:rsidRPr="00C24FB0">
              <w:rPr>
                <w:rFonts w:ascii="Times New Roman" w:hAnsi="Times New Roman" w:cs="Times New Roman"/>
                <w:color w:val="000000" w:themeColor="text1"/>
                <w:sz w:val="24"/>
                <w:szCs w:val="24"/>
              </w:rPr>
              <w:t>±</w:t>
            </w:r>
            <w:r w:rsidR="00583C84" w:rsidRPr="00C24FB0">
              <w:rPr>
                <w:rFonts w:ascii="Times New Roman" w:hAnsi="Times New Roman" w:cs="Times New Roman"/>
                <w:color w:val="000000" w:themeColor="text1"/>
                <w:sz w:val="24"/>
                <w:szCs w:val="24"/>
              </w:rPr>
              <w:t>15.74</w:t>
            </w:r>
          </w:p>
        </w:tc>
        <w:tc>
          <w:tcPr>
            <w:tcW w:w="2254" w:type="dxa"/>
          </w:tcPr>
          <w:p w14:paraId="61BD6332" w14:textId="65983042" w:rsidR="009B7E4A" w:rsidRPr="00C24FB0" w:rsidRDefault="0062205F"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r w:rsidR="00C24FB0" w:rsidRPr="00C24FB0" w14:paraId="4A5409EC" w14:textId="77777777" w:rsidTr="00C66B3C">
        <w:tc>
          <w:tcPr>
            <w:tcW w:w="2254" w:type="dxa"/>
          </w:tcPr>
          <w:p w14:paraId="5D329380" w14:textId="585CC2BA" w:rsidR="00583C84" w:rsidRPr="00C24FB0" w:rsidRDefault="00583C84" w:rsidP="00904327">
            <w:pPr>
              <w:spacing w:line="360" w:lineRule="auto"/>
              <w:jc w:val="both"/>
              <w:rPr>
                <w:rFonts w:ascii="Times New Roman" w:hAnsi="Times New Roman" w:cs="Times New Roman"/>
                <w:b/>
                <w:bCs/>
                <w:color w:val="000000" w:themeColor="text1"/>
                <w:sz w:val="24"/>
                <w:szCs w:val="24"/>
                <w:shd w:val="clear" w:color="auto" w:fill="FFFFFF"/>
              </w:rPr>
            </w:pPr>
            <w:r w:rsidRPr="00C24FB0">
              <w:rPr>
                <w:rFonts w:ascii="Times New Roman" w:hAnsi="Times New Roman" w:cs="Times New Roman"/>
                <w:b/>
                <w:bCs/>
                <w:color w:val="000000" w:themeColor="text1"/>
                <w:sz w:val="24"/>
                <w:szCs w:val="24"/>
                <w:shd w:val="clear" w:color="auto" w:fill="FFFFFF"/>
              </w:rPr>
              <w:t>LDH</w:t>
            </w:r>
          </w:p>
        </w:tc>
        <w:tc>
          <w:tcPr>
            <w:tcW w:w="2254" w:type="dxa"/>
          </w:tcPr>
          <w:p w14:paraId="785178DA" w14:textId="1CAEAE97" w:rsidR="00583C84" w:rsidRPr="00C24FB0" w:rsidRDefault="00583C84"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224.9</w:t>
            </w:r>
            <w:r w:rsidRPr="00C24FB0">
              <w:rPr>
                <w:rFonts w:ascii="Times New Roman" w:hAnsi="Times New Roman" w:cs="Times New Roman"/>
                <w:color w:val="000000" w:themeColor="text1"/>
                <w:sz w:val="24"/>
                <w:szCs w:val="24"/>
              </w:rPr>
              <w:t>±45.71</w:t>
            </w:r>
          </w:p>
        </w:tc>
        <w:tc>
          <w:tcPr>
            <w:tcW w:w="2254" w:type="dxa"/>
          </w:tcPr>
          <w:p w14:paraId="68963DDA" w14:textId="4B86ADAD" w:rsidR="00583C84" w:rsidRPr="00C24FB0" w:rsidRDefault="00583C84"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490.8</w:t>
            </w:r>
            <w:r w:rsidRPr="00C24FB0">
              <w:rPr>
                <w:rFonts w:ascii="Times New Roman" w:hAnsi="Times New Roman" w:cs="Times New Roman"/>
                <w:color w:val="000000" w:themeColor="text1"/>
                <w:sz w:val="24"/>
                <w:szCs w:val="24"/>
              </w:rPr>
              <w:t>±185.27</w:t>
            </w:r>
          </w:p>
        </w:tc>
        <w:tc>
          <w:tcPr>
            <w:tcW w:w="2254" w:type="dxa"/>
          </w:tcPr>
          <w:p w14:paraId="66CFBB5F" w14:textId="796C8142" w:rsidR="00583C84" w:rsidRPr="00C24FB0" w:rsidRDefault="0062205F" w:rsidP="00904327">
            <w:pPr>
              <w:spacing w:line="360" w:lineRule="auto"/>
              <w:jc w:val="center"/>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&lt;0.0001</w:t>
            </w:r>
          </w:p>
        </w:tc>
      </w:tr>
    </w:tbl>
    <w:p w14:paraId="476EF318" w14:textId="259E5EC6" w:rsidR="00A54BFA" w:rsidRPr="00C24FB0" w:rsidRDefault="00A54BFA" w:rsidP="00904327">
      <w:pPr>
        <w:spacing w:line="360" w:lineRule="auto"/>
        <w:jc w:val="both"/>
        <w:rPr>
          <w:rFonts w:ascii="Times New Roman" w:hAnsi="Times New Roman" w:cs="Times New Roman"/>
          <w:b/>
          <w:bCs/>
          <w:color w:val="000000" w:themeColor="text1"/>
          <w:sz w:val="24"/>
          <w:szCs w:val="24"/>
          <w:u w:val="single"/>
          <w:shd w:val="clear" w:color="auto" w:fill="FFFFFF"/>
        </w:rPr>
      </w:pPr>
      <w:r w:rsidRPr="00C24FB0">
        <w:rPr>
          <w:rFonts w:ascii="Times New Roman" w:hAnsi="Times New Roman" w:cs="Times New Roman"/>
          <w:b/>
          <w:bCs/>
          <w:color w:val="000000" w:themeColor="text1"/>
          <w:sz w:val="24"/>
          <w:szCs w:val="24"/>
          <w:u w:val="single"/>
          <w:shd w:val="clear" w:color="auto" w:fill="FFFFFF"/>
        </w:rPr>
        <w:t>Discussion</w:t>
      </w:r>
    </w:p>
    <w:p w14:paraId="7C8433CB" w14:textId="5A0FD18A" w:rsidR="0069031A" w:rsidRPr="00C24FB0" w:rsidRDefault="0069031A"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Majority of the RCTs identified that the rate of thrombosis in admitted COVID 19 patients was relatively high and attributed to a pro-thrombotic state.  The rate of thrombosis appeared </w:t>
      </w:r>
      <w:r w:rsidRPr="00C24FB0">
        <w:rPr>
          <w:rFonts w:ascii="Times New Roman" w:hAnsi="Times New Roman" w:cs="Times New Roman"/>
          <w:color w:val="000000" w:themeColor="text1"/>
          <w:sz w:val="24"/>
          <w:szCs w:val="24"/>
          <w:shd w:val="clear" w:color="auto" w:fill="FFFFFF"/>
        </w:rPr>
        <w:lastRenderedPageBreak/>
        <w:t>to be dependent on the severity of illness.</w:t>
      </w:r>
      <w:r w:rsidRPr="00C24FB0">
        <w:rPr>
          <w:rFonts w:ascii="Times New Roman" w:hAnsi="Times New Roman" w:cs="Times New Roman"/>
          <w:color w:val="000000" w:themeColor="text1"/>
          <w:sz w:val="24"/>
          <w:szCs w:val="24"/>
          <w:shd w:val="clear" w:color="auto" w:fill="FFFFFF"/>
          <w:vertAlign w:val="superscript"/>
        </w:rPr>
        <w:t>8</w:t>
      </w:r>
      <w:r w:rsidRPr="00C24FB0">
        <w:rPr>
          <w:rFonts w:ascii="Times New Roman" w:hAnsi="Times New Roman" w:cs="Times New Roman"/>
          <w:color w:val="000000" w:themeColor="text1"/>
          <w:sz w:val="24"/>
          <w:szCs w:val="24"/>
          <w:shd w:val="clear" w:color="auto" w:fill="FFFFFF"/>
        </w:rPr>
        <w:t xml:space="preserve"> Hence we conducted a prospective study to analyse the pattern of distribution of risk factors causing thromboembolic events.</w:t>
      </w:r>
    </w:p>
    <w:p w14:paraId="07517312" w14:textId="2A4E6AB6" w:rsidR="00FE37F2" w:rsidRPr="00C24FB0" w:rsidRDefault="001F58A6"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T</w:t>
      </w:r>
      <w:r w:rsidR="00914E7F" w:rsidRPr="00C24FB0">
        <w:rPr>
          <w:rFonts w:ascii="Times New Roman" w:hAnsi="Times New Roman" w:cs="Times New Roman"/>
          <w:color w:val="000000" w:themeColor="text1"/>
          <w:sz w:val="24"/>
          <w:szCs w:val="24"/>
          <w:shd w:val="clear" w:color="auto" w:fill="FFFFFF"/>
        </w:rPr>
        <w:t xml:space="preserve">he average age of the recruited patients </w:t>
      </w:r>
      <w:r w:rsidRPr="00C24FB0">
        <w:rPr>
          <w:rFonts w:ascii="Times New Roman" w:hAnsi="Times New Roman" w:cs="Times New Roman"/>
          <w:color w:val="000000" w:themeColor="text1"/>
          <w:sz w:val="24"/>
          <w:szCs w:val="24"/>
          <w:shd w:val="clear" w:color="auto" w:fill="FFFFFF"/>
        </w:rPr>
        <w:t xml:space="preserve">in our study </w:t>
      </w:r>
      <w:r w:rsidR="00914E7F" w:rsidRPr="00C24FB0">
        <w:rPr>
          <w:rFonts w:ascii="Times New Roman" w:hAnsi="Times New Roman" w:cs="Times New Roman"/>
          <w:color w:val="000000" w:themeColor="text1"/>
          <w:sz w:val="24"/>
          <w:szCs w:val="24"/>
          <w:shd w:val="clear" w:color="auto" w:fill="FFFFFF"/>
        </w:rPr>
        <w:t xml:space="preserve">was 56.6±12.78 years. </w:t>
      </w:r>
      <w:r w:rsidRPr="00C24FB0">
        <w:rPr>
          <w:rFonts w:ascii="Times New Roman" w:hAnsi="Times New Roman" w:cs="Times New Roman"/>
          <w:color w:val="000000" w:themeColor="text1"/>
          <w:sz w:val="24"/>
          <w:szCs w:val="24"/>
          <w:shd w:val="clear" w:color="auto" w:fill="FFFFFF"/>
        </w:rPr>
        <w:t xml:space="preserve">54.7% and 45.3% of the patients </w:t>
      </w:r>
      <w:r w:rsidR="00F927B9" w:rsidRPr="00C24FB0">
        <w:rPr>
          <w:rFonts w:ascii="Times New Roman" w:hAnsi="Times New Roman" w:cs="Times New Roman"/>
          <w:color w:val="000000" w:themeColor="text1"/>
          <w:sz w:val="24"/>
          <w:szCs w:val="24"/>
          <w:shd w:val="clear" w:color="auto" w:fill="FFFFFF"/>
        </w:rPr>
        <w:t>where</w:t>
      </w:r>
      <w:r w:rsidRPr="00C24FB0">
        <w:rPr>
          <w:rFonts w:ascii="Times New Roman" w:hAnsi="Times New Roman" w:cs="Times New Roman"/>
          <w:color w:val="000000" w:themeColor="text1"/>
          <w:sz w:val="24"/>
          <w:szCs w:val="24"/>
          <w:shd w:val="clear" w:color="auto" w:fill="FFFFFF"/>
        </w:rPr>
        <w:t xml:space="preserve"> </w:t>
      </w:r>
      <w:r w:rsidR="00914E7F" w:rsidRPr="00C24FB0">
        <w:rPr>
          <w:rFonts w:ascii="Times New Roman" w:hAnsi="Times New Roman" w:cs="Times New Roman"/>
          <w:color w:val="000000" w:themeColor="text1"/>
          <w:sz w:val="24"/>
          <w:szCs w:val="24"/>
          <w:shd w:val="clear" w:color="auto" w:fill="FFFFFF"/>
        </w:rPr>
        <w:t xml:space="preserve">patients were aged </w:t>
      </w:r>
      <w:r w:rsidR="007D3311" w:rsidRPr="00C24FB0">
        <w:rPr>
          <w:rFonts w:ascii="Times New Roman" w:hAnsi="Times New Roman" w:cs="Times New Roman"/>
          <w:color w:val="000000" w:themeColor="text1"/>
          <w:sz w:val="24"/>
          <w:szCs w:val="24"/>
          <w:shd w:val="clear" w:color="auto" w:fill="FFFFFF"/>
        </w:rPr>
        <w:t>&lt;</w:t>
      </w:r>
      <w:r w:rsidR="00914E7F" w:rsidRPr="00C24FB0">
        <w:rPr>
          <w:rFonts w:ascii="Times New Roman" w:hAnsi="Times New Roman" w:cs="Times New Roman"/>
          <w:color w:val="000000" w:themeColor="text1"/>
          <w:sz w:val="24"/>
          <w:szCs w:val="24"/>
          <w:shd w:val="clear" w:color="auto" w:fill="FFFFFF"/>
        </w:rPr>
        <w:t xml:space="preserve">60 years and </w:t>
      </w:r>
      <w:r w:rsidR="007D3311" w:rsidRPr="00C24FB0">
        <w:rPr>
          <w:rFonts w:ascii="Times New Roman" w:hAnsi="Times New Roman" w:cs="Times New Roman"/>
          <w:color w:val="000000" w:themeColor="text1"/>
          <w:sz w:val="24"/>
          <w:szCs w:val="24"/>
          <w:shd w:val="clear" w:color="auto" w:fill="FFFFFF"/>
        </w:rPr>
        <w:t>&gt;</w:t>
      </w:r>
      <w:r w:rsidR="00914E7F" w:rsidRPr="00C24FB0">
        <w:rPr>
          <w:rFonts w:ascii="Times New Roman" w:hAnsi="Times New Roman" w:cs="Times New Roman"/>
          <w:color w:val="000000" w:themeColor="text1"/>
          <w:sz w:val="24"/>
          <w:szCs w:val="24"/>
          <w:shd w:val="clear" w:color="auto" w:fill="FFFFFF"/>
        </w:rPr>
        <w:t>60 years</w:t>
      </w:r>
      <w:r w:rsidR="007D3311" w:rsidRPr="00C24FB0">
        <w:rPr>
          <w:rFonts w:ascii="Times New Roman" w:hAnsi="Times New Roman" w:cs="Times New Roman"/>
          <w:color w:val="000000" w:themeColor="text1"/>
          <w:sz w:val="24"/>
          <w:szCs w:val="24"/>
          <w:shd w:val="clear" w:color="auto" w:fill="FFFFFF"/>
        </w:rPr>
        <w:t xml:space="preserve"> respectively.</w:t>
      </w:r>
      <w:r w:rsidR="00914E7F" w:rsidRPr="00C24FB0">
        <w:rPr>
          <w:rFonts w:ascii="Times New Roman" w:hAnsi="Times New Roman" w:cs="Times New Roman"/>
          <w:color w:val="000000" w:themeColor="text1"/>
          <w:sz w:val="24"/>
          <w:szCs w:val="24"/>
          <w:shd w:val="clear" w:color="auto" w:fill="FFFFFF"/>
        </w:rPr>
        <w:t xml:space="preserve"> There were 53 (70.7%) and 22 (29.3%) males and females respectively</w:t>
      </w:r>
      <w:r w:rsidR="004C7E3F" w:rsidRPr="00C24FB0">
        <w:rPr>
          <w:rFonts w:ascii="Times New Roman" w:hAnsi="Times New Roman" w:cs="Times New Roman"/>
          <w:color w:val="000000" w:themeColor="text1"/>
          <w:sz w:val="24"/>
          <w:szCs w:val="24"/>
          <w:shd w:val="clear" w:color="auto" w:fill="FFFFFF"/>
        </w:rPr>
        <w:t xml:space="preserve"> in our study. Middeldorp </w:t>
      </w:r>
      <w:proofErr w:type="spellStart"/>
      <w:r w:rsidR="004C7E3F" w:rsidRPr="00C24FB0">
        <w:rPr>
          <w:rFonts w:ascii="Times New Roman" w:hAnsi="Times New Roman" w:cs="Times New Roman"/>
          <w:color w:val="000000" w:themeColor="text1"/>
          <w:sz w:val="24"/>
          <w:szCs w:val="24"/>
          <w:shd w:val="clear" w:color="auto" w:fill="FFFFFF"/>
        </w:rPr>
        <w:t>S</w:t>
      </w:r>
      <w:r w:rsidR="00F927B9" w:rsidRPr="00C24FB0">
        <w:rPr>
          <w:rFonts w:ascii="Times New Roman" w:hAnsi="Times New Roman" w:cs="Times New Roman"/>
          <w:color w:val="000000" w:themeColor="text1"/>
          <w:sz w:val="24"/>
          <w:szCs w:val="24"/>
          <w:shd w:val="clear" w:color="auto" w:fill="FFFFFF"/>
        </w:rPr>
        <w:t xml:space="preserve"> </w:t>
      </w:r>
      <w:r w:rsidR="004C7E3F" w:rsidRPr="00C24FB0">
        <w:rPr>
          <w:rFonts w:ascii="Times New Roman" w:hAnsi="Times New Roman" w:cs="Times New Roman"/>
          <w:color w:val="000000" w:themeColor="text1"/>
          <w:sz w:val="24"/>
          <w:szCs w:val="24"/>
          <w:shd w:val="clear" w:color="auto" w:fill="FFFFFF"/>
        </w:rPr>
        <w:t>et</w:t>
      </w:r>
      <w:proofErr w:type="spellEnd"/>
      <w:r w:rsidR="004C7E3F" w:rsidRPr="00C24FB0">
        <w:rPr>
          <w:rFonts w:ascii="Times New Roman" w:hAnsi="Times New Roman" w:cs="Times New Roman"/>
          <w:color w:val="000000" w:themeColor="text1"/>
          <w:sz w:val="24"/>
          <w:szCs w:val="24"/>
          <w:shd w:val="clear" w:color="auto" w:fill="FFFFFF"/>
        </w:rPr>
        <w:t xml:space="preserve"> al</w:t>
      </w:r>
      <w:r w:rsidR="00F927B9" w:rsidRPr="00C24FB0">
        <w:rPr>
          <w:rFonts w:ascii="Times New Roman" w:hAnsi="Times New Roman" w:cs="Times New Roman"/>
          <w:color w:val="000000" w:themeColor="text1"/>
          <w:sz w:val="24"/>
          <w:szCs w:val="24"/>
          <w:shd w:val="clear" w:color="auto" w:fill="FFFFFF"/>
          <w:vertAlign w:val="superscript"/>
        </w:rPr>
        <w:t>9</w:t>
      </w:r>
      <w:r w:rsidR="004C7E3F" w:rsidRPr="00C24FB0">
        <w:rPr>
          <w:rFonts w:ascii="Times New Roman" w:hAnsi="Times New Roman" w:cs="Times New Roman"/>
          <w:color w:val="000000" w:themeColor="text1"/>
          <w:sz w:val="24"/>
          <w:szCs w:val="24"/>
          <w:shd w:val="clear" w:color="auto" w:fill="FFFFFF"/>
        </w:rPr>
        <w:t xml:space="preserve"> also observed the average age of their patients being 61 years with male predominance.</w:t>
      </w:r>
    </w:p>
    <w:p w14:paraId="5C809F9F" w14:textId="2F1A6467" w:rsidR="00914E7F" w:rsidRPr="00B70B2C" w:rsidRDefault="00FE37F2"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Piazza et al in their retrospective cohort study had found that 44.8 ± 16.2 years were found to be having major thrombotic changes. Out of 1114 patients, 715 patients did not have any thrombotic complications.</w:t>
      </w:r>
      <w:r w:rsidR="00F927B9" w:rsidRPr="00C24FB0">
        <w:rPr>
          <w:rFonts w:ascii="Times New Roman" w:hAnsi="Times New Roman" w:cs="Times New Roman"/>
          <w:color w:val="000000" w:themeColor="text1"/>
          <w:sz w:val="24"/>
          <w:szCs w:val="24"/>
          <w:shd w:val="clear" w:color="auto" w:fill="FFFFFF"/>
          <w:vertAlign w:val="superscript"/>
        </w:rPr>
        <w:t>10</w:t>
      </w:r>
    </w:p>
    <w:p w14:paraId="4D787E89" w14:textId="492DD4BF" w:rsidR="00914E7F" w:rsidRPr="00C24FB0" w:rsidRDefault="00914E7F"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Out of 45 recruited study samples, 40 were suffering from the comorbid conditions. Of which, 17 (22.7%) were known cases of controlled hypertension (HTN) and diabetes. 15 (20%) and 8 (10.7%) were suffering from HTN and DM. Majority of the patients were diagnosed with severe form accounting for about 35 (47%) followed by mild form in 22 (29%) and 18 (24%) were diagnosed with moderate form of COVID 19. </w:t>
      </w:r>
    </w:p>
    <w:p w14:paraId="7EE9BD80" w14:textId="77777777" w:rsidR="00FE37F2" w:rsidRPr="00C24FB0" w:rsidRDefault="00914E7F"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The </w:t>
      </w:r>
      <w:r w:rsidR="004C7E3F" w:rsidRPr="00C24FB0">
        <w:rPr>
          <w:rFonts w:ascii="Times New Roman" w:hAnsi="Times New Roman" w:cs="Times New Roman"/>
          <w:color w:val="000000" w:themeColor="text1"/>
          <w:sz w:val="24"/>
          <w:szCs w:val="24"/>
          <w:shd w:val="clear" w:color="auto" w:fill="FFFFFF"/>
        </w:rPr>
        <w:t xml:space="preserve">overall </w:t>
      </w:r>
      <w:r w:rsidRPr="00C24FB0">
        <w:rPr>
          <w:rFonts w:ascii="Times New Roman" w:hAnsi="Times New Roman" w:cs="Times New Roman"/>
          <w:color w:val="000000" w:themeColor="text1"/>
          <w:sz w:val="24"/>
          <w:szCs w:val="24"/>
          <w:shd w:val="clear" w:color="auto" w:fill="FFFFFF"/>
        </w:rPr>
        <w:t xml:space="preserve">incidence of thrombotic events was 70.7% (53/75). The incidence of arterial thromboembolic events was 48%, involving 36 patients of the overall study population. Of these 36 patients, majority of them were suffering from CVA accounting for about 12 (16%) of the patients followed by 11 (14.7%) with IHD. Three patients (4%) had developed </w:t>
      </w:r>
      <w:r w:rsidR="00631767" w:rsidRPr="00C24FB0">
        <w:rPr>
          <w:rFonts w:ascii="Times New Roman" w:hAnsi="Times New Roman" w:cs="Times New Roman"/>
          <w:color w:val="000000" w:themeColor="text1"/>
          <w:sz w:val="24"/>
          <w:szCs w:val="24"/>
          <w:shd w:val="clear" w:color="auto" w:fill="FFFFFF"/>
        </w:rPr>
        <w:t>mesenteric</w:t>
      </w:r>
      <w:r w:rsidRPr="00C24FB0">
        <w:rPr>
          <w:rFonts w:ascii="Times New Roman" w:hAnsi="Times New Roman" w:cs="Times New Roman"/>
          <w:color w:val="000000" w:themeColor="text1"/>
          <w:sz w:val="24"/>
          <w:szCs w:val="24"/>
          <w:shd w:val="clear" w:color="auto" w:fill="FFFFFF"/>
        </w:rPr>
        <w:t xml:space="preserve"> ischemia. Two patients (2.7%) each had developed acute infarcts, CAD, </w:t>
      </w:r>
      <w:r w:rsidR="00631767" w:rsidRPr="00C24FB0">
        <w:rPr>
          <w:rFonts w:ascii="Times New Roman" w:hAnsi="Times New Roman" w:cs="Times New Roman"/>
          <w:color w:val="000000" w:themeColor="text1"/>
          <w:sz w:val="24"/>
          <w:szCs w:val="24"/>
          <w:shd w:val="clear" w:color="auto" w:fill="FFFFFF"/>
        </w:rPr>
        <w:t>haemorrhagic</w:t>
      </w:r>
      <w:r w:rsidRPr="00C24FB0">
        <w:rPr>
          <w:rFonts w:ascii="Times New Roman" w:hAnsi="Times New Roman" w:cs="Times New Roman"/>
          <w:color w:val="000000" w:themeColor="text1"/>
          <w:sz w:val="24"/>
          <w:szCs w:val="24"/>
          <w:shd w:val="clear" w:color="auto" w:fill="FFFFFF"/>
        </w:rPr>
        <w:t xml:space="preserve"> stroke, small vessel ischemia. One each (1.3%) had developed Fournier’s gangrene and pulmonary embolism.</w:t>
      </w:r>
      <w:r w:rsidR="004C7E3F" w:rsidRPr="00C24FB0">
        <w:rPr>
          <w:rFonts w:ascii="Times New Roman" w:hAnsi="Times New Roman" w:cs="Times New Roman"/>
          <w:color w:val="000000" w:themeColor="text1"/>
          <w:sz w:val="24"/>
          <w:szCs w:val="24"/>
          <w:shd w:val="clear" w:color="auto" w:fill="FFFFFF"/>
        </w:rPr>
        <w:t xml:space="preserve"> </w:t>
      </w:r>
    </w:p>
    <w:p w14:paraId="229B3D91" w14:textId="046B2887" w:rsidR="00914E7F" w:rsidRPr="00C24FB0" w:rsidRDefault="004C7E3F"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In the study by Middeldorp </w:t>
      </w:r>
      <w:proofErr w:type="spellStart"/>
      <w:r w:rsidRPr="00C24FB0">
        <w:rPr>
          <w:rFonts w:ascii="Times New Roman" w:hAnsi="Times New Roman" w:cs="Times New Roman"/>
          <w:color w:val="000000" w:themeColor="text1"/>
          <w:sz w:val="24"/>
          <w:szCs w:val="24"/>
          <w:shd w:val="clear" w:color="auto" w:fill="FFFFFF"/>
        </w:rPr>
        <w:t>S et</w:t>
      </w:r>
      <w:proofErr w:type="spellEnd"/>
      <w:r w:rsidRPr="00C24FB0">
        <w:rPr>
          <w:rFonts w:ascii="Times New Roman" w:hAnsi="Times New Roman" w:cs="Times New Roman"/>
          <w:color w:val="000000" w:themeColor="text1"/>
          <w:sz w:val="24"/>
          <w:szCs w:val="24"/>
          <w:shd w:val="clear" w:color="auto" w:fill="FFFFFF"/>
        </w:rPr>
        <w:t xml:space="preserve"> al</w:t>
      </w:r>
      <w:r w:rsidR="00F927B9" w:rsidRPr="00C24FB0">
        <w:rPr>
          <w:rFonts w:ascii="Times New Roman" w:hAnsi="Times New Roman" w:cs="Times New Roman"/>
          <w:color w:val="000000" w:themeColor="text1"/>
          <w:sz w:val="24"/>
          <w:szCs w:val="24"/>
          <w:shd w:val="clear" w:color="auto" w:fill="FFFFFF"/>
          <w:vertAlign w:val="superscript"/>
        </w:rPr>
        <w:t>9</w:t>
      </w:r>
      <w:r w:rsidRPr="00C24FB0">
        <w:rPr>
          <w:rFonts w:ascii="Times New Roman" w:hAnsi="Times New Roman" w:cs="Times New Roman"/>
          <w:color w:val="000000" w:themeColor="text1"/>
          <w:sz w:val="24"/>
          <w:szCs w:val="24"/>
          <w:shd w:val="clear" w:color="auto" w:fill="FFFFFF"/>
        </w:rPr>
        <w:t xml:space="preserve"> who had aimed at analysing the venous thromboembolism only had reported 20% of the recruited samples were diagnosed with VTE of which 13% were symptomatic even after administration of routine thrombosis prophylaxis. </w:t>
      </w:r>
      <w:r w:rsidR="00616F74" w:rsidRPr="00C24FB0">
        <w:rPr>
          <w:rFonts w:ascii="Times New Roman" w:hAnsi="Times New Roman" w:cs="Times New Roman"/>
          <w:color w:val="000000" w:themeColor="text1"/>
          <w:sz w:val="24"/>
          <w:szCs w:val="24"/>
          <w:shd w:val="clear" w:color="auto" w:fill="FFFFFF"/>
        </w:rPr>
        <w:t>They had compared the incidence of VTE between ward versus ICU patients and found that patients admitted in ICU had higher incidence than in the ward. Hence</w:t>
      </w:r>
      <w:r w:rsidR="00631767" w:rsidRPr="00C24FB0">
        <w:rPr>
          <w:rFonts w:ascii="Times New Roman" w:hAnsi="Times New Roman" w:cs="Times New Roman"/>
          <w:color w:val="000000" w:themeColor="text1"/>
          <w:sz w:val="24"/>
          <w:szCs w:val="24"/>
          <w:shd w:val="clear" w:color="auto" w:fill="FFFFFF"/>
        </w:rPr>
        <w:t xml:space="preserve">, </w:t>
      </w:r>
      <w:r w:rsidR="00616F74" w:rsidRPr="00C24FB0">
        <w:rPr>
          <w:rFonts w:ascii="Times New Roman" w:hAnsi="Times New Roman" w:cs="Times New Roman"/>
          <w:color w:val="000000" w:themeColor="text1"/>
          <w:sz w:val="24"/>
          <w:szCs w:val="24"/>
          <w:shd w:val="clear" w:color="auto" w:fill="FFFFFF"/>
        </w:rPr>
        <w:t xml:space="preserve">we can understand that as the prevalence of severe form is more in our study, </w:t>
      </w:r>
      <w:r w:rsidR="00CD4588" w:rsidRPr="00C24FB0">
        <w:rPr>
          <w:rFonts w:ascii="Times New Roman" w:hAnsi="Times New Roman" w:cs="Times New Roman"/>
          <w:color w:val="000000" w:themeColor="text1"/>
          <w:sz w:val="24"/>
          <w:szCs w:val="24"/>
          <w:shd w:val="clear" w:color="auto" w:fill="FFFFFF"/>
        </w:rPr>
        <w:t xml:space="preserve">the incidence of TVE and AVE also have raised. </w:t>
      </w:r>
      <w:r w:rsidR="003314C7" w:rsidRPr="00C24FB0">
        <w:rPr>
          <w:rFonts w:ascii="Times New Roman" w:hAnsi="Times New Roman" w:cs="Times New Roman"/>
          <w:color w:val="000000" w:themeColor="text1"/>
          <w:sz w:val="24"/>
          <w:szCs w:val="24"/>
          <w:shd w:val="clear" w:color="auto" w:fill="FFFFFF"/>
        </w:rPr>
        <w:t xml:space="preserve">Also similar to our study, Middeldorp </w:t>
      </w:r>
      <w:proofErr w:type="spellStart"/>
      <w:r w:rsidR="003314C7" w:rsidRPr="00C24FB0">
        <w:rPr>
          <w:rFonts w:ascii="Times New Roman" w:hAnsi="Times New Roman" w:cs="Times New Roman"/>
          <w:color w:val="000000" w:themeColor="text1"/>
          <w:sz w:val="24"/>
          <w:szCs w:val="24"/>
          <w:shd w:val="clear" w:color="auto" w:fill="FFFFFF"/>
        </w:rPr>
        <w:t>S et</w:t>
      </w:r>
      <w:proofErr w:type="spellEnd"/>
      <w:r w:rsidR="003314C7" w:rsidRPr="00C24FB0">
        <w:rPr>
          <w:rFonts w:ascii="Times New Roman" w:hAnsi="Times New Roman" w:cs="Times New Roman"/>
          <w:color w:val="000000" w:themeColor="text1"/>
          <w:sz w:val="24"/>
          <w:szCs w:val="24"/>
          <w:shd w:val="clear" w:color="auto" w:fill="FFFFFF"/>
        </w:rPr>
        <w:t xml:space="preserve"> al</w:t>
      </w:r>
      <w:r w:rsidR="00F927B9" w:rsidRPr="00C24FB0">
        <w:rPr>
          <w:rFonts w:ascii="Times New Roman" w:hAnsi="Times New Roman" w:cs="Times New Roman"/>
          <w:color w:val="000000" w:themeColor="text1"/>
          <w:sz w:val="24"/>
          <w:szCs w:val="24"/>
          <w:shd w:val="clear" w:color="auto" w:fill="FFFFFF"/>
          <w:vertAlign w:val="superscript"/>
        </w:rPr>
        <w:t>9</w:t>
      </w:r>
      <w:r w:rsidR="003314C7" w:rsidRPr="00C24FB0">
        <w:rPr>
          <w:rFonts w:ascii="Times New Roman" w:hAnsi="Times New Roman" w:cs="Times New Roman"/>
          <w:color w:val="000000" w:themeColor="text1"/>
          <w:sz w:val="24"/>
          <w:szCs w:val="24"/>
          <w:shd w:val="clear" w:color="auto" w:fill="FFFFFF"/>
        </w:rPr>
        <w:t xml:space="preserve"> found higher incidence of DVT. </w:t>
      </w:r>
      <w:r w:rsidR="00FD79F9" w:rsidRPr="00C24FB0">
        <w:rPr>
          <w:rFonts w:ascii="Times New Roman" w:hAnsi="Times New Roman" w:cs="Times New Roman"/>
          <w:color w:val="000000" w:themeColor="text1"/>
          <w:sz w:val="24"/>
          <w:szCs w:val="24"/>
          <w:shd w:val="clear" w:color="auto" w:fill="FFFFFF"/>
        </w:rPr>
        <w:t>R</w:t>
      </w:r>
      <w:r w:rsidR="00F927B9" w:rsidRPr="00C24FB0">
        <w:rPr>
          <w:rFonts w:ascii="Times New Roman" w:hAnsi="Times New Roman" w:cs="Times New Roman"/>
          <w:color w:val="000000" w:themeColor="text1"/>
          <w:sz w:val="24"/>
          <w:szCs w:val="24"/>
          <w:shd w:val="clear" w:color="auto" w:fill="FFFFFF"/>
        </w:rPr>
        <w:t>e</w:t>
      </w:r>
      <w:r w:rsidR="00FD79F9" w:rsidRPr="00C24FB0">
        <w:rPr>
          <w:rFonts w:ascii="Times New Roman" w:hAnsi="Times New Roman" w:cs="Times New Roman"/>
          <w:color w:val="000000" w:themeColor="text1"/>
          <w:sz w:val="24"/>
          <w:szCs w:val="24"/>
          <w:shd w:val="clear" w:color="auto" w:fill="FFFFFF"/>
        </w:rPr>
        <w:t>y JR et al and Fournier M et al found comparatively higher incidence of arterial thrombosis in covid patients than non</w:t>
      </w:r>
      <w:r w:rsidR="00F927B9" w:rsidRPr="00C24FB0">
        <w:rPr>
          <w:rFonts w:ascii="Times New Roman" w:hAnsi="Times New Roman" w:cs="Times New Roman"/>
          <w:color w:val="000000" w:themeColor="text1"/>
          <w:sz w:val="24"/>
          <w:szCs w:val="24"/>
          <w:shd w:val="clear" w:color="auto" w:fill="FFFFFF"/>
        </w:rPr>
        <w:t>-</w:t>
      </w:r>
      <w:r w:rsidR="00FD79F9" w:rsidRPr="00C24FB0">
        <w:rPr>
          <w:rFonts w:ascii="Times New Roman" w:hAnsi="Times New Roman" w:cs="Times New Roman"/>
          <w:color w:val="000000" w:themeColor="text1"/>
          <w:sz w:val="24"/>
          <w:szCs w:val="24"/>
          <w:shd w:val="clear" w:color="auto" w:fill="FFFFFF"/>
        </w:rPr>
        <w:t>covid.</w:t>
      </w:r>
      <w:r w:rsidR="00F927B9" w:rsidRPr="00C24FB0">
        <w:rPr>
          <w:rFonts w:ascii="Times New Roman" w:hAnsi="Times New Roman" w:cs="Times New Roman"/>
          <w:color w:val="000000" w:themeColor="text1"/>
          <w:sz w:val="24"/>
          <w:szCs w:val="24"/>
          <w:shd w:val="clear" w:color="auto" w:fill="FFFFFF"/>
          <w:vertAlign w:val="superscript"/>
        </w:rPr>
        <w:t>11,12</w:t>
      </w:r>
    </w:p>
    <w:p w14:paraId="38959774" w14:textId="3D93024A" w:rsidR="00914E7F" w:rsidRPr="00C24FB0" w:rsidRDefault="00914E7F" w:rsidP="00904327">
      <w:p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lastRenderedPageBreak/>
        <w:t>About 22.66% (17/75) of patients had developed</w:t>
      </w:r>
      <w:r w:rsidR="00FE37F2" w:rsidRPr="00C24FB0">
        <w:rPr>
          <w:rFonts w:ascii="Times New Roman" w:hAnsi="Times New Roman" w:cs="Times New Roman"/>
          <w:color w:val="000000" w:themeColor="text1"/>
          <w:sz w:val="24"/>
          <w:szCs w:val="24"/>
          <w:shd w:val="clear" w:color="auto" w:fill="FFFFFF"/>
        </w:rPr>
        <w:t xml:space="preserve"> VTE</w:t>
      </w:r>
      <w:r w:rsidRPr="00C24FB0">
        <w:rPr>
          <w:rFonts w:ascii="Times New Roman" w:hAnsi="Times New Roman" w:cs="Times New Roman"/>
          <w:color w:val="000000" w:themeColor="text1"/>
          <w:sz w:val="24"/>
          <w:szCs w:val="24"/>
          <w:shd w:val="clear" w:color="auto" w:fill="FFFFFF"/>
        </w:rPr>
        <w:t>. Of which, 13 (17.3%) patients had developed DVT. The occurrence of DVT was statistically significant. Two patients had developed venous ulcer and one each had developed portal mesenteric vein thrombosis and complete thrombosis of cephalic vein.</w:t>
      </w:r>
      <w:r w:rsidR="00FE37F2" w:rsidRPr="00C24FB0">
        <w:rPr>
          <w:rFonts w:ascii="Times New Roman" w:hAnsi="Times New Roman" w:cs="Times New Roman"/>
          <w:color w:val="000000" w:themeColor="text1"/>
          <w:sz w:val="24"/>
          <w:szCs w:val="24"/>
          <w:shd w:val="clear" w:color="auto" w:fill="FFFFFF"/>
        </w:rPr>
        <w:t xml:space="preserve"> In contrast to our findings, Hill et al reported only 0.9% incidence of VTE. But the recruited study population in their study had more number of young patients. </w:t>
      </w:r>
      <w:r w:rsidR="00F927B9" w:rsidRPr="00C24FB0">
        <w:rPr>
          <w:rFonts w:ascii="Times New Roman" w:hAnsi="Times New Roman" w:cs="Times New Roman"/>
          <w:color w:val="000000" w:themeColor="text1"/>
          <w:sz w:val="24"/>
          <w:szCs w:val="24"/>
          <w:shd w:val="clear" w:color="auto" w:fill="FFFFFF"/>
          <w:vertAlign w:val="superscript"/>
        </w:rPr>
        <w:t>13</w:t>
      </w:r>
      <w:r w:rsidR="00FE37F2" w:rsidRPr="00C24FB0">
        <w:rPr>
          <w:rFonts w:ascii="Times New Roman" w:hAnsi="Times New Roman" w:cs="Times New Roman"/>
          <w:color w:val="000000" w:themeColor="text1"/>
          <w:sz w:val="24"/>
          <w:szCs w:val="24"/>
          <w:shd w:val="clear" w:color="auto" w:fill="FFFFFF"/>
        </w:rPr>
        <w:t xml:space="preserve"> </w:t>
      </w:r>
      <w:proofErr w:type="spellStart"/>
      <w:r w:rsidR="00190C64" w:rsidRPr="00C24FB0">
        <w:rPr>
          <w:rFonts w:ascii="Times New Roman" w:hAnsi="Times New Roman" w:cs="Times New Roman"/>
          <w:color w:val="000000" w:themeColor="text1"/>
          <w:sz w:val="24"/>
          <w:szCs w:val="24"/>
          <w:shd w:val="clear" w:color="auto" w:fill="FFFFFF"/>
        </w:rPr>
        <w:t>Bilaloglu</w:t>
      </w:r>
      <w:proofErr w:type="spellEnd"/>
      <w:r w:rsidR="00190C64" w:rsidRPr="00C24FB0">
        <w:rPr>
          <w:rFonts w:ascii="Times New Roman" w:hAnsi="Times New Roman" w:cs="Times New Roman"/>
          <w:color w:val="000000" w:themeColor="text1"/>
          <w:sz w:val="24"/>
          <w:szCs w:val="24"/>
          <w:shd w:val="clear" w:color="auto" w:fill="FFFFFF"/>
        </w:rPr>
        <w:t xml:space="preserve"> et al reported 29% incidence of thrombosis of which comprising of PE (6.2%), DVT (9.4%), stroke (3.7%) and myocardial infarction (13.9%), with an overall mortality rate of 54%.</w:t>
      </w:r>
      <w:r w:rsidR="00216D78" w:rsidRPr="00C24FB0">
        <w:rPr>
          <w:rFonts w:ascii="Times New Roman" w:hAnsi="Times New Roman" w:cs="Times New Roman"/>
          <w:color w:val="000000" w:themeColor="text1"/>
          <w:sz w:val="24"/>
          <w:szCs w:val="24"/>
          <w:shd w:val="clear" w:color="auto" w:fill="FFFFFF"/>
          <w:vertAlign w:val="superscript"/>
        </w:rPr>
        <w:t>14</w:t>
      </w:r>
      <w:r w:rsidR="00216D78" w:rsidRPr="00C24FB0">
        <w:rPr>
          <w:rFonts w:ascii="Times New Roman" w:hAnsi="Times New Roman" w:cs="Times New Roman"/>
          <w:color w:val="000000" w:themeColor="text1"/>
          <w:sz w:val="24"/>
          <w:szCs w:val="24"/>
          <w:shd w:val="clear" w:color="auto" w:fill="FFFFFF"/>
        </w:rPr>
        <w:t xml:space="preserve"> Other study by Jenner WJ et al 56.3% developed thrombosis, and 34% of ICU admitted patients were found to have thrombotic complications, where 16.1% were reported with deep vein thrombosis and 12.6% with pulmonary embolism. </w:t>
      </w:r>
      <w:r w:rsidR="00216D78" w:rsidRPr="00C24FB0">
        <w:rPr>
          <w:rFonts w:ascii="Times New Roman" w:hAnsi="Times New Roman" w:cs="Times New Roman"/>
          <w:color w:val="000000" w:themeColor="text1"/>
          <w:sz w:val="24"/>
          <w:szCs w:val="24"/>
          <w:shd w:val="clear" w:color="auto" w:fill="FFFFFF"/>
          <w:vertAlign w:val="superscript"/>
        </w:rPr>
        <w:t>15</w:t>
      </w:r>
    </w:p>
    <w:p w14:paraId="4EBD8293" w14:textId="7B9C69A0" w:rsidR="00D150CC" w:rsidRPr="00C24FB0" w:rsidRDefault="00914E7F"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Almost all the inflammatory markers had increased by 50% of the pre-event values. The severity of the disease was widely distributed among these patients hence the sensitivity specificity could not be calculated</w:t>
      </w:r>
      <w:r w:rsidR="0090445E" w:rsidRPr="00C24FB0">
        <w:rPr>
          <w:rFonts w:ascii="Times New Roman" w:hAnsi="Times New Roman" w:cs="Times New Roman"/>
          <w:color w:val="000000" w:themeColor="text1"/>
          <w:sz w:val="24"/>
          <w:szCs w:val="24"/>
          <w:shd w:val="clear" w:color="auto" w:fill="FFFFFF"/>
        </w:rPr>
        <w:t>. M</w:t>
      </w:r>
      <w:r w:rsidRPr="00C24FB0">
        <w:rPr>
          <w:rFonts w:ascii="Times New Roman" w:hAnsi="Times New Roman" w:cs="Times New Roman"/>
          <w:color w:val="000000" w:themeColor="text1"/>
          <w:sz w:val="24"/>
          <w:szCs w:val="24"/>
          <w:shd w:val="clear" w:color="auto" w:fill="FFFFFF"/>
        </w:rPr>
        <w:t xml:space="preserve">ajority of these thrombotic events were observed among the patients aged </w:t>
      </w:r>
      <w:r w:rsidR="0090445E" w:rsidRPr="00C24FB0">
        <w:rPr>
          <w:rFonts w:ascii="Times New Roman" w:hAnsi="Times New Roman" w:cs="Times New Roman"/>
          <w:color w:val="000000" w:themeColor="text1"/>
          <w:sz w:val="24"/>
          <w:szCs w:val="24"/>
          <w:shd w:val="clear" w:color="auto" w:fill="FFFFFF"/>
        </w:rPr>
        <w:t xml:space="preserve">&gt; </w:t>
      </w:r>
      <w:r w:rsidRPr="00C24FB0">
        <w:rPr>
          <w:rFonts w:ascii="Times New Roman" w:hAnsi="Times New Roman" w:cs="Times New Roman"/>
          <w:color w:val="000000" w:themeColor="text1"/>
          <w:sz w:val="24"/>
          <w:szCs w:val="24"/>
          <w:shd w:val="clear" w:color="auto" w:fill="FFFFFF"/>
        </w:rPr>
        <w:t>60 years</w:t>
      </w:r>
      <w:r w:rsidR="0090445E" w:rsidRPr="00C24FB0">
        <w:rPr>
          <w:rFonts w:ascii="Times New Roman" w:hAnsi="Times New Roman" w:cs="Times New Roman"/>
          <w:color w:val="000000" w:themeColor="text1"/>
          <w:sz w:val="24"/>
          <w:szCs w:val="24"/>
          <w:shd w:val="clear" w:color="auto" w:fill="FFFFFF"/>
        </w:rPr>
        <w:t xml:space="preserve"> and those </w:t>
      </w:r>
      <w:r w:rsidRPr="00C24FB0">
        <w:rPr>
          <w:rFonts w:ascii="Times New Roman" w:hAnsi="Times New Roman" w:cs="Times New Roman"/>
          <w:color w:val="000000" w:themeColor="text1"/>
          <w:sz w:val="24"/>
          <w:szCs w:val="24"/>
          <w:shd w:val="clear" w:color="auto" w:fill="FFFFFF"/>
        </w:rPr>
        <w:t>with comorbid conditions</w:t>
      </w:r>
      <w:r w:rsidR="004F1DF2" w:rsidRPr="00C24FB0">
        <w:rPr>
          <w:rFonts w:ascii="Times New Roman" w:hAnsi="Times New Roman" w:cs="Times New Roman"/>
          <w:color w:val="000000" w:themeColor="text1"/>
          <w:sz w:val="24"/>
          <w:szCs w:val="24"/>
          <w:shd w:val="clear" w:color="auto" w:fill="FFFFFF"/>
        </w:rPr>
        <w:t xml:space="preserve"> with </w:t>
      </w:r>
      <w:r w:rsidRPr="00C24FB0">
        <w:rPr>
          <w:rFonts w:ascii="Times New Roman" w:hAnsi="Times New Roman" w:cs="Times New Roman"/>
          <w:color w:val="000000" w:themeColor="text1"/>
          <w:sz w:val="24"/>
          <w:szCs w:val="24"/>
          <w:shd w:val="clear" w:color="auto" w:fill="FFFFFF"/>
        </w:rPr>
        <w:t>no statistical significan</w:t>
      </w:r>
      <w:r w:rsidR="004F1DF2" w:rsidRPr="00C24FB0">
        <w:rPr>
          <w:rFonts w:ascii="Times New Roman" w:hAnsi="Times New Roman" w:cs="Times New Roman"/>
          <w:color w:val="000000" w:themeColor="text1"/>
          <w:sz w:val="24"/>
          <w:szCs w:val="24"/>
          <w:shd w:val="clear" w:color="auto" w:fill="FFFFFF"/>
        </w:rPr>
        <w:t>ce.</w:t>
      </w:r>
      <w:r w:rsidRPr="00C24FB0">
        <w:rPr>
          <w:rFonts w:ascii="Times New Roman" w:hAnsi="Times New Roman" w:cs="Times New Roman"/>
          <w:color w:val="000000" w:themeColor="text1"/>
          <w:sz w:val="24"/>
          <w:szCs w:val="24"/>
          <w:shd w:val="clear" w:color="auto" w:fill="FFFFFF"/>
        </w:rPr>
        <w:t xml:space="preserve"> </w:t>
      </w:r>
      <w:r w:rsidR="00D150CC" w:rsidRPr="00C24FB0">
        <w:rPr>
          <w:rFonts w:ascii="Times New Roman" w:hAnsi="Times New Roman" w:cs="Times New Roman"/>
          <w:color w:val="000000" w:themeColor="text1"/>
          <w:sz w:val="24"/>
          <w:szCs w:val="24"/>
          <w:shd w:val="clear" w:color="auto" w:fill="FFFFFF"/>
        </w:rPr>
        <w:t>Similar to the present study Hanif A et al also observed that majority of their patients with thrombotic complications were aged &gt;65 years with significant association and also the patients with higher D dimer were found be at higher risk of developing the ATE and VTE.</w:t>
      </w:r>
      <w:r w:rsidR="00D150CC" w:rsidRPr="00C24FB0">
        <w:rPr>
          <w:rFonts w:ascii="Times New Roman" w:hAnsi="Times New Roman" w:cs="Times New Roman"/>
          <w:color w:val="000000" w:themeColor="text1"/>
          <w:sz w:val="24"/>
          <w:szCs w:val="24"/>
          <w:shd w:val="clear" w:color="auto" w:fill="FFFFFF"/>
          <w:vertAlign w:val="superscript"/>
        </w:rPr>
        <w:t>1</w:t>
      </w:r>
      <w:r w:rsidR="00216D78" w:rsidRPr="00C24FB0">
        <w:rPr>
          <w:rFonts w:ascii="Times New Roman" w:hAnsi="Times New Roman" w:cs="Times New Roman"/>
          <w:color w:val="000000" w:themeColor="text1"/>
          <w:sz w:val="24"/>
          <w:szCs w:val="24"/>
          <w:shd w:val="clear" w:color="auto" w:fill="FFFFFF"/>
          <w:vertAlign w:val="superscript"/>
        </w:rPr>
        <w:t>6</w:t>
      </w:r>
    </w:p>
    <w:p w14:paraId="5DE00452" w14:textId="674F1901" w:rsidR="00914E7F" w:rsidRDefault="00FE37F2" w:rsidP="00904327">
      <w:p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Similar to our study Alonso-Fernandez et al who had carried out screening CTPA on COVID-19 patients with d-dimer &gt; 1 µg/ml identified the complications of PE in almost 50% of the patients</w:t>
      </w:r>
      <w:r w:rsidR="00B53FE5" w:rsidRPr="00C24FB0">
        <w:rPr>
          <w:rFonts w:ascii="Times New Roman" w:hAnsi="Times New Roman" w:cs="Times New Roman"/>
          <w:color w:val="000000" w:themeColor="text1"/>
          <w:sz w:val="24"/>
          <w:szCs w:val="24"/>
          <w:shd w:val="clear" w:color="auto" w:fill="FFFFFF"/>
        </w:rPr>
        <w:t>.</w:t>
      </w:r>
      <w:r w:rsidR="00D00FF8" w:rsidRPr="00C24FB0">
        <w:rPr>
          <w:rFonts w:ascii="Times New Roman" w:hAnsi="Times New Roman" w:cs="Times New Roman"/>
          <w:color w:val="000000" w:themeColor="text1"/>
          <w:sz w:val="24"/>
          <w:szCs w:val="24"/>
          <w:shd w:val="clear" w:color="auto" w:fill="FFFFFF"/>
          <w:vertAlign w:val="superscript"/>
        </w:rPr>
        <w:t>1</w:t>
      </w:r>
      <w:r w:rsidR="00216D78" w:rsidRPr="00C24FB0">
        <w:rPr>
          <w:rFonts w:ascii="Times New Roman" w:hAnsi="Times New Roman" w:cs="Times New Roman"/>
          <w:color w:val="000000" w:themeColor="text1"/>
          <w:sz w:val="24"/>
          <w:szCs w:val="24"/>
          <w:shd w:val="clear" w:color="auto" w:fill="FFFFFF"/>
          <w:vertAlign w:val="superscript"/>
        </w:rPr>
        <w:t>7</w:t>
      </w:r>
      <w:r w:rsidR="00C24FB0" w:rsidRPr="00C24FB0">
        <w:rPr>
          <w:rFonts w:ascii="Times New Roman" w:hAnsi="Times New Roman" w:cs="Times New Roman"/>
          <w:color w:val="000000" w:themeColor="text1"/>
          <w:sz w:val="24"/>
          <w:szCs w:val="24"/>
          <w:shd w:val="clear" w:color="auto" w:fill="FFFFFF"/>
        </w:rPr>
        <w:t xml:space="preserve"> </w:t>
      </w:r>
      <w:proofErr w:type="spellStart"/>
      <w:r w:rsidR="00C24FB0" w:rsidRPr="00C24FB0">
        <w:rPr>
          <w:rFonts w:ascii="Times New Roman" w:hAnsi="Times New Roman" w:cs="Times New Roman"/>
          <w:color w:val="000000" w:themeColor="text1"/>
          <w:sz w:val="24"/>
          <w:szCs w:val="24"/>
          <w:shd w:val="clear" w:color="auto" w:fill="FFFFFF"/>
        </w:rPr>
        <w:t>Samkari</w:t>
      </w:r>
      <w:proofErr w:type="spellEnd"/>
      <w:r w:rsidR="00C24FB0" w:rsidRPr="00C24FB0">
        <w:rPr>
          <w:rFonts w:ascii="Times New Roman" w:hAnsi="Times New Roman" w:cs="Times New Roman"/>
          <w:color w:val="000000" w:themeColor="text1"/>
          <w:sz w:val="24"/>
          <w:szCs w:val="24"/>
          <w:shd w:val="clear" w:color="auto" w:fill="FFFFFF"/>
        </w:rPr>
        <w:t xml:space="preserve"> HA et al also has found that increased D dimer was statistically associated increased inflammatory markers both at the time of admission and after the event.</w:t>
      </w:r>
      <w:r w:rsidR="00C24FB0" w:rsidRPr="00C24FB0">
        <w:rPr>
          <w:rFonts w:ascii="Times New Roman" w:hAnsi="Times New Roman" w:cs="Times New Roman"/>
          <w:color w:val="000000" w:themeColor="text1"/>
          <w:sz w:val="24"/>
          <w:szCs w:val="24"/>
          <w:shd w:val="clear" w:color="auto" w:fill="FFFFFF"/>
          <w:vertAlign w:val="superscript"/>
        </w:rPr>
        <w:t>18</w:t>
      </w:r>
    </w:p>
    <w:p w14:paraId="4302BCEC" w14:textId="34F908B5" w:rsidR="002411A3" w:rsidRDefault="00C24FB0" w:rsidP="00904327">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Limitation of this study was, we have had not compared the increase in inflammatory markers between the patient developed complications and those who had not. And the sensitivity, specificity of each parameter is also not analysed as there was wide distribution in severity of the diseas</w:t>
      </w:r>
      <w:r w:rsidR="00C22052">
        <w:rPr>
          <w:rFonts w:ascii="Times New Roman" w:hAnsi="Times New Roman" w:cs="Times New Roman"/>
          <w:color w:val="000000" w:themeColor="text1"/>
          <w:sz w:val="24"/>
          <w:szCs w:val="24"/>
          <w:shd w:val="clear" w:color="auto" w:fill="FFFFFF"/>
        </w:rPr>
        <w:t>e.</w:t>
      </w:r>
    </w:p>
    <w:p w14:paraId="50CFDC59" w14:textId="1F5A3A44" w:rsidR="004542C9" w:rsidRDefault="004542C9" w:rsidP="00904327">
      <w:pPr>
        <w:spacing w:line="360" w:lineRule="auto"/>
        <w:jc w:val="both"/>
        <w:rPr>
          <w:rFonts w:ascii="Times New Roman" w:hAnsi="Times New Roman" w:cs="Times New Roman"/>
          <w:b/>
          <w:bCs/>
          <w:color w:val="000000" w:themeColor="text1"/>
          <w:sz w:val="24"/>
          <w:szCs w:val="24"/>
          <w:shd w:val="clear" w:color="auto" w:fill="FFFFFF"/>
        </w:rPr>
      </w:pPr>
      <w:r w:rsidRPr="004542C9">
        <w:rPr>
          <w:rFonts w:ascii="Times New Roman" w:hAnsi="Times New Roman" w:cs="Times New Roman"/>
          <w:b/>
          <w:bCs/>
          <w:color w:val="000000" w:themeColor="text1"/>
          <w:sz w:val="24"/>
          <w:szCs w:val="24"/>
          <w:shd w:val="clear" w:color="auto" w:fill="FFFFFF"/>
        </w:rPr>
        <w:t>CONCLUSION</w:t>
      </w:r>
    </w:p>
    <w:p w14:paraId="04BEC0E4" w14:textId="1DF86FBC" w:rsidR="00B70B2C" w:rsidRPr="00753F85" w:rsidRDefault="00B70B2C" w:rsidP="0090432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COVID 19 causes significantly increased surge of inflammatory markers and thereby the significantly increased prevalence of arterial and venous thrombotic events. </w:t>
      </w:r>
      <w:r w:rsidRPr="00753F85">
        <w:rPr>
          <w:rFonts w:ascii="Times New Roman" w:hAnsi="Times New Roman" w:cs="Times New Roman"/>
          <w:color w:val="000000" w:themeColor="text1"/>
          <w:sz w:val="24"/>
          <w:szCs w:val="24"/>
          <w:shd w:val="clear" w:color="auto" w:fill="FFFFFF"/>
        </w:rPr>
        <w:t xml:space="preserve">There is almost &gt;50% raise in serum ferritin, </w:t>
      </w:r>
      <w:r w:rsidR="00753F85" w:rsidRPr="00753F85">
        <w:rPr>
          <w:rFonts w:ascii="Times New Roman" w:hAnsi="Times New Roman" w:cs="Times New Roman"/>
          <w:color w:val="000000" w:themeColor="text1"/>
          <w:sz w:val="24"/>
          <w:szCs w:val="24"/>
          <w:shd w:val="clear" w:color="auto" w:fill="FFFFFF"/>
        </w:rPr>
        <w:t xml:space="preserve">LDH, IL 6 and fibrinogen among the patients after development </w:t>
      </w:r>
      <w:r w:rsidR="00753F85" w:rsidRPr="00753F85">
        <w:rPr>
          <w:rFonts w:ascii="Times New Roman" w:hAnsi="Times New Roman" w:cs="Times New Roman"/>
          <w:color w:val="000000" w:themeColor="text1"/>
          <w:sz w:val="24"/>
          <w:szCs w:val="24"/>
          <w:shd w:val="clear" w:color="auto" w:fill="FFFFFF"/>
        </w:rPr>
        <w:lastRenderedPageBreak/>
        <w:t>thrombotic events.</w:t>
      </w:r>
      <w:r w:rsidR="00753F85">
        <w:rPr>
          <w:rFonts w:ascii="Times New Roman" w:hAnsi="Times New Roman" w:cs="Times New Roman"/>
          <w:color w:val="000000" w:themeColor="text1"/>
          <w:sz w:val="24"/>
          <w:szCs w:val="24"/>
        </w:rPr>
        <w:t xml:space="preserve"> </w:t>
      </w:r>
      <w:r w:rsidRPr="00753F85">
        <w:rPr>
          <w:rFonts w:ascii="Times New Roman" w:hAnsi="Times New Roman" w:cs="Times New Roman"/>
          <w:color w:val="000000" w:themeColor="text1"/>
          <w:sz w:val="24"/>
          <w:szCs w:val="24"/>
          <w:shd w:val="clear" w:color="auto" w:fill="FFFFFF"/>
        </w:rPr>
        <w:t>22.6% and 17.3% were the prevalence of venous and arterial thrombotic events respectively.</w:t>
      </w:r>
    </w:p>
    <w:p w14:paraId="432EDB76" w14:textId="69167538" w:rsidR="00C24FB0" w:rsidRPr="00A81690" w:rsidRDefault="00A81690" w:rsidP="00904327">
      <w:pPr>
        <w:spacing w:line="360" w:lineRule="auto"/>
        <w:rPr>
          <w:rFonts w:ascii="Times New Roman" w:hAnsi="Times New Roman" w:cs="Times New Roman"/>
          <w:sz w:val="24"/>
          <w:szCs w:val="24"/>
        </w:rPr>
      </w:pPr>
      <w:r w:rsidRPr="003C20C1">
        <w:rPr>
          <w:rFonts w:ascii="Times New Roman" w:hAnsi="Times New Roman" w:cs="Times New Roman"/>
          <w:b/>
          <w:bCs/>
          <w:sz w:val="24"/>
          <w:szCs w:val="24"/>
        </w:rPr>
        <w:t>Key words:</w:t>
      </w:r>
      <w:r w:rsidRPr="00AB0A48">
        <w:rPr>
          <w:rFonts w:ascii="Times New Roman" w:hAnsi="Times New Roman" w:cs="Times New Roman"/>
          <w:sz w:val="24"/>
          <w:szCs w:val="24"/>
        </w:rPr>
        <w:t xml:space="preserve"> Thrombotic events, COVID 19, Arterial thromboembolic events, Venous thromboembolic events</w:t>
      </w:r>
    </w:p>
    <w:p w14:paraId="7B4A515C" w14:textId="1D9BE2B4" w:rsidR="002411A3" w:rsidRPr="00A81690" w:rsidRDefault="0062205F" w:rsidP="00A81690">
      <w:pPr>
        <w:pStyle w:val="ListParagraph"/>
        <w:spacing w:line="360" w:lineRule="auto"/>
        <w:jc w:val="center"/>
        <w:rPr>
          <w:rFonts w:ascii="Times New Roman" w:hAnsi="Times New Roman" w:cs="Times New Roman"/>
          <w:b/>
          <w:bCs/>
          <w:color w:val="000000" w:themeColor="text1"/>
          <w:sz w:val="24"/>
          <w:szCs w:val="24"/>
          <w:u w:val="single"/>
        </w:rPr>
      </w:pPr>
      <w:r w:rsidRPr="00C24FB0">
        <w:rPr>
          <w:rFonts w:ascii="Times New Roman" w:hAnsi="Times New Roman" w:cs="Times New Roman"/>
          <w:b/>
          <w:bCs/>
          <w:color w:val="000000" w:themeColor="text1"/>
          <w:sz w:val="24"/>
          <w:szCs w:val="24"/>
          <w:u w:val="single"/>
        </w:rPr>
        <w:t>REFERENCES</w:t>
      </w:r>
    </w:p>
    <w:p w14:paraId="654B5D14" w14:textId="5E58785E" w:rsidR="0062205F" w:rsidRPr="00C24FB0" w:rsidRDefault="0062205F"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Avila J, Long B, Holladay D, Gottlieb M. Thrombotic complications of COVID-19. Am J </w:t>
      </w:r>
      <w:proofErr w:type="spellStart"/>
      <w:r w:rsidRPr="00C24FB0">
        <w:rPr>
          <w:rFonts w:ascii="Times New Roman" w:hAnsi="Times New Roman" w:cs="Times New Roman"/>
          <w:color w:val="000000" w:themeColor="text1"/>
          <w:sz w:val="24"/>
          <w:szCs w:val="24"/>
          <w:shd w:val="clear" w:color="auto" w:fill="FFFFFF"/>
        </w:rPr>
        <w:t>Emerg</w:t>
      </w:r>
      <w:proofErr w:type="spellEnd"/>
      <w:r w:rsidRPr="00C24FB0">
        <w:rPr>
          <w:rFonts w:ascii="Times New Roman" w:hAnsi="Times New Roman" w:cs="Times New Roman"/>
          <w:color w:val="000000" w:themeColor="text1"/>
          <w:sz w:val="24"/>
          <w:szCs w:val="24"/>
          <w:shd w:val="clear" w:color="auto" w:fill="FFFFFF"/>
        </w:rPr>
        <w:t xml:space="preserve"> Med. 2021 Jan;39:213-218. </w:t>
      </w:r>
    </w:p>
    <w:p w14:paraId="62C56113" w14:textId="6A673856" w:rsidR="0062205F" w:rsidRPr="00C24FB0" w:rsidRDefault="00F927B9" w:rsidP="00904327">
      <w:pPr>
        <w:pStyle w:val="ListParagraph"/>
        <w:numPr>
          <w:ilvl w:val="0"/>
          <w:numId w:val="3"/>
        </w:numPr>
        <w:spacing w:line="360" w:lineRule="auto"/>
        <w:jc w:val="both"/>
        <w:rPr>
          <w:rStyle w:val="Hyperlink"/>
          <w:color w:val="000000" w:themeColor="text1"/>
          <w:sz w:val="24"/>
          <w:szCs w:val="24"/>
          <w:shd w:val="clear" w:color="auto" w:fill="FFFFFF"/>
        </w:rPr>
      </w:pPr>
      <w:r w:rsidRPr="00C24FB0">
        <w:rPr>
          <w:rFonts w:ascii="Times New Roman" w:hAnsi="Times New Roman" w:cs="Times New Roman"/>
          <w:color w:val="000000" w:themeColor="text1"/>
          <w:sz w:val="24"/>
          <w:szCs w:val="24"/>
        </w:rPr>
        <w:t>India: WHO coronavirus</w:t>
      </w:r>
      <w:r w:rsidR="00D150CC" w:rsidRPr="00C24FB0">
        <w:rPr>
          <w:rFonts w:ascii="Times New Roman" w:hAnsi="Times New Roman" w:cs="Times New Roman"/>
          <w:color w:val="000000" w:themeColor="text1"/>
          <w:sz w:val="24"/>
          <w:szCs w:val="24"/>
        </w:rPr>
        <w:t xml:space="preserve"> </w:t>
      </w:r>
      <w:r w:rsidRPr="00C24FB0">
        <w:rPr>
          <w:rFonts w:ascii="Times New Roman" w:hAnsi="Times New Roman" w:cs="Times New Roman"/>
          <w:color w:val="000000" w:themeColor="text1"/>
          <w:sz w:val="24"/>
          <w:szCs w:val="24"/>
        </w:rPr>
        <w:t xml:space="preserve">(COVID 19) dashboard Available on </w:t>
      </w:r>
      <w:hyperlink r:id="rId10" w:history="1">
        <w:r w:rsidRPr="00C24FB0">
          <w:rPr>
            <w:rStyle w:val="Hyperlink"/>
            <w:color w:val="000000" w:themeColor="text1"/>
            <w:sz w:val="24"/>
            <w:szCs w:val="24"/>
            <w:shd w:val="clear" w:color="auto" w:fill="FFFFFF"/>
          </w:rPr>
          <w:t>https://covid19.who.int/region/searo/country/in Accessed on July 12</w:t>
        </w:r>
      </w:hyperlink>
      <w:r w:rsidRPr="00C24FB0">
        <w:rPr>
          <w:rFonts w:ascii="Times New Roman" w:hAnsi="Times New Roman" w:cs="Times New Roman"/>
          <w:color w:val="000000" w:themeColor="text1"/>
          <w:sz w:val="24"/>
          <w:szCs w:val="24"/>
          <w:shd w:val="clear" w:color="auto" w:fill="FFFFFF"/>
        </w:rPr>
        <w:t>, 2021</w:t>
      </w:r>
    </w:p>
    <w:p w14:paraId="6B32BAFE" w14:textId="03DEA766" w:rsidR="0062205F" w:rsidRPr="00C24FB0" w:rsidRDefault="0062205F"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Zhou F., Yu T., Du R., Fan G., Liu Y., Liu Z. Clinical course and risk factors for mortality of adult inpatients with COVID-19 in Wuhan, China: a retrospective cohort study. </w:t>
      </w:r>
      <w:r w:rsidRPr="00C24FB0">
        <w:rPr>
          <w:rStyle w:val="ref-journal"/>
          <w:color w:val="000000" w:themeColor="text1"/>
          <w:sz w:val="24"/>
          <w:szCs w:val="24"/>
          <w:shd w:val="clear" w:color="auto" w:fill="FFFFFF"/>
        </w:rPr>
        <w:t>Lancet. </w:t>
      </w:r>
      <w:r w:rsidRPr="00C24FB0">
        <w:rPr>
          <w:rFonts w:ascii="Times New Roman" w:hAnsi="Times New Roman" w:cs="Times New Roman"/>
          <w:color w:val="000000" w:themeColor="text1"/>
          <w:sz w:val="24"/>
          <w:szCs w:val="24"/>
          <w:shd w:val="clear" w:color="auto" w:fill="FFFFFF"/>
        </w:rPr>
        <w:t>2020;</w:t>
      </w:r>
      <w:r w:rsidRPr="00C24FB0">
        <w:rPr>
          <w:rStyle w:val="ref-vol"/>
          <w:color w:val="000000" w:themeColor="text1"/>
          <w:sz w:val="24"/>
          <w:szCs w:val="24"/>
          <w:shd w:val="clear" w:color="auto" w:fill="FFFFFF"/>
        </w:rPr>
        <w:t>395</w:t>
      </w:r>
      <w:r w:rsidRPr="00C24FB0">
        <w:rPr>
          <w:rFonts w:ascii="Times New Roman" w:hAnsi="Times New Roman" w:cs="Times New Roman"/>
          <w:color w:val="000000" w:themeColor="text1"/>
          <w:sz w:val="24"/>
          <w:szCs w:val="24"/>
          <w:shd w:val="clear" w:color="auto" w:fill="FFFFFF"/>
        </w:rPr>
        <w:t>(10229):1054–1062. </w:t>
      </w:r>
    </w:p>
    <w:p w14:paraId="1FA1E026" w14:textId="4AA4B034" w:rsidR="0062205F" w:rsidRPr="00C24FB0" w:rsidRDefault="0062205F"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C24FB0">
        <w:rPr>
          <w:rFonts w:ascii="Times New Roman" w:hAnsi="Times New Roman" w:cs="Times New Roman"/>
          <w:color w:val="000000" w:themeColor="text1"/>
          <w:sz w:val="24"/>
          <w:szCs w:val="24"/>
          <w:shd w:val="clear" w:color="auto" w:fill="FFFFFF"/>
        </w:rPr>
        <w:t>Panigada</w:t>
      </w:r>
      <w:proofErr w:type="spellEnd"/>
      <w:r w:rsidRPr="00C24FB0">
        <w:rPr>
          <w:rFonts w:ascii="Times New Roman" w:hAnsi="Times New Roman" w:cs="Times New Roman"/>
          <w:color w:val="000000" w:themeColor="text1"/>
          <w:sz w:val="24"/>
          <w:szCs w:val="24"/>
          <w:shd w:val="clear" w:color="auto" w:fill="FFFFFF"/>
        </w:rPr>
        <w:t xml:space="preserve"> M., </w:t>
      </w:r>
      <w:proofErr w:type="spellStart"/>
      <w:r w:rsidRPr="00C24FB0">
        <w:rPr>
          <w:rFonts w:ascii="Times New Roman" w:hAnsi="Times New Roman" w:cs="Times New Roman"/>
          <w:color w:val="000000" w:themeColor="text1"/>
          <w:sz w:val="24"/>
          <w:szCs w:val="24"/>
          <w:shd w:val="clear" w:color="auto" w:fill="FFFFFF"/>
        </w:rPr>
        <w:t>Bottino</w:t>
      </w:r>
      <w:proofErr w:type="spellEnd"/>
      <w:r w:rsidRPr="00C24FB0">
        <w:rPr>
          <w:rFonts w:ascii="Times New Roman" w:hAnsi="Times New Roman" w:cs="Times New Roman"/>
          <w:color w:val="000000" w:themeColor="text1"/>
          <w:sz w:val="24"/>
          <w:szCs w:val="24"/>
          <w:shd w:val="clear" w:color="auto" w:fill="FFFFFF"/>
        </w:rPr>
        <w:t xml:space="preserve"> N., Tagliabue P. Hypercoagulability of COVID-19 patients in intensive care unit: a report of </w:t>
      </w:r>
      <w:proofErr w:type="spellStart"/>
      <w:r w:rsidRPr="00C24FB0">
        <w:rPr>
          <w:rFonts w:ascii="Times New Roman" w:hAnsi="Times New Roman" w:cs="Times New Roman"/>
          <w:color w:val="000000" w:themeColor="text1"/>
          <w:sz w:val="24"/>
          <w:szCs w:val="24"/>
          <w:shd w:val="clear" w:color="auto" w:fill="FFFFFF"/>
        </w:rPr>
        <w:t>thromboelastography</w:t>
      </w:r>
      <w:proofErr w:type="spellEnd"/>
      <w:r w:rsidRPr="00C24FB0">
        <w:rPr>
          <w:rFonts w:ascii="Times New Roman" w:hAnsi="Times New Roman" w:cs="Times New Roman"/>
          <w:color w:val="000000" w:themeColor="text1"/>
          <w:sz w:val="24"/>
          <w:szCs w:val="24"/>
          <w:shd w:val="clear" w:color="auto" w:fill="FFFFFF"/>
        </w:rPr>
        <w:t xml:space="preserve"> findings and other parameters of hemostasis. J </w:t>
      </w:r>
      <w:proofErr w:type="spellStart"/>
      <w:r w:rsidRPr="00C24FB0">
        <w:rPr>
          <w:rFonts w:ascii="Times New Roman" w:hAnsi="Times New Roman" w:cs="Times New Roman"/>
          <w:color w:val="000000" w:themeColor="text1"/>
          <w:sz w:val="24"/>
          <w:szCs w:val="24"/>
          <w:shd w:val="clear" w:color="auto" w:fill="FFFFFF"/>
        </w:rPr>
        <w:t>Thromb</w:t>
      </w:r>
      <w:proofErr w:type="spellEnd"/>
      <w:r w:rsidRPr="00C24FB0">
        <w:rPr>
          <w:rFonts w:ascii="Times New Roman" w:hAnsi="Times New Roman" w:cs="Times New Roman"/>
          <w:color w:val="000000" w:themeColor="text1"/>
          <w:sz w:val="24"/>
          <w:szCs w:val="24"/>
          <w:shd w:val="clear" w:color="auto" w:fill="FFFFFF"/>
        </w:rPr>
        <w:t xml:space="preserve"> </w:t>
      </w:r>
      <w:proofErr w:type="spellStart"/>
      <w:r w:rsidRPr="00C24FB0">
        <w:rPr>
          <w:rFonts w:ascii="Times New Roman" w:hAnsi="Times New Roman" w:cs="Times New Roman"/>
          <w:color w:val="000000" w:themeColor="text1"/>
          <w:sz w:val="24"/>
          <w:szCs w:val="24"/>
          <w:shd w:val="clear" w:color="auto" w:fill="FFFFFF"/>
        </w:rPr>
        <w:t>Haemost</w:t>
      </w:r>
      <w:proofErr w:type="spellEnd"/>
      <w:r w:rsidRPr="00C24FB0">
        <w:rPr>
          <w:rFonts w:ascii="Times New Roman" w:hAnsi="Times New Roman" w:cs="Times New Roman"/>
          <w:color w:val="000000" w:themeColor="text1"/>
          <w:sz w:val="24"/>
          <w:szCs w:val="24"/>
          <w:shd w:val="clear" w:color="auto" w:fill="FFFFFF"/>
        </w:rPr>
        <w:t>. 2020;18(7):1738–1742.</w:t>
      </w:r>
    </w:p>
    <w:p w14:paraId="2B088752" w14:textId="5471DB70" w:rsidR="002411A3" w:rsidRPr="00C24FB0" w:rsidRDefault="002411A3"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Ni W, Yang X, Yang D, Bao J, Li R, Xiao Y, Hou C, Wang H, Liu J, Yang D, Xu Y, Cao Z, Gao Z. Role of angiotensin-converting enzyme 2 (ACE2) in COVID-19. Crit Care. 2020 Jul 13;24(1):422. </w:t>
      </w:r>
    </w:p>
    <w:p w14:paraId="2EFC3486" w14:textId="163BD39B" w:rsidR="0069031A" w:rsidRPr="00C24FB0" w:rsidRDefault="0069031A"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Cui S, Chen S, Li X, Liu S, Wang F. Prevalence of venous thromboembolism in patients with severe novel coronavirus pneumonia. J </w:t>
      </w:r>
      <w:proofErr w:type="spellStart"/>
      <w:r w:rsidRPr="00C24FB0">
        <w:rPr>
          <w:rFonts w:ascii="Times New Roman" w:hAnsi="Times New Roman" w:cs="Times New Roman"/>
          <w:color w:val="000000" w:themeColor="text1"/>
          <w:sz w:val="24"/>
          <w:szCs w:val="24"/>
          <w:shd w:val="clear" w:color="auto" w:fill="FFFFFF"/>
        </w:rPr>
        <w:t>Thromb</w:t>
      </w:r>
      <w:proofErr w:type="spellEnd"/>
      <w:r w:rsidRPr="00C24FB0">
        <w:rPr>
          <w:rFonts w:ascii="Times New Roman" w:hAnsi="Times New Roman" w:cs="Times New Roman"/>
          <w:color w:val="000000" w:themeColor="text1"/>
          <w:sz w:val="24"/>
          <w:szCs w:val="24"/>
          <w:shd w:val="clear" w:color="auto" w:fill="FFFFFF"/>
        </w:rPr>
        <w:t xml:space="preserve"> </w:t>
      </w:r>
      <w:proofErr w:type="spellStart"/>
      <w:r w:rsidRPr="00C24FB0">
        <w:rPr>
          <w:rFonts w:ascii="Times New Roman" w:hAnsi="Times New Roman" w:cs="Times New Roman"/>
          <w:color w:val="000000" w:themeColor="text1"/>
          <w:sz w:val="24"/>
          <w:szCs w:val="24"/>
          <w:shd w:val="clear" w:color="auto" w:fill="FFFFFF"/>
        </w:rPr>
        <w:t>Haemost</w:t>
      </w:r>
      <w:proofErr w:type="spellEnd"/>
      <w:r w:rsidRPr="00C24FB0">
        <w:rPr>
          <w:rFonts w:ascii="Times New Roman" w:hAnsi="Times New Roman" w:cs="Times New Roman"/>
          <w:color w:val="000000" w:themeColor="text1"/>
          <w:sz w:val="24"/>
          <w:szCs w:val="24"/>
          <w:shd w:val="clear" w:color="auto" w:fill="FFFFFF"/>
        </w:rPr>
        <w:t xml:space="preserve">. 2020 Jun;18(6):1421-1424. </w:t>
      </w:r>
    </w:p>
    <w:p w14:paraId="2020E068" w14:textId="1031B010" w:rsidR="0062205F" w:rsidRPr="00C24FB0" w:rsidRDefault="0062205F"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C24FB0">
        <w:rPr>
          <w:rFonts w:ascii="Times New Roman" w:hAnsi="Times New Roman" w:cs="Times New Roman"/>
          <w:color w:val="000000" w:themeColor="text1"/>
          <w:sz w:val="24"/>
          <w:szCs w:val="24"/>
          <w:shd w:val="clear" w:color="auto" w:fill="FFFFFF"/>
        </w:rPr>
        <w:t>Klok</w:t>
      </w:r>
      <w:proofErr w:type="spellEnd"/>
      <w:r w:rsidRPr="00C24FB0">
        <w:rPr>
          <w:rFonts w:ascii="Times New Roman" w:hAnsi="Times New Roman" w:cs="Times New Roman"/>
          <w:color w:val="000000" w:themeColor="text1"/>
          <w:sz w:val="24"/>
          <w:szCs w:val="24"/>
          <w:shd w:val="clear" w:color="auto" w:fill="FFFFFF"/>
        </w:rPr>
        <w:t xml:space="preserve"> F.A., </w:t>
      </w:r>
      <w:proofErr w:type="spellStart"/>
      <w:r w:rsidRPr="00C24FB0">
        <w:rPr>
          <w:rFonts w:ascii="Times New Roman" w:hAnsi="Times New Roman" w:cs="Times New Roman"/>
          <w:color w:val="000000" w:themeColor="text1"/>
          <w:sz w:val="24"/>
          <w:szCs w:val="24"/>
          <w:shd w:val="clear" w:color="auto" w:fill="FFFFFF"/>
        </w:rPr>
        <w:t>Kruip</w:t>
      </w:r>
      <w:proofErr w:type="spellEnd"/>
      <w:r w:rsidRPr="00C24FB0">
        <w:rPr>
          <w:rFonts w:ascii="Times New Roman" w:hAnsi="Times New Roman" w:cs="Times New Roman"/>
          <w:color w:val="000000" w:themeColor="text1"/>
          <w:sz w:val="24"/>
          <w:szCs w:val="24"/>
          <w:shd w:val="clear" w:color="auto" w:fill="FFFFFF"/>
        </w:rPr>
        <w:t xml:space="preserve"> M.J.H.A., van der Meer N.J.M. Incidence of thrombotic complications in critically ill ICU patients with COVID-19. </w:t>
      </w:r>
      <w:proofErr w:type="spellStart"/>
      <w:r w:rsidRPr="00C24FB0">
        <w:rPr>
          <w:rStyle w:val="ref-journal"/>
          <w:color w:val="000000" w:themeColor="text1"/>
          <w:sz w:val="24"/>
          <w:szCs w:val="24"/>
          <w:shd w:val="clear" w:color="auto" w:fill="FFFFFF"/>
        </w:rPr>
        <w:t>Thromb</w:t>
      </w:r>
      <w:proofErr w:type="spellEnd"/>
      <w:r w:rsidRPr="00C24FB0">
        <w:rPr>
          <w:rStyle w:val="ref-journal"/>
          <w:color w:val="000000" w:themeColor="text1"/>
          <w:sz w:val="24"/>
          <w:szCs w:val="24"/>
          <w:shd w:val="clear" w:color="auto" w:fill="FFFFFF"/>
        </w:rPr>
        <w:t xml:space="preserve"> Res. </w:t>
      </w:r>
      <w:r w:rsidRPr="00C24FB0">
        <w:rPr>
          <w:rFonts w:ascii="Times New Roman" w:hAnsi="Times New Roman" w:cs="Times New Roman"/>
          <w:color w:val="000000" w:themeColor="text1"/>
          <w:sz w:val="24"/>
          <w:szCs w:val="24"/>
          <w:shd w:val="clear" w:color="auto" w:fill="FFFFFF"/>
        </w:rPr>
        <w:t>2020;</w:t>
      </w:r>
      <w:r w:rsidRPr="00C24FB0">
        <w:rPr>
          <w:rStyle w:val="ref-vol"/>
          <w:color w:val="000000" w:themeColor="text1"/>
          <w:sz w:val="24"/>
          <w:szCs w:val="24"/>
          <w:shd w:val="clear" w:color="auto" w:fill="FFFFFF"/>
        </w:rPr>
        <w:t>191</w:t>
      </w:r>
      <w:r w:rsidRPr="00C24FB0">
        <w:rPr>
          <w:rFonts w:ascii="Times New Roman" w:hAnsi="Times New Roman" w:cs="Times New Roman"/>
          <w:color w:val="000000" w:themeColor="text1"/>
          <w:sz w:val="24"/>
          <w:szCs w:val="24"/>
          <w:shd w:val="clear" w:color="auto" w:fill="FFFFFF"/>
        </w:rPr>
        <w:t>:145–147. </w:t>
      </w:r>
    </w:p>
    <w:p w14:paraId="0FC8A656" w14:textId="5D8DEA74" w:rsidR="0062205F" w:rsidRPr="00C24FB0" w:rsidRDefault="0069031A"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C24FB0">
        <w:rPr>
          <w:rFonts w:ascii="Times New Roman" w:hAnsi="Times New Roman" w:cs="Times New Roman"/>
          <w:color w:val="000000" w:themeColor="text1"/>
          <w:sz w:val="24"/>
          <w:szCs w:val="24"/>
          <w:shd w:val="clear" w:color="auto" w:fill="FFFFFF"/>
        </w:rPr>
        <w:t xml:space="preserve">Jenner WJ, </w:t>
      </w:r>
      <w:proofErr w:type="spellStart"/>
      <w:r w:rsidRPr="00C24FB0">
        <w:rPr>
          <w:rFonts w:ascii="Times New Roman" w:hAnsi="Times New Roman" w:cs="Times New Roman"/>
          <w:color w:val="000000" w:themeColor="text1"/>
          <w:sz w:val="24"/>
          <w:szCs w:val="24"/>
          <w:shd w:val="clear" w:color="auto" w:fill="FFFFFF"/>
        </w:rPr>
        <w:t>Gorog</w:t>
      </w:r>
      <w:proofErr w:type="spellEnd"/>
      <w:r w:rsidRPr="00C24FB0">
        <w:rPr>
          <w:rFonts w:ascii="Times New Roman" w:hAnsi="Times New Roman" w:cs="Times New Roman"/>
          <w:color w:val="000000" w:themeColor="text1"/>
          <w:sz w:val="24"/>
          <w:szCs w:val="24"/>
          <w:shd w:val="clear" w:color="auto" w:fill="FFFFFF"/>
        </w:rPr>
        <w:t xml:space="preserve"> DA. Incidence of thrombotic complications in COVID-19 : On behalf of ICODE: The International COVID-19 Thrombosis Biomarkers Colloquium. J </w:t>
      </w:r>
      <w:proofErr w:type="spellStart"/>
      <w:r w:rsidRPr="00C24FB0">
        <w:rPr>
          <w:rFonts w:ascii="Times New Roman" w:hAnsi="Times New Roman" w:cs="Times New Roman"/>
          <w:color w:val="000000" w:themeColor="text1"/>
          <w:sz w:val="24"/>
          <w:szCs w:val="24"/>
          <w:shd w:val="clear" w:color="auto" w:fill="FFFFFF"/>
        </w:rPr>
        <w:t>Thromb</w:t>
      </w:r>
      <w:proofErr w:type="spellEnd"/>
      <w:r w:rsidRPr="00C24FB0">
        <w:rPr>
          <w:rFonts w:ascii="Times New Roman" w:hAnsi="Times New Roman" w:cs="Times New Roman"/>
          <w:color w:val="000000" w:themeColor="text1"/>
          <w:sz w:val="24"/>
          <w:szCs w:val="24"/>
          <w:shd w:val="clear" w:color="auto" w:fill="FFFFFF"/>
        </w:rPr>
        <w:t xml:space="preserve"> Thrombolysis. 2021 Nov;52(4):999-1006. </w:t>
      </w:r>
    </w:p>
    <w:p w14:paraId="030E9DB9" w14:textId="6735B5D0" w:rsidR="0062205F" w:rsidRPr="00C24FB0" w:rsidRDefault="004C7E3F"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Middeldorp S, Coppens M, van </w:t>
      </w:r>
      <w:proofErr w:type="spellStart"/>
      <w:r w:rsidRPr="00C24FB0">
        <w:rPr>
          <w:rFonts w:ascii="Times New Roman" w:hAnsi="Times New Roman" w:cs="Times New Roman"/>
          <w:color w:val="000000" w:themeColor="text1"/>
          <w:sz w:val="24"/>
          <w:szCs w:val="24"/>
          <w:shd w:val="clear" w:color="auto" w:fill="FFFFFF"/>
        </w:rPr>
        <w:t>Haaps</w:t>
      </w:r>
      <w:proofErr w:type="spellEnd"/>
      <w:r w:rsidRPr="00C24FB0">
        <w:rPr>
          <w:rFonts w:ascii="Times New Roman" w:hAnsi="Times New Roman" w:cs="Times New Roman"/>
          <w:color w:val="000000" w:themeColor="text1"/>
          <w:sz w:val="24"/>
          <w:szCs w:val="24"/>
          <w:shd w:val="clear" w:color="auto" w:fill="FFFFFF"/>
        </w:rPr>
        <w:t xml:space="preserve"> TF, </w:t>
      </w:r>
      <w:proofErr w:type="spellStart"/>
      <w:r w:rsidRPr="00C24FB0">
        <w:rPr>
          <w:rFonts w:ascii="Times New Roman" w:hAnsi="Times New Roman" w:cs="Times New Roman"/>
          <w:color w:val="000000" w:themeColor="text1"/>
          <w:sz w:val="24"/>
          <w:szCs w:val="24"/>
          <w:shd w:val="clear" w:color="auto" w:fill="FFFFFF"/>
        </w:rPr>
        <w:t>Foppen</w:t>
      </w:r>
      <w:proofErr w:type="spellEnd"/>
      <w:r w:rsidRPr="00C24FB0">
        <w:rPr>
          <w:rFonts w:ascii="Times New Roman" w:hAnsi="Times New Roman" w:cs="Times New Roman"/>
          <w:color w:val="000000" w:themeColor="text1"/>
          <w:sz w:val="24"/>
          <w:szCs w:val="24"/>
          <w:shd w:val="clear" w:color="auto" w:fill="FFFFFF"/>
        </w:rPr>
        <w:t xml:space="preserve"> M, Vlaar AP, Müller MCA et al. Incidence of venous thromboembolism in hospitalized patients with COVID-19. J </w:t>
      </w:r>
      <w:proofErr w:type="spellStart"/>
      <w:r w:rsidRPr="00C24FB0">
        <w:rPr>
          <w:rFonts w:ascii="Times New Roman" w:hAnsi="Times New Roman" w:cs="Times New Roman"/>
          <w:color w:val="000000" w:themeColor="text1"/>
          <w:sz w:val="24"/>
          <w:szCs w:val="24"/>
          <w:shd w:val="clear" w:color="auto" w:fill="FFFFFF"/>
        </w:rPr>
        <w:t>Thromb</w:t>
      </w:r>
      <w:proofErr w:type="spellEnd"/>
      <w:r w:rsidRPr="00C24FB0">
        <w:rPr>
          <w:rFonts w:ascii="Times New Roman" w:hAnsi="Times New Roman" w:cs="Times New Roman"/>
          <w:color w:val="000000" w:themeColor="text1"/>
          <w:sz w:val="24"/>
          <w:szCs w:val="24"/>
          <w:shd w:val="clear" w:color="auto" w:fill="FFFFFF"/>
        </w:rPr>
        <w:t xml:space="preserve"> </w:t>
      </w:r>
      <w:proofErr w:type="spellStart"/>
      <w:r w:rsidRPr="00C24FB0">
        <w:rPr>
          <w:rFonts w:ascii="Times New Roman" w:hAnsi="Times New Roman" w:cs="Times New Roman"/>
          <w:color w:val="000000" w:themeColor="text1"/>
          <w:sz w:val="24"/>
          <w:szCs w:val="24"/>
          <w:shd w:val="clear" w:color="auto" w:fill="FFFFFF"/>
        </w:rPr>
        <w:t>Haemost</w:t>
      </w:r>
      <w:proofErr w:type="spellEnd"/>
      <w:r w:rsidRPr="00C24FB0">
        <w:rPr>
          <w:rFonts w:ascii="Times New Roman" w:hAnsi="Times New Roman" w:cs="Times New Roman"/>
          <w:color w:val="000000" w:themeColor="text1"/>
          <w:sz w:val="24"/>
          <w:szCs w:val="24"/>
          <w:shd w:val="clear" w:color="auto" w:fill="FFFFFF"/>
        </w:rPr>
        <w:t xml:space="preserve">. 2020 Aug;18(8):1995-2002. </w:t>
      </w:r>
    </w:p>
    <w:p w14:paraId="128CDADC" w14:textId="317EF7A5" w:rsidR="004C7E3F" w:rsidRPr="00C24FB0" w:rsidRDefault="00F927B9"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Piazza G, </w:t>
      </w:r>
      <w:proofErr w:type="spellStart"/>
      <w:r w:rsidRPr="00C24FB0">
        <w:rPr>
          <w:rFonts w:ascii="Times New Roman" w:hAnsi="Times New Roman" w:cs="Times New Roman"/>
          <w:color w:val="000000" w:themeColor="text1"/>
          <w:sz w:val="24"/>
          <w:szCs w:val="24"/>
          <w:shd w:val="clear" w:color="auto" w:fill="FFFFFF"/>
        </w:rPr>
        <w:t>Campia</w:t>
      </w:r>
      <w:proofErr w:type="spellEnd"/>
      <w:r w:rsidRPr="00C24FB0">
        <w:rPr>
          <w:rFonts w:ascii="Times New Roman" w:hAnsi="Times New Roman" w:cs="Times New Roman"/>
          <w:color w:val="000000" w:themeColor="text1"/>
          <w:sz w:val="24"/>
          <w:szCs w:val="24"/>
          <w:shd w:val="clear" w:color="auto" w:fill="FFFFFF"/>
        </w:rPr>
        <w:t xml:space="preserve"> U, Hurwitz S et al. Registry of arterial and venous thromboembolic complications in patients with COVID-19. </w:t>
      </w:r>
      <w:r w:rsidRPr="00C24FB0">
        <w:rPr>
          <w:rFonts w:ascii="Times New Roman" w:hAnsi="Times New Roman" w:cs="Times New Roman"/>
          <w:i/>
          <w:iCs/>
          <w:color w:val="000000" w:themeColor="text1"/>
          <w:sz w:val="24"/>
          <w:szCs w:val="24"/>
          <w:shd w:val="clear" w:color="auto" w:fill="FFFFFF"/>
        </w:rPr>
        <w:t xml:space="preserve">J Am Coll </w:t>
      </w:r>
      <w:proofErr w:type="spellStart"/>
      <w:r w:rsidRPr="00C24FB0">
        <w:rPr>
          <w:rFonts w:ascii="Times New Roman" w:hAnsi="Times New Roman" w:cs="Times New Roman"/>
          <w:i/>
          <w:iCs/>
          <w:color w:val="000000" w:themeColor="text1"/>
          <w:sz w:val="24"/>
          <w:szCs w:val="24"/>
          <w:shd w:val="clear" w:color="auto" w:fill="FFFFFF"/>
        </w:rPr>
        <w:t>Cardiol</w:t>
      </w:r>
      <w:proofErr w:type="spellEnd"/>
      <w:r w:rsidRPr="00C24FB0">
        <w:rPr>
          <w:rFonts w:ascii="Times New Roman" w:hAnsi="Times New Roman" w:cs="Times New Roman"/>
          <w:i/>
          <w:iCs/>
          <w:color w:val="000000" w:themeColor="text1"/>
          <w:sz w:val="24"/>
          <w:szCs w:val="24"/>
          <w:shd w:val="clear" w:color="auto" w:fill="FFFFFF"/>
        </w:rPr>
        <w:t>. </w:t>
      </w:r>
      <w:r w:rsidRPr="00C24FB0">
        <w:rPr>
          <w:rFonts w:ascii="Times New Roman" w:hAnsi="Times New Roman" w:cs="Times New Roman"/>
          <w:color w:val="000000" w:themeColor="text1"/>
          <w:sz w:val="24"/>
          <w:szCs w:val="24"/>
          <w:shd w:val="clear" w:color="auto" w:fill="FFFFFF"/>
        </w:rPr>
        <w:t>2020;76:2060–2072.</w:t>
      </w:r>
    </w:p>
    <w:p w14:paraId="0CA1BDDD" w14:textId="13E253B4" w:rsidR="00F927B9" w:rsidRPr="00C24FB0" w:rsidRDefault="00F927B9"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lastRenderedPageBreak/>
        <w:t>Rey JR, Caro-</w:t>
      </w:r>
      <w:proofErr w:type="spellStart"/>
      <w:r w:rsidRPr="00C24FB0">
        <w:rPr>
          <w:rFonts w:ascii="Times New Roman" w:hAnsi="Times New Roman" w:cs="Times New Roman"/>
          <w:color w:val="000000" w:themeColor="text1"/>
          <w:sz w:val="24"/>
          <w:szCs w:val="24"/>
          <w:shd w:val="clear" w:color="auto" w:fill="FFFFFF"/>
        </w:rPr>
        <w:t>Codón</w:t>
      </w:r>
      <w:proofErr w:type="spellEnd"/>
      <w:r w:rsidRPr="00C24FB0">
        <w:rPr>
          <w:rFonts w:ascii="Times New Roman" w:hAnsi="Times New Roman" w:cs="Times New Roman"/>
          <w:color w:val="000000" w:themeColor="text1"/>
          <w:sz w:val="24"/>
          <w:szCs w:val="24"/>
          <w:shd w:val="clear" w:color="auto" w:fill="FFFFFF"/>
        </w:rPr>
        <w:t xml:space="preserve"> J, Poveda Pineda D. Arterial thrombotic complications in hospitalized patients with COVID-19. </w:t>
      </w:r>
      <w:r w:rsidRPr="00C24FB0">
        <w:rPr>
          <w:rFonts w:ascii="Times New Roman" w:hAnsi="Times New Roman" w:cs="Times New Roman"/>
          <w:i/>
          <w:iCs/>
          <w:color w:val="000000" w:themeColor="text1"/>
          <w:sz w:val="24"/>
          <w:szCs w:val="24"/>
          <w:shd w:val="clear" w:color="auto" w:fill="FFFFFF"/>
        </w:rPr>
        <w:t xml:space="preserve">Rev Esp </w:t>
      </w:r>
      <w:proofErr w:type="spellStart"/>
      <w:r w:rsidRPr="00C24FB0">
        <w:rPr>
          <w:rFonts w:ascii="Times New Roman" w:hAnsi="Times New Roman" w:cs="Times New Roman"/>
          <w:i/>
          <w:iCs/>
          <w:color w:val="000000" w:themeColor="text1"/>
          <w:sz w:val="24"/>
          <w:szCs w:val="24"/>
          <w:shd w:val="clear" w:color="auto" w:fill="FFFFFF"/>
        </w:rPr>
        <w:t>Cardiol</w:t>
      </w:r>
      <w:proofErr w:type="spellEnd"/>
      <w:r w:rsidRPr="00C24FB0">
        <w:rPr>
          <w:rFonts w:ascii="Times New Roman" w:hAnsi="Times New Roman" w:cs="Times New Roman"/>
          <w:i/>
          <w:iCs/>
          <w:color w:val="000000" w:themeColor="text1"/>
          <w:sz w:val="24"/>
          <w:szCs w:val="24"/>
          <w:shd w:val="clear" w:color="auto" w:fill="FFFFFF"/>
        </w:rPr>
        <w:t>. </w:t>
      </w:r>
      <w:r w:rsidRPr="00C24FB0">
        <w:rPr>
          <w:rFonts w:ascii="Times New Roman" w:hAnsi="Times New Roman" w:cs="Times New Roman"/>
          <w:color w:val="000000" w:themeColor="text1"/>
          <w:sz w:val="24"/>
          <w:szCs w:val="24"/>
          <w:shd w:val="clear" w:color="auto" w:fill="FFFFFF"/>
        </w:rPr>
        <w:t>2020;73:769–771.</w:t>
      </w:r>
    </w:p>
    <w:p w14:paraId="68897216" w14:textId="45D90418" w:rsidR="00F927B9" w:rsidRPr="00C24FB0" w:rsidRDefault="00F927B9"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Fournier M, Faille D, Dossier A. Arterial thrombotic events in adult inpatients with COVID-19. </w:t>
      </w:r>
      <w:r w:rsidRPr="00C24FB0">
        <w:rPr>
          <w:rFonts w:ascii="Times New Roman" w:hAnsi="Times New Roman" w:cs="Times New Roman"/>
          <w:i/>
          <w:iCs/>
          <w:color w:val="000000" w:themeColor="text1"/>
          <w:sz w:val="24"/>
          <w:szCs w:val="24"/>
          <w:shd w:val="clear" w:color="auto" w:fill="FFFFFF"/>
        </w:rPr>
        <w:t>Mayo Clin Proc. </w:t>
      </w:r>
      <w:r w:rsidRPr="00C24FB0">
        <w:rPr>
          <w:rFonts w:ascii="Times New Roman" w:hAnsi="Times New Roman" w:cs="Times New Roman"/>
          <w:color w:val="000000" w:themeColor="text1"/>
          <w:sz w:val="24"/>
          <w:szCs w:val="24"/>
          <w:shd w:val="clear" w:color="auto" w:fill="FFFFFF"/>
        </w:rPr>
        <w:t>2021;96:295–303.</w:t>
      </w:r>
    </w:p>
    <w:p w14:paraId="1A028459" w14:textId="77BBD19F" w:rsidR="00F927B9" w:rsidRPr="00C24FB0" w:rsidRDefault="00F927B9"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Hill JB, Garcia D, Crowther M, et al. Frequency of venous thromboembolism in 6513 patients with COVID-19: a retrospective study. </w:t>
      </w:r>
      <w:r w:rsidRPr="00C24FB0">
        <w:rPr>
          <w:rFonts w:ascii="Times New Roman" w:hAnsi="Times New Roman" w:cs="Times New Roman"/>
          <w:i/>
          <w:iCs/>
          <w:color w:val="000000" w:themeColor="text1"/>
          <w:sz w:val="24"/>
          <w:szCs w:val="24"/>
          <w:shd w:val="clear" w:color="auto" w:fill="FFFFFF"/>
        </w:rPr>
        <w:t>Blood Adv. </w:t>
      </w:r>
      <w:r w:rsidRPr="00C24FB0">
        <w:rPr>
          <w:rFonts w:ascii="Times New Roman" w:hAnsi="Times New Roman" w:cs="Times New Roman"/>
          <w:color w:val="000000" w:themeColor="text1"/>
          <w:sz w:val="24"/>
          <w:szCs w:val="24"/>
          <w:shd w:val="clear" w:color="auto" w:fill="FFFFFF"/>
        </w:rPr>
        <w:t>2020;4:5373–5377.</w:t>
      </w:r>
    </w:p>
    <w:p w14:paraId="38EC6BA3" w14:textId="77777777" w:rsidR="00C24FB0" w:rsidRPr="00C24FB0" w:rsidRDefault="00C24FB0"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proofErr w:type="spellStart"/>
      <w:r w:rsidRPr="00C24FB0">
        <w:rPr>
          <w:rFonts w:ascii="Times New Roman" w:hAnsi="Times New Roman" w:cs="Times New Roman"/>
          <w:color w:val="000000" w:themeColor="text1"/>
          <w:sz w:val="24"/>
          <w:szCs w:val="24"/>
          <w:shd w:val="clear" w:color="auto" w:fill="FFFFFF"/>
        </w:rPr>
        <w:t>Bilaloglu</w:t>
      </w:r>
      <w:proofErr w:type="spellEnd"/>
      <w:r w:rsidRPr="00C24FB0">
        <w:rPr>
          <w:rFonts w:ascii="Times New Roman" w:hAnsi="Times New Roman" w:cs="Times New Roman"/>
          <w:color w:val="000000" w:themeColor="text1"/>
          <w:sz w:val="24"/>
          <w:szCs w:val="24"/>
          <w:shd w:val="clear" w:color="auto" w:fill="FFFFFF"/>
        </w:rPr>
        <w:t xml:space="preserve"> S, </w:t>
      </w:r>
      <w:proofErr w:type="spellStart"/>
      <w:r w:rsidRPr="00C24FB0">
        <w:rPr>
          <w:rFonts w:ascii="Times New Roman" w:hAnsi="Times New Roman" w:cs="Times New Roman"/>
          <w:color w:val="000000" w:themeColor="text1"/>
          <w:sz w:val="24"/>
          <w:szCs w:val="24"/>
          <w:shd w:val="clear" w:color="auto" w:fill="FFFFFF"/>
        </w:rPr>
        <w:t>Aphinyanaphongs</w:t>
      </w:r>
      <w:proofErr w:type="spellEnd"/>
      <w:r w:rsidRPr="00C24FB0">
        <w:rPr>
          <w:rFonts w:ascii="Times New Roman" w:hAnsi="Times New Roman" w:cs="Times New Roman"/>
          <w:color w:val="000000" w:themeColor="text1"/>
          <w:sz w:val="24"/>
          <w:szCs w:val="24"/>
          <w:shd w:val="clear" w:color="auto" w:fill="FFFFFF"/>
        </w:rPr>
        <w:t xml:space="preserve"> Y, Jones S, et al. Thrombosis in hospitalized patients with COVID-19 in a New York City Health System. </w:t>
      </w:r>
      <w:r w:rsidRPr="00C24FB0">
        <w:rPr>
          <w:rStyle w:val="ref-journal"/>
          <w:i/>
          <w:iCs/>
          <w:color w:val="000000" w:themeColor="text1"/>
          <w:sz w:val="24"/>
          <w:szCs w:val="24"/>
          <w:shd w:val="clear" w:color="auto" w:fill="FFFFFF"/>
        </w:rPr>
        <w:t>JAMA. </w:t>
      </w:r>
      <w:r w:rsidRPr="00C24FB0">
        <w:rPr>
          <w:rFonts w:ascii="Times New Roman" w:hAnsi="Times New Roman" w:cs="Times New Roman"/>
          <w:color w:val="000000" w:themeColor="text1"/>
          <w:sz w:val="24"/>
          <w:szCs w:val="24"/>
          <w:shd w:val="clear" w:color="auto" w:fill="FFFFFF"/>
        </w:rPr>
        <w:t>2020;</w:t>
      </w:r>
      <w:r w:rsidRPr="00C24FB0">
        <w:rPr>
          <w:rStyle w:val="ref-vol"/>
          <w:color w:val="000000" w:themeColor="text1"/>
          <w:sz w:val="24"/>
          <w:szCs w:val="24"/>
          <w:shd w:val="clear" w:color="auto" w:fill="FFFFFF"/>
        </w:rPr>
        <w:t>324</w:t>
      </w:r>
      <w:r w:rsidRPr="00C24FB0">
        <w:rPr>
          <w:rFonts w:ascii="Times New Roman" w:hAnsi="Times New Roman" w:cs="Times New Roman"/>
          <w:color w:val="000000" w:themeColor="text1"/>
          <w:sz w:val="24"/>
          <w:szCs w:val="24"/>
          <w:shd w:val="clear" w:color="auto" w:fill="FFFFFF"/>
        </w:rPr>
        <w:t xml:space="preserve">:799. </w:t>
      </w:r>
    </w:p>
    <w:p w14:paraId="2C3EFC64" w14:textId="541A0BFE" w:rsidR="00216D78" w:rsidRPr="00C24FB0" w:rsidRDefault="00216D78"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Jenner WJ, Kanji R, </w:t>
      </w:r>
      <w:proofErr w:type="spellStart"/>
      <w:r w:rsidRPr="00C24FB0">
        <w:rPr>
          <w:rFonts w:ascii="Times New Roman" w:hAnsi="Times New Roman" w:cs="Times New Roman"/>
          <w:color w:val="000000" w:themeColor="text1"/>
          <w:sz w:val="24"/>
          <w:szCs w:val="24"/>
          <w:shd w:val="clear" w:color="auto" w:fill="FFFFFF"/>
        </w:rPr>
        <w:t>Mirsadraee</w:t>
      </w:r>
      <w:proofErr w:type="spellEnd"/>
      <w:r w:rsidRPr="00C24FB0">
        <w:rPr>
          <w:rFonts w:ascii="Times New Roman" w:hAnsi="Times New Roman" w:cs="Times New Roman"/>
          <w:color w:val="000000" w:themeColor="text1"/>
          <w:sz w:val="24"/>
          <w:szCs w:val="24"/>
          <w:shd w:val="clear" w:color="auto" w:fill="FFFFFF"/>
        </w:rPr>
        <w:t xml:space="preserve"> S. Thrombotic complications in 2928 patients with COVID-19 treated in intensive care: a systematic review. </w:t>
      </w:r>
      <w:r w:rsidRPr="00C24FB0">
        <w:rPr>
          <w:rStyle w:val="Emphasis"/>
          <w:rFonts w:ascii="Times New Roman" w:hAnsi="Times New Roman" w:cs="Times New Roman"/>
          <w:color w:val="000000" w:themeColor="text1"/>
          <w:sz w:val="24"/>
          <w:szCs w:val="24"/>
          <w:bdr w:val="none" w:sz="0" w:space="0" w:color="auto" w:frame="1"/>
          <w:shd w:val="clear" w:color="auto" w:fill="FFFFFF"/>
        </w:rPr>
        <w:t xml:space="preserve">J </w:t>
      </w:r>
      <w:proofErr w:type="spellStart"/>
      <w:r w:rsidRPr="00C24FB0">
        <w:rPr>
          <w:rStyle w:val="Emphasis"/>
          <w:rFonts w:ascii="Times New Roman" w:hAnsi="Times New Roman" w:cs="Times New Roman"/>
          <w:color w:val="000000" w:themeColor="text1"/>
          <w:sz w:val="24"/>
          <w:szCs w:val="24"/>
          <w:bdr w:val="none" w:sz="0" w:space="0" w:color="auto" w:frame="1"/>
          <w:shd w:val="clear" w:color="auto" w:fill="FFFFFF"/>
        </w:rPr>
        <w:t>Thromb</w:t>
      </w:r>
      <w:proofErr w:type="spellEnd"/>
      <w:r w:rsidRPr="00C24FB0">
        <w:rPr>
          <w:rStyle w:val="Emphasis"/>
          <w:rFonts w:ascii="Times New Roman" w:hAnsi="Times New Roman" w:cs="Times New Roman"/>
          <w:color w:val="000000" w:themeColor="text1"/>
          <w:sz w:val="24"/>
          <w:szCs w:val="24"/>
          <w:bdr w:val="none" w:sz="0" w:space="0" w:color="auto" w:frame="1"/>
          <w:shd w:val="clear" w:color="auto" w:fill="FFFFFF"/>
        </w:rPr>
        <w:t xml:space="preserve"> Thrombolysis</w:t>
      </w:r>
      <w:r w:rsidRPr="00C24FB0">
        <w:rPr>
          <w:rFonts w:ascii="Times New Roman" w:hAnsi="Times New Roman" w:cs="Times New Roman"/>
          <w:color w:val="000000" w:themeColor="text1"/>
          <w:sz w:val="24"/>
          <w:szCs w:val="24"/>
          <w:shd w:val="clear" w:color="auto" w:fill="FFFFFF"/>
        </w:rPr>
        <w:t>. 2021;51(3):595–607.</w:t>
      </w:r>
    </w:p>
    <w:p w14:paraId="7B65C262" w14:textId="064B0178" w:rsidR="00F927B9" w:rsidRPr="00C24FB0" w:rsidRDefault="00D150CC"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Hanif A, Khan S, Mantri N, Hanif S, Saleh M, </w:t>
      </w:r>
      <w:proofErr w:type="spellStart"/>
      <w:r w:rsidRPr="00C24FB0">
        <w:rPr>
          <w:rFonts w:ascii="Times New Roman" w:hAnsi="Times New Roman" w:cs="Times New Roman"/>
          <w:color w:val="000000" w:themeColor="text1"/>
          <w:sz w:val="24"/>
          <w:szCs w:val="24"/>
          <w:shd w:val="clear" w:color="auto" w:fill="FFFFFF"/>
        </w:rPr>
        <w:t>Alla</w:t>
      </w:r>
      <w:proofErr w:type="spellEnd"/>
      <w:r w:rsidRPr="00C24FB0">
        <w:rPr>
          <w:rFonts w:ascii="Times New Roman" w:hAnsi="Times New Roman" w:cs="Times New Roman"/>
          <w:color w:val="000000" w:themeColor="text1"/>
          <w:sz w:val="24"/>
          <w:szCs w:val="24"/>
          <w:shd w:val="clear" w:color="auto" w:fill="FFFFFF"/>
        </w:rPr>
        <w:t xml:space="preserve"> Y</w:t>
      </w:r>
      <w:r w:rsidR="0043742F">
        <w:rPr>
          <w:rFonts w:ascii="Times New Roman" w:hAnsi="Times New Roman" w:cs="Times New Roman"/>
          <w:color w:val="000000" w:themeColor="text1"/>
          <w:sz w:val="24"/>
          <w:szCs w:val="24"/>
          <w:shd w:val="clear" w:color="auto" w:fill="FFFFFF"/>
        </w:rPr>
        <w:t xml:space="preserve"> et al</w:t>
      </w:r>
      <w:r w:rsidRPr="00C24FB0">
        <w:rPr>
          <w:rFonts w:ascii="Times New Roman" w:hAnsi="Times New Roman" w:cs="Times New Roman"/>
          <w:color w:val="000000" w:themeColor="text1"/>
          <w:sz w:val="24"/>
          <w:szCs w:val="24"/>
          <w:shd w:val="clear" w:color="auto" w:fill="FFFFFF"/>
        </w:rPr>
        <w:t>.</w:t>
      </w:r>
      <w:r w:rsidR="00A81690">
        <w:rPr>
          <w:rFonts w:ascii="Times New Roman" w:hAnsi="Times New Roman" w:cs="Times New Roman"/>
          <w:color w:val="000000" w:themeColor="text1"/>
          <w:sz w:val="24"/>
          <w:szCs w:val="24"/>
          <w:shd w:val="clear" w:color="auto" w:fill="FFFFFF"/>
        </w:rPr>
        <w:t>,</w:t>
      </w:r>
      <w:r w:rsidRPr="00C24FB0">
        <w:rPr>
          <w:rFonts w:ascii="Times New Roman" w:hAnsi="Times New Roman" w:cs="Times New Roman"/>
          <w:color w:val="000000" w:themeColor="text1"/>
          <w:sz w:val="24"/>
          <w:szCs w:val="24"/>
          <w:shd w:val="clear" w:color="auto" w:fill="FFFFFF"/>
        </w:rPr>
        <w:t xml:space="preserve"> Thrombotic complications and anticoagulation in COVID-19 pneumonia: a New York City hospital experience. Ann </w:t>
      </w:r>
      <w:proofErr w:type="spellStart"/>
      <w:r w:rsidRPr="00C24FB0">
        <w:rPr>
          <w:rFonts w:ascii="Times New Roman" w:hAnsi="Times New Roman" w:cs="Times New Roman"/>
          <w:color w:val="000000" w:themeColor="text1"/>
          <w:sz w:val="24"/>
          <w:szCs w:val="24"/>
          <w:shd w:val="clear" w:color="auto" w:fill="FFFFFF"/>
        </w:rPr>
        <w:t>Hematol</w:t>
      </w:r>
      <w:proofErr w:type="spellEnd"/>
      <w:r w:rsidRPr="00C24FB0">
        <w:rPr>
          <w:rFonts w:ascii="Times New Roman" w:hAnsi="Times New Roman" w:cs="Times New Roman"/>
          <w:color w:val="000000" w:themeColor="text1"/>
          <w:sz w:val="24"/>
          <w:szCs w:val="24"/>
          <w:shd w:val="clear" w:color="auto" w:fill="FFFFFF"/>
        </w:rPr>
        <w:t xml:space="preserve">. 2020 Oct;99(10):2323-2328. </w:t>
      </w:r>
    </w:p>
    <w:p w14:paraId="6E1A553D" w14:textId="0684052E" w:rsidR="00D150CC" w:rsidRPr="00C24FB0" w:rsidRDefault="00D150CC" w:rsidP="0090432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vertAlign w:val="superscript"/>
        </w:rPr>
      </w:pPr>
      <w:r w:rsidRPr="00C24FB0">
        <w:rPr>
          <w:rFonts w:ascii="Times New Roman" w:hAnsi="Times New Roman" w:cs="Times New Roman"/>
          <w:color w:val="000000" w:themeColor="text1"/>
          <w:sz w:val="24"/>
          <w:szCs w:val="24"/>
          <w:shd w:val="clear" w:color="auto" w:fill="FFFFFF"/>
        </w:rPr>
        <w:t xml:space="preserve">Alonso-Fernández A, Toledo-Pons N, </w:t>
      </w:r>
      <w:proofErr w:type="spellStart"/>
      <w:r w:rsidRPr="00C24FB0">
        <w:rPr>
          <w:rFonts w:ascii="Times New Roman" w:hAnsi="Times New Roman" w:cs="Times New Roman"/>
          <w:color w:val="000000" w:themeColor="text1"/>
          <w:sz w:val="24"/>
          <w:szCs w:val="24"/>
          <w:shd w:val="clear" w:color="auto" w:fill="FFFFFF"/>
        </w:rPr>
        <w:t>Cosío</w:t>
      </w:r>
      <w:proofErr w:type="spellEnd"/>
      <w:r w:rsidRPr="00C24FB0">
        <w:rPr>
          <w:rFonts w:ascii="Times New Roman" w:hAnsi="Times New Roman" w:cs="Times New Roman"/>
          <w:color w:val="000000" w:themeColor="text1"/>
          <w:sz w:val="24"/>
          <w:szCs w:val="24"/>
          <w:shd w:val="clear" w:color="auto" w:fill="FFFFFF"/>
        </w:rPr>
        <w:t xml:space="preserve"> BG, </w:t>
      </w:r>
      <w:proofErr w:type="spellStart"/>
      <w:r w:rsidRPr="00C24FB0">
        <w:rPr>
          <w:rFonts w:ascii="Times New Roman" w:hAnsi="Times New Roman" w:cs="Times New Roman"/>
          <w:color w:val="000000" w:themeColor="text1"/>
          <w:sz w:val="24"/>
          <w:szCs w:val="24"/>
          <w:shd w:val="clear" w:color="auto" w:fill="FFFFFF"/>
        </w:rPr>
        <w:t>Millán</w:t>
      </w:r>
      <w:proofErr w:type="spellEnd"/>
      <w:r w:rsidRPr="00C24FB0">
        <w:rPr>
          <w:rFonts w:ascii="Times New Roman" w:hAnsi="Times New Roman" w:cs="Times New Roman"/>
          <w:color w:val="000000" w:themeColor="text1"/>
          <w:sz w:val="24"/>
          <w:szCs w:val="24"/>
          <w:shd w:val="clear" w:color="auto" w:fill="FFFFFF"/>
        </w:rPr>
        <w:t xml:space="preserve"> A, Calvo N, Ramón L et al.</w:t>
      </w:r>
      <w:r w:rsidR="00A81690">
        <w:rPr>
          <w:rFonts w:ascii="Times New Roman" w:hAnsi="Times New Roman" w:cs="Times New Roman"/>
          <w:color w:val="000000" w:themeColor="text1"/>
          <w:sz w:val="24"/>
          <w:szCs w:val="24"/>
          <w:shd w:val="clear" w:color="auto" w:fill="FFFFFF"/>
        </w:rPr>
        <w:t>,</w:t>
      </w:r>
      <w:r w:rsidRPr="00C24FB0">
        <w:rPr>
          <w:rFonts w:ascii="Times New Roman" w:hAnsi="Times New Roman" w:cs="Times New Roman"/>
          <w:color w:val="000000" w:themeColor="text1"/>
          <w:sz w:val="24"/>
          <w:szCs w:val="24"/>
          <w:shd w:val="clear" w:color="auto" w:fill="FFFFFF"/>
        </w:rPr>
        <w:t xml:space="preserve"> Prevalence of pulmonary embolism in patients with COVID-19 pneumonia and high D-dimer values: A prospective study. </w:t>
      </w:r>
      <w:proofErr w:type="spellStart"/>
      <w:r w:rsidRPr="00C24FB0">
        <w:rPr>
          <w:rFonts w:ascii="Times New Roman" w:hAnsi="Times New Roman" w:cs="Times New Roman"/>
          <w:color w:val="000000" w:themeColor="text1"/>
          <w:sz w:val="24"/>
          <w:szCs w:val="24"/>
          <w:shd w:val="clear" w:color="auto" w:fill="FFFFFF"/>
        </w:rPr>
        <w:t>PLoS</w:t>
      </w:r>
      <w:proofErr w:type="spellEnd"/>
      <w:r w:rsidRPr="00C24FB0">
        <w:rPr>
          <w:rFonts w:ascii="Times New Roman" w:hAnsi="Times New Roman" w:cs="Times New Roman"/>
          <w:color w:val="000000" w:themeColor="text1"/>
          <w:sz w:val="24"/>
          <w:szCs w:val="24"/>
          <w:shd w:val="clear" w:color="auto" w:fill="FFFFFF"/>
        </w:rPr>
        <w:t xml:space="preserve"> One. 2020 Aug 25;15(8):e0238216. </w:t>
      </w:r>
    </w:p>
    <w:p w14:paraId="4E651988" w14:textId="277121BD" w:rsidR="0043742F" w:rsidRPr="004C568F" w:rsidRDefault="00C24FB0" w:rsidP="0043742F">
      <w:pPr>
        <w:pStyle w:val="ListParagraph"/>
        <w:numPr>
          <w:ilvl w:val="0"/>
          <w:numId w:val="3"/>
        </w:numPr>
        <w:spacing w:line="360" w:lineRule="auto"/>
        <w:jc w:val="both"/>
        <w:rPr>
          <w:rFonts w:ascii="Times New Roman" w:hAnsi="Times New Roman" w:cs="Times New Roman"/>
          <w:color w:val="000000" w:themeColor="text1"/>
          <w:sz w:val="24"/>
          <w:szCs w:val="24"/>
        </w:rPr>
      </w:pPr>
      <w:r w:rsidRPr="00C24FB0">
        <w:rPr>
          <w:rFonts w:ascii="Times New Roman" w:hAnsi="Times New Roman" w:cs="Times New Roman"/>
          <w:color w:val="000000" w:themeColor="text1"/>
          <w:sz w:val="24"/>
          <w:szCs w:val="24"/>
          <w:shd w:val="clear" w:color="auto" w:fill="FFFFFF"/>
        </w:rPr>
        <w:t>Al-</w:t>
      </w:r>
      <w:proofErr w:type="spellStart"/>
      <w:r w:rsidRPr="00C24FB0">
        <w:rPr>
          <w:rFonts w:ascii="Times New Roman" w:hAnsi="Times New Roman" w:cs="Times New Roman"/>
          <w:color w:val="000000" w:themeColor="text1"/>
          <w:sz w:val="24"/>
          <w:szCs w:val="24"/>
          <w:shd w:val="clear" w:color="auto" w:fill="FFFFFF"/>
        </w:rPr>
        <w:t>Samkari</w:t>
      </w:r>
      <w:proofErr w:type="spellEnd"/>
      <w:r w:rsidRPr="00C24FB0">
        <w:rPr>
          <w:rFonts w:ascii="Times New Roman" w:hAnsi="Times New Roman" w:cs="Times New Roman"/>
          <w:color w:val="000000" w:themeColor="text1"/>
          <w:sz w:val="24"/>
          <w:szCs w:val="24"/>
          <w:shd w:val="clear" w:color="auto" w:fill="FFFFFF"/>
        </w:rPr>
        <w:t xml:space="preserve"> H, Karp Leaf RS, Dzik WH, Carlson JCT, </w:t>
      </w:r>
      <w:proofErr w:type="spellStart"/>
      <w:r w:rsidRPr="00C24FB0">
        <w:rPr>
          <w:rFonts w:ascii="Times New Roman" w:hAnsi="Times New Roman" w:cs="Times New Roman"/>
          <w:color w:val="000000" w:themeColor="text1"/>
          <w:sz w:val="24"/>
          <w:szCs w:val="24"/>
          <w:shd w:val="clear" w:color="auto" w:fill="FFFFFF"/>
        </w:rPr>
        <w:t>Fogerty</w:t>
      </w:r>
      <w:proofErr w:type="spellEnd"/>
      <w:r w:rsidRPr="00C24FB0">
        <w:rPr>
          <w:rFonts w:ascii="Times New Roman" w:hAnsi="Times New Roman" w:cs="Times New Roman"/>
          <w:color w:val="000000" w:themeColor="text1"/>
          <w:sz w:val="24"/>
          <w:szCs w:val="24"/>
          <w:shd w:val="clear" w:color="auto" w:fill="FFFFFF"/>
        </w:rPr>
        <w:t xml:space="preserve"> AE, </w:t>
      </w:r>
      <w:proofErr w:type="spellStart"/>
      <w:r w:rsidRPr="00C24FB0">
        <w:rPr>
          <w:rFonts w:ascii="Times New Roman" w:hAnsi="Times New Roman" w:cs="Times New Roman"/>
          <w:color w:val="000000" w:themeColor="text1"/>
          <w:sz w:val="24"/>
          <w:szCs w:val="24"/>
          <w:shd w:val="clear" w:color="auto" w:fill="FFFFFF"/>
        </w:rPr>
        <w:t>Waheed</w:t>
      </w:r>
      <w:proofErr w:type="spellEnd"/>
      <w:r w:rsidRPr="00C24FB0">
        <w:rPr>
          <w:rFonts w:ascii="Times New Roman" w:hAnsi="Times New Roman" w:cs="Times New Roman"/>
          <w:color w:val="000000" w:themeColor="text1"/>
          <w:sz w:val="24"/>
          <w:szCs w:val="24"/>
          <w:shd w:val="clear" w:color="auto" w:fill="FFFFFF"/>
        </w:rPr>
        <w:t xml:space="preserve"> A</w:t>
      </w:r>
      <w:r w:rsidR="0043742F">
        <w:rPr>
          <w:rFonts w:ascii="Times New Roman" w:hAnsi="Times New Roman" w:cs="Times New Roman"/>
          <w:color w:val="000000" w:themeColor="text1"/>
          <w:sz w:val="24"/>
          <w:szCs w:val="24"/>
          <w:shd w:val="clear" w:color="auto" w:fill="FFFFFF"/>
        </w:rPr>
        <w:t xml:space="preserve"> et al</w:t>
      </w:r>
      <w:r w:rsidRPr="00C24FB0">
        <w:rPr>
          <w:rFonts w:ascii="Times New Roman" w:hAnsi="Times New Roman" w:cs="Times New Roman"/>
          <w:color w:val="000000" w:themeColor="text1"/>
          <w:sz w:val="24"/>
          <w:szCs w:val="24"/>
          <w:shd w:val="clear" w:color="auto" w:fill="FFFFFF"/>
        </w:rPr>
        <w:t xml:space="preserve">. COVID-19 and coagulation: bleeding and thrombotic manifestations of SARS-CoV-2 infection. Blood. 2020 Jul 23;136(4):489-500. </w:t>
      </w:r>
    </w:p>
    <w:p w14:paraId="3DB30FEA" w14:textId="77777777" w:rsidR="0043742F" w:rsidRPr="00AB0A48" w:rsidRDefault="0043742F" w:rsidP="0043742F">
      <w:pPr>
        <w:spacing w:line="360" w:lineRule="auto"/>
        <w:rPr>
          <w:rFonts w:ascii="Times New Roman" w:hAnsi="Times New Roman" w:cs="Times New Roman"/>
          <w:sz w:val="24"/>
          <w:szCs w:val="24"/>
        </w:rPr>
      </w:pPr>
      <w:r w:rsidRPr="003C20C1">
        <w:rPr>
          <w:rFonts w:ascii="Times New Roman" w:hAnsi="Times New Roman" w:cs="Times New Roman"/>
          <w:b/>
          <w:bCs/>
          <w:sz w:val="24"/>
          <w:szCs w:val="24"/>
        </w:rPr>
        <w:t>Key words:</w:t>
      </w:r>
      <w:r w:rsidRPr="00AB0A48">
        <w:rPr>
          <w:rFonts w:ascii="Times New Roman" w:hAnsi="Times New Roman" w:cs="Times New Roman"/>
          <w:sz w:val="24"/>
          <w:szCs w:val="24"/>
        </w:rPr>
        <w:t xml:space="preserve"> Thrombotic events, COVID 19, Arterial thromboembolic events, Venous thromboembolic events</w:t>
      </w:r>
    </w:p>
    <w:p w14:paraId="3C3AFAC4" w14:textId="77777777" w:rsidR="0043742F" w:rsidRPr="0043742F" w:rsidRDefault="0043742F" w:rsidP="0043742F">
      <w:pPr>
        <w:spacing w:line="360" w:lineRule="auto"/>
        <w:jc w:val="both"/>
        <w:rPr>
          <w:rFonts w:ascii="Times New Roman" w:hAnsi="Times New Roman" w:cs="Times New Roman"/>
          <w:color w:val="000000" w:themeColor="text1"/>
          <w:sz w:val="24"/>
          <w:szCs w:val="24"/>
        </w:rPr>
      </w:pPr>
    </w:p>
    <w:sectPr w:rsidR="0043742F" w:rsidRPr="004374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E64C8"/>
    <w:multiLevelType w:val="hybridMultilevel"/>
    <w:tmpl w:val="45A8B1CE"/>
    <w:lvl w:ilvl="0" w:tplc="794A6AF8">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76017E"/>
    <w:multiLevelType w:val="hybridMultilevel"/>
    <w:tmpl w:val="53A65768"/>
    <w:lvl w:ilvl="0" w:tplc="A9800348">
      <w:start w:val="1"/>
      <w:numFmt w:val="decimal"/>
      <w:lvlText w:val="%1."/>
      <w:lvlJc w:val="lef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475546"/>
    <w:multiLevelType w:val="hybridMultilevel"/>
    <w:tmpl w:val="91165B7A"/>
    <w:lvl w:ilvl="0" w:tplc="687260D0">
      <w:numFmt w:val="bullet"/>
      <w:lvlText w:val=""/>
      <w:lvlJc w:val="left"/>
      <w:pPr>
        <w:ind w:left="720" w:hanging="360"/>
      </w:pPr>
      <w:rPr>
        <w:rFonts w:ascii="Wingdings" w:eastAsiaTheme="minorEastAsia"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7788907">
    <w:abstractNumId w:val="0"/>
  </w:num>
  <w:num w:numId="2" w16cid:durableId="1068458668">
    <w:abstractNumId w:val="2"/>
  </w:num>
  <w:num w:numId="3" w16cid:durableId="352540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D2300"/>
    <w:rsid w:val="0000319D"/>
    <w:rsid w:val="00006C1A"/>
    <w:rsid w:val="0001795C"/>
    <w:rsid w:val="00020482"/>
    <w:rsid w:val="00061669"/>
    <w:rsid w:val="000701EA"/>
    <w:rsid w:val="00157108"/>
    <w:rsid w:val="001660C7"/>
    <w:rsid w:val="00190C64"/>
    <w:rsid w:val="001F58A6"/>
    <w:rsid w:val="00216D78"/>
    <w:rsid w:val="002273D9"/>
    <w:rsid w:val="002411A3"/>
    <w:rsid w:val="00281957"/>
    <w:rsid w:val="00283642"/>
    <w:rsid w:val="002B3E45"/>
    <w:rsid w:val="002B61F0"/>
    <w:rsid w:val="0031065D"/>
    <w:rsid w:val="0032640A"/>
    <w:rsid w:val="003314C7"/>
    <w:rsid w:val="00350AC3"/>
    <w:rsid w:val="003B33C0"/>
    <w:rsid w:val="003D3227"/>
    <w:rsid w:val="003F2C5C"/>
    <w:rsid w:val="00411035"/>
    <w:rsid w:val="00413B86"/>
    <w:rsid w:val="0043742F"/>
    <w:rsid w:val="004542C9"/>
    <w:rsid w:val="00482231"/>
    <w:rsid w:val="004C568F"/>
    <w:rsid w:val="004C7E3F"/>
    <w:rsid w:val="004D22E3"/>
    <w:rsid w:val="004E2366"/>
    <w:rsid w:val="004F1DF2"/>
    <w:rsid w:val="005725F4"/>
    <w:rsid w:val="00583C84"/>
    <w:rsid w:val="005D1E44"/>
    <w:rsid w:val="005E6356"/>
    <w:rsid w:val="005E73C8"/>
    <w:rsid w:val="005F762B"/>
    <w:rsid w:val="00616F74"/>
    <w:rsid w:val="0062205F"/>
    <w:rsid w:val="00626521"/>
    <w:rsid w:val="00631767"/>
    <w:rsid w:val="00635CC6"/>
    <w:rsid w:val="0069031A"/>
    <w:rsid w:val="006D23E1"/>
    <w:rsid w:val="00753F85"/>
    <w:rsid w:val="007644DA"/>
    <w:rsid w:val="00790155"/>
    <w:rsid w:val="00793357"/>
    <w:rsid w:val="00795095"/>
    <w:rsid w:val="007A02C4"/>
    <w:rsid w:val="007D3311"/>
    <w:rsid w:val="00802095"/>
    <w:rsid w:val="00861671"/>
    <w:rsid w:val="008913F1"/>
    <w:rsid w:val="008923D4"/>
    <w:rsid w:val="008A7DC0"/>
    <w:rsid w:val="008C38FF"/>
    <w:rsid w:val="008C4EF4"/>
    <w:rsid w:val="008D548A"/>
    <w:rsid w:val="00904327"/>
    <w:rsid w:val="0090445E"/>
    <w:rsid w:val="00914E7F"/>
    <w:rsid w:val="009219CA"/>
    <w:rsid w:val="009A5A2F"/>
    <w:rsid w:val="009B2B18"/>
    <w:rsid w:val="009B51FD"/>
    <w:rsid w:val="009B7E4A"/>
    <w:rsid w:val="009C3E03"/>
    <w:rsid w:val="009D4563"/>
    <w:rsid w:val="00A074B0"/>
    <w:rsid w:val="00A12902"/>
    <w:rsid w:val="00A54BFA"/>
    <w:rsid w:val="00A60BDC"/>
    <w:rsid w:val="00A6593A"/>
    <w:rsid w:val="00A81690"/>
    <w:rsid w:val="00AE00A4"/>
    <w:rsid w:val="00B01EE1"/>
    <w:rsid w:val="00B10785"/>
    <w:rsid w:val="00B145D1"/>
    <w:rsid w:val="00B228F8"/>
    <w:rsid w:val="00B53FE5"/>
    <w:rsid w:val="00B70B2C"/>
    <w:rsid w:val="00B7187F"/>
    <w:rsid w:val="00B86472"/>
    <w:rsid w:val="00BE1D65"/>
    <w:rsid w:val="00BE54E8"/>
    <w:rsid w:val="00C22052"/>
    <w:rsid w:val="00C24FB0"/>
    <w:rsid w:val="00C37D69"/>
    <w:rsid w:val="00C66B3C"/>
    <w:rsid w:val="00C72C18"/>
    <w:rsid w:val="00CA4C17"/>
    <w:rsid w:val="00CC3FAE"/>
    <w:rsid w:val="00CD4588"/>
    <w:rsid w:val="00CE7D33"/>
    <w:rsid w:val="00D00FF8"/>
    <w:rsid w:val="00D06981"/>
    <w:rsid w:val="00D150CC"/>
    <w:rsid w:val="00D403D8"/>
    <w:rsid w:val="00D454CA"/>
    <w:rsid w:val="00DA7E90"/>
    <w:rsid w:val="00DD2300"/>
    <w:rsid w:val="00DD58B6"/>
    <w:rsid w:val="00E42B79"/>
    <w:rsid w:val="00E678A8"/>
    <w:rsid w:val="00E67F03"/>
    <w:rsid w:val="00E718D0"/>
    <w:rsid w:val="00EB13BB"/>
    <w:rsid w:val="00F279EE"/>
    <w:rsid w:val="00F60C28"/>
    <w:rsid w:val="00F927B9"/>
    <w:rsid w:val="00FC3F82"/>
    <w:rsid w:val="00FD79F9"/>
    <w:rsid w:val="00FE37F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3C7EC"/>
  <w15:docId w15:val="{2916C4ED-9D8F-4FD2-AEF1-3AFD4BFB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C1A"/>
    <w:pPr>
      <w:spacing w:line="256" w:lineRule="auto"/>
    </w:pPr>
    <w:rPr>
      <w:rFonts w:eastAsiaTheme="minorEastAsia" w:cs="Tung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C1A"/>
    <w:rPr>
      <w:rFonts w:ascii="Times New Roman" w:hAnsi="Times New Roman" w:cs="Times New Roman" w:hint="default"/>
      <w:color w:val="000000"/>
      <w:u w:val="single"/>
    </w:rPr>
  </w:style>
  <w:style w:type="character" w:customStyle="1" w:styleId="ref-journal">
    <w:name w:val="ref-journal"/>
    <w:basedOn w:val="DefaultParagraphFont"/>
    <w:rsid w:val="00006C1A"/>
    <w:rPr>
      <w:rFonts w:ascii="Times New Roman" w:hAnsi="Times New Roman" w:cs="Times New Roman" w:hint="default"/>
    </w:rPr>
  </w:style>
  <w:style w:type="character" w:customStyle="1" w:styleId="ref-vol">
    <w:name w:val="ref-vol"/>
    <w:basedOn w:val="DefaultParagraphFont"/>
    <w:rsid w:val="00006C1A"/>
    <w:rPr>
      <w:rFonts w:ascii="Times New Roman" w:hAnsi="Times New Roman" w:cs="Times New Roman" w:hint="default"/>
    </w:rPr>
  </w:style>
  <w:style w:type="table" w:styleId="TableGrid">
    <w:name w:val="Table Grid"/>
    <w:basedOn w:val="TableNormal"/>
    <w:uiPriority w:val="39"/>
    <w:rsid w:val="004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45D1"/>
    <w:pPr>
      <w:ind w:left="720"/>
      <w:contextualSpacing/>
    </w:pPr>
  </w:style>
  <w:style w:type="character" w:styleId="UnresolvedMention">
    <w:name w:val="Unresolved Mention"/>
    <w:basedOn w:val="DefaultParagraphFont"/>
    <w:uiPriority w:val="99"/>
    <w:semiHidden/>
    <w:unhideWhenUsed/>
    <w:rsid w:val="00F927B9"/>
    <w:rPr>
      <w:color w:val="605E5C"/>
      <w:shd w:val="clear" w:color="auto" w:fill="E1DFDD"/>
    </w:rPr>
  </w:style>
  <w:style w:type="character" w:styleId="Emphasis">
    <w:name w:val="Emphasis"/>
    <w:basedOn w:val="DefaultParagraphFont"/>
    <w:uiPriority w:val="20"/>
    <w:qFormat/>
    <w:rsid w:val="00216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48948">
      <w:bodyDiv w:val="1"/>
      <w:marLeft w:val="0"/>
      <w:marRight w:val="0"/>
      <w:marTop w:val="0"/>
      <w:marBottom w:val="0"/>
      <w:divBdr>
        <w:top w:val="none" w:sz="0" w:space="0" w:color="auto"/>
        <w:left w:val="none" w:sz="0" w:space="0" w:color="auto"/>
        <w:bottom w:val="none" w:sz="0" w:space="0" w:color="auto"/>
        <w:right w:val="none" w:sz="0" w:space="0" w:color="auto"/>
      </w:divBdr>
    </w:div>
    <w:div w:id="312175584">
      <w:bodyDiv w:val="1"/>
      <w:marLeft w:val="0"/>
      <w:marRight w:val="0"/>
      <w:marTop w:val="0"/>
      <w:marBottom w:val="0"/>
      <w:divBdr>
        <w:top w:val="none" w:sz="0" w:space="0" w:color="auto"/>
        <w:left w:val="none" w:sz="0" w:space="0" w:color="auto"/>
        <w:bottom w:val="none" w:sz="0" w:space="0" w:color="auto"/>
        <w:right w:val="none" w:sz="0" w:space="0" w:color="auto"/>
      </w:divBdr>
    </w:div>
    <w:div w:id="726729796">
      <w:bodyDiv w:val="1"/>
      <w:marLeft w:val="0"/>
      <w:marRight w:val="0"/>
      <w:marTop w:val="0"/>
      <w:marBottom w:val="0"/>
      <w:divBdr>
        <w:top w:val="none" w:sz="0" w:space="0" w:color="auto"/>
        <w:left w:val="none" w:sz="0" w:space="0" w:color="auto"/>
        <w:bottom w:val="none" w:sz="0" w:space="0" w:color="auto"/>
        <w:right w:val="none" w:sz="0" w:space="0" w:color="auto"/>
      </w:divBdr>
    </w:div>
    <w:div w:id="1025861689">
      <w:bodyDiv w:val="1"/>
      <w:marLeft w:val="0"/>
      <w:marRight w:val="0"/>
      <w:marTop w:val="0"/>
      <w:marBottom w:val="0"/>
      <w:divBdr>
        <w:top w:val="none" w:sz="0" w:space="0" w:color="auto"/>
        <w:left w:val="none" w:sz="0" w:space="0" w:color="auto"/>
        <w:bottom w:val="none" w:sz="0" w:space="0" w:color="auto"/>
        <w:right w:val="none" w:sz="0" w:space="0" w:color="auto"/>
      </w:divBdr>
    </w:div>
    <w:div w:id="1933932118">
      <w:bodyDiv w:val="1"/>
      <w:marLeft w:val="0"/>
      <w:marRight w:val="0"/>
      <w:marTop w:val="0"/>
      <w:marBottom w:val="0"/>
      <w:divBdr>
        <w:top w:val="none" w:sz="0" w:space="0" w:color="auto"/>
        <w:left w:val="none" w:sz="0" w:space="0" w:color="auto"/>
        <w:bottom w:val="none" w:sz="0" w:space="0" w:color="auto"/>
        <w:right w:val="none" w:sz="0" w:space="0" w:color="auto"/>
      </w:divBdr>
    </w:div>
    <w:div w:id="209408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covid19.who.int/region/searo/country/in%20Accessed%20on%20July%2012" TargetMode="Externa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Column3</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4B7-4FF7-A83C-3D99F54FF045}"/>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4B7-4FF7-A83C-3D99F54FF04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 </c:v>
                </c:pt>
                <c:pt idx="1">
                  <c:v>Female </c:v>
                </c:pt>
              </c:strCache>
            </c:strRef>
          </c:cat>
          <c:val>
            <c:numRef>
              <c:f>Sheet1!$B$2:$B$3</c:f>
              <c:numCache>
                <c:formatCode>General</c:formatCode>
                <c:ptCount val="2"/>
                <c:pt idx="0">
                  <c:v>53</c:v>
                </c:pt>
                <c:pt idx="1">
                  <c:v>22</c:v>
                </c:pt>
              </c:numCache>
            </c:numRef>
          </c:val>
          <c:extLst>
            <c:ext xmlns:c16="http://schemas.microsoft.com/office/drawing/2014/chart" uri="{C3380CC4-5D6E-409C-BE32-E72D297353CC}">
              <c16:uniqueId val="{00000000-11E0-42F7-BEC5-8937B2E0A68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a:scene3d>
              <a:camera prst="orthographicFront"/>
              <a:lightRig rig="freezing" dir="t"/>
            </a:scene3d>
            <a:sp3d prstMaterial="dkEdge">
              <a:bevelT prst="slope"/>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Sheet1!$A$2:$A$4</c:f>
              <c:strCache>
                <c:ptCount val="3"/>
                <c:pt idx="0">
                  <c:v>DM</c:v>
                </c:pt>
                <c:pt idx="1">
                  <c:v>HTN</c:v>
                </c:pt>
                <c:pt idx="2">
                  <c:v>DM + HTN</c:v>
                </c:pt>
              </c:strCache>
            </c:strRef>
          </c:cat>
          <c:val>
            <c:numRef>
              <c:f>Sheet1!$B$2:$B$4</c:f>
              <c:numCache>
                <c:formatCode>General</c:formatCode>
                <c:ptCount val="3"/>
                <c:pt idx="0">
                  <c:v>8</c:v>
                </c:pt>
                <c:pt idx="1">
                  <c:v>15</c:v>
                </c:pt>
                <c:pt idx="2">
                  <c:v>17</c:v>
                </c:pt>
              </c:numCache>
            </c:numRef>
          </c:val>
          <c:extLst>
            <c:ext xmlns:c16="http://schemas.microsoft.com/office/drawing/2014/chart" uri="{C3380CC4-5D6E-409C-BE32-E72D297353CC}">
              <c16:uniqueId val="{00000000-C264-4212-8905-DCE635BDD7E3}"/>
            </c:ext>
          </c:extLst>
        </c:ser>
        <c:dLbls>
          <c:dLblPos val="inEnd"/>
          <c:showLegendKey val="0"/>
          <c:showVal val="1"/>
          <c:showCatName val="0"/>
          <c:showSerName val="0"/>
          <c:showPercent val="0"/>
          <c:showBubbleSize val="0"/>
        </c:dLbls>
        <c:gapWidth val="150"/>
        <c:axId val="646938592"/>
        <c:axId val="646940672"/>
      </c:barChart>
      <c:catAx>
        <c:axId val="64693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46940672"/>
        <c:crosses val="autoZero"/>
        <c:auto val="1"/>
        <c:lblAlgn val="ctr"/>
        <c:lblOffset val="100"/>
        <c:noMultiLvlLbl val="0"/>
      </c:catAx>
      <c:valAx>
        <c:axId val="64694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9385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62-45EE-82C2-A91365908BE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62-45EE-82C2-A91365908BE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962-45EE-82C2-A91365908BE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962-45EE-82C2-A91365908BE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Mild</c:v>
                </c:pt>
                <c:pt idx="1">
                  <c:v>Moderate</c:v>
                </c:pt>
                <c:pt idx="2">
                  <c:v>Severe</c:v>
                </c:pt>
              </c:strCache>
            </c:strRef>
          </c:cat>
          <c:val>
            <c:numRef>
              <c:f>Sheet1!$B$2:$B$5</c:f>
              <c:numCache>
                <c:formatCode>0%</c:formatCode>
                <c:ptCount val="4"/>
                <c:pt idx="0">
                  <c:v>0.28999999999999998</c:v>
                </c:pt>
                <c:pt idx="1">
                  <c:v>0.24</c:v>
                </c:pt>
                <c:pt idx="2">
                  <c:v>0.47</c:v>
                </c:pt>
              </c:numCache>
            </c:numRef>
          </c:val>
          <c:extLst>
            <c:ext xmlns:c16="http://schemas.microsoft.com/office/drawing/2014/chart" uri="{C3380CC4-5D6E-409C-BE32-E72D297353CC}">
              <c16:uniqueId val="{00000008-D962-45EE-82C2-A91365908BE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cene3d>
              <a:camera prst="orthographicFront"/>
              <a:lightRig rig="threePt" dir="t"/>
            </a:scene3d>
            <a:sp3d>
              <a:bevelT w="82550" prst="angle"/>
              <a:bevelB w="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Acute infract</c:v>
                </c:pt>
                <c:pt idx="1">
                  <c:v>CAD</c:v>
                </c:pt>
                <c:pt idx="2">
                  <c:v>CVA</c:v>
                </c:pt>
                <c:pt idx="3">
                  <c:v>IHD</c:v>
                </c:pt>
                <c:pt idx="4">
                  <c:v>FOURNIERS GANGRENE</c:v>
                </c:pt>
                <c:pt idx="5">
                  <c:v>HAEMORRAGIC STROKE </c:v>
                </c:pt>
                <c:pt idx="6">
                  <c:v>SMALL VESSEL ISCHEMIA</c:v>
                </c:pt>
                <c:pt idx="7">
                  <c:v>MESENTRIC ISCHEMIA</c:v>
                </c:pt>
                <c:pt idx="8">
                  <c:v>PULMONARY EMBOLISM</c:v>
                </c:pt>
              </c:strCache>
            </c:strRef>
          </c:cat>
          <c:val>
            <c:numRef>
              <c:f>Sheet1!$B$2:$B$10</c:f>
              <c:numCache>
                <c:formatCode>General</c:formatCode>
                <c:ptCount val="9"/>
                <c:pt idx="0">
                  <c:v>2</c:v>
                </c:pt>
                <c:pt idx="1">
                  <c:v>2</c:v>
                </c:pt>
                <c:pt idx="2">
                  <c:v>12</c:v>
                </c:pt>
                <c:pt idx="3">
                  <c:v>11</c:v>
                </c:pt>
                <c:pt idx="4">
                  <c:v>1</c:v>
                </c:pt>
                <c:pt idx="5">
                  <c:v>2</c:v>
                </c:pt>
                <c:pt idx="6">
                  <c:v>2</c:v>
                </c:pt>
                <c:pt idx="7">
                  <c:v>3</c:v>
                </c:pt>
                <c:pt idx="8">
                  <c:v>1</c:v>
                </c:pt>
              </c:numCache>
            </c:numRef>
          </c:val>
          <c:shape val="cylinder"/>
          <c:extLst>
            <c:ext xmlns:c16="http://schemas.microsoft.com/office/drawing/2014/chart" uri="{C3380CC4-5D6E-409C-BE32-E72D297353CC}">
              <c16:uniqueId val="{00000000-FF91-4AA7-B411-F362D2DD7DF7}"/>
            </c:ext>
          </c:extLst>
        </c:ser>
        <c:dLbls>
          <c:showLegendKey val="0"/>
          <c:showVal val="1"/>
          <c:showCatName val="0"/>
          <c:showSerName val="0"/>
          <c:showPercent val="0"/>
          <c:showBubbleSize val="0"/>
        </c:dLbls>
        <c:gapWidth val="78"/>
        <c:gapDepth val="79"/>
        <c:shape val="box"/>
        <c:axId val="1260185280"/>
        <c:axId val="1260186944"/>
        <c:axId val="0"/>
      </c:bar3DChart>
      <c:catAx>
        <c:axId val="1260185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186944"/>
        <c:crosses val="autoZero"/>
        <c:auto val="1"/>
        <c:lblAlgn val="ctr"/>
        <c:lblOffset val="100"/>
        <c:noMultiLvlLbl val="0"/>
      </c:catAx>
      <c:valAx>
        <c:axId val="126018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01852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c:v>
                </c:pt>
              </c:strCache>
            </c:strRef>
          </c:tx>
          <c:spPr>
            <a:solidFill>
              <a:schemeClr val="accent2">
                <a:lumMod val="75000"/>
              </a:schemeClr>
            </a:solidFill>
            <a:ln>
              <a:solidFill>
                <a:schemeClr val="accent2">
                  <a:lumMod val="75000"/>
                </a:schemeClr>
              </a:solidFill>
            </a:ln>
            <a:effectLst/>
            <a:scene3d>
              <a:camera prst="orthographicFront"/>
              <a:lightRig rig="twoPt" dir="t"/>
            </a:scene3d>
            <a:sp3d>
              <a:bevelT w="114300" prst="artDeco"/>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Sheet1!$A$2:$A$5</c:f>
              <c:strCache>
                <c:ptCount val="4"/>
                <c:pt idx="0">
                  <c:v>DVT</c:v>
                </c:pt>
                <c:pt idx="1">
                  <c:v>Portal and mesenteric vein thrombosis</c:v>
                </c:pt>
                <c:pt idx="2">
                  <c:v>Venous ulcer</c:v>
                </c:pt>
                <c:pt idx="3">
                  <c:v>Complete thrombosis of cephalic vein</c:v>
                </c:pt>
              </c:strCache>
            </c:strRef>
          </c:cat>
          <c:val>
            <c:numRef>
              <c:f>Sheet1!$B$2:$B$5</c:f>
              <c:numCache>
                <c:formatCode>General</c:formatCode>
                <c:ptCount val="4"/>
                <c:pt idx="0">
                  <c:v>13</c:v>
                </c:pt>
                <c:pt idx="1">
                  <c:v>1</c:v>
                </c:pt>
                <c:pt idx="2">
                  <c:v>2</c:v>
                </c:pt>
                <c:pt idx="3">
                  <c:v>1</c:v>
                </c:pt>
              </c:numCache>
            </c:numRef>
          </c:val>
          <c:extLst>
            <c:ext xmlns:c16="http://schemas.microsoft.com/office/drawing/2014/chart" uri="{C3380CC4-5D6E-409C-BE32-E72D297353CC}">
              <c16:uniqueId val="{00000000-F66D-4C21-9D1D-4A691B24A29C}"/>
            </c:ext>
          </c:extLst>
        </c:ser>
        <c:dLbls>
          <c:showLegendKey val="0"/>
          <c:showVal val="0"/>
          <c:showCatName val="0"/>
          <c:showSerName val="0"/>
          <c:showPercent val="0"/>
          <c:showBubbleSize val="0"/>
        </c:dLbls>
        <c:gapWidth val="114"/>
        <c:overlap val="-27"/>
        <c:axId val="1174868720"/>
        <c:axId val="1174877872"/>
      </c:barChart>
      <c:catAx>
        <c:axId val="117486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4877872"/>
        <c:crosses val="autoZero"/>
        <c:auto val="1"/>
        <c:lblAlgn val="ctr"/>
        <c:lblOffset val="100"/>
        <c:noMultiLvlLbl val="0"/>
      </c:catAx>
      <c:valAx>
        <c:axId val="117487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4868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1475</TotalTime>
  <Pages>10</Pages>
  <Words>2317</Words>
  <Characters>13209</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manjula mj</dc:creator>
  <cp:keywords/>
  <dc:description/>
  <cp:lastModifiedBy>manjula mj</cp:lastModifiedBy>
  <cp:revision>40</cp:revision>
  <dcterms:created xsi:type="dcterms:W3CDTF">2022-02-19T03:01:00Z</dcterms:created>
  <dcterms:modified xsi:type="dcterms:W3CDTF">2023-07-28T06:39:00Z</dcterms:modified>
</cp:coreProperties>
</file>