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35B6" w14:textId="77777777" w:rsidR="002C5052" w:rsidRDefault="00D9142C" w:rsidP="00141DD4">
      <w:pPr>
        <w:spacing w:line="360" w:lineRule="auto"/>
        <w:jc w:val="both"/>
        <w:rPr>
          <w:rFonts w:ascii="Times New Roman" w:hAnsi="Times New Roman" w:cs="Times New Roman"/>
          <w:b/>
          <w:sz w:val="28"/>
          <w:szCs w:val="28"/>
        </w:rPr>
      </w:pPr>
      <w:r w:rsidRPr="002C5052">
        <w:rPr>
          <w:rFonts w:ascii="Times New Roman" w:hAnsi="Times New Roman" w:cs="Times New Roman"/>
          <w:b/>
          <w:sz w:val="28"/>
          <w:szCs w:val="28"/>
        </w:rPr>
        <w:t xml:space="preserve">                         </w:t>
      </w:r>
    </w:p>
    <w:p w14:paraId="5DDD90BD" w14:textId="637A6574" w:rsidR="00525908" w:rsidRDefault="00BA2968" w:rsidP="00C92D1C">
      <w:pPr>
        <w:spacing w:line="360" w:lineRule="auto"/>
        <w:jc w:val="center"/>
        <w:rPr>
          <w:rFonts w:ascii="Times New Roman" w:hAnsi="Times New Roman" w:cs="Times New Roman"/>
          <w:b/>
          <w:sz w:val="28"/>
          <w:szCs w:val="28"/>
        </w:rPr>
      </w:pPr>
      <w:r w:rsidRPr="00D9142C">
        <w:rPr>
          <w:rFonts w:ascii="Times New Roman" w:hAnsi="Times New Roman" w:cs="Times New Roman"/>
          <w:b/>
          <w:sz w:val="28"/>
          <w:szCs w:val="28"/>
        </w:rPr>
        <w:t xml:space="preserve">Future Trends </w:t>
      </w:r>
      <w:r w:rsidR="005A74FE">
        <w:rPr>
          <w:rFonts w:ascii="Times New Roman" w:hAnsi="Times New Roman" w:cs="Times New Roman"/>
          <w:b/>
          <w:sz w:val="28"/>
          <w:szCs w:val="28"/>
        </w:rPr>
        <w:t>in</w:t>
      </w:r>
      <w:r w:rsidR="008815D9">
        <w:rPr>
          <w:rFonts w:ascii="Times New Roman" w:hAnsi="Times New Roman" w:cs="Times New Roman"/>
          <w:b/>
          <w:sz w:val="28"/>
          <w:szCs w:val="28"/>
        </w:rPr>
        <w:t xml:space="preserve"> </w:t>
      </w:r>
      <w:r w:rsidR="0060333E" w:rsidRPr="00D9142C">
        <w:rPr>
          <w:rFonts w:ascii="Times New Roman" w:hAnsi="Times New Roman" w:cs="Times New Roman"/>
          <w:b/>
          <w:sz w:val="28"/>
          <w:szCs w:val="28"/>
        </w:rPr>
        <w:t>Human Resource Management Practices</w:t>
      </w:r>
      <w:r w:rsidR="005A74FE">
        <w:rPr>
          <w:rFonts w:ascii="Times New Roman" w:hAnsi="Times New Roman" w:cs="Times New Roman"/>
          <w:b/>
          <w:sz w:val="28"/>
          <w:szCs w:val="28"/>
        </w:rPr>
        <w:t xml:space="preserve"> in the </w:t>
      </w:r>
      <w:r w:rsidR="00751A19">
        <w:rPr>
          <w:rFonts w:ascii="Times New Roman" w:hAnsi="Times New Roman" w:cs="Times New Roman"/>
          <w:b/>
          <w:sz w:val="28"/>
          <w:szCs w:val="28"/>
        </w:rPr>
        <w:t>Digital Age</w:t>
      </w:r>
    </w:p>
    <w:p w14:paraId="5CFDB10A" w14:textId="2B44ED3E" w:rsidR="006C1666" w:rsidRDefault="00DA6F69" w:rsidP="006C1666">
      <w:pPr>
        <w:jc w:val="both"/>
        <w:rPr>
          <w:rFonts w:ascii="Times New Roman" w:hAnsi="Times New Roman" w:cs="Times New Roman"/>
          <w:b/>
          <w:bCs/>
          <w:sz w:val="24"/>
          <w:szCs w:val="24"/>
        </w:rPr>
      </w:pPr>
      <w:r>
        <w:t xml:space="preserve">                                           </w:t>
      </w:r>
      <w:r w:rsidR="008F40AA">
        <w:t xml:space="preserve">               </w:t>
      </w:r>
      <w:r>
        <w:t xml:space="preserve">   </w:t>
      </w:r>
      <w:r w:rsidRPr="00836FFE">
        <w:rPr>
          <w:rFonts w:ascii="Times New Roman" w:hAnsi="Times New Roman" w:cs="Times New Roman"/>
          <w:b/>
          <w:bCs/>
          <w:sz w:val="24"/>
          <w:szCs w:val="24"/>
        </w:rPr>
        <w:t>Dr. Gunjan Malik*, Sweety**</w:t>
      </w:r>
    </w:p>
    <w:p w14:paraId="784F3256" w14:textId="172CA70F" w:rsidR="00AD67A5" w:rsidRPr="00A73C86" w:rsidRDefault="00304D08" w:rsidP="002B571D">
      <w:pPr>
        <w:jc w:val="center"/>
        <w:rPr>
          <w:rFonts w:ascii="Times New Roman" w:hAnsi="Times New Roman" w:cs="Times New Roman"/>
          <w:sz w:val="24"/>
          <w:szCs w:val="24"/>
        </w:rPr>
      </w:pPr>
      <w:r w:rsidRPr="00A73C86">
        <w:rPr>
          <w:rFonts w:ascii="Times New Roman" w:hAnsi="Times New Roman" w:cs="Times New Roman"/>
          <w:sz w:val="24"/>
          <w:szCs w:val="24"/>
        </w:rPr>
        <w:t>*</w:t>
      </w:r>
      <w:r w:rsidR="00B527DF" w:rsidRPr="00A73C86">
        <w:rPr>
          <w:rFonts w:ascii="Times New Roman" w:hAnsi="Times New Roman" w:cs="Times New Roman"/>
          <w:sz w:val="24"/>
          <w:szCs w:val="24"/>
        </w:rPr>
        <w:t>Associate Professor</w:t>
      </w:r>
      <w:r w:rsidR="00E679BC" w:rsidRPr="00A73C86">
        <w:rPr>
          <w:rFonts w:ascii="Times New Roman" w:hAnsi="Times New Roman" w:cs="Times New Roman"/>
          <w:sz w:val="24"/>
          <w:szCs w:val="24"/>
        </w:rPr>
        <w:t xml:space="preserve">, </w:t>
      </w:r>
      <w:r w:rsidR="00B527DF" w:rsidRPr="00A73C86">
        <w:rPr>
          <w:rFonts w:ascii="Times New Roman" w:hAnsi="Times New Roman" w:cs="Times New Roman"/>
          <w:sz w:val="24"/>
          <w:szCs w:val="24"/>
        </w:rPr>
        <w:t>Institute of Hotel &amp; Tourism Management</w:t>
      </w:r>
      <w:r w:rsidR="00E679BC" w:rsidRPr="00A73C86">
        <w:rPr>
          <w:rFonts w:ascii="Times New Roman" w:hAnsi="Times New Roman" w:cs="Times New Roman"/>
          <w:sz w:val="24"/>
          <w:szCs w:val="24"/>
        </w:rPr>
        <w:t>, Maharshi Dayanand University - Rohtak</w:t>
      </w:r>
      <w:r w:rsidRPr="00A73C86">
        <w:rPr>
          <w:rFonts w:ascii="Times New Roman" w:hAnsi="Times New Roman" w:cs="Times New Roman"/>
          <w:sz w:val="24"/>
          <w:szCs w:val="24"/>
        </w:rPr>
        <w:t>, India,</w:t>
      </w:r>
    </w:p>
    <w:p w14:paraId="11CAF8C0" w14:textId="797A5C49" w:rsidR="002B571D" w:rsidRDefault="00304D08" w:rsidP="002B571D">
      <w:pPr>
        <w:jc w:val="center"/>
        <w:rPr>
          <w:rFonts w:ascii="Times New Roman" w:hAnsi="Times New Roman" w:cs="Times New Roman"/>
          <w:sz w:val="24"/>
          <w:szCs w:val="24"/>
        </w:rPr>
      </w:pPr>
      <w:r w:rsidRPr="00A73C86">
        <w:rPr>
          <w:rFonts w:ascii="Times New Roman" w:hAnsi="Times New Roman" w:cs="Times New Roman"/>
          <w:sz w:val="24"/>
          <w:szCs w:val="24"/>
        </w:rPr>
        <w:t>**</w:t>
      </w:r>
      <w:r w:rsidR="00AD67A5" w:rsidRPr="00A73C86">
        <w:rPr>
          <w:rFonts w:ascii="Times New Roman" w:hAnsi="Times New Roman" w:cs="Times New Roman"/>
          <w:sz w:val="24"/>
          <w:szCs w:val="24"/>
        </w:rPr>
        <w:t>Research Scholar,</w:t>
      </w:r>
      <w:r w:rsidR="001B0CB0">
        <w:rPr>
          <w:rFonts w:ascii="Times New Roman" w:hAnsi="Times New Roman" w:cs="Times New Roman"/>
          <w:sz w:val="24"/>
          <w:szCs w:val="24"/>
        </w:rPr>
        <w:t xml:space="preserve"> </w:t>
      </w:r>
      <w:r w:rsidR="00712180" w:rsidRPr="00A73C86">
        <w:rPr>
          <w:rFonts w:ascii="Times New Roman" w:hAnsi="Times New Roman" w:cs="Times New Roman"/>
          <w:sz w:val="24"/>
          <w:szCs w:val="24"/>
        </w:rPr>
        <w:t>Institute of Hotel &amp; Tourism Management, Maharshi Dayanand University - Rohtak, India,</w:t>
      </w:r>
    </w:p>
    <w:p w14:paraId="3C0B8FDB" w14:textId="56B04C4F" w:rsidR="00304D08" w:rsidRPr="001B0CB0" w:rsidRDefault="00304D08" w:rsidP="002B571D">
      <w:pPr>
        <w:jc w:val="center"/>
        <w:rPr>
          <w:rFonts w:ascii="Times New Roman" w:hAnsi="Times New Roman" w:cs="Times New Roman"/>
          <w:sz w:val="24"/>
          <w:szCs w:val="24"/>
        </w:rPr>
      </w:pPr>
    </w:p>
    <w:p w14:paraId="4792EEA8" w14:textId="77777777" w:rsidR="00950D3E" w:rsidRPr="00A65AB8" w:rsidRDefault="00950D3E" w:rsidP="00A65AB8">
      <w:pPr>
        <w:spacing w:line="360" w:lineRule="auto"/>
        <w:jc w:val="both"/>
        <w:rPr>
          <w:rFonts w:ascii="Times New Roman" w:hAnsi="Times New Roman" w:cs="Times New Roman"/>
          <w:sz w:val="24"/>
          <w:szCs w:val="24"/>
        </w:rPr>
      </w:pPr>
    </w:p>
    <w:p w14:paraId="5F385731" w14:textId="77777777" w:rsidR="00BE3E07" w:rsidRPr="00A65AB8" w:rsidRDefault="0060333E" w:rsidP="00D83E54">
      <w:pPr>
        <w:spacing w:line="360" w:lineRule="auto"/>
        <w:jc w:val="both"/>
        <w:rPr>
          <w:rFonts w:ascii="Times New Roman" w:hAnsi="Times New Roman" w:cs="Times New Roman"/>
          <w:b/>
          <w:bCs/>
          <w:sz w:val="24"/>
          <w:szCs w:val="24"/>
        </w:rPr>
      </w:pPr>
      <w:r w:rsidRPr="00A65AB8">
        <w:rPr>
          <w:rFonts w:ascii="Times New Roman" w:hAnsi="Times New Roman" w:cs="Times New Roman"/>
          <w:b/>
          <w:bCs/>
          <w:sz w:val="24"/>
          <w:szCs w:val="24"/>
        </w:rPr>
        <w:t>Abstract</w:t>
      </w:r>
    </w:p>
    <w:p w14:paraId="3FC6A311" w14:textId="601718B4"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Human resource management practices are crucial in determining an organization's performance. Due to the incorporation of technology and the advent of upcoming trends, the field of human resource management (HRM) is undergoing tremendous change. This chapter examines the relationship between technology and HRM procedures, highlighting how it might affect businesses and employees. It explores the advantages and disadvantages of automation, artificial intelligence, data analytics, and remote work settings. The chapter talks about how these developments are changing employee </w:t>
      </w:r>
      <w:r w:rsidR="00092A1A" w:rsidRPr="00FE486D">
        <w:rPr>
          <w:rFonts w:ascii="Times New Roman" w:hAnsi="Times New Roman" w:cs="Times New Roman"/>
          <w:sz w:val="24"/>
          <w:szCs w:val="24"/>
        </w:rPr>
        <w:t>growth</w:t>
      </w:r>
      <w:r w:rsidRPr="00FE486D">
        <w:rPr>
          <w:rFonts w:ascii="Times New Roman" w:hAnsi="Times New Roman" w:cs="Times New Roman"/>
          <w:sz w:val="24"/>
          <w:szCs w:val="24"/>
        </w:rPr>
        <w:t>, performance reviews, and general HR tactics. It also handles possible issues including privacy, bias, and worker welfare. This study explores the changing link between technology and HRM and provides insights into how businesses can take advantage of these trends to boost employee engagement, productivity, and innovation while minimizing potential risks. </w:t>
      </w:r>
    </w:p>
    <w:p w14:paraId="0CD4AE1F" w14:textId="2D7A40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Keywords:</w:t>
      </w:r>
      <w:r w:rsidRPr="00FE486D">
        <w:rPr>
          <w:rFonts w:ascii="Times New Roman" w:hAnsi="Times New Roman" w:cs="Times New Roman"/>
          <w:sz w:val="24"/>
          <w:szCs w:val="24"/>
        </w:rPr>
        <w:t> Human Resource Management, Human Resource Management Practices,</w:t>
      </w:r>
      <w:r w:rsidR="00622196" w:rsidRPr="00FE486D">
        <w:rPr>
          <w:rFonts w:ascii="Times New Roman" w:hAnsi="Times New Roman" w:cs="Times New Roman"/>
          <w:sz w:val="24"/>
          <w:szCs w:val="24"/>
        </w:rPr>
        <w:t xml:space="preserve"> </w:t>
      </w:r>
      <w:r w:rsidRPr="00FE486D">
        <w:rPr>
          <w:rFonts w:ascii="Times New Roman" w:hAnsi="Times New Roman" w:cs="Times New Roman"/>
          <w:sz w:val="24"/>
          <w:szCs w:val="24"/>
        </w:rPr>
        <w:t>Technology, Future Trends, Challenges.</w:t>
      </w:r>
    </w:p>
    <w:p w14:paraId="5628A4FD"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Introduction</w:t>
      </w:r>
    </w:p>
    <w:p w14:paraId="704E73EB" w14:textId="7A03B09A"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The term "human resource management" (HRM) refers to a strategic and all-encompassing method of overseeing a company's staff, including hiring, selecting, developing, evaluating, and compensating people as well as ensuring their general well-being. To maximize productivity, encourage employee engagement, and help organizations accomplish their strategic goals, the multidisciplinary area of human resource management (HRM) entails </w:t>
      </w:r>
      <w:r w:rsidRPr="00FE486D">
        <w:rPr>
          <w:rFonts w:ascii="Times New Roman" w:hAnsi="Times New Roman" w:cs="Times New Roman"/>
          <w:sz w:val="24"/>
          <w:szCs w:val="24"/>
        </w:rPr>
        <w:lastRenderedPageBreak/>
        <w:t xml:space="preserve">matching human capital with the organization's goals, culture, and values. From its early days as a mostly administrative role with a personnel management emphasis, HRM has greatly developed. Modern Human resource management has broadened its focus to include strategic planning, talent acquisition, employee engagement, performance management, and other areas while still having necessary administrative responsibilities like payroll and compliance. This change reflects the understanding that human capital is a key factor in corporate performance. It is commonly acknowledged that employee </w:t>
      </w:r>
      <w:r w:rsidR="00F963EB" w:rsidRPr="00FE486D">
        <w:rPr>
          <w:rFonts w:ascii="Times New Roman" w:hAnsi="Times New Roman" w:cs="Times New Roman"/>
          <w:sz w:val="24"/>
          <w:szCs w:val="24"/>
        </w:rPr>
        <w:t>behaviour</w:t>
      </w:r>
      <w:r w:rsidRPr="00FE486D">
        <w:rPr>
          <w:rFonts w:ascii="Times New Roman" w:hAnsi="Times New Roman" w:cs="Times New Roman"/>
          <w:sz w:val="24"/>
          <w:szCs w:val="24"/>
        </w:rPr>
        <w:t xml:space="preserve"> affects organizational performance, at least in part, and that these </w:t>
      </w:r>
      <w:r w:rsidR="00F963EB" w:rsidRPr="00FE486D">
        <w:rPr>
          <w:rFonts w:ascii="Times New Roman" w:hAnsi="Times New Roman" w:cs="Times New Roman"/>
          <w:sz w:val="24"/>
          <w:szCs w:val="24"/>
        </w:rPr>
        <w:t>behaviours</w:t>
      </w:r>
      <w:r w:rsidRPr="00FE486D">
        <w:rPr>
          <w:rFonts w:ascii="Times New Roman" w:hAnsi="Times New Roman" w:cs="Times New Roman"/>
          <w:sz w:val="24"/>
          <w:szCs w:val="24"/>
        </w:rPr>
        <w:t xml:space="preserve"> can serve as a source of long-term competitive advantage </w:t>
      </w:r>
      <w:r w:rsidRPr="00FE486D">
        <w:rPr>
          <w:rFonts w:ascii="Times New Roman" w:hAnsi="Times New Roman" w:cs="Times New Roman"/>
          <w:b/>
          <w:bCs/>
          <w:sz w:val="24"/>
          <w:szCs w:val="24"/>
        </w:rPr>
        <w:t>(Huselid, 1995; Huselid et al. 1997; MacDuffie, 1995).</w:t>
      </w:r>
      <w:r w:rsidRPr="00FE486D">
        <w:rPr>
          <w:rFonts w:ascii="Times New Roman" w:hAnsi="Times New Roman" w:cs="Times New Roman"/>
          <w:sz w:val="24"/>
          <w:szCs w:val="24"/>
        </w:rPr>
        <w:t xml:space="preserve"> The impact of human resource management (HRM) techniques on employee growth and </w:t>
      </w:r>
      <w:r w:rsidR="00F963EB" w:rsidRPr="00FE486D">
        <w:rPr>
          <w:rFonts w:ascii="Times New Roman" w:hAnsi="Times New Roman" w:cs="Times New Roman"/>
          <w:sz w:val="24"/>
          <w:szCs w:val="24"/>
        </w:rPr>
        <w:t>behaviour</w:t>
      </w:r>
      <w:r w:rsidRPr="00FE486D">
        <w:rPr>
          <w:rFonts w:ascii="Times New Roman" w:hAnsi="Times New Roman" w:cs="Times New Roman"/>
          <w:sz w:val="24"/>
          <w:szCs w:val="24"/>
        </w:rPr>
        <w:t xml:space="preserve"> has an impact on company performance. According to</w:t>
      </w:r>
      <w:r w:rsidRPr="00FE486D">
        <w:rPr>
          <w:rFonts w:ascii="Times New Roman" w:hAnsi="Times New Roman" w:cs="Times New Roman"/>
          <w:b/>
          <w:bCs/>
          <w:sz w:val="24"/>
          <w:szCs w:val="24"/>
        </w:rPr>
        <w:t> Becker and Huselid (1998)</w:t>
      </w:r>
      <w:r w:rsidRPr="00FE486D">
        <w:rPr>
          <w:rFonts w:ascii="Times New Roman" w:hAnsi="Times New Roman" w:cs="Times New Roman"/>
          <w:sz w:val="24"/>
          <w:szCs w:val="24"/>
        </w:rPr>
        <w:t> and </w:t>
      </w:r>
      <w:r w:rsidRPr="00FE486D">
        <w:rPr>
          <w:rFonts w:ascii="Times New Roman" w:hAnsi="Times New Roman" w:cs="Times New Roman"/>
          <w:b/>
          <w:bCs/>
          <w:sz w:val="24"/>
          <w:szCs w:val="24"/>
        </w:rPr>
        <w:t>Huselid (1995),</w:t>
      </w:r>
      <w:r w:rsidRPr="00FE486D">
        <w:rPr>
          <w:rFonts w:ascii="Times New Roman" w:hAnsi="Times New Roman" w:cs="Times New Roman"/>
          <w:sz w:val="24"/>
          <w:szCs w:val="24"/>
        </w:rPr>
        <w:t> these practices determine the kind of workers who are chosen, their abilities and motivation, as well as the chances and incentives they have to come up with new and improved methods of performing their duties. These HRM procedures are frequently referred to as high-involvement HRM procedures since they foster skill development, motivation, and discretionary effort </w:t>
      </w:r>
      <w:r w:rsidRPr="00FE486D">
        <w:rPr>
          <w:rFonts w:ascii="Times New Roman" w:hAnsi="Times New Roman" w:cs="Times New Roman"/>
          <w:b/>
          <w:bCs/>
          <w:sz w:val="24"/>
          <w:szCs w:val="24"/>
        </w:rPr>
        <w:t>(Huselid, 1995). </w:t>
      </w:r>
    </w:p>
    <w:p w14:paraId="0CC201CC"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The term "human resource management" (HRM) practices refers to the structured and methodical actions, regulations, and procedures that businesses use to efficiently manage their staff at all stages of the employee lifecycle. These procedures are intended to recruit, train, inspire, and retain staff members, thereby enhancing the organization's overall performance, expansion, and competitive advantage. Human resource management practices cover a broad variety of tasks involving operational execution, strategic planning, and continuing assessment. These procedures are designed to satisfy the particular requirements, goals, and culture of the company. HRM now plays a more strategic role in promoting organizational performance than just doing typical administrative tasks. The problems brought on by globalization, workforce diversity, remote work, and the need for ongoing skill development are being met by HR professionals using technology, data analytics, and creative techniques.</w:t>
      </w:r>
    </w:p>
    <w:p w14:paraId="09CBB9AB" w14:textId="17110331"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HRM Practices</w:t>
      </w:r>
    </w:p>
    <w:p w14:paraId="679E7E54"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Some HRM Practices are as follows:</w:t>
      </w:r>
    </w:p>
    <w:p w14:paraId="354182CF"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Recruitment and Selection</w:t>
      </w:r>
    </w:p>
    <w:p w14:paraId="2D44210F" w14:textId="7D911E6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These procedures entail determining the staffing needs, locating possible candidates, doing interviews, and choosing people who are the best fit for the positions and culture of the firm. </w:t>
      </w:r>
      <w:r w:rsidRPr="00FE486D">
        <w:rPr>
          <w:rFonts w:ascii="Times New Roman" w:hAnsi="Times New Roman" w:cs="Times New Roman"/>
          <w:sz w:val="24"/>
          <w:szCs w:val="24"/>
        </w:rPr>
        <w:lastRenderedPageBreak/>
        <w:t>According to Vlachos, a highly selective hiring process is advantageous for identifying the best candidate who can handle a variety of job requirements, has the necessary skills and experience, and fits in well with the environment, all while ensuring that they have been chosen to deal with a dynamic culture and environment. A business should hire the best candidates so that they won't be as eager to depart for other positions. Additionally, </w:t>
      </w:r>
      <w:r w:rsidRPr="00FE486D">
        <w:rPr>
          <w:rFonts w:ascii="Times New Roman" w:hAnsi="Times New Roman" w:cs="Times New Roman"/>
          <w:b/>
          <w:bCs/>
          <w:sz w:val="24"/>
          <w:szCs w:val="24"/>
        </w:rPr>
        <w:t>Anwar &amp; Abd Zebari (2015)</w:t>
      </w:r>
      <w:r w:rsidRPr="00FE486D">
        <w:rPr>
          <w:rFonts w:ascii="Times New Roman" w:hAnsi="Times New Roman" w:cs="Times New Roman"/>
          <w:sz w:val="24"/>
          <w:szCs w:val="24"/>
        </w:rPr>
        <w:t xml:space="preserve"> noted that a crucial profit-generating method employed by HRMs is based on a </w:t>
      </w:r>
      <w:r w:rsidR="00F963EB" w:rsidRPr="00FE486D">
        <w:rPr>
          <w:rFonts w:ascii="Times New Roman" w:hAnsi="Times New Roman" w:cs="Times New Roman"/>
          <w:sz w:val="24"/>
          <w:szCs w:val="24"/>
        </w:rPr>
        <w:t>labour-intensive</w:t>
      </w:r>
      <w:r w:rsidRPr="00FE486D">
        <w:rPr>
          <w:rFonts w:ascii="Times New Roman" w:hAnsi="Times New Roman" w:cs="Times New Roman"/>
          <w:sz w:val="24"/>
          <w:szCs w:val="24"/>
        </w:rPr>
        <w:t>, pricey hiring procedure.</w:t>
      </w:r>
    </w:p>
    <w:p w14:paraId="29B4F878"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Training and Development</w:t>
      </w:r>
    </w:p>
    <w:p w14:paraId="1EACDA07"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Designing training programs, workshops, and development initiatives are examples of HRM practices in this area that are meant to improve employees' skills, knowledge, and capacities so they can perform their jobs well and contribute to the expansion of the firm. According to </w:t>
      </w:r>
      <w:r w:rsidRPr="00FE486D">
        <w:rPr>
          <w:rFonts w:ascii="Times New Roman" w:hAnsi="Times New Roman" w:cs="Times New Roman"/>
          <w:b/>
          <w:bCs/>
          <w:sz w:val="24"/>
          <w:szCs w:val="24"/>
        </w:rPr>
        <w:t>Collins &amp; McNulty (2020),</w:t>
      </w:r>
      <w:r w:rsidRPr="00FE486D">
        <w:rPr>
          <w:rFonts w:ascii="Times New Roman" w:hAnsi="Times New Roman" w:cs="Times New Roman"/>
          <w:sz w:val="24"/>
          <w:szCs w:val="24"/>
        </w:rPr>
        <w:t> off-the-job training increases efficiency but on-the-job training does not enhance performance. In addition, effective training improves employee effectiveness in terms of knowledge and skills as well as employee happiness, which is crucial for achieving organizational goals </w:t>
      </w:r>
      <w:r w:rsidRPr="00FE486D">
        <w:rPr>
          <w:rFonts w:ascii="Times New Roman" w:hAnsi="Times New Roman" w:cs="Times New Roman"/>
          <w:b/>
          <w:bCs/>
          <w:sz w:val="24"/>
          <w:szCs w:val="24"/>
        </w:rPr>
        <w:t>(Guest et al. 2020). </w:t>
      </w:r>
      <w:r w:rsidRPr="00FE486D">
        <w:rPr>
          <w:rFonts w:ascii="Times New Roman" w:hAnsi="Times New Roman" w:cs="Times New Roman"/>
          <w:sz w:val="24"/>
          <w:szCs w:val="24"/>
        </w:rPr>
        <w:t>According to </w:t>
      </w:r>
      <w:r w:rsidRPr="00FE486D">
        <w:rPr>
          <w:rFonts w:ascii="Times New Roman" w:hAnsi="Times New Roman" w:cs="Times New Roman"/>
          <w:b/>
          <w:bCs/>
          <w:sz w:val="24"/>
          <w:szCs w:val="24"/>
        </w:rPr>
        <w:t>Kundu (2000)</w:t>
      </w:r>
      <w:r w:rsidRPr="00FE486D">
        <w:rPr>
          <w:rFonts w:ascii="Times New Roman" w:hAnsi="Times New Roman" w:cs="Times New Roman"/>
          <w:sz w:val="24"/>
          <w:szCs w:val="24"/>
        </w:rPr>
        <w:t>, businesses should make significant investments in employee training to ensure that customer-oriented strategies are implemented successfully. Similar to this, </w:t>
      </w:r>
      <w:r w:rsidRPr="00FE486D">
        <w:rPr>
          <w:rFonts w:ascii="Times New Roman" w:hAnsi="Times New Roman" w:cs="Times New Roman"/>
          <w:b/>
          <w:bCs/>
          <w:sz w:val="24"/>
          <w:szCs w:val="24"/>
        </w:rPr>
        <w:t>Blair and Sisakhti (2007)</w:t>
      </w:r>
      <w:r w:rsidRPr="00FE486D">
        <w:rPr>
          <w:rFonts w:ascii="Times New Roman" w:hAnsi="Times New Roman" w:cs="Times New Roman"/>
          <w:sz w:val="24"/>
          <w:szCs w:val="24"/>
        </w:rPr>
        <w:t> have shown that spending money on training and development has significant returns. So, it is true that firms can benefit greatly from investing in staff training and development.</w:t>
      </w:r>
    </w:p>
    <w:p w14:paraId="68350E7D"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Performance Appraisal and Feedback</w:t>
      </w:r>
    </w:p>
    <w:p w14:paraId="5679CA58" w14:textId="314D6CFF"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Setting explicit performance expectations, giving frequent feedback, conducting performance reviews, and coordinating team and individual goals with organizational objectives are all part of good performance management methods. In addition, According to </w:t>
      </w:r>
      <w:r w:rsidRPr="00FE486D">
        <w:rPr>
          <w:rFonts w:ascii="Times New Roman" w:hAnsi="Times New Roman" w:cs="Times New Roman"/>
          <w:b/>
          <w:bCs/>
          <w:sz w:val="24"/>
          <w:szCs w:val="24"/>
        </w:rPr>
        <w:t>Low (2007)</w:t>
      </w:r>
      <w:r w:rsidRPr="00FE486D">
        <w:rPr>
          <w:rFonts w:ascii="Times New Roman" w:hAnsi="Times New Roman" w:cs="Times New Roman"/>
          <w:sz w:val="24"/>
          <w:szCs w:val="24"/>
        </w:rPr>
        <w:t xml:space="preserve">, a performance assessment is a system of measurements and procedures that compares an employee's </w:t>
      </w:r>
      <w:r w:rsidR="00F963EB" w:rsidRPr="00FE486D">
        <w:rPr>
          <w:rFonts w:ascii="Times New Roman" w:hAnsi="Times New Roman" w:cs="Times New Roman"/>
          <w:sz w:val="24"/>
          <w:szCs w:val="24"/>
        </w:rPr>
        <w:t>behaviour</w:t>
      </w:r>
      <w:r w:rsidRPr="00FE486D">
        <w:rPr>
          <w:rFonts w:ascii="Times New Roman" w:hAnsi="Times New Roman" w:cs="Times New Roman"/>
          <w:sz w:val="24"/>
          <w:szCs w:val="24"/>
        </w:rPr>
        <w:t xml:space="preserve"> and performance to predefined standards and goals and yields information about that employee's performance, discipline, strengths, and shortcomings. According to </w:t>
      </w:r>
      <w:r w:rsidRPr="00FE486D">
        <w:rPr>
          <w:rFonts w:ascii="Times New Roman" w:hAnsi="Times New Roman" w:cs="Times New Roman"/>
          <w:b/>
          <w:bCs/>
          <w:sz w:val="24"/>
          <w:szCs w:val="24"/>
        </w:rPr>
        <w:t>Mohamed Abduljlil ALDamoe et al. (2012) </w:t>
      </w:r>
      <w:r w:rsidRPr="00FE486D">
        <w:rPr>
          <w:rFonts w:ascii="Times New Roman" w:hAnsi="Times New Roman" w:cs="Times New Roman"/>
          <w:sz w:val="24"/>
          <w:szCs w:val="24"/>
        </w:rPr>
        <w:t>Through the process of explicitly reviewing the subordinate's job-specific performance priorities and expectations, communication, and allocated responsibilities, the performance evaluation process is a procedure that ensures mutual understanding between the subordinate and the supervisor. Additionally, it is a method of giving scheduled and episodic feedback that aims to improve teamwork and encourage more effective and capable work.</w:t>
      </w:r>
    </w:p>
    <w:p w14:paraId="19547241"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lastRenderedPageBreak/>
        <w:t>Employee Engagement and Motivation</w:t>
      </w:r>
    </w:p>
    <w:p w14:paraId="57AFEABF" w14:textId="2DD62F60"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Employee motivation and engagement are crucial aspects of human resource management (HRM) that have a big impact on the effectiveness, productivity, and overall success of an organization. HRM techniques in employee engagement and motivation help to promote job satisfaction, dedication, and a sense of ownership among employees by promoting a pleasant work environment and coordinating employees' goals with those of the firm. According to numerous studies including </w:t>
      </w:r>
      <w:r w:rsidRPr="00FE486D">
        <w:rPr>
          <w:rFonts w:ascii="Times New Roman" w:hAnsi="Times New Roman" w:cs="Times New Roman"/>
          <w:b/>
          <w:bCs/>
          <w:sz w:val="24"/>
          <w:szCs w:val="24"/>
        </w:rPr>
        <w:t>Bailey et al. (2017), Crawford et al. (2010), Halbesleben (2010), and Saks (2006)</w:t>
      </w:r>
      <w:r w:rsidRPr="00FE486D">
        <w:rPr>
          <w:rFonts w:ascii="Times New Roman" w:hAnsi="Times New Roman" w:cs="Times New Roman"/>
          <w:sz w:val="24"/>
          <w:szCs w:val="24"/>
        </w:rPr>
        <w:t xml:space="preserve">, employee engagement is closely related to employee attitudes, </w:t>
      </w:r>
      <w:r w:rsidR="00F963EB" w:rsidRPr="00FE486D">
        <w:rPr>
          <w:rFonts w:ascii="Times New Roman" w:hAnsi="Times New Roman" w:cs="Times New Roman"/>
          <w:sz w:val="24"/>
          <w:szCs w:val="24"/>
        </w:rPr>
        <w:t>behaviours</w:t>
      </w:r>
      <w:r w:rsidRPr="00FE486D">
        <w:rPr>
          <w:rFonts w:ascii="Times New Roman" w:hAnsi="Times New Roman" w:cs="Times New Roman"/>
          <w:sz w:val="24"/>
          <w:szCs w:val="24"/>
        </w:rPr>
        <w:t>, performance, and well-being as well as organizational outcomes like financial and customer metrics of performance.</w:t>
      </w:r>
    </w:p>
    <w:p w14:paraId="12CD9800"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Diversity and Inclusion Management</w:t>
      </w:r>
    </w:p>
    <w:p w14:paraId="744D0014" w14:textId="588318C9"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 xml:space="preserve">It refers to the practice of fostering a climate at work that </w:t>
      </w:r>
      <w:r w:rsidR="00F963EB" w:rsidRPr="00FE486D">
        <w:rPr>
          <w:rFonts w:ascii="Times New Roman" w:hAnsi="Times New Roman" w:cs="Times New Roman"/>
          <w:sz w:val="24"/>
          <w:szCs w:val="24"/>
        </w:rPr>
        <w:t>honours</w:t>
      </w:r>
      <w:r w:rsidRPr="00FE486D">
        <w:rPr>
          <w:rFonts w:ascii="Times New Roman" w:hAnsi="Times New Roman" w:cs="Times New Roman"/>
          <w:sz w:val="24"/>
          <w:szCs w:val="24"/>
        </w:rPr>
        <w:t xml:space="preserve"> and respects individual diversity and ensures that everyone has equal access to opportunities, resources, and experiences, regardless of their identities, backgrounds, or other traits. It includes a variety of tactics and programs designed to support an inclusive workplace culture and encourage a diverse workforce.</w:t>
      </w:r>
      <w:r w:rsidRPr="00FE486D">
        <w:rPr>
          <w:rFonts w:ascii="Times New Roman" w:hAnsi="Times New Roman" w:cs="Times New Roman"/>
          <w:b/>
          <w:bCs/>
          <w:sz w:val="24"/>
          <w:szCs w:val="24"/>
        </w:rPr>
        <w:t> </w:t>
      </w:r>
    </w:p>
    <w:p w14:paraId="4908F56D"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Evolving HRM Practices in the Digital Age</w:t>
      </w:r>
    </w:p>
    <w:p w14:paraId="77BC41AB" w14:textId="77777777" w:rsidR="002655DE" w:rsidRPr="00FE486D" w:rsidRDefault="002655DE"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The way organizations run, communicate, and interact with their stakeholders has undergone a significant transition with the advent of the digital age. In reaction to this digital revolution, human resource management (HRM) practices, a crucial aspect of organizational success, have undergone a substantial transformation. Modern HRM practices reflect a shift toward data-driven, flexible, and individualized talent management approaches. Utilizing technology efficiently enables firms to streamline HR procedures, improve employee satisfaction, and take advantage of the opportunities and challenges that the digital revolution presents. In a world that is digitally advanced and networked, this transformation places HRM in a position to be a strategic partner in fostering organizational success.</w:t>
      </w:r>
    </w:p>
    <w:p w14:paraId="4F6CD542" w14:textId="05DEE54D" w:rsidR="000971E5" w:rsidRPr="00FE486D" w:rsidRDefault="000971E5" w:rsidP="00FE486D">
      <w:pPr>
        <w:spacing w:line="360" w:lineRule="auto"/>
        <w:jc w:val="both"/>
        <w:rPr>
          <w:rFonts w:ascii="Times New Roman" w:hAnsi="Times New Roman" w:cs="Times New Roman"/>
          <w:b/>
          <w:bCs/>
          <w:sz w:val="24"/>
          <w:szCs w:val="24"/>
        </w:rPr>
      </w:pPr>
      <w:r w:rsidRPr="00FE486D">
        <w:rPr>
          <w:rFonts w:ascii="Times New Roman" w:hAnsi="Times New Roman" w:cs="Times New Roman"/>
          <w:b/>
          <w:bCs/>
          <w:sz w:val="24"/>
          <w:szCs w:val="24"/>
        </w:rPr>
        <w:t>The impact of technology on HRM practices</w:t>
      </w:r>
    </w:p>
    <w:p w14:paraId="72874464" w14:textId="5C2D34F1" w:rsidR="00FE486D" w:rsidRPr="00FE486D" w:rsidRDefault="000971E5" w:rsidP="00FE486D">
      <w:pPr>
        <w:spacing w:line="360" w:lineRule="auto"/>
        <w:jc w:val="both"/>
        <w:rPr>
          <w:rFonts w:ascii="Times New Roman" w:hAnsi="Times New Roman" w:cs="Times New Roman"/>
          <w:b/>
          <w:bCs/>
          <w:sz w:val="24"/>
          <w:szCs w:val="24"/>
        </w:rPr>
      </w:pPr>
      <w:r w:rsidRPr="00FE486D">
        <w:rPr>
          <w:rFonts w:ascii="Times New Roman" w:hAnsi="Times New Roman" w:cs="Times New Roman"/>
          <w:sz w:val="24"/>
          <w:szCs w:val="24"/>
        </w:rPr>
        <w:t>The management of human relationships is being significantly impacted by technological breakthroughs. The way the Human Resources (HR) department interacts with employees, gathers data, and assesses</w:t>
      </w:r>
      <w:r w:rsidRPr="00FE486D">
        <w:rPr>
          <w:rFonts w:ascii="Times New Roman" w:hAnsi="Times New Roman" w:cs="Times New Roman"/>
          <w:color w:val="0E101A"/>
          <w:sz w:val="24"/>
          <w:szCs w:val="24"/>
        </w:rPr>
        <w:t xml:space="preserve"> employee performance has undergone a significant transformation. The use of technology in HR is improving its effectiveness and standardization. Online hiring, </w:t>
      </w:r>
      <w:r w:rsidRPr="00FE486D">
        <w:rPr>
          <w:rFonts w:ascii="Times New Roman" w:hAnsi="Times New Roman" w:cs="Times New Roman"/>
          <w:color w:val="0E101A"/>
          <w:sz w:val="24"/>
          <w:szCs w:val="24"/>
        </w:rPr>
        <w:lastRenderedPageBreak/>
        <w:t>employee communication, employee performance data analysis, established management of large amounts of data, and adoption of best security practices for the security of digital data are just a few of the practices showcasing the exceptional technological presence in the ever-changing landscape of development</w:t>
      </w:r>
      <w:r w:rsidRPr="00FE486D">
        <w:rPr>
          <w:rFonts w:ascii="Times New Roman" w:hAnsi="Times New Roman" w:cs="Times New Roman"/>
          <w:b/>
          <w:bCs/>
          <w:sz w:val="24"/>
          <w:szCs w:val="24"/>
        </w:rPr>
        <w:t> (Saxena et al. 2021)</w:t>
      </w:r>
      <w:r w:rsidR="00FE486D" w:rsidRPr="00FE486D">
        <w:rPr>
          <w:rFonts w:ascii="Times New Roman" w:hAnsi="Times New Roman" w:cs="Times New Roman"/>
          <w:b/>
          <w:bCs/>
          <w:sz w:val="24"/>
          <w:szCs w:val="24"/>
        </w:rPr>
        <w:t>.</w:t>
      </w:r>
    </w:p>
    <w:p w14:paraId="305BBEB2" w14:textId="19913412" w:rsidR="000971E5" w:rsidRPr="00FE486D" w:rsidRDefault="000971E5" w:rsidP="00FE486D">
      <w:pPr>
        <w:spacing w:line="360" w:lineRule="auto"/>
        <w:jc w:val="both"/>
        <w:rPr>
          <w:rFonts w:ascii="Times New Roman" w:hAnsi="Times New Roman" w:cs="Times New Roman"/>
          <w:color w:val="0E101A"/>
          <w:sz w:val="24"/>
          <w:szCs w:val="24"/>
        </w:rPr>
      </w:pPr>
      <w:r w:rsidRPr="00FE486D">
        <w:rPr>
          <w:rFonts w:ascii="Times New Roman" w:hAnsi="Times New Roman" w:cs="Times New Roman"/>
          <w:color w:val="0E101A"/>
          <w:sz w:val="24"/>
          <w:szCs w:val="24"/>
        </w:rPr>
        <w:t>The incorporation of technology has transformed the field of human resource management (HRM) in an era of rapid technological advancement. Technology has changed HRM procedures, boosting efficiency, accuracy, and strategic decision-making across the board, from hiring and training to performance management and employee engagement. The numerous effects of technology on various HRM practices are examined in this section.</w:t>
      </w:r>
    </w:p>
    <w:p w14:paraId="07E5109B" w14:textId="45BAF527" w:rsidR="000971E5" w:rsidRPr="00FE486D" w:rsidRDefault="000971E5" w:rsidP="00FE486D">
      <w:pPr>
        <w:spacing w:line="360" w:lineRule="auto"/>
        <w:jc w:val="both"/>
        <w:rPr>
          <w:rFonts w:ascii="Times New Roman" w:hAnsi="Times New Roman" w:cs="Times New Roman"/>
          <w:sz w:val="24"/>
          <w:szCs w:val="24"/>
        </w:rPr>
      </w:pPr>
      <w:r w:rsidRPr="00FE486D">
        <w:rPr>
          <w:rFonts w:ascii="Times New Roman" w:hAnsi="Times New Roman" w:cs="Times New Roman"/>
          <w:b/>
          <w:bCs/>
          <w:sz w:val="24"/>
          <w:szCs w:val="24"/>
        </w:rPr>
        <w:t>Recruitment and Selection</w:t>
      </w:r>
      <w:r w:rsidRPr="00FE486D">
        <w:rPr>
          <w:rFonts w:ascii="Times New Roman" w:hAnsi="Times New Roman" w:cs="Times New Roman"/>
          <w:sz w:val="24"/>
          <w:szCs w:val="24"/>
        </w:rPr>
        <w:t>: Technology has revolutionized how businesses find, evaluate, and hire talent.</w:t>
      </w:r>
    </w:p>
    <w:p w14:paraId="79BAB2D7" w14:textId="77777777" w:rsidR="000971E5" w:rsidRPr="00FE486D" w:rsidRDefault="000971E5"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AI-Powered Recruitment: By streamlining candidate sourcing, screening, and matching, artificial intelligence increases the effectiveness of the hiring process.</w:t>
      </w:r>
    </w:p>
    <w:p w14:paraId="0A6BEC94" w14:textId="4AAF9139" w:rsidR="000971E5" w:rsidRPr="00FE486D" w:rsidRDefault="000971E5"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Online job portals: Employers can connect with a larger pool of applicants and spot passive job searchers thanks to job boards and professional networking websites.</w:t>
      </w:r>
    </w:p>
    <w:p w14:paraId="695F90A7" w14:textId="10F82A46" w:rsidR="000971E5" w:rsidRPr="00FE486D" w:rsidRDefault="000971E5"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Video interviews: Remote candidate evaluation is made possible via virtual interviews, which removes geographical restrictions and shortens the hiring process. The Artificial Intelligence Video Interview Act of Illinois went into effect on January 1st, 2020, and mandates that businesses that use AI to evaluate applicants' "fitness" for a job post must specify what "general types of characteristics" the AI is utilizing to evaluate and choose applicants </w:t>
      </w:r>
      <w:r w:rsidRPr="00FE486D">
        <w:rPr>
          <w:rFonts w:ascii="Times New Roman" w:hAnsi="Times New Roman" w:cs="Times New Roman"/>
          <w:b/>
          <w:bCs/>
          <w:sz w:val="24"/>
          <w:szCs w:val="24"/>
        </w:rPr>
        <w:t>(Heilweil, 2020).</w:t>
      </w:r>
    </w:p>
    <w:p w14:paraId="123D3AED" w14:textId="77777777" w:rsidR="000971E5" w:rsidRPr="00FE486D" w:rsidRDefault="000971E5"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E-learning platforms: Online training materials, webinars, and e-learning platforms enable self-paced learning, making instruction available to staff members wherever they are and whenever they need it.</w:t>
      </w:r>
    </w:p>
    <w:p w14:paraId="520A4AEC"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Virtual reality (VR) and augmented reality (AR) technology produce immersive learning environments for the improvement of practical skills.</w:t>
      </w:r>
    </w:p>
    <w:p w14:paraId="57A4D99D" w14:textId="77777777" w:rsidR="000971E5" w:rsidRPr="00FE486D" w:rsidRDefault="000971E5" w:rsidP="00FE486D">
      <w:pPr>
        <w:pStyle w:val="NormalWeb"/>
        <w:spacing w:before="0" w:beforeAutospacing="0" w:after="0" w:afterAutospacing="0" w:line="360" w:lineRule="auto"/>
        <w:jc w:val="both"/>
        <w:rPr>
          <w:rStyle w:val="Strong"/>
          <w:color w:val="0E101A"/>
        </w:rPr>
      </w:pPr>
    </w:p>
    <w:p w14:paraId="6FE91BBE" w14:textId="7BB486D0"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Performance Management</w:t>
      </w:r>
    </w:p>
    <w:p w14:paraId="4BBB47DA" w14:textId="77777777" w:rsidR="000971E5" w:rsidRPr="00FE486D" w:rsidRDefault="000971E5" w:rsidP="00FE486D">
      <w:pPr>
        <w:pStyle w:val="NormalWeb"/>
        <w:spacing w:before="0" w:beforeAutospacing="0" w:after="0" w:afterAutospacing="0" w:line="360" w:lineRule="auto"/>
        <w:jc w:val="both"/>
        <w:rPr>
          <w:color w:val="0E101A"/>
        </w:rPr>
      </w:pPr>
    </w:p>
    <w:p w14:paraId="5CDA4A53" w14:textId="6A3D4635"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Real-Time Feedback: Digital systems provide continuous feedback, substituting ongoing performance conversations for annual assessments.</w:t>
      </w:r>
    </w:p>
    <w:p w14:paraId="3D622732" w14:textId="4D54DDC9"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lastRenderedPageBreak/>
        <w:t>Analytics for employee performance: Data analytics give HR professionals insights into employee performance trends and assist them in identifying areas that need improvement. By using advanced data analysis techniques to improve accuracy and objectivity in the evaluation process, HR analytics was identified as a potential option </w:t>
      </w:r>
      <w:r w:rsidRPr="00FE486D">
        <w:rPr>
          <w:rStyle w:val="Strong"/>
          <w:color w:val="0E101A"/>
        </w:rPr>
        <w:t>(Sharma 2017)</w:t>
      </w:r>
      <w:r w:rsidR="00FE486D" w:rsidRPr="00FE486D">
        <w:rPr>
          <w:rStyle w:val="Strong"/>
          <w:color w:val="0E101A"/>
        </w:rPr>
        <w:t>.</w:t>
      </w:r>
    </w:p>
    <w:p w14:paraId="79868938" w14:textId="093CB665"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360-Degree Feedback Tools: Online tools make it easier to gather comments from many sources and present a thorough picture of employee performance.</w:t>
      </w:r>
      <w:r w:rsidRPr="00FE486D">
        <w:rPr>
          <w:rStyle w:val="Strong"/>
          <w:color w:val="0E101A"/>
        </w:rPr>
        <w:t> </w:t>
      </w:r>
      <w:r w:rsidRPr="00FE486D">
        <w:rPr>
          <w:rStyle w:val="Strong"/>
          <w:b w:val="0"/>
          <w:bCs w:val="0"/>
          <w:color w:val="0E101A"/>
        </w:rPr>
        <w:t>T</w:t>
      </w:r>
      <w:r w:rsidRPr="00FE486D">
        <w:rPr>
          <w:color w:val="0E101A"/>
        </w:rPr>
        <w:t xml:space="preserve">he 360-degree feedback method is "the feedback process which involves collecting perceptions about a person's </w:t>
      </w:r>
      <w:r w:rsidR="00F963EB" w:rsidRPr="00FE486D">
        <w:rPr>
          <w:color w:val="0E101A"/>
        </w:rPr>
        <w:t>behaviour</w:t>
      </w:r>
      <w:r w:rsidRPr="00FE486D">
        <w:rPr>
          <w:color w:val="0E101A"/>
        </w:rPr>
        <w:t xml:space="preserve"> and the impact of that </w:t>
      </w:r>
      <w:r w:rsidR="00F963EB" w:rsidRPr="00FE486D">
        <w:rPr>
          <w:color w:val="0E101A"/>
        </w:rPr>
        <w:t>behaviour</w:t>
      </w:r>
      <w:r w:rsidRPr="00FE486D">
        <w:rPr>
          <w:color w:val="0E101A"/>
        </w:rPr>
        <w:t xml:space="preserve"> from the person's boss or bosses, direct reports, colleagues, fellow members of project teams, internal and external customers, and suppliers." </w:t>
      </w:r>
      <w:r w:rsidRPr="00FE486D">
        <w:rPr>
          <w:rStyle w:val="Strong"/>
          <w:color w:val="0E101A"/>
        </w:rPr>
        <w:t>(Lepsinger and Lucia 1997)</w:t>
      </w:r>
      <w:r w:rsidR="00FE486D" w:rsidRPr="00FE486D">
        <w:rPr>
          <w:rStyle w:val="Strong"/>
          <w:color w:val="0E101A"/>
        </w:rPr>
        <w:t>.</w:t>
      </w:r>
    </w:p>
    <w:p w14:paraId="7212952D" w14:textId="77777777" w:rsidR="000971E5" w:rsidRPr="00FE486D" w:rsidRDefault="000971E5" w:rsidP="00FE486D">
      <w:pPr>
        <w:pStyle w:val="NormalWeb"/>
        <w:spacing w:before="0" w:beforeAutospacing="0" w:after="0" w:afterAutospacing="0" w:line="360" w:lineRule="auto"/>
        <w:jc w:val="both"/>
        <w:rPr>
          <w:b/>
          <w:bCs/>
        </w:rPr>
      </w:pPr>
    </w:p>
    <w:p w14:paraId="1EA4F743" w14:textId="77777777" w:rsidR="00FE486D" w:rsidRDefault="000971E5" w:rsidP="00FE486D">
      <w:pPr>
        <w:pStyle w:val="NormalWeb"/>
        <w:spacing w:before="0" w:beforeAutospacing="0" w:after="0" w:afterAutospacing="0" w:line="360" w:lineRule="auto"/>
        <w:jc w:val="both"/>
        <w:rPr>
          <w:color w:val="0E101A"/>
        </w:rPr>
      </w:pPr>
      <w:r w:rsidRPr="00FE486D">
        <w:rPr>
          <w:b/>
          <w:bCs/>
        </w:rPr>
        <w:t>Platforms for enhancing employee engagement</w:t>
      </w:r>
      <w:r w:rsidRPr="00FE486D">
        <w:rPr>
          <w:color w:val="0E101A"/>
        </w:rPr>
        <w:t xml:space="preserve">: </w:t>
      </w:r>
    </w:p>
    <w:p w14:paraId="394B244D" w14:textId="2AABDF5F"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Organizations can evaluate employee mood, get feedback, and put plans into place using digital platforms.</w:t>
      </w:r>
    </w:p>
    <w:p w14:paraId="12BC7AA9"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Social intranets: Internal social networks encourage employee interaction, teamwork, and a sense of community.</w:t>
      </w:r>
    </w:p>
    <w:p w14:paraId="63BA7351"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Apps for rewards and recognition: Mobile apps allow for peer-to-peer recognition that is quick and effective, fostering a positive work environment.</w:t>
      </w:r>
    </w:p>
    <w:p w14:paraId="50EC4F0F" w14:textId="77777777" w:rsidR="000971E5" w:rsidRPr="00FE486D" w:rsidRDefault="000971E5" w:rsidP="00FE486D">
      <w:pPr>
        <w:pStyle w:val="NormalWeb"/>
        <w:spacing w:before="0" w:beforeAutospacing="0" w:after="0" w:afterAutospacing="0" w:line="360" w:lineRule="auto"/>
        <w:jc w:val="both"/>
        <w:rPr>
          <w:rStyle w:val="Strong"/>
          <w:color w:val="0E101A"/>
        </w:rPr>
      </w:pPr>
    </w:p>
    <w:p w14:paraId="02E6E709" w14:textId="4DF1D103" w:rsidR="000971E5" w:rsidRPr="00FE486D" w:rsidRDefault="000971E5" w:rsidP="00FE486D">
      <w:pPr>
        <w:spacing w:line="360" w:lineRule="auto"/>
        <w:jc w:val="both"/>
        <w:rPr>
          <w:rStyle w:val="Strong"/>
          <w:rFonts w:ascii="Times New Roman" w:hAnsi="Times New Roman" w:cs="Times New Roman"/>
          <w:color w:val="0E101A"/>
          <w:sz w:val="24"/>
          <w:szCs w:val="24"/>
        </w:rPr>
      </w:pPr>
      <w:r w:rsidRPr="00FE486D">
        <w:rPr>
          <w:rStyle w:val="Strong"/>
          <w:rFonts w:ascii="Times New Roman" w:hAnsi="Times New Roman" w:cs="Times New Roman"/>
          <w:color w:val="0E101A"/>
          <w:sz w:val="24"/>
          <w:szCs w:val="24"/>
        </w:rPr>
        <w:t>Data-Driven Decision-Making:</w:t>
      </w:r>
    </w:p>
    <w:p w14:paraId="6F39FA5D" w14:textId="3C847C3C" w:rsidR="000971E5" w:rsidRPr="00FE486D" w:rsidRDefault="00F436B7" w:rsidP="00FE486D">
      <w:pPr>
        <w:spacing w:line="360" w:lineRule="auto"/>
        <w:jc w:val="both"/>
        <w:rPr>
          <w:rFonts w:ascii="Times New Roman" w:hAnsi="Times New Roman" w:cs="Times New Roman"/>
          <w:sz w:val="24"/>
          <w:szCs w:val="24"/>
        </w:rPr>
      </w:pPr>
      <w:r w:rsidRPr="00FE486D">
        <w:rPr>
          <w:rFonts w:ascii="Times New Roman" w:hAnsi="Times New Roman" w:cs="Times New Roman"/>
          <w:sz w:val="24"/>
          <w:szCs w:val="24"/>
        </w:rPr>
        <w:t>Analysing</w:t>
      </w:r>
      <w:r w:rsidR="000971E5" w:rsidRPr="00FE486D">
        <w:rPr>
          <w:rFonts w:ascii="Times New Roman" w:hAnsi="Times New Roman" w:cs="Times New Roman"/>
          <w:sz w:val="24"/>
          <w:szCs w:val="24"/>
        </w:rPr>
        <w:t xml:space="preserve"> workforce data with the use of data analytics technologies enables HR managers to make well-informed decisions about organizational strategy and personnel management. Tools for data-driven decision-making creation and implementation are just one of several steps that must be taken to ensure optimal use </w:t>
      </w:r>
      <w:r w:rsidR="000971E5" w:rsidRPr="00FE486D">
        <w:rPr>
          <w:rStyle w:val="Strong"/>
          <w:rFonts w:ascii="Times New Roman" w:hAnsi="Times New Roman" w:cs="Times New Roman"/>
          <w:color w:val="0E101A"/>
          <w:sz w:val="24"/>
          <w:szCs w:val="24"/>
        </w:rPr>
        <w:t>(Mandinach, Honey and Light, 2006)</w:t>
      </w:r>
    </w:p>
    <w:p w14:paraId="1E46C789" w14:textId="1C1D991C"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 xml:space="preserve">Predictive analytics: Predictive models pinpoint trends and patterns to foresee future </w:t>
      </w:r>
      <w:r w:rsidR="00F436B7" w:rsidRPr="00FE486D">
        <w:rPr>
          <w:color w:val="0E101A"/>
        </w:rPr>
        <w:t>labour</w:t>
      </w:r>
      <w:r w:rsidRPr="00FE486D">
        <w:rPr>
          <w:color w:val="0E101A"/>
        </w:rPr>
        <w:t xml:space="preserve"> market demands, including risks of turnover and skill gaps.</w:t>
      </w:r>
    </w:p>
    <w:p w14:paraId="1E3563E9" w14:textId="77777777" w:rsidR="000971E5" w:rsidRPr="00FE486D" w:rsidRDefault="000971E5" w:rsidP="00FE486D">
      <w:pPr>
        <w:pStyle w:val="NormalWeb"/>
        <w:spacing w:before="0" w:beforeAutospacing="0" w:after="0" w:afterAutospacing="0" w:line="360" w:lineRule="auto"/>
        <w:jc w:val="both"/>
        <w:rPr>
          <w:rStyle w:val="Strong"/>
          <w:color w:val="0E101A"/>
        </w:rPr>
      </w:pPr>
    </w:p>
    <w:p w14:paraId="1C61A604" w14:textId="14A1CCAA"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Flexibility and Remote Employment</w:t>
      </w:r>
      <w:r w:rsidRPr="00FE486D">
        <w:rPr>
          <w:color w:val="0E101A"/>
        </w:rPr>
        <w:t>: Technology is facilitating the growth of remote employment and flexible working conditions.</w:t>
      </w:r>
    </w:p>
    <w:p w14:paraId="692AB9B9"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Tools for virtual collaboration: Communication, project management, and video conferencing services enable smooth cooperation between remote teams.</w:t>
      </w:r>
    </w:p>
    <w:p w14:paraId="3EEC0523" w14:textId="397B9326" w:rsidR="00656466" w:rsidRPr="00FE486D" w:rsidRDefault="000971E5" w:rsidP="00FE486D">
      <w:pPr>
        <w:pStyle w:val="NormalWeb"/>
        <w:spacing w:before="0" w:beforeAutospacing="0" w:after="0" w:afterAutospacing="0" w:line="360" w:lineRule="auto"/>
        <w:jc w:val="both"/>
        <w:rPr>
          <w:color w:val="0E101A"/>
        </w:rPr>
      </w:pPr>
      <w:r w:rsidRPr="00FE486D">
        <w:rPr>
          <w:color w:val="0E101A"/>
        </w:rPr>
        <w:t>Cloud-Based HR Systems: By using the cloud, employees can access HR services and data from a distance.</w:t>
      </w:r>
    </w:p>
    <w:p w14:paraId="38E9B9F4" w14:textId="77777777" w:rsidR="00FE486D" w:rsidRPr="00FE486D" w:rsidRDefault="00FE486D" w:rsidP="00FE486D">
      <w:pPr>
        <w:pStyle w:val="NormalWeb"/>
        <w:spacing w:before="0" w:beforeAutospacing="0" w:after="0" w:afterAutospacing="0" w:line="360" w:lineRule="auto"/>
        <w:jc w:val="both"/>
        <w:rPr>
          <w:rStyle w:val="Strong"/>
          <w:b w:val="0"/>
          <w:bCs w:val="0"/>
          <w:color w:val="0E101A"/>
        </w:rPr>
      </w:pPr>
    </w:p>
    <w:p w14:paraId="2547E8CE" w14:textId="0146A66F" w:rsidR="000971E5" w:rsidRPr="00FE486D" w:rsidRDefault="000971E5" w:rsidP="00FE486D">
      <w:pPr>
        <w:spacing w:line="360" w:lineRule="auto"/>
        <w:jc w:val="both"/>
        <w:rPr>
          <w:rFonts w:ascii="Times New Roman" w:hAnsi="Times New Roman" w:cs="Times New Roman"/>
          <w:sz w:val="24"/>
          <w:szCs w:val="24"/>
        </w:rPr>
      </w:pPr>
      <w:r w:rsidRPr="00FE486D">
        <w:rPr>
          <w:rStyle w:val="Strong"/>
          <w:rFonts w:ascii="Times New Roman" w:hAnsi="Times New Roman" w:cs="Times New Roman"/>
          <w:color w:val="0E101A"/>
          <w:sz w:val="24"/>
          <w:szCs w:val="24"/>
        </w:rPr>
        <w:t>Data Security and Privacy:</w:t>
      </w:r>
    </w:p>
    <w:p w14:paraId="696C51A8"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Cyber security: HR departments need to protect employee data from online dangers and make sure that data protection laws are being followed.</w:t>
      </w:r>
    </w:p>
    <w:p w14:paraId="7B8595E2"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Ethical AI Use: Potential biases and ethical issues in AI-driven HRM practices need to be carefully considered.</w:t>
      </w:r>
    </w:p>
    <w:p w14:paraId="4ED408F8"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Technology has fundamentally changed HRM procedures, from hiring to performance evaluation. Businesses that adopt technology-driven HRM practices get a competitive edge by increasing productivity, making data-driven decisions, and cultivating an environment that prioritizes the needs of their employees and encourages innovation and growth. Although technology has many advantages, its application necessitates careful consideration of data security, ethical issues, and the proper ratio of automation to human interaction.</w:t>
      </w:r>
    </w:p>
    <w:p w14:paraId="397B4E6E" w14:textId="77777777" w:rsidR="000971E5" w:rsidRPr="00FE486D" w:rsidRDefault="000971E5" w:rsidP="00FE486D">
      <w:pPr>
        <w:pStyle w:val="NormalWeb"/>
        <w:spacing w:before="0" w:beforeAutospacing="0" w:after="0" w:afterAutospacing="0" w:line="360" w:lineRule="auto"/>
        <w:jc w:val="both"/>
        <w:rPr>
          <w:rStyle w:val="Strong"/>
          <w:color w:val="0E101A"/>
        </w:rPr>
      </w:pPr>
    </w:p>
    <w:p w14:paraId="3768F453" w14:textId="531A7806" w:rsidR="000971E5" w:rsidRPr="00FE486D" w:rsidRDefault="000971E5" w:rsidP="00FE486D">
      <w:pPr>
        <w:pStyle w:val="NormalWeb"/>
        <w:spacing w:before="0" w:beforeAutospacing="0" w:after="0" w:afterAutospacing="0" w:line="360" w:lineRule="auto"/>
        <w:jc w:val="both"/>
        <w:rPr>
          <w:rStyle w:val="Strong"/>
          <w:color w:val="0E101A"/>
        </w:rPr>
      </w:pPr>
      <w:r w:rsidRPr="00FE486D">
        <w:rPr>
          <w:rStyle w:val="Strong"/>
          <w:color w:val="0E101A"/>
        </w:rPr>
        <w:t>Future Trends in HRM Practices</w:t>
      </w:r>
    </w:p>
    <w:p w14:paraId="0015377B" w14:textId="77777777" w:rsidR="00656466" w:rsidRPr="00FE486D" w:rsidRDefault="00656466" w:rsidP="00FE486D">
      <w:pPr>
        <w:pStyle w:val="NoSpacing"/>
        <w:spacing w:line="360" w:lineRule="auto"/>
        <w:jc w:val="both"/>
        <w:rPr>
          <w:rFonts w:ascii="Times New Roman" w:hAnsi="Times New Roman" w:cs="Times New Roman"/>
          <w:sz w:val="24"/>
          <w:szCs w:val="24"/>
        </w:rPr>
      </w:pPr>
    </w:p>
    <w:p w14:paraId="5071F303"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AI and Automation: </w:t>
      </w:r>
      <w:r w:rsidRPr="00FE486D">
        <w:rPr>
          <w:color w:val="0E101A"/>
        </w:rPr>
        <w:t>It's anticipated that automation and artificial intelligence (AI) will become more integrated into HRM procedures. AI can automate procedures like resume screening, matching candidates, and even first interviewing, increasing productivity and lowering bias.</w:t>
      </w:r>
    </w:p>
    <w:p w14:paraId="3E849248"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Data Analytics: </w:t>
      </w:r>
      <w:r w:rsidRPr="00FE486D">
        <w:rPr>
          <w:color w:val="0E101A"/>
        </w:rPr>
        <w:t>To help them make wise judgments, HR departments are increasingly using data analytics. By identifying trends in employee performance, engagement, and attrition, predictive analytics enables businesses to take preventative action.</w:t>
      </w:r>
    </w:p>
    <w:p w14:paraId="7EECA5F9"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Remote Work and Flexibility: </w:t>
      </w:r>
      <w:r w:rsidRPr="00FE486D">
        <w:rPr>
          <w:color w:val="0E101A"/>
        </w:rPr>
        <w:t>It's anticipated that these trends will continue to grow. To facilitate remote cooperation, sustain team unity, and ensure work-life balance, HRM procedures will need to be modified. Due to both societal trends and technological advancements, remote working also known as flexible working arrangements is becoming more and more common in the community. There are unexpected benefits, like enhanced creativity as a result of a better work-life balance, which has encouraged flexible working arrangements </w:t>
      </w:r>
      <w:r w:rsidRPr="00FE486D">
        <w:rPr>
          <w:rStyle w:val="Strong"/>
          <w:color w:val="0E101A"/>
        </w:rPr>
        <w:t>(Hunter 2019).</w:t>
      </w:r>
    </w:p>
    <w:p w14:paraId="57A84F25"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Employee Well-Being: </w:t>
      </w:r>
      <w:r w:rsidRPr="00FE486D">
        <w:rPr>
          <w:color w:val="0E101A"/>
        </w:rPr>
        <w:t>Businesses are putting more focus on workers' overall health, both mental and physical. HRM procedures will include initiatives to reduce stress, flexible work schedules, and wellness programs.</w:t>
      </w:r>
    </w:p>
    <w:p w14:paraId="6EF12ADC"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lastRenderedPageBreak/>
        <w:t>Continuous Learning and Reskilling: </w:t>
      </w:r>
      <w:r w:rsidRPr="00FE486D">
        <w:rPr>
          <w:color w:val="0E101A"/>
        </w:rPr>
        <w:t>As technological breakthroughs alter sectors, HRM practices will concentrate on offering chances for continuous learning and reskilling to support people in remaining relevant in their professions.</w:t>
      </w:r>
    </w:p>
    <w:p w14:paraId="350633C2"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Personalized Employee Experience:</w:t>
      </w:r>
      <w:r w:rsidRPr="00FE486D">
        <w:rPr>
          <w:color w:val="0E101A"/>
        </w:rPr>
        <w:t> To increase engagement and job satisfaction, HRM will customize employee experiences based on individual preferences, needs, and career objectives.</w:t>
      </w:r>
    </w:p>
    <w:p w14:paraId="49FC5A70"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Diversity, Equity, and Inclusion (DEI)</w:t>
      </w:r>
      <w:r w:rsidRPr="00FE486D">
        <w:rPr>
          <w:color w:val="0E101A"/>
        </w:rPr>
        <w:t>: DEI efforts will continue to get top priority in HRM practices, resulting in more inclusive and varied workplaces that encourage creativity and cooperation. An axiological attitude toward procedural and distributive fairness in organizations and institutions is frequently present with DEI </w:t>
      </w:r>
      <w:r w:rsidRPr="00FE486D">
        <w:rPr>
          <w:rStyle w:val="Strong"/>
          <w:color w:val="0E101A"/>
        </w:rPr>
        <w:t>(Arsel, Crockett, and Scott, 2022).</w:t>
      </w:r>
    </w:p>
    <w:p w14:paraId="71266708"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Agile Performance Management: </w:t>
      </w:r>
      <w:r w:rsidRPr="00FE486D">
        <w:rPr>
          <w:color w:val="0E101A"/>
        </w:rPr>
        <w:t>Continuous feedback, goal-setting, and performance conversations that are in line with agile work practices are replacing traditional annual performance reviews</w:t>
      </w:r>
    </w:p>
    <w:p w14:paraId="694B90C5" w14:textId="2BC07E1A" w:rsidR="000971E5" w:rsidRPr="00FE486D" w:rsidRDefault="000971E5" w:rsidP="00FE486D">
      <w:pPr>
        <w:pStyle w:val="NormalWeb"/>
        <w:spacing w:before="0" w:beforeAutospacing="0" w:after="0" w:afterAutospacing="0" w:line="360" w:lineRule="auto"/>
        <w:jc w:val="both"/>
        <w:rPr>
          <w:b/>
          <w:bCs/>
          <w:color w:val="0E101A"/>
        </w:rPr>
      </w:pPr>
      <w:r w:rsidRPr="00FE486D">
        <w:rPr>
          <w:rStyle w:val="Strong"/>
          <w:color w:val="0E101A"/>
        </w:rPr>
        <w:t>Gig Economy Integration: </w:t>
      </w:r>
      <w:r w:rsidRPr="00FE486D">
        <w:rPr>
          <w:color w:val="0E101A"/>
        </w:rPr>
        <w:t>HRM procedures will change to accommodate gig workers and independent contractors, effectively integrating them into the workforce and ensuring they contribute to the objectives of the firm.</w:t>
      </w:r>
      <w:r w:rsidR="00AE0E03" w:rsidRPr="00FE486D">
        <w:rPr>
          <w:color w:val="0E101A"/>
        </w:rPr>
        <w:t xml:space="preserve"> Gig workers ostensibly have the option to decide how practically every part of their employment will be handled </w:t>
      </w:r>
      <w:r w:rsidR="00AE0E03" w:rsidRPr="00FE486D">
        <w:rPr>
          <w:b/>
          <w:bCs/>
          <w:color w:val="0E101A"/>
        </w:rPr>
        <w:t>(Lehdonvirta, 2018)</w:t>
      </w:r>
      <w:r w:rsidR="00AE0E03" w:rsidRPr="00FE486D">
        <w:rPr>
          <w:color w:val="0E101A"/>
        </w:rPr>
        <w:t xml:space="preserve">. Platform companies contend that gig employees, as independent contractors, are ostensibly exempt from HRM activities because they are free to work whenever and </w:t>
      </w:r>
      <w:r w:rsidR="00FE486D" w:rsidRPr="00FE486D">
        <w:rPr>
          <w:color w:val="0E101A"/>
        </w:rPr>
        <w:t>however,</w:t>
      </w:r>
      <w:r w:rsidR="00AE0E03" w:rsidRPr="00FE486D">
        <w:rPr>
          <w:color w:val="0E101A"/>
        </w:rPr>
        <w:t xml:space="preserve"> they like without having human managers monitor their performance </w:t>
      </w:r>
      <w:r w:rsidR="00AE0E03" w:rsidRPr="00FE486D">
        <w:rPr>
          <w:b/>
          <w:bCs/>
          <w:color w:val="0E101A"/>
        </w:rPr>
        <w:t>(Cross &amp; Swart, 2021; Keegan &amp; Meijerink, 2022).</w:t>
      </w:r>
    </w:p>
    <w:p w14:paraId="12FDC0F1"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Leadership Development: </w:t>
      </w:r>
      <w:r w:rsidRPr="00FE486D">
        <w:rPr>
          <w:color w:val="0E101A"/>
        </w:rPr>
        <w:t>HRM will prioritize creating innovative leaders who can work in an uncertain environment, manage remote teams, and inspire creativity.</w:t>
      </w:r>
    </w:p>
    <w:p w14:paraId="2BDF9C31"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Ethical AI Usage:</w:t>
      </w:r>
      <w:r w:rsidRPr="00FE486D">
        <w:rPr>
          <w:color w:val="0E101A"/>
        </w:rPr>
        <w:t> As AI is used more frequently in HRM, ethical considerations, transparency, and fairness in algorithm-driven judgments will receive more attention.</w:t>
      </w:r>
    </w:p>
    <w:p w14:paraId="3C77D7F2"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HR as a Strategic Partner: </w:t>
      </w:r>
      <w:r w:rsidRPr="00FE486D">
        <w:rPr>
          <w:color w:val="0E101A"/>
        </w:rPr>
        <w:t>HRM will keep moving away from administrative duties and into a strategic partner position, working closely with senior management to match HR strategies with overarching company objectives.</w:t>
      </w:r>
    </w:p>
    <w:p w14:paraId="36127705" w14:textId="4F624199" w:rsidR="00FE486D" w:rsidRPr="00FE486D" w:rsidRDefault="000971E5" w:rsidP="00FE486D">
      <w:pPr>
        <w:pStyle w:val="NormalWeb"/>
        <w:spacing w:before="0" w:beforeAutospacing="0" w:after="0" w:afterAutospacing="0" w:line="360" w:lineRule="auto"/>
        <w:jc w:val="both"/>
        <w:rPr>
          <w:color w:val="0E101A"/>
        </w:rPr>
      </w:pPr>
      <w:r w:rsidRPr="00FE486D">
        <w:rPr>
          <w:color w:val="0E101A"/>
        </w:rPr>
        <w:t>These trends are connected and illustrate how technology, the nature of work, and employee expectations are all changing. In the competitive and dynamic environment of the future, organizations that proactively adopt these trends in their HRM strategies will do better. </w:t>
      </w:r>
    </w:p>
    <w:p w14:paraId="24C54987" w14:textId="77777777" w:rsidR="00FE486D" w:rsidRPr="003D619B" w:rsidRDefault="00FE486D" w:rsidP="00FE486D">
      <w:pPr>
        <w:pStyle w:val="NormalWeb"/>
        <w:spacing w:before="0" w:beforeAutospacing="0" w:after="0" w:afterAutospacing="0" w:line="360" w:lineRule="auto"/>
        <w:jc w:val="both"/>
        <w:rPr>
          <w:rStyle w:val="Strong"/>
          <w:color w:val="0E101A"/>
        </w:rPr>
      </w:pPr>
    </w:p>
    <w:p w14:paraId="1EAE17BA" w14:textId="77777777" w:rsidR="003D619B" w:rsidRPr="003D619B" w:rsidRDefault="003D619B" w:rsidP="00FE486D">
      <w:pPr>
        <w:spacing w:line="360" w:lineRule="auto"/>
        <w:jc w:val="both"/>
        <w:rPr>
          <w:rStyle w:val="Strong"/>
          <w:rFonts w:ascii="Times New Roman" w:eastAsia="Times New Roman" w:hAnsi="Times New Roman" w:cs="Times New Roman"/>
          <w:color w:val="0E101A"/>
          <w:kern w:val="0"/>
          <w:sz w:val="24"/>
          <w:szCs w:val="24"/>
          <w:lang w:eastAsia="en-IN"/>
        </w:rPr>
      </w:pPr>
      <w:r w:rsidRPr="003D619B">
        <w:rPr>
          <w:rStyle w:val="Strong"/>
          <w:rFonts w:ascii="Times New Roman" w:eastAsia="Times New Roman" w:hAnsi="Times New Roman" w:cs="Times New Roman"/>
          <w:color w:val="0E101A"/>
          <w:kern w:val="0"/>
          <w:sz w:val="24"/>
          <w:szCs w:val="24"/>
          <w:lang w:eastAsia="en-IN"/>
        </w:rPr>
        <w:t>Obstacles posed by upcoming shifts in HRM practices</w:t>
      </w:r>
    </w:p>
    <w:p w14:paraId="0D30E065" w14:textId="4F66328C" w:rsidR="000971E5" w:rsidRPr="00FE486D" w:rsidRDefault="000971E5" w:rsidP="00FE486D">
      <w:pPr>
        <w:spacing w:line="360" w:lineRule="auto"/>
        <w:jc w:val="both"/>
        <w:rPr>
          <w:rFonts w:ascii="Times New Roman" w:eastAsia="Times New Roman" w:hAnsi="Times New Roman" w:cs="Times New Roman"/>
          <w:color w:val="0E101A"/>
          <w:kern w:val="0"/>
          <w:sz w:val="24"/>
          <w:szCs w:val="24"/>
          <w:lang w:eastAsia="en-IN"/>
        </w:rPr>
      </w:pPr>
      <w:r w:rsidRPr="00FE486D">
        <w:rPr>
          <w:rFonts w:ascii="Times New Roman" w:eastAsia="Times New Roman" w:hAnsi="Times New Roman" w:cs="Times New Roman"/>
          <w:color w:val="0E101A"/>
          <w:kern w:val="0"/>
          <w:sz w:val="24"/>
          <w:szCs w:val="24"/>
          <w:lang w:eastAsia="en-IN"/>
        </w:rPr>
        <w:lastRenderedPageBreak/>
        <w:t>While many upcoming advances in human resource management (HRM) have the potential to improve working conditions, others may have the opposite effect. Here are a few possible Challenges of upcoming advancements in HRM practices:</w:t>
      </w:r>
    </w:p>
    <w:p w14:paraId="271D4D8C"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Resistance to Change:</w:t>
      </w:r>
      <w:r w:rsidRPr="00FE486D">
        <w:rPr>
          <w:color w:val="0E101A"/>
        </w:rPr>
        <w:t> Employees accustomed to conventional procedures may be resistant to the introduction of new HRM practices, particularly those incorporating technology. This opposition could obstruct the effective adoption of these procedures and impair organizational development.</w:t>
      </w:r>
    </w:p>
    <w:p w14:paraId="2A34B8F2" w14:textId="7A934D81"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Lack of Human Touch:</w:t>
      </w:r>
      <w:r w:rsidRPr="00FE486D">
        <w:rPr>
          <w:color w:val="0E101A"/>
        </w:rPr>
        <w:t xml:space="preserve"> Automation and AI can speed procedures, but they may also make HR interactions less individualized and personal. Particularly in areas like conflict resolution, </w:t>
      </w:r>
      <w:r w:rsidR="00F436B7" w:rsidRPr="00FE486D">
        <w:rPr>
          <w:color w:val="0E101A"/>
        </w:rPr>
        <w:t>counselling</w:t>
      </w:r>
      <w:r w:rsidRPr="00FE486D">
        <w:rPr>
          <w:color w:val="0E101A"/>
        </w:rPr>
        <w:t>, and mentorship, this might have an impact on employee morale, satisfaction, and engagement.</w:t>
      </w:r>
    </w:p>
    <w:p w14:paraId="43A7E186"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Skill Gaps and Learning Challenges:</w:t>
      </w:r>
      <w:r w:rsidRPr="00FE486D">
        <w:rPr>
          <w:color w:val="0E101A"/>
        </w:rPr>
        <w:t> Rapid technological progress could cause a skills gap in the workforce. Employees risk losing marketability on the job market and decreasing productivity in their existing positions if they are not given the proper training to stay current with new technologies.</w:t>
      </w:r>
    </w:p>
    <w:p w14:paraId="1A83A1B5"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Unfair Access to Opportunities:</w:t>
      </w:r>
      <w:r w:rsidRPr="00FE486D">
        <w:rPr>
          <w:color w:val="0E101A"/>
        </w:rPr>
        <w:t> In a world where HRM is heavily reliant on technology, workers without access to or proficiency with digital tools may encounter difficulties getting access to critical information, opportunities for professional growth, and training. This can result in inequity in the workforce.</w:t>
      </w:r>
    </w:p>
    <w:p w14:paraId="46DF4FEE"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Reduced Personal engagement:</w:t>
      </w:r>
      <w:r w:rsidRPr="00FE486D">
        <w:rPr>
          <w:color w:val="0E101A"/>
        </w:rPr>
        <w:t> As digital communication and virtual collaboration technologies become more prevalent, there may be less face-to-face engagement among employees and between employees and supervisors. Effective communication, teamwork, and relationship-building may all be hampered by this.</w:t>
      </w:r>
    </w:p>
    <w:p w14:paraId="000A39A1" w14:textId="7FAD2A6E"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Job Security Decline:</w:t>
      </w:r>
      <w:r w:rsidRPr="00FE486D">
        <w:rPr>
          <w:color w:val="0E101A"/>
        </w:rPr>
        <w:t xml:space="preserve"> The gig economy and the increase in contract or freelance </w:t>
      </w:r>
      <w:r w:rsidR="00F963EB" w:rsidRPr="00FE486D">
        <w:rPr>
          <w:color w:val="0E101A"/>
        </w:rPr>
        <w:t>labour</w:t>
      </w:r>
      <w:r w:rsidRPr="00FE486D">
        <w:rPr>
          <w:color w:val="0E101A"/>
        </w:rPr>
        <w:t xml:space="preserve"> may cause traditional job security to decline. Employees might be forced into unstable employment situations without access to benefits or long-term stability.</w:t>
      </w:r>
    </w:p>
    <w:p w14:paraId="235172A3"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Automation and Job Displacement:</w:t>
      </w:r>
      <w:r w:rsidRPr="00FE486D">
        <w:rPr>
          <w:color w:val="0E101A"/>
        </w:rPr>
        <w:t> As automation, AI, and robotics are used more often in HRM, some job roles—especially those that include regular tasks—may become obsolete. While these technologies can increase productivity and decrease human error, they may also cause certain individuals who lack the appropriate abilities to work with these technologies to lose their jobs.</w:t>
      </w:r>
    </w:p>
    <w:p w14:paraId="06A7A3F2"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Concerns about privacy and data security:</w:t>
      </w:r>
      <w:r w:rsidRPr="00FE486D">
        <w:rPr>
          <w:color w:val="0E101A"/>
        </w:rPr>
        <w:t xml:space="preserve"> Concerns about privacy and data security may surface when HRM depends more on technology for tasks like employee monitoring, </w:t>
      </w:r>
      <w:r w:rsidRPr="00FE486D">
        <w:rPr>
          <w:color w:val="0E101A"/>
        </w:rPr>
        <w:lastRenderedPageBreak/>
        <w:t>performance appraisal, and data analysis. The gathering and storage of sensitive employee data put companies at risk of cyberattacks and data breaches, which could violate the privacy of the employees.</w:t>
      </w:r>
    </w:p>
    <w:p w14:paraId="68493C06" w14:textId="77777777" w:rsidR="000971E5" w:rsidRPr="00FE486D" w:rsidRDefault="000971E5" w:rsidP="00FE486D">
      <w:pPr>
        <w:pStyle w:val="NormalWeb"/>
        <w:spacing w:before="0" w:beforeAutospacing="0" w:after="0" w:afterAutospacing="0" w:line="360" w:lineRule="auto"/>
        <w:jc w:val="both"/>
        <w:rPr>
          <w:color w:val="0E101A"/>
        </w:rPr>
      </w:pPr>
      <w:r w:rsidRPr="00FE486D">
        <w:rPr>
          <w:rStyle w:val="Strong"/>
          <w:color w:val="0E101A"/>
        </w:rPr>
        <w:t>Employee Well-being and Burnout</w:t>
      </w:r>
      <w:r w:rsidRPr="00FE486D">
        <w:rPr>
          <w:color w:val="0E101A"/>
        </w:rPr>
        <w:t>: While technology might provide flexibility and remote work opportunities, it can also blur the lines between work and home life, increasing employee burnout. Employee well-being may be negatively impacted by constant connectivity and expectations of availability outside of typical business hours.</w:t>
      </w:r>
    </w:p>
    <w:p w14:paraId="5C90AC76" w14:textId="31A7E29D"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 xml:space="preserve">While implementing new HRM practices, it's critical for firms to carefully </w:t>
      </w:r>
      <w:r w:rsidR="00F436B7" w:rsidRPr="00FE486D">
        <w:rPr>
          <w:color w:val="0E101A"/>
        </w:rPr>
        <w:t>analyse</w:t>
      </w:r>
      <w:r w:rsidRPr="00FE486D">
        <w:rPr>
          <w:color w:val="0E101A"/>
        </w:rPr>
        <w:t xml:space="preserve"> these potential negative effects and take proactive actions to mitigate them. The key to overcoming these obstacles will be to take a balanced strategy that values both productivity and employee wellbeing.</w:t>
      </w:r>
    </w:p>
    <w:p w14:paraId="3535157E" w14:textId="77777777"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According to</w:t>
      </w:r>
      <w:r w:rsidRPr="00FE486D">
        <w:rPr>
          <w:rStyle w:val="Strong"/>
          <w:color w:val="0E101A"/>
        </w:rPr>
        <w:t> Abdelaal, Musthafa, and Halid (2022), </w:t>
      </w:r>
      <w:r w:rsidRPr="00FE486D">
        <w:rPr>
          <w:color w:val="0E101A"/>
        </w:rPr>
        <w:t>Recent innovations in business structures, employment practices, business conduct, and corporate strategies have been radically altered by digital technologies. Because of this, the human resources (HR) role has developed to embrace the digital world in design thinking, strategy, and implementation. Due to an expansion in the tourism business, one of the industries moving at an incredibly quick rate in developing nations is the hotel industry. On the other hand, the hotel business is significantly increasing the environmental load. As a result of the numerous environmental problems the hotel industry has encountered over the years, there is growing pressure to respond appropriately to environmental problems and embrace sustainable business practices. The hotel and its stakeholders benefit from these practices, which encompass the use of digital human resource management (HRM) methods. The environmental performance of the hotel business is significantly influenced by digital HRM practices, including digital recruiting, selection, training, and development, performance evaluation, and remuneration. According to this study, the hotel business may enhance both its overall organizational performance and environmental performance with the aid of digital HR practices and technology.</w:t>
      </w:r>
    </w:p>
    <w:p w14:paraId="008DF508" w14:textId="77777777" w:rsidR="00CD557A" w:rsidRDefault="00CD557A" w:rsidP="00FE486D">
      <w:pPr>
        <w:spacing w:line="360" w:lineRule="auto"/>
        <w:jc w:val="both"/>
        <w:rPr>
          <w:rStyle w:val="Strong"/>
          <w:rFonts w:ascii="Times New Roman" w:hAnsi="Times New Roman" w:cs="Times New Roman"/>
          <w:color w:val="0E101A"/>
          <w:sz w:val="24"/>
          <w:szCs w:val="24"/>
        </w:rPr>
      </w:pPr>
    </w:p>
    <w:p w14:paraId="049D2F11" w14:textId="77777777" w:rsidR="00CD557A" w:rsidRDefault="00CD557A" w:rsidP="00FE486D">
      <w:pPr>
        <w:spacing w:line="360" w:lineRule="auto"/>
        <w:jc w:val="both"/>
        <w:rPr>
          <w:rStyle w:val="Strong"/>
          <w:rFonts w:ascii="Times New Roman" w:hAnsi="Times New Roman" w:cs="Times New Roman"/>
          <w:color w:val="0E101A"/>
          <w:sz w:val="24"/>
          <w:szCs w:val="24"/>
        </w:rPr>
      </w:pPr>
    </w:p>
    <w:p w14:paraId="2C1BD294" w14:textId="60FDD339" w:rsidR="00656466" w:rsidRPr="00FE486D" w:rsidRDefault="000971E5" w:rsidP="00FE486D">
      <w:pPr>
        <w:spacing w:line="360" w:lineRule="auto"/>
        <w:jc w:val="both"/>
        <w:rPr>
          <w:rFonts w:ascii="Times New Roman" w:hAnsi="Times New Roman" w:cs="Times New Roman"/>
          <w:sz w:val="24"/>
          <w:szCs w:val="24"/>
        </w:rPr>
      </w:pPr>
      <w:r w:rsidRPr="00FE486D">
        <w:rPr>
          <w:rStyle w:val="Strong"/>
          <w:rFonts w:ascii="Times New Roman" w:hAnsi="Times New Roman" w:cs="Times New Roman"/>
          <w:color w:val="0E101A"/>
          <w:sz w:val="24"/>
          <w:szCs w:val="24"/>
        </w:rPr>
        <w:t>Conclusion</w:t>
      </w:r>
    </w:p>
    <w:p w14:paraId="4A96877F" w14:textId="232299C0" w:rsidR="000971E5" w:rsidRPr="00FE486D" w:rsidRDefault="000971E5" w:rsidP="00FE486D">
      <w:pPr>
        <w:pStyle w:val="NormalWeb"/>
        <w:spacing w:before="0" w:beforeAutospacing="0" w:after="0" w:afterAutospacing="0" w:line="360" w:lineRule="auto"/>
        <w:jc w:val="both"/>
        <w:rPr>
          <w:color w:val="0E101A"/>
        </w:rPr>
      </w:pPr>
      <w:r w:rsidRPr="00FE486D">
        <w:rPr>
          <w:color w:val="0E101A"/>
        </w:rPr>
        <w:t xml:space="preserve">In conclusion, a dynamic interplay of technological breakthroughs, shifting </w:t>
      </w:r>
      <w:r w:rsidR="00F436B7" w:rsidRPr="00FE486D">
        <w:rPr>
          <w:color w:val="0E101A"/>
        </w:rPr>
        <w:t>labour</w:t>
      </w:r>
      <w:r w:rsidRPr="00FE486D">
        <w:rPr>
          <w:color w:val="0E101A"/>
        </w:rPr>
        <w:t xml:space="preserve"> demographics, and changing organizational needs is destined to dramatically influence the future of Human Resource Management (HRM) practices. According to </w:t>
      </w:r>
      <w:r w:rsidRPr="00FE486D">
        <w:rPr>
          <w:rStyle w:val="Strong"/>
          <w:color w:val="0E101A"/>
        </w:rPr>
        <w:t xml:space="preserve">Yuvraj and </w:t>
      </w:r>
      <w:r w:rsidRPr="00FE486D">
        <w:rPr>
          <w:rStyle w:val="Strong"/>
          <w:color w:val="0E101A"/>
        </w:rPr>
        <w:lastRenderedPageBreak/>
        <w:t>Suganthiya (2021)</w:t>
      </w:r>
      <w:r w:rsidRPr="00FE486D">
        <w:rPr>
          <w:color w:val="0E101A"/>
        </w:rPr>
        <w:t>, the use of technology in HRM activities is typically motivated by the potential for improvements in process speed and efficiency, cost savings, increased customer satisfaction, increased data accuracy, improved process transparency and consistency, increased information availability, and the facilitation of change in the role of HR managers. To be competitive and adaptable to the demands of the modern workplace, firms must foresee and embrace emerging trends as they negotiate the complexity of the digital age. Companies face both significant obstacles and exciting opportunities as a result of the integration of technology and the development of future trends in human resource management (HRM) practices. HRM is at the vanguard of this shift as technology continues to change the business landscape, influencing how firms find, nurture, and retain talent.</w:t>
      </w:r>
    </w:p>
    <w:p w14:paraId="0E72C9DD" w14:textId="77777777" w:rsidR="000971E5" w:rsidRDefault="000971E5" w:rsidP="005273AE">
      <w:pPr>
        <w:jc w:val="both"/>
        <w:rPr>
          <w:rFonts w:ascii="Times New Roman" w:hAnsi="Times New Roman" w:cs="Times New Roman"/>
          <w:b/>
          <w:bCs/>
          <w:sz w:val="24"/>
          <w:szCs w:val="24"/>
        </w:rPr>
      </w:pPr>
    </w:p>
    <w:p w14:paraId="2E8C3067" w14:textId="53F8E4EA" w:rsidR="00D83E54" w:rsidRDefault="005273AE" w:rsidP="005273AE">
      <w:pPr>
        <w:jc w:val="both"/>
        <w:rPr>
          <w:rFonts w:ascii="Times New Roman" w:hAnsi="Times New Roman" w:cs="Times New Roman"/>
          <w:b/>
          <w:bCs/>
          <w:sz w:val="24"/>
          <w:szCs w:val="24"/>
        </w:rPr>
      </w:pPr>
      <w:r w:rsidRPr="005273AE">
        <w:rPr>
          <w:rFonts w:ascii="Times New Roman" w:hAnsi="Times New Roman" w:cs="Times New Roman"/>
          <w:b/>
          <w:bCs/>
          <w:sz w:val="24"/>
          <w:szCs w:val="24"/>
        </w:rPr>
        <w:t>References</w:t>
      </w:r>
    </w:p>
    <w:p w14:paraId="5105426B" w14:textId="2647E87F" w:rsidR="00742F28" w:rsidRDefault="00742F28" w:rsidP="005273AE">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Anwar, G., &amp; Abd Zebari, B. (2015). The Relationship between Employee Engagement and Corporate Social Responsibility: A Case Study of Car Dealership in Erbil, Kurdistan. International Journal of Social Sciences &amp; Educational Studies, 2(2), 45.</w:t>
      </w:r>
    </w:p>
    <w:p w14:paraId="273BDE9F" w14:textId="1C5ED337" w:rsidR="00415633" w:rsidRDefault="00415633" w:rsidP="005273AE">
      <w:pPr>
        <w:numPr>
          <w:ilvl w:val="0"/>
          <w:numId w:val="12"/>
        </w:numPr>
        <w:jc w:val="both"/>
        <w:rPr>
          <w:rFonts w:ascii="Times New Roman" w:hAnsi="Times New Roman" w:cs="Times New Roman"/>
          <w:sz w:val="24"/>
          <w:szCs w:val="24"/>
        </w:rPr>
      </w:pPr>
      <w:r w:rsidRPr="000971E5">
        <w:rPr>
          <w:rFonts w:ascii="Times New Roman" w:hAnsi="Times New Roman" w:cs="Times New Roman"/>
          <w:sz w:val="24"/>
          <w:szCs w:val="24"/>
        </w:rPr>
        <w:t>Arsel, Z., Crockett, D., &amp; Scott, M. L. (2022). Diversity, equity, and inclusion (DEI) in the Journal of Consumer Research: A curation and research agenda. Journal of Consumer Research, 48(5), 920-933.</w:t>
      </w:r>
    </w:p>
    <w:p w14:paraId="704E192C" w14:textId="069DDB0F" w:rsidR="00F01B65" w:rsidRPr="00742F28" w:rsidRDefault="00F01B65" w:rsidP="005273AE">
      <w:pPr>
        <w:numPr>
          <w:ilvl w:val="0"/>
          <w:numId w:val="12"/>
        </w:numPr>
        <w:jc w:val="both"/>
        <w:rPr>
          <w:rFonts w:ascii="Times New Roman" w:hAnsi="Times New Roman" w:cs="Times New Roman"/>
          <w:sz w:val="24"/>
          <w:szCs w:val="24"/>
        </w:rPr>
      </w:pPr>
      <w:r w:rsidRPr="009B4302">
        <w:rPr>
          <w:rFonts w:ascii="Times New Roman" w:hAnsi="Times New Roman" w:cs="Times New Roman"/>
          <w:sz w:val="24"/>
          <w:szCs w:val="24"/>
        </w:rPr>
        <w:t>Abdelaal, K., Musthafa, J., &amp; Halid, H. HRM Practices in Digital Era and its Positive Impact on Environmental Performance within Hotel Industry.</w:t>
      </w:r>
    </w:p>
    <w:p w14:paraId="55A27B37" w14:textId="5D4D1B09" w:rsidR="00DA0762" w:rsidRDefault="00950A0A" w:rsidP="005273AE">
      <w:pPr>
        <w:numPr>
          <w:ilvl w:val="0"/>
          <w:numId w:val="12"/>
        </w:numPr>
        <w:jc w:val="both"/>
        <w:rPr>
          <w:rFonts w:ascii="Times New Roman" w:hAnsi="Times New Roman" w:cs="Times New Roman"/>
          <w:sz w:val="24"/>
          <w:szCs w:val="24"/>
        </w:rPr>
      </w:pPr>
      <w:r w:rsidRPr="004853F0">
        <w:rPr>
          <w:rFonts w:ascii="Times New Roman" w:hAnsi="Times New Roman" w:cs="Times New Roman"/>
          <w:sz w:val="24"/>
          <w:szCs w:val="24"/>
        </w:rPr>
        <w:t>Blair, D., &amp; Sisakhti, R. (2007). Sales training: what makes it work”? T+D Magazine, August, available at: www.astd.org/astd/Publications/ TD Magazine/ 2007_pdf/August/0708_ExecSum.htm.</w:t>
      </w:r>
    </w:p>
    <w:p w14:paraId="0246DF2A" w14:textId="6516FD7C" w:rsidR="00DF12CD" w:rsidRPr="005273AE" w:rsidRDefault="00DF12CD" w:rsidP="005273AE">
      <w:pPr>
        <w:numPr>
          <w:ilvl w:val="0"/>
          <w:numId w:val="12"/>
        </w:numPr>
        <w:jc w:val="both"/>
        <w:rPr>
          <w:rFonts w:ascii="Times New Roman" w:hAnsi="Times New Roman" w:cs="Times New Roman"/>
          <w:sz w:val="24"/>
          <w:szCs w:val="24"/>
        </w:rPr>
      </w:pPr>
      <w:r w:rsidRPr="000A6332">
        <w:rPr>
          <w:rFonts w:ascii="Times New Roman" w:hAnsi="Times New Roman" w:cs="Times New Roman"/>
          <w:sz w:val="24"/>
          <w:szCs w:val="24"/>
        </w:rPr>
        <w:t>Bailey, C., Madden, A., Alfes, K., &amp; Fletcher, L. (2017). The meaning, antecedents and outcomes of employee engagement: A narrative synthesis. International Journal of Management Reviews, 19, 31–53.</w:t>
      </w:r>
    </w:p>
    <w:p w14:paraId="41CB1CDE" w14:textId="77777777" w:rsidR="005273AE" w:rsidRPr="005273AE" w:rsidRDefault="005273AE" w:rsidP="005273AE">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Becker, B. and Huselid, M.A. (1998), “High performance work systems and firm performance: a synthesis of research and managerial implications”, Research in Personnel and HRM, Vol. 16, pp. 53-101.</w:t>
      </w:r>
    </w:p>
    <w:p w14:paraId="0442F219" w14:textId="6893DBF2" w:rsidR="00584139" w:rsidRPr="006478AB" w:rsidRDefault="00584139" w:rsidP="006478AB">
      <w:pPr>
        <w:numPr>
          <w:ilvl w:val="0"/>
          <w:numId w:val="12"/>
        </w:numPr>
        <w:jc w:val="both"/>
        <w:rPr>
          <w:rFonts w:ascii="Times New Roman" w:hAnsi="Times New Roman" w:cs="Times New Roman"/>
          <w:sz w:val="24"/>
          <w:szCs w:val="24"/>
        </w:rPr>
      </w:pPr>
      <w:r w:rsidRPr="00584139">
        <w:rPr>
          <w:rFonts w:ascii="Times New Roman" w:hAnsi="Times New Roman" w:cs="Times New Roman"/>
          <w:sz w:val="24"/>
          <w:szCs w:val="24"/>
        </w:rPr>
        <w:t>Cross, D., &amp; Swart, J. (2021). The (ir)relevance of human resource management in independent work: Challenging assumptions. Human Resource Management Journal, 32(1), 232–246.</w:t>
      </w:r>
    </w:p>
    <w:p w14:paraId="161E0025" w14:textId="44298C9D" w:rsidR="00742F28" w:rsidRDefault="00742F28" w:rsidP="00742F28">
      <w:pPr>
        <w:numPr>
          <w:ilvl w:val="0"/>
          <w:numId w:val="12"/>
        </w:numPr>
        <w:jc w:val="both"/>
        <w:rPr>
          <w:rFonts w:ascii="Times New Roman" w:hAnsi="Times New Roman" w:cs="Times New Roman"/>
          <w:sz w:val="24"/>
          <w:szCs w:val="24"/>
        </w:rPr>
      </w:pPr>
      <w:r w:rsidRPr="00341453">
        <w:rPr>
          <w:rFonts w:ascii="Times New Roman" w:hAnsi="Times New Roman" w:cs="Times New Roman"/>
          <w:sz w:val="24"/>
          <w:szCs w:val="24"/>
        </w:rPr>
        <w:t>Crawford, E. R., LePine, J. A., &amp; Rich, B. L. (2010). Linking job demands and resources to employee engagement and burnout: A theoretical extension and metaanalytic test. Journal of Applied Psychology, 95, 834–848</w:t>
      </w:r>
    </w:p>
    <w:p w14:paraId="1662F06C" w14:textId="23FBA719" w:rsidR="00742F28" w:rsidRPr="00742F28" w:rsidRDefault="00742F28" w:rsidP="00742F28">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lastRenderedPageBreak/>
        <w:t>Collins, H., &amp; McNulty, Y. (2020). Insider status:(Re) framing researcher positionality in international human resource management studies. German Journal of Human Resource Management, 34(2), 202-227.</w:t>
      </w:r>
    </w:p>
    <w:p w14:paraId="64F1F13D" w14:textId="7E6438AC" w:rsidR="00742F28" w:rsidRPr="00742F28" w:rsidRDefault="00742F28" w:rsidP="00742F28">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Guest, D. E., Sanders, K., Rodrigues, R., &amp; Oliveira, T. (2020). Signalling theory as a framework for analysing human resource management processes and integrating human resource attribution theories: A conceptual analysis and empirical exploration. Human Resource Management Journal.</w:t>
      </w:r>
    </w:p>
    <w:p w14:paraId="7F9FCB5F" w14:textId="7D6261D2" w:rsidR="00742F28" w:rsidRPr="00742F28" w:rsidRDefault="00742F28" w:rsidP="00742F28">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Huselid, M.A., Jackson, S.E. and Schuler, R.S. (1997), “Technical and strategic human resource management effectiveness as determinants of firm performance”, Academy of Management Journal, Vol. 40, pp. 171-88.</w:t>
      </w:r>
    </w:p>
    <w:p w14:paraId="03282D2C" w14:textId="08C2A047" w:rsidR="00742F28" w:rsidRDefault="00FC3F9D" w:rsidP="00742F28">
      <w:pPr>
        <w:numPr>
          <w:ilvl w:val="0"/>
          <w:numId w:val="12"/>
        </w:numPr>
        <w:jc w:val="both"/>
        <w:rPr>
          <w:rFonts w:ascii="Times New Roman" w:hAnsi="Times New Roman" w:cs="Times New Roman"/>
          <w:sz w:val="24"/>
          <w:szCs w:val="24"/>
        </w:rPr>
      </w:pPr>
      <w:r w:rsidRPr="00341453">
        <w:rPr>
          <w:rFonts w:ascii="Times New Roman" w:hAnsi="Times New Roman" w:cs="Times New Roman"/>
          <w:sz w:val="24"/>
          <w:szCs w:val="24"/>
        </w:rPr>
        <w:t>Halbesleben, J. R. B. (2010). A meta-analysis of work engagement: Relationships with burnout, demands, resources, and consequences. In A. B. Bakker, &amp; M. P. Leiter (Eds.), Work engagement: A handbook of essential theory and research (pp. 102–117). New York: Psychology Press.</w:t>
      </w:r>
      <w:r w:rsidR="00742F28">
        <w:rPr>
          <w:rFonts w:ascii="Times New Roman" w:hAnsi="Times New Roman" w:cs="Times New Roman"/>
          <w:sz w:val="24"/>
          <w:szCs w:val="24"/>
        </w:rPr>
        <w:t xml:space="preserve"> </w:t>
      </w:r>
    </w:p>
    <w:p w14:paraId="21DB6A58" w14:textId="24C9BA37" w:rsidR="00077FF5" w:rsidRDefault="00077FF5" w:rsidP="00742F28">
      <w:pPr>
        <w:numPr>
          <w:ilvl w:val="0"/>
          <w:numId w:val="12"/>
        </w:numPr>
        <w:jc w:val="both"/>
        <w:rPr>
          <w:rFonts w:ascii="Times New Roman" w:hAnsi="Times New Roman" w:cs="Times New Roman"/>
          <w:sz w:val="24"/>
          <w:szCs w:val="24"/>
        </w:rPr>
      </w:pPr>
      <w:r w:rsidRPr="00077FF5">
        <w:rPr>
          <w:rFonts w:ascii="Times New Roman" w:hAnsi="Times New Roman" w:cs="Times New Roman"/>
          <w:sz w:val="24"/>
          <w:szCs w:val="24"/>
        </w:rPr>
        <w:t>Hunter, P. (2019). Remote working in research: An increasing usage of flexible work arrangements can improve productivity and creativity. EMBO reports, 20(1), e47435.</w:t>
      </w:r>
    </w:p>
    <w:p w14:paraId="15A606F3" w14:textId="5CAC6F1C" w:rsidR="006730EC" w:rsidRPr="00742F28" w:rsidRDefault="006730EC" w:rsidP="00742F28">
      <w:pPr>
        <w:numPr>
          <w:ilvl w:val="0"/>
          <w:numId w:val="12"/>
        </w:numPr>
        <w:jc w:val="both"/>
        <w:rPr>
          <w:rFonts w:ascii="Times New Roman" w:hAnsi="Times New Roman" w:cs="Times New Roman"/>
          <w:sz w:val="24"/>
          <w:szCs w:val="24"/>
        </w:rPr>
      </w:pPr>
      <w:r w:rsidRPr="000C5798">
        <w:rPr>
          <w:rFonts w:ascii="Times New Roman" w:hAnsi="Times New Roman" w:cs="Times New Roman"/>
          <w:sz w:val="24"/>
          <w:szCs w:val="24"/>
        </w:rPr>
        <w:t>Heilweil, R. (2020, January 1). Illinois regulates artificial intelligence like HireVue’s used to analyze online job Interviews. Vox. </w:t>
      </w:r>
      <w:hyperlink r:id="rId7" w:history="1">
        <w:r w:rsidRPr="000C5798">
          <w:rPr>
            <w:rFonts w:ascii="Times New Roman" w:hAnsi="Times New Roman" w:cs="Times New Roman"/>
            <w:sz w:val="24"/>
            <w:szCs w:val="24"/>
          </w:rPr>
          <w:t>https://www.vox.com/recode/2020/1/1/21043000/artificial-intelligence-job-applications-illinios-video-interivew-act</w:t>
        </w:r>
      </w:hyperlink>
    </w:p>
    <w:p w14:paraId="75882609" w14:textId="12F91A5C" w:rsidR="00742F28" w:rsidRDefault="00742F28" w:rsidP="00742F28">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Huselid, M.A. (1995), “The impact of human resource management practices on turnover, productivity, and corporate financial performance”, Academy of Management Journal, Vol. 38, pp. 635-70.</w:t>
      </w:r>
    </w:p>
    <w:p w14:paraId="6F58F2FC" w14:textId="77777777" w:rsidR="00742F28" w:rsidRDefault="00742F28" w:rsidP="00742F28">
      <w:pPr>
        <w:numPr>
          <w:ilvl w:val="0"/>
          <w:numId w:val="12"/>
        </w:numPr>
        <w:jc w:val="both"/>
        <w:rPr>
          <w:rFonts w:ascii="Times New Roman" w:hAnsi="Times New Roman" w:cs="Times New Roman"/>
          <w:sz w:val="24"/>
          <w:szCs w:val="24"/>
        </w:rPr>
      </w:pPr>
      <w:r w:rsidRPr="00341453">
        <w:rPr>
          <w:rFonts w:ascii="Times New Roman" w:hAnsi="Times New Roman" w:cs="Times New Roman"/>
          <w:sz w:val="24"/>
          <w:szCs w:val="24"/>
        </w:rPr>
        <w:t>Kundu, S.C. (2000). Creating Constituent Capitalized Workforce for Delivering Service Quality: A Challenge for the 21st century. In M. Raghavachari and K.V Ramani (Eds.), Delivering Service Quality: Managerial Challenges for the 21st Century (pp.232-239). Macmillan India Limited, Delhi.</w:t>
      </w:r>
    </w:p>
    <w:p w14:paraId="51244176" w14:textId="2DAABABE" w:rsidR="00584139" w:rsidRDefault="00584139" w:rsidP="00742F28">
      <w:pPr>
        <w:numPr>
          <w:ilvl w:val="0"/>
          <w:numId w:val="12"/>
        </w:numPr>
        <w:jc w:val="both"/>
        <w:rPr>
          <w:rFonts w:ascii="Times New Roman" w:hAnsi="Times New Roman" w:cs="Times New Roman"/>
          <w:sz w:val="24"/>
          <w:szCs w:val="24"/>
        </w:rPr>
      </w:pPr>
      <w:r w:rsidRPr="00584139">
        <w:rPr>
          <w:rFonts w:ascii="Times New Roman" w:hAnsi="Times New Roman" w:cs="Times New Roman"/>
          <w:sz w:val="24"/>
          <w:szCs w:val="24"/>
        </w:rPr>
        <w:t>Keegan, A., &amp; Meijerink, J. (2022). Dynamism and realignment in the HR architecture: Online labor platform ecosystems and the key role of contractors. Human Resource Management, 62, 15–29.</w:t>
      </w:r>
    </w:p>
    <w:p w14:paraId="3C7FC1A8" w14:textId="29B94E8D" w:rsidR="00584139" w:rsidRPr="005273AE" w:rsidRDefault="00584139" w:rsidP="00742F28">
      <w:pPr>
        <w:numPr>
          <w:ilvl w:val="0"/>
          <w:numId w:val="12"/>
        </w:numPr>
        <w:jc w:val="both"/>
        <w:rPr>
          <w:rFonts w:ascii="Times New Roman" w:hAnsi="Times New Roman" w:cs="Times New Roman"/>
          <w:sz w:val="24"/>
          <w:szCs w:val="24"/>
        </w:rPr>
      </w:pPr>
      <w:r w:rsidRPr="00584139">
        <w:rPr>
          <w:rFonts w:ascii="Times New Roman" w:hAnsi="Times New Roman" w:cs="Times New Roman"/>
          <w:sz w:val="24"/>
          <w:szCs w:val="24"/>
        </w:rPr>
        <w:t>Lehdonvirta, V. (2018). Flexibility in the gig economy: Managing time on three online piecework platforms. New Technology, Work and Employment, 33(1), 13–29.</w:t>
      </w:r>
    </w:p>
    <w:p w14:paraId="712D3BB8" w14:textId="6FA96CF0" w:rsidR="00742F28" w:rsidRDefault="00742F28" w:rsidP="00742F28">
      <w:pPr>
        <w:numPr>
          <w:ilvl w:val="0"/>
          <w:numId w:val="12"/>
        </w:numPr>
        <w:jc w:val="both"/>
        <w:rPr>
          <w:rFonts w:ascii="Times New Roman" w:hAnsi="Times New Roman" w:cs="Times New Roman"/>
          <w:sz w:val="24"/>
          <w:szCs w:val="24"/>
        </w:rPr>
      </w:pPr>
      <w:r w:rsidRPr="008E6A5B">
        <w:rPr>
          <w:rFonts w:ascii="Times New Roman" w:hAnsi="Times New Roman" w:cs="Times New Roman"/>
          <w:sz w:val="24"/>
          <w:szCs w:val="24"/>
        </w:rPr>
        <w:t>Law, D.R. (2007). Appraising performance appraisals: A critical look at an external control management technique, International Journal of Reality Therapy, XXVI (2), 18</w:t>
      </w:r>
      <w:r w:rsidR="00F5462D">
        <w:rPr>
          <w:rFonts w:ascii="Times New Roman" w:hAnsi="Times New Roman" w:cs="Times New Roman"/>
          <w:sz w:val="24"/>
          <w:szCs w:val="24"/>
        </w:rPr>
        <w:t>.</w:t>
      </w:r>
    </w:p>
    <w:p w14:paraId="1420A2C9" w14:textId="5B0F668F" w:rsidR="00F5462D" w:rsidRPr="00742F28" w:rsidRDefault="00F5462D" w:rsidP="00742F28">
      <w:pPr>
        <w:numPr>
          <w:ilvl w:val="0"/>
          <w:numId w:val="12"/>
        </w:numPr>
        <w:jc w:val="both"/>
        <w:rPr>
          <w:rFonts w:ascii="Times New Roman" w:hAnsi="Times New Roman" w:cs="Times New Roman"/>
          <w:sz w:val="24"/>
          <w:szCs w:val="24"/>
        </w:rPr>
      </w:pPr>
      <w:r w:rsidRPr="00F5462D">
        <w:rPr>
          <w:rFonts w:ascii="Times New Roman" w:hAnsi="Times New Roman" w:cs="Times New Roman"/>
          <w:sz w:val="24"/>
          <w:szCs w:val="24"/>
        </w:rPr>
        <w:t>Lepsinger, R., &amp; Lucia, A. D., (1997). The Art and Science of 360 Degree Feedback. San Francisco, CA: Pfeiffer/ Jossey-Bass.</w:t>
      </w:r>
    </w:p>
    <w:p w14:paraId="7D82A295" w14:textId="77777777" w:rsidR="005273AE" w:rsidRDefault="005273AE" w:rsidP="005273AE">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Moideenkutty, U., Al</w:t>
      </w:r>
      <w:r w:rsidRPr="00341453">
        <w:rPr>
          <w:rFonts w:ascii="Times New Roman" w:hAnsi="Times New Roman" w:cs="Times New Roman"/>
          <w:sz w:val="24"/>
          <w:szCs w:val="24"/>
        </w:rPr>
        <w:t>‐</w:t>
      </w:r>
      <w:r w:rsidRPr="005273AE">
        <w:rPr>
          <w:rFonts w:ascii="Times New Roman" w:hAnsi="Times New Roman" w:cs="Times New Roman"/>
          <w:sz w:val="24"/>
          <w:szCs w:val="24"/>
        </w:rPr>
        <w:t>Lamki, A., &amp; Sree Rama Murthy, Y. (2011). HRM practices and organizational performance in Oman. </w:t>
      </w:r>
      <w:r w:rsidRPr="00341453">
        <w:rPr>
          <w:rFonts w:ascii="Times New Roman" w:hAnsi="Times New Roman" w:cs="Times New Roman"/>
          <w:sz w:val="24"/>
          <w:szCs w:val="24"/>
        </w:rPr>
        <w:t>Personnel Review</w:t>
      </w:r>
      <w:r w:rsidRPr="005273AE">
        <w:rPr>
          <w:rFonts w:ascii="Times New Roman" w:hAnsi="Times New Roman" w:cs="Times New Roman"/>
          <w:sz w:val="24"/>
          <w:szCs w:val="24"/>
        </w:rPr>
        <w:t>, </w:t>
      </w:r>
      <w:r w:rsidRPr="00341453">
        <w:rPr>
          <w:rFonts w:ascii="Times New Roman" w:hAnsi="Times New Roman" w:cs="Times New Roman"/>
          <w:sz w:val="24"/>
          <w:szCs w:val="24"/>
        </w:rPr>
        <w:t>40</w:t>
      </w:r>
      <w:r w:rsidRPr="005273AE">
        <w:rPr>
          <w:rFonts w:ascii="Times New Roman" w:hAnsi="Times New Roman" w:cs="Times New Roman"/>
          <w:sz w:val="24"/>
          <w:szCs w:val="24"/>
        </w:rPr>
        <w:t>(2), 239-251.</w:t>
      </w:r>
    </w:p>
    <w:p w14:paraId="1D31320A" w14:textId="77291347" w:rsidR="004E58A5" w:rsidRDefault="004E58A5" w:rsidP="005273AE">
      <w:pPr>
        <w:numPr>
          <w:ilvl w:val="0"/>
          <w:numId w:val="12"/>
        </w:numPr>
        <w:jc w:val="both"/>
        <w:rPr>
          <w:rFonts w:ascii="Times New Roman" w:hAnsi="Times New Roman" w:cs="Times New Roman"/>
          <w:sz w:val="24"/>
          <w:szCs w:val="24"/>
        </w:rPr>
      </w:pPr>
      <w:r w:rsidRPr="004E58A5">
        <w:rPr>
          <w:rFonts w:ascii="Times New Roman" w:hAnsi="Times New Roman" w:cs="Times New Roman"/>
          <w:sz w:val="24"/>
          <w:szCs w:val="24"/>
        </w:rPr>
        <w:lastRenderedPageBreak/>
        <w:t>Mandinach, E. B., Honey, M., &amp; Light, D. (2006, April). A theoretical framework for data-driven decision making. In annual meeting of the American Educational Research Association, San Francisco, CA.</w:t>
      </w:r>
    </w:p>
    <w:p w14:paraId="537A97E5" w14:textId="234F2EA0" w:rsidR="00742F28" w:rsidRPr="00742F28" w:rsidRDefault="00742F28" w:rsidP="00742F28">
      <w:pPr>
        <w:numPr>
          <w:ilvl w:val="0"/>
          <w:numId w:val="12"/>
        </w:numPr>
        <w:jc w:val="both"/>
        <w:rPr>
          <w:rFonts w:ascii="Times New Roman" w:hAnsi="Times New Roman" w:cs="Times New Roman"/>
          <w:sz w:val="24"/>
          <w:szCs w:val="24"/>
        </w:rPr>
      </w:pPr>
      <w:r w:rsidRPr="005273AE">
        <w:rPr>
          <w:rFonts w:ascii="Times New Roman" w:hAnsi="Times New Roman" w:cs="Times New Roman"/>
          <w:sz w:val="24"/>
          <w:szCs w:val="24"/>
        </w:rPr>
        <w:t>MacDuffie, J.P. (1995), “Human resource bundles and manufacturing performance: organizational logic and flexible production systems in the world auto industry”, Industrial and Labor Relations Review, Vol. 48, pp. 197-221</w:t>
      </w:r>
    </w:p>
    <w:p w14:paraId="4E5BEA44" w14:textId="2F7998CD" w:rsidR="00204F81" w:rsidRDefault="00204F81" w:rsidP="005273AE">
      <w:pPr>
        <w:numPr>
          <w:ilvl w:val="0"/>
          <w:numId w:val="12"/>
        </w:numPr>
        <w:jc w:val="both"/>
        <w:rPr>
          <w:rFonts w:ascii="Times New Roman" w:hAnsi="Times New Roman" w:cs="Times New Roman"/>
          <w:sz w:val="24"/>
          <w:szCs w:val="24"/>
        </w:rPr>
      </w:pPr>
      <w:r w:rsidRPr="00204F81">
        <w:rPr>
          <w:rFonts w:ascii="Times New Roman" w:hAnsi="Times New Roman" w:cs="Times New Roman"/>
          <w:sz w:val="24"/>
          <w:szCs w:val="24"/>
        </w:rPr>
        <w:t>Sharma, A., &amp; Sharma, T. (2017). HR analytics and performance appraisal system: A conceptual framework for employee performance improvement. Management Research Review, 40(6), 684-697.</w:t>
      </w:r>
    </w:p>
    <w:p w14:paraId="3D5CA086" w14:textId="7FC6AFEC" w:rsidR="00BD45F4" w:rsidRDefault="00BD45F4" w:rsidP="005273AE">
      <w:pPr>
        <w:numPr>
          <w:ilvl w:val="0"/>
          <w:numId w:val="12"/>
        </w:numPr>
        <w:jc w:val="both"/>
        <w:rPr>
          <w:rFonts w:ascii="Times New Roman" w:hAnsi="Times New Roman" w:cs="Times New Roman"/>
          <w:sz w:val="24"/>
          <w:szCs w:val="24"/>
        </w:rPr>
      </w:pPr>
      <w:r w:rsidRPr="00AA7E4A">
        <w:rPr>
          <w:rFonts w:ascii="Times New Roman" w:hAnsi="Times New Roman" w:cs="Times New Roman"/>
          <w:sz w:val="24"/>
          <w:szCs w:val="24"/>
        </w:rPr>
        <w:t>Saxena, A., Saxena, A., Sharma, R., &amp; Parashar, M. (2021). Emergence of Futuristic HRM in Perspective of Human-Cobot‘s Collaborative Functionality. International Journal of Engineering and Advanced Technology, 10(5), 292-296.</w:t>
      </w:r>
    </w:p>
    <w:p w14:paraId="2D07A1BE" w14:textId="777B8011" w:rsidR="00363A7B" w:rsidRDefault="00363A7B" w:rsidP="005273AE">
      <w:pPr>
        <w:numPr>
          <w:ilvl w:val="0"/>
          <w:numId w:val="12"/>
        </w:numPr>
        <w:jc w:val="both"/>
        <w:rPr>
          <w:rFonts w:ascii="Times New Roman" w:hAnsi="Times New Roman" w:cs="Times New Roman"/>
          <w:sz w:val="24"/>
          <w:szCs w:val="24"/>
        </w:rPr>
      </w:pPr>
      <w:r w:rsidRPr="009359FD">
        <w:rPr>
          <w:rFonts w:ascii="Times New Roman" w:hAnsi="Times New Roman" w:cs="Times New Roman"/>
          <w:sz w:val="24"/>
          <w:szCs w:val="24"/>
        </w:rPr>
        <w:t>Saks, A. M. (2006). Antecedents and consequences of employee engagement. Journal of Managerial Psychology, 21, 600–619.</w:t>
      </w:r>
    </w:p>
    <w:p w14:paraId="724C745E" w14:textId="6F44F8D1" w:rsidR="002E0B26" w:rsidRPr="008E6A5B" w:rsidRDefault="002E0B26" w:rsidP="005273AE">
      <w:pPr>
        <w:numPr>
          <w:ilvl w:val="0"/>
          <w:numId w:val="12"/>
        </w:numPr>
        <w:jc w:val="both"/>
        <w:rPr>
          <w:rFonts w:ascii="Times New Roman" w:hAnsi="Times New Roman" w:cs="Times New Roman"/>
          <w:sz w:val="24"/>
          <w:szCs w:val="24"/>
        </w:rPr>
      </w:pPr>
      <w:r w:rsidRPr="00345980">
        <w:rPr>
          <w:rFonts w:ascii="Times New Roman" w:hAnsi="Times New Roman" w:cs="Times New Roman"/>
          <w:sz w:val="24"/>
          <w:szCs w:val="24"/>
        </w:rPr>
        <w:t>Yuvaraj, S., &amp; Suganthiya, M. S. (2016). Impact of technology on human resource management. International J. of Business Intelligence &amp; Innovation, 4, 449-456.</w:t>
      </w:r>
    </w:p>
    <w:p w14:paraId="0F3212BB" w14:textId="77777777" w:rsidR="005273AE" w:rsidRDefault="005273AE" w:rsidP="005273AE">
      <w:pPr>
        <w:jc w:val="both"/>
        <w:rPr>
          <w:rFonts w:ascii="Times New Roman" w:hAnsi="Times New Roman" w:cs="Times New Roman"/>
          <w:sz w:val="24"/>
          <w:szCs w:val="24"/>
        </w:rPr>
      </w:pPr>
    </w:p>
    <w:p w14:paraId="0F054BCE" w14:textId="77777777" w:rsidR="005273AE" w:rsidRDefault="005273AE" w:rsidP="005273AE">
      <w:pPr>
        <w:jc w:val="both"/>
        <w:rPr>
          <w:rFonts w:ascii="Times New Roman" w:hAnsi="Times New Roman" w:cs="Times New Roman"/>
          <w:sz w:val="24"/>
          <w:szCs w:val="24"/>
        </w:rPr>
      </w:pPr>
    </w:p>
    <w:p w14:paraId="5939D655" w14:textId="77777777" w:rsidR="005273AE" w:rsidRDefault="005273AE" w:rsidP="005273AE">
      <w:pPr>
        <w:jc w:val="both"/>
        <w:rPr>
          <w:rFonts w:ascii="Times New Roman" w:hAnsi="Times New Roman" w:cs="Times New Roman"/>
          <w:sz w:val="24"/>
          <w:szCs w:val="24"/>
        </w:rPr>
      </w:pPr>
    </w:p>
    <w:p w14:paraId="1AE05312" w14:textId="77777777" w:rsidR="005273AE" w:rsidRDefault="005273AE" w:rsidP="005273AE">
      <w:pPr>
        <w:jc w:val="both"/>
        <w:rPr>
          <w:rFonts w:ascii="Times New Roman" w:hAnsi="Times New Roman" w:cs="Times New Roman"/>
          <w:sz w:val="24"/>
          <w:szCs w:val="24"/>
        </w:rPr>
      </w:pPr>
    </w:p>
    <w:p w14:paraId="2ADFAB5D" w14:textId="77777777" w:rsidR="005273AE" w:rsidRDefault="005273AE" w:rsidP="005273AE">
      <w:pPr>
        <w:jc w:val="both"/>
        <w:rPr>
          <w:rFonts w:ascii="Times New Roman" w:hAnsi="Times New Roman" w:cs="Times New Roman"/>
          <w:sz w:val="24"/>
          <w:szCs w:val="24"/>
        </w:rPr>
      </w:pPr>
    </w:p>
    <w:p w14:paraId="61BDCFBF" w14:textId="77777777" w:rsidR="005273AE" w:rsidRPr="005273AE" w:rsidRDefault="005273AE" w:rsidP="005273AE"/>
    <w:p w14:paraId="49D7BEBC" w14:textId="77777777" w:rsidR="005273AE" w:rsidRPr="005273AE" w:rsidRDefault="005273AE" w:rsidP="005273AE"/>
    <w:p w14:paraId="74BCFECC" w14:textId="77777777" w:rsidR="005273AE" w:rsidRPr="005273AE" w:rsidRDefault="005273AE" w:rsidP="005273AE"/>
    <w:p w14:paraId="1187C369" w14:textId="77777777" w:rsidR="005273AE" w:rsidRPr="005273AE" w:rsidRDefault="005273AE" w:rsidP="005273AE"/>
    <w:p w14:paraId="20604AD2" w14:textId="77777777" w:rsidR="005273AE" w:rsidRPr="005273AE" w:rsidRDefault="005273AE" w:rsidP="005273AE"/>
    <w:p w14:paraId="29230C31" w14:textId="77777777" w:rsidR="005273AE" w:rsidRPr="005273AE" w:rsidRDefault="005273AE" w:rsidP="005273AE"/>
    <w:sectPr w:rsidR="005273AE" w:rsidRPr="005273AE" w:rsidSect="007203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AF39B" w14:textId="77777777" w:rsidR="00C55AB5" w:rsidRDefault="00C55AB5" w:rsidP="00C55AB5">
      <w:pPr>
        <w:spacing w:after="0" w:line="240" w:lineRule="auto"/>
      </w:pPr>
      <w:r>
        <w:separator/>
      </w:r>
    </w:p>
  </w:endnote>
  <w:endnote w:type="continuationSeparator" w:id="0">
    <w:p w14:paraId="77C0988E" w14:textId="77777777" w:rsidR="00C55AB5" w:rsidRDefault="00C55AB5" w:rsidP="00C55A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E659E" w14:textId="77777777" w:rsidR="00C55AB5" w:rsidRDefault="00C55AB5" w:rsidP="00C55AB5">
      <w:pPr>
        <w:spacing w:after="0" w:line="240" w:lineRule="auto"/>
      </w:pPr>
      <w:r>
        <w:separator/>
      </w:r>
    </w:p>
  </w:footnote>
  <w:footnote w:type="continuationSeparator" w:id="0">
    <w:p w14:paraId="78A3DC59" w14:textId="77777777" w:rsidR="00C55AB5" w:rsidRDefault="00C55AB5" w:rsidP="00C55A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ECD"/>
    <w:multiLevelType w:val="multilevel"/>
    <w:tmpl w:val="0E0A09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5F4521"/>
    <w:multiLevelType w:val="multilevel"/>
    <w:tmpl w:val="84F42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E2701"/>
    <w:multiLevelType w:val="multilevel"/>
    <w:tmpl w:val="2D86E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9711080"/>
    <w:multiLevelType w:val="multilevel"/>
    <w:tmpl w:val="86502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A8157D5"/>
    <w:multiLevelType w:val="hybridMultilevel"/>
    <w:tmpl w:val="A6429A2A"/>
    <w:lvl w:ilvl="0" w:tplc="385464F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5906DF"/>
    <w:multiLevelType w:val="multilevel"/>
    <w:tmpl w:val="ABE6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1A525E"/>
    <w:multiLevelType w:val="multilevel"/>
    <w:tmpl w:val="3A14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224AF"/>
    <w:multiLevelType w:val="multilevel"/>
    <w:tmpl w:val="18FA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F50161"/>
    <w:multiLevelType w:val="multilevel"/>
    <w:tmpl w:val="1E00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E746F1"/>
    <w:multiLevelType w:val="multilevel"/>
    <w:tmpl w:val="B5368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2D23283"/>
    <w:multiLevelType w:val="multilevel"/>
    <w:tmpl w:val="22A2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3D1C3A"/>
    <w:multiLevelType w:val="multilevel"/>
    <w:tmpl w:val="4240F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77551A4"/>
    <w:multiLevelType w:val="multilevel"/>
    <w:tmpl w:val="AA309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2556F6C"/>
    <w:multiLevelType w:val="multilevel"/>
    <w:tmpl w:val="ADAE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6232903">
    <w:abstractNumId w:val="5"/>
  </w:num>
  <w:num w:numId="2" w16cid:durableId="264920382">
    <w:abstractNumId w:val="13"/>
  </w:num>
  <w:num w:numId="3" w16cid:durableId="2117867387">
    <w:abstractNumId w:val="7"/>
  </w:num>
  <w:num w:numId="4" w16cid:durableId="420641088">
    <w:abstractNumId w:val="10"/>
  </w:num>
  <w:num w:numId="5" w16cid:durableId="393358665">
    <w:abstractNumId w:val="2"/>
  </w:num>
  <w:num w:numId="6" w16cid:durableId="1166824016">
    <w:abstractNumId w:val="3"/>
  </w:num>
  <w:num w:numId="7" w16cid:durableId="1800297004">
    <w:abstractNumId w:val="12"/>
  </w:num>
  <w:num w:numId="8" w16cid:durableId="72820549">
    <w:abstractNumId w:val="9"/>
  </w:num>
  <w:num w:numId="9" w16cid:durableId="1561746352">
    <w:abstractNumId w:val="6"/>
  </w:num>
  <w:num w:numId="10" w16cid:durableId="1257832527">
    <w:abstractNumId w:val="11"/>
  </w:num>
  <w:num w:numId="11" w16cid:durableId="1507868475">
    <w:abstractNumId w:val="8"/>
  </w:num>
  <w:num w:numId="12" w16cid:durableId="524638876">
    <w:abstractNumId w:val="1"/>
  </w:num>
  <w:num w:numId="13" w16cid:durableId="746609303">
    <w:abstractNumId w:val="4"/>
  </w:num>
  <w:num w:numId="14" w16cid:durableId="1301110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717"/>
    <w:rsid w:val="00016DC7"/>
    <w:rsid w:val="00016E77"/>
    <w:rsid w:val="0002780B"/>
    <w:rsid w:val="000318DF"/>
    <w:rsid w:val="00033B4C"/>
    <w:rsid w:val="000365C5"/>
    <w:rsid w:val="000400C1"/>
    <w:rsid w:val="00046ECA"/>
    <w:rsid w:val="000526A2"/>
    <w:rsid w:val="000619EC"/>
    <w:rsid w:val="00066DBA"/>
    <w:rsid w:val="00067D60"/>
    <w:rsid w:val="00074266"/>
    <w:rsid w:val="00077FF5"/>
    <w:rsid w:val="00092A1A"/>
    <w:rsid w:val="000971E5"/>
    <w:rsid w:val="000A6332"/>
    <w:rsid w:val="000B0186"/>
    <w:rsid w:val="000B19DC"/>
    <w:rsid w:val="000B39A3"/>
    <w:rsid w:val="000B3AE7"/>
    <w:rsid w:val="000B3C31"/>
    <w:rsid w:val="000C2D16"/>
    <w:rsid w:val="000C5798"/>
    <w:rsid w:val="000D6967"/>
    <w:rsid w:val="001015F8"/>
    <w:rsid w:val="00106083"/>
    <w:rsid w:val="00112C1E"/>
    <w:rsid w:val="001153BE"/>
    <w:rsid w:val="001203C9"/>
    <w:rsid w:val="0012489C"/>
    <w:rsid w:val="00136CD1"/>
    <w:rsid w:val="00141DD4"/>
    <w:rsid w:val="00165513"/>
    <w:rsid w:val="001665E7"/>
    <w:rsid w:val="00180D7B"/>
    <w:rsid w:val="00186FD7"/>
    <w:rsid w:val="00191A6C"/>
    <w:rsid w:val="001B0558"/>
    <w:rsid w:val="001B0CB0"/>
    <w:rsid w:val="001B5717"/>
    <w:rsid w:val="001D6716"/>
    <w:rsid w:val="001E1B1D"/>
    <w:rsid w:val="001E213A"/>
    <w:rsid w:val="001F1797"/>
    <w:rsid w:val="001F65C5"/>
    <w:rsid w:val="00204F81"/>
    <w:rsid w:val="00217809"/>
    <w:rsid w:val="00241517"/>
    <w:rsid w:val="00261424"/>
    <w:rsid w:val="0026375C"/>
    <w:rsid w:val="002655DE"/>
    <w:rsid w:val="0028762E"/>
    <w:rsid w:val="002A1369"/>
    <w:rsid w:val="002A1471"/>
    <w:rsid w:val="002A2A83"/>
    <w:rsid w:val="002A62EE"/>
    <w:rsid w:val="002B2783"/>
    <w:rsid w:val="002B571D"/>
    <w:rsid w:val="002C3617"/>
    <w:rsid w:val="002C4AD6"/>
    <w:rsid w:val="002C5052"/>
    <w:rsid w:val="002C52B9"/>
    <w:rsid w:val="002D33D6"/>
    <w:rsid w:val="002E0B26"/>
    <w:rsid w:val="002E502B"/>
    <w:rsid w:val="002E5CDB"/>
    <w:rsid w:val="002F4405"/>
    <w:rsid w:val="00304D08"/>
    <w:rsid w:val="0031600D"/>
    <w:rsid w:val="0032145E"/>
    <w:rsid w:val="003253DA"/>
    <w:rsid w:val="003349CC"/>
    <w:rsid w:val="00341453"/>
    <w:rsid w:val="00341BA7"/>
    <w:rsid w:val="00344867"/>
    <w:rsid w:val="00345980"/>
    <w:rsid w:val="003463A2"/>
    <w:rsid w:val="00354BC5"/>
    <w:rsid w:val="003611F5"/>
    <w:rsid w:val="00363A7B"/>
    <w:rsid w:val="00367DE1"/>
    <w:rsid w:val="003734B7"/>
    <w:rsid w:val="00380FB9"/>
    <w:rsid w:val="003817B0"/>
    <w:rsid w:val="003872C1"/>
    <w:rsid w:val="0039130B"/>
    <w:rsid w:val="003D232A"/>
    <w:rsid w:val="003D619B"/>
    <w:rsid w:val="003D7CB6"/>
    <w:rsid w:val="003E1F97"/>
    <w:rsid w:val="003E235F"/>
    <w:rsid w:val="003E3577"/>
    <w:rsid w:val="003E444F"/>
    <w:rsid w:val="003E5C51"/>
    <w:rsid w:val="003E70B9"/>
    <w:rsid w:val="003F4692"/>
    <w:rsid w:val="003F67DF"/>
    <w:rsid w:val="00401C62"/>
    <w:rsid w:val="00406AB2"/>
    <w:rsid w:val="00415633"/>
    <w:rsid w:val="00431727"/>
    <w:rsid w:val="00431CBC"/>
    <w:rsid w:val="00436296"/>
    <w:rsid w:val="00443943"/>
    <w:rsid w:val="00451B84"/>
    <w:rsid w:val="0045386D"/>
    <w:rsid w:val="00456864"/>
    <w:rsid w:val="00484A59"/>
    <w:rsid w:val="004853F0"/>
    <w:rsid w:val="00491038"/>
    <w:rsid w:val="004A2942"/>
    <w:rsid w:val="004A5A76"/>
    <w:rsid w:val="004B5423"/>
    <w:rsid w:val="004C094F"/>
    <w:rsid w:val="004C26C6"/>
    <w:rsid w:val="004C52D1"/>
    <w:rsid w:val="004C7357"/>
    <w:rsid w:val="004E403F"/>
    <w:rsid w:val="004E55EE"/>
    <w:rsid w:val="004E58A5"/>
    <w:rsid w:val="004E7E8F"/>
    <w:rsid w:val="00502C17"/>
    <w:rsid w:val="00525908"/>
    <w:rsid w:val="005273AE"/>
    <w:rsid w:val="005319D6"/>
    <w:rsid w:val="00536B75"/>
    <w:rsid w:val="005408CF"/>
    <w:rsid w:val="00545722"/>
    <w:rsid w:val="005459E4"/>
    <w:rsid w:val="00552B7A"/>
    <w:rsid w:val="00555A0D"/>
    <w:rsid w:val="00562565"/>
    <w:rsid w:val="00567C48"/>
    <w:rsid w:val="005779B1"/>
    <w:rsid w:val="00584139"/>
    <w:rsid w:val="0058638A"/>
    <w:rsid w:val="00587BA8"/>
    <w:rsid w:val="005A74FE"/>
    <w:rsid w:val="005B3A97"/>
    <w:rsid w:val="005B5164"/>
    <w:rsid w:val="005B52A4"/>
    <w:rsid w:val="005B56D5"/>
    <w:rsid w:val="005C054E"/>
    <w:rsid w:val="005C124E"/>
    <w:rsid w:val="005D6046"/>
    <w:rsid w:val="005D6530"/>
    <w:rsid w:val="005F067A"/>
    <w:rsid w:val="006013D2"/>
    <w:rsid w:val="0060333E"/>
    <w:rsid w:val="00606902"/>
    <w:rsid w:val="006134CC"/>
    <w:rsid w:val="006212D4"/>
    <w:rsid w:val="00622196"/>
    <w:rsid w:val="006238E4"/>
    <w:rsid w:val="00637670"/>
    <w:rsid w:val="00641FF3"/>
    <w:rsid w:val="00644A5F"/>
    <w:rsid w:val="006465A0"/>
    <w:rsid w:val="006478AB"/>
    <w:rsid w:val="00656466"/>
    <w:rsid w:val="00672533"/>
    <w:rsid w:val="006730EC"/>
    <w:rsid w:val="00674D5D"/>
    <w:rsid w:val="00675A9C"/>
    <w:rsid w:val="00677E3E"/>
    <w:rsid w:val="00680A19"/>
    <w:rsid w:val="00682332"/>
    <w:rsid w:val="00682A47"/>
    <w:rsid w:val="00693C2B"/>
    <w:rsid w:val="006A18EB"/>
    <w:rsid w:val="006A446D"/>
    <w:rsid w:val="006C001E"/>
    <w:rsid w:val="006C1666"/>
    <w:rsid w:val="006C5C4D"/>
    <w:rsid w:val="006D61C8"/>
    <w:rsid w:val="006D7B55"/>
    <w:rsid w:val="006E6926"/>
    <w:rsid w:val="007069EE"/>
    <w:rsid w:val="00711B70"/>
    <w:rsid w:val="00712180"/>
    <w:rsid w:val="00714C05"/>
    <w:rsid w:val="007163D6"/>
    <w:rsid w:val="007203FC"/>
    <w:rsid w:val="0074286B"/>
    <w:rsid w:val="00742F28"/>
    <w:rsid w:val="00745690"/>
    <w:rsid w:val="00751A19"/>
    <w:rsid w:val="007541B1"/>
    <w:rsid w:val="00755D76"/>
    <w:rsid w:val="00762B80"/>
    <w:rsid w:val="00790D05"/>
    <w:rsid w:val="007B1401"/>
    <w:rsid w:val="007B4CDA"/>
    <w:rsid w:val="007B5ED6"/>
    <w:rsid w:val="007C17A8"/>
    <w:rsid w:val="007C18CC"/>
    <w:rsid w:val="007C5CE2"/>
    <w:rsid w:val="007D1070"/>
    <w:rsid w:val="007D40E5"/>
    <w:rsid w:val="007E2D99"/>
    <w:rsid w:val="007E5608"/>
    <w:rsid w:val="007E6CC1"/>
    <w:rsid w:val="007F5095"/>
    <w:rsid w:val="00805E32"/>
    <w:rsid w:val="0080799C"/>
    <w:rsid w:val="0081403D"/>
    <w:rsid w:val="00824C70"/>
    <w:rsid w:val="008311CF"/>
    <w:rsid w:val="008370F6"/>
    <w:rsid w:val="00860E4E"/>
    <w:rsid w:val="00867D0E"/>
    <w:rsid w:val="008713BC"/>
    <w:rsid w:val="00871D9E"/>
    <w:rsid w:val="00874CE2"/>
    <w:rsid w:val="00874F95"/>
    <w:rsid w:val="008815D9"/>
    <w:rsid w:val="008868D6"/>
    <w:rsid w:val="008967A6"/>
    <w:rsid w:val="008A1516"/>
    <w:rsid w:val="008A7AC9"/>
    <w:rsid w:val="008B434A"/>
    <w:rsid w:val="008B52CF"/>
    <w:rsid w:val="008D2A9D"/>
    <w:rsid w:val="008D4EF1"/>
    <w:rsid w:val="008D7D0D"/>
    <w:rsid w:val="008E157E"/>
    <w:rsid w:val="008E5237"/>
    <w:rsid w:val="008E6A5B"/>
    <w:rsid w:val="008F3EA5"/>
    <w:rsid w:val="008F40AA"/>
    <w:rsid w:val="0092714C"/>
    <w:rsid w:val="009312D1"/>
    <w:rsid w:val="00931907"/>
    <w:rsid w:val="009359FD"/>
    <w:rsid w:val="00943FE7"/>
    <w:rsid w:val="00950A0A"/>
    <w:rsid w:val="00950D3E"/>
    <w:rsid w:val="009518D3"/>
    <w:rsid w:val="00964DF0"/>
    <w:rsid w:val="0097187C"/>
    <w:rsid w:val="00987116"/>
    <w:rsid w:val="00991138"/>
    <w:rsid w:val="009A444F"/>
    <w:rsid w:val="009B3052"/>
    <w:rsid w:val="009B4302"/>
    <w:rsid w:val="009B7F1C"/>
    <w:rsid w:val="009B7F74"/>
    <w:rsid w:val="009D24DD"/>
    <w:rsid w:val="009D331D"/>
    <w:rsid w:val="009F3FDA"/>
    <w:rsid w:val="00A03FD1"/>
    <w:rsid w:val="00A12D8D"/>
    <w:rsid w:val="00A24C89"/>
    <w:rsid w:val="00A25A7E"/>
    <w:rsid w:val="00A300F3"/>
    <w:rsid w:val="00A42AF1"/>
    <w:rsid w:val="00A45DD4"/>
    <w:rsid w:val="00A51E14"/>
    <w:rsid w:val="00A63570"/>
    <w:rsid w:val="00A65AB8"/>
    <w:rsid w:val="00A73C86"/>
    <w:rsid w:val="00AA444B"/>
    <w:rsid w:val="00AA7E4A"/>
    <w:rsid w:val="00AB5EB2"/>
    <w:rsid w:val="00AD3D93"/>
    <w:rsid w:val="00AD67A5"/>
    <w:rsid w:val="00AE0E03"/>
    <w:rsid w:val="00B14915"/>
    <w:rsid w:val="00B311A3"/>
    <w:rsid w:val="00B32E54"/>
    <w:rsid w:val="00B336A5"/>
    <w:rsid w:val="00B33ADB"/>
    <w:rsid w:val="00B36141"/>
    <w:rsid w:val="00B379FB"/>
    <w:rsid w:val="00B418E9"/>
    <w:rsid w:val="00B422B9"/>
    <w:rsid w:val="00B4461B"/>
    <w:rsid w:val="00B45973"/>
    <w:rsid w:val="00B527DF"/>
    <w:rsid w:val="00B62CF1"/>
    <w:rsid w:val="00B71514"/>
    <w:rsid w:val="00B739DD"/>
    <w:rsid w:val="00B76C67"/>
    <w:rsid w:val="00B772E6"/>
    <w:rsid w:val="00B9513D"/>
    <w:rsid w:val="00BA2968"/>
    <w:rsid w:val="00BA3A86"/>
    <w:rsid w:val="00BA622A"/>
    <w:rsid w:val="00BB027F"/>
    <w:rsid w:val="00BB05C0"/>
    <w:rsid w:val="00BB2539"/>
    <w:rsid w:val="00BB5881"/>
    <w:rsid w:val="00BB65C0"/>
    <w:rsid w:val="00BC18EC"/>
    <w:rsid w:val="00BC7460"/>
    <w:rsid w:val="00BD20B1"/>
    <w:rsid w:val="00BD45F4"/>
    <w:rsid w:val="00BD54F6"/>
    <w:rsid w:val="00BE3E07"/>
    <w:rsid w:val="00BF4344"/>
    <w:rsid w:val="00C109FA"/>
    <w:rsid w:val="00C11537"/>
    <w:rsid w:val="00C33A46"/>
    <w:rsid w:val="00C43740"/>
    <w:rsid w:val="00C4665F"/>
    <w:rsid w:val="00C50EB5"/>
    <w:rsid w:val="00C53C84"/>
    <w:rsid w:val="00C55AB5"/>
    <w:rsid w:val="00C67B7C"/>
    <w:rsid w:val="00C80819"/>
    <w:rsid w:val="00C8133B"/>
    <w:rsid w:val="00C863F3"/>
    <w:rsid w:val="00C9176C"/>
    <w:rsid w:val="00C91D7D"/>
    <w:rsid w:val="00C92D1C"/>
    <w:rsid w:val="00CA408A"/>
    <w:rsid w:val="00CC1C90"/>
    <w:rsid w:val="00CC2F1C"/>
    <w:rsid w:val="00CD401D"/>
    <w:rsid w:val="00CD557A"/>
    <w:rsid w:val="00CE0822"/>
    <w:rsid w:val="00CE1F6B"/>
    <w:rsid w:val="00CE2260"/>
    <w:rsid w:val="00CF2B5A"/>
    <w:rsid w:val="00CF6EA7"/>
    <w:rsid w:val="00D210BE"/>
    <w:rsid w:val="00D22620"/>
    <w:rsid w:val="00D27070"/>
    <w:rsid w:val="00D3307A"/>
    <w:rsid w:val="00D363F5"/>
    <w:rsid w:val="00D46BA9"/>
    <w:rsid w:val="00D6266F"/>
    <w:rsid w:val="00D734F0"/>
    <w:rsid w:val="00D75314"/>
    <w:rsid w:val="00D77233"/>
    <w:rsid w:val="00D838D8"/>
    <w:rsid w:val="00D83E54"/>
    <w:rsid w:val="00D8410F"/>
    <w:rsid w:val="00D9142C"/>
    <w:rsid w:val="00DA0762"/>
    <w:rsid w:val="00DA4B15"/>
    <w:rsid w:val="00DA6F69"/>
    <w:rsid w:val="00DB09C6"/>
    <w:rsid w:val="00DC1DDF"/>
    <w:rsid w:val="00DC2901"/>
    <w:rsid w:val="00DC4D2E"/>
    <w:rsid w:val="00DD5FAC"/>
    <w:rsid w:val="00DE2FBD"/>
    <w:rsid w:val="00DE67E2"/>
    <w:rsid w:val="00DF12CD"/>
    <w:rsid w:val="00E05BCA"/>
    <w:rsid w:val="00E07908"/>
    <w:rsid w:val="00E1069F"/>
    <w:rsid w:val="00E12516"/>
    <w:rsid w:val="00E316E0"/>
    <w:rsid w:val="00E37046"/>
    <w:rsid w:val="00E4272F"/>
    <w:rsid w:val="00E57AC3"/>
    <w:rsid w:val="00E6601D"/>
    <w:rsid w:val="00E679BC"/>
    <w:rsid w:val="00E701AF"/>
    <w:rsid w:val="00E8648D"/>
    <w:rsid w:val="00E86C7F"/>
    <w:rsid w:val="00ED12CB"/>
    <w:rsid w:val="00EE3159"/>
    <w:rsid w:val="00EF101F"/>
    <w:rsid w:val="00EF20F4"/>
    <w:rsid w:val="00F0043F"/>
    <w:rsid w:val="00F01B65"/>
    <w:rsid w:val="00F01E73"/>
    <w:rsid w:val="00F11501"/>
    <w:rsid w:val="00F14EBF"/>
    <w:rsid w:val="00F1690C"/>
    <w:rsid w:val="00F16CF7"/>
    <w:rsid w:val="00F314FF"/>
    <w:rsid w:val="00F34DAE"/>
    <w:rsid w:val="00F36BBB"/>
    <w:rsid w:val="00F40949"/>
    <w:rsid w:val="00F436B7"/>
    <w:rsid w:val="00F50E42"/>
    <w:rsid w:val="00F5462D"/>
    <w:rsid w:val="00F71E82"/>
    <w:rsid w:val="00F73238"/>
    <w:rsid w:val="00F74BF7"/>
    <w:rsid w:val="00F775A1"/>
    <w:rsid w:val="00F922FD"/>
    <w:rsid w:val="00F963EB"/>
    <w:rsid w:val="00FA6574"/>
    <w:rsid w:val="00FA7157"/>
    <w:rsid w:val="00FB39CE"/>
    <w:rsid w:val="00FB6788"/>
    <w:rsid w:val="00FC0869"/>
    <w:rsid w:val="00FC35D5"/>
    <w:rsid w:val="00FC3F9D"/>
    <w:rsid w:val="00FC4184"/>
    <w:rsid w:val="00FC6889"/>
    <w:rsid w:val="00FD04D0"/>
    <w:rsid w:val="00FD0A50"/>
    <w:rsid w:val="00FD6AD5"/>
    <w:rsid w:val="00FE463F"/>
    <w:rsid w:val="00FE486D"/>
    <w:rsid w:val="00FE609C"/>
    <w:rsid w:val="00FF1EF3"/>
    <w:rsid w:val="00FF416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6010"/>
  <w15:docId w15:val="{20326EA2-5FC9-42B6-8953-78FC3881C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3FC"/>
  </w:style>
  <w:style w:type="paragraph" w:styleId="Heading1">
    <w:name w:val="heading 1"/>
    <w:basedOn w:val="Normal"/>
    <w:next w:val="Normal"/>
    <w:link w:val="Heading1Char"/>
    <w:uiPriority w:val="9"/>
    <w:qFormat/>
    <w:rsid w:val="006564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333E"/>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60333E"/>
    <w:rPr>
      <w:b/>
      <w:bCs/>
    </w:rPr>
  </w:style>
  <w:style w:type="character" w:styleId="Emphasis">
    <w:name w:val="Emphasis"/>
    <w:basedOn w:val="DefaultParagraphFont"/>
    <w:uiPriority w:val="20"/>
    <w:qFormat/>
    <w:rsid w:val="0060333E"/>
    <w:rPr>
      <w:i/>
      <w:iCs/>
    </w:rPr>
  </w:style>
  <w:style w:type="paragraph" w:styleId="ListParagraph">
    <w:name w:val="List Paragraph"/>
    <w:basedOn w:val="Normal"/>
    <w:uiPriority w:val="34"/>
    <w:qFormat/>
    <w:rsid w:val="00F40949"/>
    <w:pPr>
      <w:ind w:left="720"/>
      <w:contextualSpacing/>
    </w:pPr>
  </w:style>
  <w:style w:type="paragraph" w:styleId="z-TopofForm">
    <w:name w:val="HTML Top of Form"/>
    <w:basedOn w:val="Normal"/>
    <w:next w:val="Normal"/>
    <w:link w:val="z-TopofFormChar"/>
    <w:hidden/>
    <w:uiPriority w:val="99"/>
    <w:semiHidden/>
    <w:unhideWhenUsed/>
    <w:rsid w:val="00675A9C"/>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675A9C"/>
    <w:rPr>
      <w:rFonts w:ascii="Arial" w:eastAsia="Times New Roman" w:hAnsi="Arial" w:cs="Arial"/>
      <w:vanish/>
      <w:kern w:val="0"/>
      <w:sz w:val="16"/>
      <w:szCs w:val="16"/>
      <w:lang w:eastAsia="en-IN"/>
    </w:rPr>
  </w:style>
  <w:style w:type="character" w:styleId="Hyperlink">
    <w:name w:val="Hyperlink"/>
    <w:basedOn w:val="DefaultParagraphFont"/>
    <w:uiPriority w:val="99"/>
    <w:semiHidden/>
    <w:unhideWhenUsed/>
    <w:rsid w:val="006730EC"/>
    <w:rPr>
      <w:color w:val="0000FF"/>
      <w:u w:val="single"/>
    </w:rPr>
  </w:style>
  <w:style w:type="paragraph" w:styleId="NoSpacing">
    <w:name w:val="No Spacing"/>
    <w:uiPriority w:val="1"/>
    <w:qFormat/>
    <w:rsid w:val="00656466"/>
    <w:pPr>
      <w:spacing w:after="0" w:line="240" w:lineRule="auto"/>
    </w:pPr>
  </w:style>
  <w:style w:type="character" w:customStyle="1" w:styleId="Heading1Char">
    <w:name w:val="Heading 1 Char"/>
    <w:basedOn w:val="DefaultParagraphFont"/>
    <w:link w:val="Heading1"/>
    <w:uiPriority w:val="9"/>
    <w:rsid w:val="00656466"/>
    <w:rPr>
      <w:rFonts w:asciiTheme="majorHAnsi" w:eastAsiaTheme="majorEastAsia" w:hAnsiTheme="majorHAnsi" w:cstheme="majorBidi"/>
      <w:color w:val="2F5496" w:themeColor="accent1" w:themeShade="BF"/>
      <w:sz w:val="32"/>
      <w:szCs w:val="32"/>
    </w:rPr>
  </w:style>
  <w:style w:type="character" w:customStyle="1" w:styleId="author">
    <w:name w:val="author"/>
    <w:basedOn w:val="DefaultParagraphFont"/>
    <w:rsid w:val="00584139"/>
  </w:style>
  <w:style w:type="character" w:customStyle="1" w:styleId="pubyear">
    <w:name w:val="pubyear"/>
    <w:basedOn w:val="DefaultParagraphFont"/>
    <w:rsid w:val="00584139"/>
  </w:style>
  <w:style w:type="character" w:customStyle="1" w:styleId="articletitle">
    <w:name w:val="articletitle"/>
    <w:basedOn w:val="DefaultParagraphFont"/>
    <w:rsid w:val="00584139"/>
  </w:style>
  <w:style w:type="character" w:customStyle="1" w:styleId="vol">
    <w:name w:val="vol"/>
    <w:basedOn w:val="DefaultParagraphFont"/>
    <w:rsid w:val="00584139"/>
  </w:style>
  <w:style w:type="character" w:customStyle="1" w:styleId="citedissue">
    <w:name w:val="citedissue"/>
    <w:basedOn w:val="DefaultParagraphFont"/>
    <w:rsid w:val="00584139"/>
  </w:style>
  <w:style w:type="character" w:customStyle="1" w:styleId="pagefirst">
    <w:name w:val="pagefirst"/>
    <w:basedOn w:val="DefaultParagraphFont"/>
    <w:rsid w:val="00584139"/>
  </w:style>
  <w:style w:type="character" w:customStyle="1" w:styleId="pagelast">
    <w:name w:val="pagelast"/>
    <w:basedOn w:val="DefaultParagraphFont"/>
    <w:rsid w:val="00584139"/>
  </w:style>
  <w:style w:type="paragraph" w:styleId="Header">
    <w:name w:val="header"/>
    <w:basedOn w:val="Normal"/>
    <w:link w:val="HeaderChar"/>
    <w:uiPriority w:val="99"/>
    <w:unhideWhenUsed/>
    <w:rsid w:val="00C55A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5AB5"/>
  </w:style>
  <w:style w:type="paragraph" w:styleId="Footer">
    <w:name w:val="footer"/>
    <w:basedOn w:val="Normal"/>
    <w:link w:val="FooterChar"/>
    <w:uiPriority w:val="99"/>
    <w:unhideWhenUsed/>
    <w:rsid w:val="00C55A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838870">
      <w:bodyDiv w:val="1"/>
      <w:marLeft w:val="0"/>
      <w:marRight w:val="0"/>
      <w:marTop w:val="0"/>
      <w:marBottom w:val="0"/>
      <w:divBdr>
        <w:top w:val="none" w:sz="0" w:space="0" w:color="auto"/>
        <w:left w:val="none" w:sz="0" w:space="0" w:color="auto"/>
        <w:bottom w:val="none" w:sz="0" w:space="0" w:color="auto"/>
        <w:right w:val="none" w:sz="0" w:space="0" w:color="auto"/>
      </w:divBdr>
    </w:div>
    <w:div w:id="935017441">
      <w:bodyDiv w:val="1"/>
      <w:marLeft w:val="0"/>
      <w:marRight w:val="0"/>
      <w:marTop w:val="0"/>
      <w:marBottom w:val="0"/>
      <w:divBdr>
        <w:top w:val="none" w:sz="0" w:space="0" w:color="auto"/>
        <w:left w:val="none" w:sz="0" w:space="0" w:color="auto"/>
        <w:bottom w:val="none" w:sz="0" w:space="0" w:color="auto"/>
        <w:right w:val="none" w:sz="0" w:space="0" w:color="auto"/>
      </w:divBdr>
    </w:div>
    <w:div w:id="940723232">
      <w:bodyDiv w:val="1"/>
      <w:marLeft w:val="0"/>
      <w:marRight w:val="0"/>
      <w:marTop w:val="0"/>
      <w:marBottom w:val="0"/>
      <w:divBdr>
        <w:top w:val="none" w:sz="0" w:space="0" w:color="auto"/>
        <w:left w:val="none" w:sz="0" w:space="0" w:color="auto"/>
        <w:bottom w:val="none" w:sz="0" w:space="0" w:color="auto"/>
        <w:right w:val="none" w:sz="0" w:space="0" w:color="auto"/>
      </w:divBdr>
    </w:div>
    <w:div w:id="1640498788">
      <w:bodyDiv w:val="1"/>
      <w:marLeft w:val="0"/>
      <w:marRight w:val="0"/>
      <w:marTop w:val="0"/>
      <w:marBottom w:val="0"/>
      <w:divBdr>
        <w:top w:val="none" w:sz="0" w:space="0" w:color="auto"/>
        <w:left w:val="none" w:sz="0" w:space="0" w:color="auto"/>
        <w:bottom w:val="none" w:sz="0" w:space="0" w:color="auto"/>
        <w:right w:val="none" w:sz="0" w:space="0" w:color="auto"/>
      </w:divBdr>
      <w:divsChild>
        <w:div w:id="865366679">
          <w:marLeft w:val="0"/>
          <w:marRight w:val="0"/>
          <w:marTop w:val="0"/>
          <w:marBottom w:val="0"/>
          <w:divBdr>
            <w:top w:val="single" w:sz="2" w:space="0" w:color="D9D9E3"/>
            <w:left w:val="single" w:sz="2" w:space="0" w:color="D9D9E3"/>
            <w:bottom w:val="single" w:sz="2" w:space="0" w:color="D9D9E3"/>
            <w:right w:val="single" w:sz="2" w:space="0" w:color="D9D9E3"/>
          </w:divBdr>
          <w:divsChild>
            <w:div w:id="2065830514">
              <w:marLeft w:val="0"/>
              <w:marRight w:val="0"/>
              <w:marTop w:val="0"/>
              <w:marBottom w:val="0"/>
              <w:divBdr>
                <w:top w:val="single" w:sz="2" w:space="0" w:color="D9D9E3"/>
                <w:left w:val="single" w:sz="2" w:space="0" w:color="D9D9E3"/>
                <w:bottom w:val="single" w:sz="2" w:space="0" w:color="D9D9E3"/>
                <w:right w:val="single" w:sz="2" w:space="0" w:color="D9D9E3"/>
              </w:divBdr>
              <w:divsChild>
                <w:div w:id="789589725">
                  <w:marLeft w:val="0"/>
                  <w:marRight w:val="0"/>
                  <w:marTop w:val="0"/>
                  <w:marBottom w:val="0"/>
                  <w:divBdr>
                    <w:top w:val="single" w:sz="2" w:space="0" w:color="D9D9E3"/>
                    <w:left w:val="single" w:sz="2" w:space="0" w:color="D9D9E3"/>
                    <w:bottom w:val="single" w:sz="2" w:space="0" w:color="D9D9E3"/>
                    <w:right w:val="single" w:sz="2" w:space="0" w:color="D9D9E3"/>
                  </w:divBdr>
                  <w:divsChild>
                    <w:div w:id="994843177">
                      <w:marLeft w:val="0"/>
                      <w:marRight w:val="0"/>
                      <w:marTop w:val="0"/>
                      <w:marBottom w:val="0"/>
                      <w:divBdr>
                        <w:top w:val="single" w:sz="2" w:space="0" w:color="D9D9E3"/>
                        <w:left w:val="single" w:sz="2" w:space="0" w:color="D9D9E3"/>
                        <w:bottom w:val="single" w:sz="2" w:space="0" w:color="D9D9E3"/>
                        <w:right w:val="single" w:sz="2" w:space="0" w:color="D9D9E3"/>
                      </w:divBdr>
                      <w:divsChild>
                        <w:div w:id="312760765">
                          <w:marLeft w:val="0"/>
                          <w:marRight w:val="0"/>
                          <w:marTop w:val="0"/>
                          <w:marBottom w:val="0"/>
                          <w:divBdr>
                            <w:top w:val="single" w:sz="2" w:space="0" w:color="auto"/>
                            <w:left w:val="single" w:sz="2" w:space="0" w:color="auto"/>
                            <w:bottom w:val="single" w:sz="6" w:space="0" w:color="auto"/>
                            <w:right w:val="single" w:sz="2" w:space="0" w:color="auto"/>
                          </w:divBdr>
                          <w:divsChild>
                            <w:div w:id="1764302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551333554">
                                  <w:marLeft w:val="0"/>
                                  <w:marRight w:val="0"/>
                                  <w:marTop w:val="0"/>
                                  <w:marBottom w:val="0"/>
                                  <w:divBdr>
                                    <w:top w:val="single" w:sz="2" w:space="0" w:color="D9D9E3"/>
                                    <w:left w:val="single" w:sz="2" w:space="0" w:color="D9D9E3"/>
                                    <w:bottom w:val="single" w:sz="2" w:space="0" w:color="D9D9E3"/>
                                    <w:right w:val="single" w:sz="2" w:space="0" w:color="D9D9E3"/>
                                  </w:divBdr>
                                  <w:divsChild>
                                    <w:div w:id="48068011">
                                      <w:marLeft w:val="0"/>
                                      <w:marRight w:val="0"/>
                                      <w:marTop w:val="0"/>
                                      <w:marBottom w:val="0"/>
                                      <w:divBdr>
                                        <w:top w:val="single" w:sz="2" w:space="0" w:color="D9D9E3"/>
                                        <w:left w:val="single" w:sz="2" w:space="0" w:color="D9D9E3"/>
                                        <w:bottom w:val="single" w:sz="2" w:space="0" w:color="D9D9E3"/>
                                        <w:right w:val="single" w:sz="2" w:space="0" w:color="D9D9E3"/>
                                      </w:divBdr>
                                      <w:divsChild>
                                        <w:div w:id="977757895">
                                          <w:marLeft w:val="0"/>
                                          <w:marRight w:val="0"/>
                                          <w:marTop w:val="0"/>
                                          <w:marBottom w:val="0"/>
                                          <w:divBdr>
                                            <w:top w:val="single" w:sz="2" w:space="0" w:color="D9D9E3"/>
                                            <w:left w:val="single" w:sz="2" w:space="0" w:color="D9D9E3"/>
                                            <w:bottom w:val="single" w:sz="2" w:space="0" w:color="D9D9E3"/>
                                            <w:right w:val="single" w:sz="2" w:space="0" w:color="D9D9E3"/>
                                          </w:divBdr>
                                          <w:divsChild>
                                            <w:div w:id="1009255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8458434">
          <w:marLeft w:val="0"/>
          <w:marRight w:val="0"/>
          <w:marTop w:val="0"/>
          <w:marBottom w:val="0"/>
          <w:divBdr>
            <w:top w:val="none" w:sz="0" w:space="0" w:color="auto"/>
            <w:left w:val="none" w:sz="0" w:space="0" w:color="auto"/>
            <w:bottom w:val="none" w:sz="0" w:space="0" w:color="auto"/>
            <w:right w:val="none" w:sz="0" w:space="0" w:color="auto"/>
          </w:divBdr>
        </w:div>
      </w:divsChild>
    </w:div>
    <w:div w:id="1922643532">
      <w:bodyDiv w:val="1"/>
      <w:marLeft w:val="0"/>
      <w:marRight w:val="0"/>
      <w:marTop w:val="0"/>
      <w:marBottom w:val="0"/>
      <w:divBdr>
        <w:top w:val="none" w:sz="0" w:space="0" w:color="auto"/>
        <w:left w:val="none" w:sz="0" w:space="0" w:color="auto"/>
        <w:bottom w:val="none" w:sz="0" w:space="0" w:color="auto"/>
        <w:right w:val="none" w:sz="0" w:space="0" w:color="auto"/>
      </w:divBdr>
      <w:divsChild>
        <w:div w:id="827598814">
          <w:marLeft w:val="0"/>
          <w:marRight w:val="0"/>
          <w:marTop w:val="0"/>
          <w:marBottom w:val="0"/>
          <w:divBdr>
            <w:top w:val="single" w:sz="2" w:space="0" w:color="D9D9E3"/>
            <w:left w:val="single" w:sz="2" w:space="0" w:color="D9D9E3"/>
            <w:bottom w:val="single" w:sz="2" w:space="0" w:color="D9D9E3"/>
            <w:right w:val="single" w:sz="2" w:space="0" w:color="D9D9E3"/>
          </w:divBdr>
          <w:divsChild>
            <w:div w:id="1566989383">
              <w:marLeft w:val="0"/>
              <w:marRight w:val="0"/>
              <w:marTop w:val="0"/>
              <w:marBottom w:val="0"/>
              <w:divBdr>
                <w:top w:val="single" w:sz="2" w:space="0" w:color="D9D9E3"/>
                <w:left w:val="single" w:sz="2" w:space="0" w:color="D9D9E3"/>
                <w:bottom w:val="single" w:sz="2" w:space="0" w:color="D9D9E3"/>
                <w:right w:val="single" w:sz="2" w:space="0" w:color="D9D9E3"/>
              </w:divBdr>
              <w:divsChild>
                <w:div w:id="435757998">
                  <w:marLeft w:val="0"/>
                  <w:marRight w:val="0"/>
                  <w:marTop w:val="0"/>
                  <w:marBottom w:val="0"/>
                  <w:divBdr>
                    <w:top w:val="single" w:sz="2" w:space="0" w:color="D9D9E3"/>
                    <w:left w:val="single" w:sz="2" w:space="0" w:color="D9D9E3"/>
                    <w:bottom w:val="single" w:sz="2" w:space="0" w:color="D9D9E3"/>
                    <w:right w:val="single" w:sz="2" w:space="0" w:color="D9D9E3"/>
                  </w:divBdr>
                  <w:divsChild>
                    <w:div w:id="1976326758">
                      <w:marLeft w:val="0"/>
                      <w:marRight w:val="0"/>
                      <w:marTop w:val="0"/>
                      <w:marBottom w:val="0"/>
                      <w:divBdr>
                        <w:top w:val="single" w:sz="2" w:space="0" w:color="D9D9E3"/>
                        <w:left w:val="single" w:sz="2" w:space="0" w:color="D9D9E3"/>
                        <w:bottom w:val="single" w:sz="2" w:space="0" w:color="D9D9E3"/>
                        <w:right w:val="single" w:sz="2" w:space="0" w:color="D9D9E3"/>
                      </w:divBdr>
                      <w:divsChild>
                        <w:div w:id="1076778100">
                          <w:marLeft w:val="0"/>
                          <w:marRight w:val="0"/>
                          <w:marTop w:val="0"/>
                          <w:marBottom w:val="0"/>
                          <w:divBdr>
                            <w:top w:val="single" w:sz="2" w:space="0" w:color="auto"/>
                            <w:left w:val="single" w:sz="2" w:space="0" w:color="auto"/>
                            <w:bottom w:val="single" w:sz="6" w:space="0" w:color="auto"/>
                            <w:right w:val="single" w:sz="2" w:space="0" w:color="auto"/>
                          </w:divBdr>
                          <w:divsChild>
                            <w:div w:id="94734985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4642619">
                                  <w:marLeft w:val="0"/>
                                  <w:marRight w:val="0"/>
                                  <w:marTop w:val="0"/>
                                  <w:marBottom w:val="0"/>
                                  <w:divBdr>
                                    <w:top w:val="single" w:sz="2" w:space="0" w:color="D9D9E3"/>
                                    <w:left w:val="single" w:sz="2" w:space="0" w:color="D9D9E3"/>
                                    <w:bottom w:val="single" w:sz="2" w:space="0" w:color="D9D9E3"/>
                                    <w:right w:val="single" w:sz="2" w:space="0" w:color="D9D9E3"/>
                                  </w:divBdr>
                                  <w:divsChild>
                                    <w:div w:id="197551811">
                                      <w:marLeft w:val="0"/>
                                      <w:marRight w:val="0"/>
                                      <w:marTop w:val="0"/>
                                      <w:marBottom w:val="0"/>
                                      <w:divBdr>
                                        <w:top w:val="single" w:sz="2" w:space="0" w:color="D9D9E3"/>
                                        <w:left w:val="single" w:sz="2" w:space="0" w:color="D9D9E3"/>
                                        <w:bottom w:val="single" w:sz="2" w:space="0" w:color="D9D9E3"/>
                                        <w:right w:val="single" w:sz="2" w:space="0" w:color="D9D9E3"/>
                                      </w:divBdr>
                                      <w:divsChild>
                                        <w:div w:id="299111512">
                                          <w:marLeft w:val="0"/>
                                          <w:marRight w:val="0"/>
                                          <w:marTop w:val="0"/>
                                          <w:marBottom w:val="0"/>
                                          <w:divBdr>
                                            <w:top w:val="single" w:sz="2" w:space="0" w:color="D9D9E3"/>
                                            <w:left w:val="single" w:sz="2" w:space="0" w:color="D9D9E3"/>
                                            <w:bottom w:val="single" w:sz="2" w:space="0" w:color="D9D9E3"/>
                                            <w:right w:val="single" w:sz="2" w:space="0" w:color="D9D9E3"/>
                                          </w:divBdr>
                                          <w:divsChild>
                                            <w:div w:id="48310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2583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ox.com/recode/2020/1/1/21043000/artificial-intelligence-job-applications-illinios-video-interivew-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4455</Words>
  <Characters>25400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sweety ahlawat</dc:creator>
  <cp:lastModifiedBy>sweety ahlawat</cp:lastModifiedBy>
  <cp:revision>3</cp:revision>
  <dcterms:created xsi:type="dcterms:W3CDTF">2023-08-29T08:28:00Z</dcterms:created>
  <dcterms:modified xsi:type="dcterms:W3CDTF">2023-08-29T08:28:00Z</dcterms:modified>
</cp:coreProperties>
</file>