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4B169" w14:textId="5CB88ABD" w:rsidR="00AA6B0F" w:rsidRPr="00D35944" w:rsidRDefault="00AA6B0F" w:rsidP="00D35944">
      <w:pPr>
        <w:pStyle w:val="DocHead"/>
        <w:spacing w:before="0" w:line="240" w:lineRule="exact"/>
        <w:ind w:right="-136"/>
        <w:jc w:val="both"/>
        <w:rPr>
          <w:rFonts w:asciiTheme="majorBidi" w:hAnsiTheme="majorBidi" w:cstheme="majorBidi"/>
          <w:color w:val="FF0000"/>
          <w:sz w:val="28"/>
          <w:szCs w:val="28"/>
        </w:rPr>
      </w:pPr>
    </w:p>
    <w:p w14:paraId="58787CD5" w14:textId="77777777" w:rsidR="005F2B11" w:rsidRPr="00A133A6" w:rsidRDefault="005F2B11" w:rsidP="005F2B11">
      <w:pPr>
        <w:ind w:left="851" w:right="851"/>
        <w:jc w:val="center"/>
        <w:rPr>
          <w:rFonts w:asciiTheme="majorBidi" w:hAnsiTheme="majorBidi" w:cstheme="majorBidi"/>
          <w:b/>
          <w:bCs/>
          <w:sz w:val="28"/>
          <w:szCs w:val="28"/>
        </w:rPr>
      </w:pPr>
      <w:r w:rsidRPr="00A133A6">
        <w:rPr>
          <w:rFonts w:asciiTheme="majorBidi" w:hAnsiTheme="majorBidi" w:cstheme="majorBidi"/>
          <w:b/>
          <w:bCs/>
          <w:sz w:val="28"/>
          <w:szCs w:val="28"/>
        </w:rPr>
        <w:t>Review of green designer deep eutectic solvents (DESs) production and prospective material science applications</w:t>
      </w:r>
    </w:p>
    <w:p w14:paraId="2159D065" w14:textId="77777777" w:rsidR="005F2B11" w:rsidRPr="00A133A6" w:rsidRDefault="005F2B11" w:rsidP="005F2B11">
      <w:pPr>
        <w:ind w:left="851" w:right="851"/>
        <w:jc w:val="center"/>
        <w:rPr>
          <w:rFonts w:asciiTheme="majorBidi" w:hAnsiTheme="majorBidi" w:cstheme="majorBidi"/>
          <w:b/>
          <w:bCs/>
          <w:sz w:val="12"/>
          <w:szCs w:val="12"/>
        </w:rPr>
      </w:pPr>
    </w:p>
    <w:p w14:paraId="0D9C8471" w14:textId="77777777" w:rsidR="005F2B11" w:rsidRPr="00A133A6" w:rsidRDefault="005F2B11" w:rsidP="005F2B11">
      <w:pPr>
        <w:spacing w:line="360" w:lineRule="auto"/>
        <w:ind w:left="851" w:right="851"/>
        <w:jc w:val="center"/>
        <w:rPr>
          <w:rFonts w:asciiTheme="majorBidi" w:hAnsiTheme="majorBidi" w:cstheme="majorBidi"/>
          <w:color w:val="000000" w:themeColor="text1"/>
          <w:sz w:val="24"/>
          <w:szCs w:val="24"/>
        </w:rPr>
      </w:pPr>
      <w:r w:rsidRPr="00A133A6">
        <w:rPr>
          <w:rFonts w:asciiTheme="majorBidi" w:hAnsiTheme="majorBidi" w:cstheme="majorBidi"/>
          <w:color w:val="000000" w:themeColor="text1"/>
          <w:sz w:val="24"/>
          <w:szCs w:val="24"/>
          <w:u w:val="single"/>
        </w:rPr>
        <w:t xml:space="preserve">Benvikram </w:t>
      </w:r>
      <w:proofErr w:type="spellStart"/>
      <w:r w:rsidRPr="00A133A6">
        <w:rPr>
          <w:rFonts w:asciiTheme="majorBidi" w:hAnsiTheme="majorBidi" w:cstheme="majorBidi"/>
          <w:color w:val="000000" w:themeColor="text1"/>
          <w:sz w:val="24"/>
          <w:szCs w:val="24"/>
          <w:u w:val="single"/>
        </w:rPr>
        <w:t>Barman</w:t>
      </w:r>
      <w:r w:rsidRPr="00A133A6">
        <w:rPr>
          <w:rFonts w:asciiTheme="majorBidi" w:hAnsiTheme="majorBidi" w:cstheme="majorBidi"/>
          <w:color w:val="000000" w:themeColor="text1"/>
          <w:sz w:val="24"/>
          <w:szCs w:val="24"/>
          <w:u w:val="single"/>
          <w:vertAlign w:val="superscript"/>
        </w:rPr>
        <w:t>a</w:t>
      </w:r>
      <w:proofErr w:type="spellEnd"/>
      <w:r w:rsidRPr="00A133A6">
        <w:rPr>
          <w:rFonts w:asciiTheme="majorBidi" w:hAnsiTheme="majorBidi" w:cstheme="majorBidi"/>
          <w:color w:val="000000" w:themeColor="text1"/>
          <w:sz w:val="24"/>
          <w:szCs w:val="24"/>
        </w:rPr>
        <w:t xml:space="preserve"> and </w:t>
      </w:r>
      <w:r w:rsidRPr="00A133A6">
        <w:rPr>
          <w:rFonts w:asciiTheme="majorBidi" w:hAnsiTheme="majorBidi" w:cstheme="majorBidi"/>
          <w:color w:val="000000" w:themeColor="text1"/>
          <w:sz w:val="24"/>
          <w:szCs w:val="24"/>
          <w:u w:val="single"/>
        </w:rPr>
        <w:t xml:space="preserve">Manoj Kumar </w:t>
      </w:r>
      <w:proofErr w:type="spellStart"/>
      <w:r w:rsidRPr="00A133A6">
        <w:rPr>
          <w:rFonts w:asciiTheme="majorBidi" w:hAnsiTheme="majorBidi" w:cstheme="majorBidi"/>
          <w:color w:val="000000" w:themeColor="text1"/>
          <w:sz w:val="24"/>
          <w:szCs w:val="24"/>
          <w:u w:val="single"/>
        </w:rPr>
        <w:t>Banjare</w:t>
      </w:r>
      <w:r w:rsidRPr="00A133A6">
        <w:rPr>
          <w:rFonts w:asciiTheme="majorBidi" w:hAnsiTheme="majorBidi" w:cstheme="majorBidi"/>
          <w:color w:val="000000" w:themeColor="text1"/>
          <w:sz w:val="24"/>
          <w:szCs w:val="24"/>
          <w:u w:val="single"/>
          <w:vertAlign w:val="superscript"/>
        </w:rPr>
        <w:t>b</w:t>
      </w:r>
      <w:proofErr w:type="spellEnd"/>
    </w:p>
    <w:p w14:paraId="48919D0C" w14:textId="77777777" w:rsidR="005F2B11" w:rsidRPr="00A133A6" w:rsidRDefault="005F2B11" w:rsidP="005F2B11">
      <w:pPr>
        <w:spacing w:line="360" w:lineRule="auto"/>
        <w:ind w:left="-142" w:right="251"/>
        <w:jc w:val="center"/>
        <w:rPr>
          <w:rFonts w:asciiTheme="majorBidi" w:hAnsiTheme="majorBidi" w:cstheme="majorBidi"/>
          <w:bCs/>
          <w:color w:val="000000" w:themeColor="text1"/>
          <w:sz w:val="22"/>
          <w:szCs w:val="22"/>
        </w:rPr>
      </w:pPr>
      <w:r w:rsidRPr="00A133A6">
        <w:rPr>
          <w:rFonts w:asciiTheme="majorBidi" w:hAnsiTheme="majorBidi" w:cstheme="majorBidi"/>
          <w:bCs/>
          <w:color w:val="000000" w:themeColor="text1"/>
          <w:sz w:val="22"/>
          <w:szCs w:val="22"/>
        </w:rPr>
        <w:t xml:space="preserve">MATS School of Sciences, MATS University, </w:t>
      </w:r>
      <w:proofErr w:type="spellStart"/>
      <w:r w:rsidRPr="00A133A6">
        <w:rPr>
          <w:rFonts w:asciiTheme="majorBidi" w:hAnsiTheme="majorBidi" w:cstheme="majorBidi"/>
          <w:bCs/>
          <w:color w:val="000000" w:themeColor="text1"/>
          <w:sz w:val="22"/>
          <w:szCs w:val="22"/>
        </w:rPr>
        <w:t>Pagaria</w:t>
      </w:r>
      <w:proofErr w:type="spellEnd"/>
      <w:r w:rsidRPr="00A133A6">
        <w:rPr>
          <w:rFonts w:asciiTheme="majorBidi" w:hAnsiTheme="majorBidi" w:cstheme="majorBidi"/>
          <w:bCs/>
          <w:color w:val="000000" w:themeColor="text1"/>
          <w:sz w:val="22"/>
          <w:szCs w:val="22"/>
        </w:rPr>
        <w:t xml:space="preserve"> Complex, </w:t>
      </w:r>
      <w:proofErr w:type="spellStart"/>
      <w:r w:rsidRPr="00A133A6">
        <w:rPr>
          <w:rFonts w:asciiTheme="majorBidi" w:hAnsiTheme="majorBidi" w:cstheme="majorBidi"/>
          <w:bCs/>
          <w:color w:val="000000" w:themeColor="text1"/>
          <w:sz w:val="22"/>
          <w:szCs w:val="22"/>
        </w:rPr>
        <w:t>Pandri</w:t>
      </w:r>
      <w:proofErr w:type="spellEnd"/>
      <w:r w:rsidRPr="00A133A6">
        <w:rPr>
          <w:rFonts w:asciiTheme="majorBidi" w:hAnsiTheme="majorBidi" w:cstheme="majorBidi"/>
          <w:bCs/>
          <w:color w:val="000000" w:themeColor="text1"/>
          <w:sz w:val="22"/>
          <w:szCs w:val="22"/>
        </w:rPr>
        <w:t>, Raipur (C.G.), 492004, India</w:t>
      </w:r>
    </w:p>
    <w:p w14:paraId="15429F77" w14:textId="77777777" w:rsidR="005F2B11" w:rsidRPr="00A133A6" w:rsidRDefault="005F2B11" w:rsidP="005F2B11">
      <w:pPr>
        <w:pStyle w:val="Els-Abstract-head"/>
        <w:spacing w:before="200" w:afterLines="200" w:after="480" w:line="276" w:lineRule="auto"/>
        <w:jc w:val="both"/>
        <w:rPr>
          <w:rFonts w:asciiTheme="majorBidi" w:hAnsiTheme="majorBidi" w:cstheme="majorBidi"/>
          <w:sz w:val="24"/>
          <w:szCs w:val="24"/>
        </w:rPr>
      </w:pPr>
      <w:r w:rsidRPr="00A133A6">
        <w:rPr>
          <w:rFonts w:asciiTheme="majorBidi" w:hAnsiTheme="majorBidi" w:cstheme="majorBidi"/>
          <w:sz w:val="24"/>
          <w:szCs w:val="24"/>
        </w:rPr>
        <w:t xml:space="preserve">Abstract </w:t>
      </w:r>
    </w:p>
    <w:p w14:paraId="37EC645C" w14:textId="77777777" w:rsidR="005F2B11" w:rsidRPr="00A133A6" w:rsidRDefault="005F2B11" w:rsidP="005F2B11">
      <w:pPr>
        <w:pStyle w:val="Els-Abstract-head"/>
        <w:spacing w:before="200" w:afterLines="200" w:after="480" w:line="276" w:lineRule="auto"/>
        <w:jc w:val="both"/>
        <w:rPr>
          <w:rFonts w:asciiTheme="majorBidi" w:hAnsiTheme="majorBidi" w:cstheme="majorBidi"/>
          <w:sz w:val="24"/>
          <w:szCs w:val="24"/>
        </w:rPr>
      </w:pPr>
      <w:r w:rsidRPr="00663D98">
        <w:rPr>
          <w:rFonts w:asciiTheme="majorBidi" w:hAnsiTheme="majorBidi" w:cstheme="majorBidi"/>
          <w:b w:val="0"/>
          <w:bCs/>
          <w:iCs/>
          <w:sz w:val="24"/>
          <w:szCs w:val="24"/>
        </w:rPr>
        <w:t xml:space="preserve">Deep eutectic solvents (DESs) and closely related ionic liquids (ILs) have gained recognition as green and sustainable solvents because of their low cost, non-toxicity, and recyclable characteristics. </w:t>
      </w:r>
      <w:r w:rsidRPr="00A133A6">
        <w:rPr>
          <w:rFonts w:asciiTheme="majorBidi" w:hAnsiTheme="majorBidi" w:cstheme="majorBidi"/>
          <w:b w:val="0"/>
          <w:bCs/>
          <w:iCs/>
          <w:sz w:val="24"/>
          <w:szCs w:val="24"/>
        </w:rPr>
        <w:t xml:space="preserve">With advantages including reusability, biodegradability, nontoxicity, widespread availability, low </w:t>
      </w:r>
      <w:proofErr w:type="spellStart"/>
      <w:r w:rsidRPr="00A133A6">
        <w:rPr>
          <w:rFonts w:asciiTheme="majorBidi" w:hAnsiTheme="majorBidi" w:cstheme="majorBidi"/>
          <w:b w:val="0"/>
          <w:bCs/>
          <w:iCs/>
          <w:sz w:val="24"/>
          <w:szCs w:val="24"/>
        </w:rPr>
        <w:t>vapour</w:t>
      </w:r>
      <w:proofErr w:type="spellEnd"/>
      <w:r w:rsidRPr="00A133A6">
        <w:rPr>
          <w:rFonts w:asciiTheme="majorBidi" w:hAnsiTheme="majorBidi" w:cstheme="majorBidi"/>
          <w:b w:val="0"/>
          <w:bCs/>
          <w:iCs/>
          <w:sz w:val="24"/>
          <w:szCs w:val="24"/>
        </w:rPr>
        <w:t xml:space="preserve"> pressure, low flammability, and ease of manufacturing, DESs are being lauded as potential alternatives to conventional organic solvents. These solvents are created when an organic salt, such as ammonium or phosphonium, reacts with a hydrogen-bond donor, such as an acid, an amide, or an alcohol (choline chloride and either urea or glycerol). Affordable, green, and easy-to-handle solvents are basically nonexistent right now. DESs are consequently receiving more and more interest in a number of scientific fields. </w:t>
      </w:r>
      <w:r w:rsidRPr="00A133A6">
        <w:rPr>
          <w:rFonts w:asciiTheme="majorBidi" w:hAnsiTheme="majorBidi" w:cstheme="majorBidi"/>
          <w:b w:val="0"/>
          <w:bCs/>
          <w:sz w:val="24"/>
          <w:szCs w:val="24"/>
        </w:rPr>
        <w:t>The main uses of this novel family of solvents, the DESs, are covered in this review along with their synthesis.</w:t>
      </w:r>
    </w:p>
    <w:p w14:paraId="4661975D" w14:textId="77777777" w:rsidR="005F2B11" w:rsidRDefault="005F2B11" w:rsidP="005F2B11">
      <w:pPr>
        <w:pStyle w:val="Els-Abstract-head"/>
        <w:spacing w:before="200" w:afterLines="200" w:after="480" w:line="276" w:lineRule="auto"/>
        <w:jc w:val="both"/>
        <w:rPr>
          <w:rFonts w:asciiTheme="majorBidi" w:hAnsiTheme="majorBidi" w:cstheme="majorBidi"/>
          <w:b w:val="0"/>
          <w:bCs/>
          <w:iCs/>
          <w:sz w:val="24"/>
          <w:szCs w:val="24"/>
        </w:rPr>
      </w:pPr>
      <w:r w:rsidRPr="00A133A6">
        <w:rPr>
          <w:rFonts w:asciiTheme="majorBidi" w:hAnsiTheme="majorBidi" w:cstheme="majorBidi"/>
          <w:iCs/>
          <w:sz w:val="24"/>
          <w:szCs w:val="24"/>
        </w:rPr>
        <w:t>Keywords:</w:t>
      </w:r>
      <w:r w:rsidRPr="00A133A6">
        <w:rPr>
          <w:rFonts w:asciiTheme="majorBidi" w:hAnsiTheme="majorBidi" w:cstheme="majorBidi"/>
          <w:b w:val="0"/>
          <w:bCs/>
          <w:iCs/>
          <w:sz w:val="24"/>
          <w:szCs w:val="24"/>
        </w:rPr>
        <w:t xml:space="preserve"> Deep eutectic solvents,</w:t>
      </w:r>
      <w:r w:rsidRPr="00A133A6">
        <w:rPr>
          <w:rFonts w:asciiTheme="majorBidi" w:hAnsiTheme="majorBidi" w:cstheme="majorBidi"/>
          <w:iCs/>
          <w:color w:val="000000" w:themeColor="text1"/>
          <w:sz w:val="24"/>
          <w:szCs w:val="24"/>
        </w:rPr>
        <w:t xml:space="preserve"> </w:t>
      </w:r>
      <w:r w:rsidRPr="00A133A6">
        <w:rPr>
          <w:rFonts w:asciiTheme="majorBidi" w:eastAsia="Times New Roman" w:hAnsiTheme="majorBidi" w:cstheme="majorBidi"/>
          <w:b w:val="0"/>
          <w:bCs/>
          <w:iCs/>
          <w:sz w:val="24"/>
          <w:szCs w:val="24"/>
        </w:rPr>
        <w:t>Properties, Application, Future scope</w:t>
      </w:r>
      <w:r w:rsidRPr="00A133A6">
        <w:rPr>
          <w:rFonts w:asciiTheme="majorBidi" w:hAnsiTheme="majorBidi" w:cstheme="majorBidi"/>
          <w:b w:val="0"/>
          <w:bCs/>
          <w:iCs/>
          <w:sz w:val="24"/>
          <w:szCs w:val="24"/>
        </w:rPr>
        <w:t xml:space="preserve">.   </w:t>
      </w:r>
    </w:p>
    <w:p w14:paraId="6FC9B503" w14:textId="7FDFC3A5" w:rsidR="005F2B11" w:rsidRPr="005F2B11" w:rsidRDefault="005F2B11" w:rsidP="005F2B11">
      <w:pPr>
        <w:pStyle w:val="Els-Abstract-head"/>
        <w:spacing w:before="200" w:afterLines="200" w:after="480" w:line="276" w:lineRule="auto"/>
        <w:jc w:val="both"/>
        <w:rPr>
          <w:rFonts w:asciiTheme="majorBidi" w:hAnsiTheme="majorBidi" w:cstheme="majorBidi"/>
          <w:iCs/>
          <w:sz w:val="24"/>
          <w:szCs w:val="24"/>
        </w:rPr>
      </w:pPr>
      <w:r w:rsidRPr="0007730C">
        <w:rPr>
          <w:rFonts w:asciiTheme="majorBidi" w:hAnsiTheme="majorBidi" w:cstheme="majorBidi"/>
          <w:caps/>
          <w:color w:val="000000" w:themeColor="text1"/>
          <w:sz w:val="24"/>
          <w:szCs w:val="24"/>
        </w:rPr>
        <w:t xml:space="preserve">1. </w:t>
      </w:r>
      <w:r w:rsidRPr="0007730C">
        <w:rPr>
          <w:rFonts w:asciiTheme="majorBidi" w:hAnsiTheme="majorBidi" w:cstheme="majorBidi"/>
          <w:color w:val="000000" w:themeColor="text1"/>
          <w:sz w:val="24"/>
          <w:szCs w:val="24"/>
        </w:rPr>
        <w:t>Introduction</w:t>
      </w:r>
    </w:p>
    <w:p w14:paraId="283230D9" w14:textId="77777777" w:rsidR="005F2B11" w:rsidRPr="0007730C" w:rsidRDefault="005F2B11" w:rsidP="005F2B11">
      <w:pPr>
        <w:jc w:val="both"/>
        <w:rPr>
          <w:rFonts w:asciiTheme="majorBidi" w:hAnsiTheme="majorBidi" w:cstheme="majorBidi"/>
          <w:sz w:val="24"/>
          <w:szCs w:val="24"/>
        </w:rPr>
      </w:pPr>
      <w:r w:rsidRPr="0007730C">
        <w:rPr>
          <w:rFonts w:asciiTheme="majorBidi" w:hAnsiTheme="majorBidi" w:cstheme="majorBidi"/>
          <w:sz w:val="24"/>
          <w:szCs w:val="24"/>
        </w:rPr>
        <w:t xml:space="preserve">Deep eutectic solvents (DESs) are a class of long-lasting, environmentally friendly, and biodegradable solvents. Ionic liquids (ILs) are a novel class of solvents that are less expensive and harmful than deep eutectic solvents (DESs) [1-2]. In order to create deep eutectic solvents (DESs), two harmless, naturally occurring, affordable, renewable, environmentally friendly, and biodegradable components must be combined [3–4]. In the beginning, researchers focused on creating ionic liquids by mixing quaternary ammonium salts (QASs) with metal salts, especially aluminium, iron, zinc, tin, and chlorides. Despite having high melting points, both salts can be properly aggregated to form a eutectic liquid phase mixture [5–6]. A large freezing point dip, typically greater than 150 </w:t>
      </w:r>
      <w:r w:rsidRPr="0007730C">
        <w:rPr>
          <w:rFonts w:asciiTheme="majorBidi" w:hAnsiTheme="majorBidi" w:cstheme="majorBidi"/>
          <w:sz w:val="24"/>
          <w:szCs w:val="24"/>
          <w:vertAlign w:val="superscript"/>
        </w:rPr>
        <w:t>0</w:t>
      </w:r>
      <w:r w:rsidRPr="0007730C">
        <w:rPr>
          <w:rFonts w:asciiTheme="majorBidi" w:hAnsiTheme="majorBidi" w:cstheme="majorBidi"/>
          <w:sz w:val="24"/>
          <w:szCs w:val="24"/>
        </w:rPr>
        <w:t>C, is a defining feature of these eutectic mixtures. The ability to chemically alter the cationic moiety with a variety of anions allows chemists to produce a wide variety of ILs with various physical properties, such as freezing point, solubility, viscosity, density, conductivity, physical phenomena, and refractivity. DESs have established a reputation as a promising solvent.</w:t>
      </w:r>
    </w:p>
    <w:p w14:paraId="2888CFDF" w14:textId="77777777" w:rsidR="005F2B11" w:rsidRPr="0007730C" w:rsidRDefault="005F2B11" w:rsidP="005F2B11">
      <w:pPr>
        <w:spacing w:line="276" w:lineRule="auto"/>
        <w:ind w:firstLine="284"/>
        <w:jc w:val="both"/>
        <w:rPr>
          <w:rFonts w:asciiTheme="majorBidi" w:hAnsiTheme="majorBidi" w:cstheme="majorBidi"/>
          <w:sz w:val="24"/>
          <w:szCs w:val="24"/>
        </w:rPr>
      </w:pPr>
    </w:p>
    <w:p w14:paraId="239B6C17" w14:textId="77777777" w:rsidR="005F2B11" w:rsidRPr="0007730C" w:rsidRDefault="005F2B11" w:rsidP="005F2B11">
      <w:pPr>
        <w:spacing w:line="276" w:lineRule="auto"/>
        <w:jc w:val="both"/>
        <w:rPr>
          <w:rFonts w:asciiTheme="majorBidi" w:hAnsiTheme="majorBidi" w:cstheme="majorBidi"/>
          <w:sz w:val="24"/>
          <w:szCs w:val="24"/>
        </w:rPr>
      </w:pPr>
      <w:r w:rsidRPr="0007730C">
        <w:rPr>
          <w:rFonts w:asciiTheme="majorBidi" w:hAnsiTheme="majorBidi" w:cstheme="majorBidi"/>
          <w:b/>
          <w:bCs/>
          <w:sz w:val="24"/>
          <w:szCs w:val="24"/>
        </w:rPr>
        <w:t>2. Definition of DESs</w:t>
      </w:r>
      <w:r w:rsidRPr="0007730C">
        <w:rPr>
          <w:rFonts w:asciiTheme="majorBidi" w:hAnsiTheme="majorBidi" w:cstheme="majorBidi"/>
          <w:sz w:val="24"/>
          <w:szCs w:val="24"/>
        </w:rPr>
        <w:t xml:space="preserve"> </w:t>
      </w:r>
    </w:p>
    <w:p w14:paraId="1C8E6C2C"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5B2846">
        <w:rPr>
          <w:rFonts w:asciiTheme="majorBidi" w:hAnsiTheme="majorBidi" w:cstheme="majorBidi"/>
          <w:sz w:val="24"/>
          <w:szCs w:val="24"/>
        </w:rPr>
        <w:t xml:space="preserve">In order to create a deep eutectic solvent (DESs), two or three biodegradable and ecologically friendly components must be able to aggregate with one another through hydrogen bond interactions [7]. </w:t>
      </w:r>
      <w:r w:rsidRPr="00D82C8D">
        <w:rPr>
          <w:rFonts w:asciiTheme="majorBidi" w:hAnsiTheme="majorBidi" w:cstheme="majorBidi"/>
          <w:sz w:val="24"/>
          <w:szCs w:val="24"/>
        </w:rPr>
        <w:t>Low lattice energy nonsymmetric ions are found in deep eutectic solvents (DESs)</w:t>
      </w:r>
      <w:r w:rsidRPr="005B2846">
        <w:rPr>
          <w:rFonts w:asciiTheme="majorBidi" w:hAnsiTheme="majorBidi" w:cstheme="majorBidi"/>
          <w:sz w:val="24"/>
          <w:szCs w:val="24"/>
        </w:rPr>
        <w:t>, low melting temperatures, low vapour pressure, strong electrical conductivity, good conductivity, non-volatile nature, and both good thermal stability [8].</w:t>
      </w:r>
    </w:p>
    <w:p w14:paraId="1ED8A835" w14:textId="77777777" w:rsidR="005F2B11" w:rsidRPr="0007730C" w:rsidRDefault="005F2B11" w:rsidP="005F2B11">
      <w:pPr>
        <w:spacing w:line="276" w:lineRule="auto"/>
        <w:jc w:val="both"/>
        <w:rPr>
          <w:rFonts w:asciiTheme="majorBidi" w:hAnsiTheme="majorBidi" w:cstheme="majorBidi"/>
          <w:b/>
          <w:bCs/>
          <w:sz w:val="24"/>
          <w:szCs w:val="24"/>
        </w:rPr>
      </w:pPr>
      <w:r w:rsidRPr="0007730C">
        <w:rPr>
          <w:rFonts w:asciiTheme="majorBidi" w:hAnsiTheme="majorBidi" w:cstheme="majorBidi"/>
          <w:b/>
          <w:bCs/>
          <w:sz w:val="24"/>
          <w:szCs w:val="24"/>
        </w:rPr>
        <w:t>3. Synthesis of deep eutectic solvents</w:t>
      </w:r>
      <w:r>
        <w:rPr>
          <w:rFonts w:asciiTheme="majorBidi" w:hAnsiTheme="majorBidi" w:cstheme="majorBidi"/>
          <w:b/>
          <w:bCs/>
          <w:sz w:val="24"/>
          <w:szCs w:val="24"/>
        </w:rPr>
        <w:t xml:space="preserve"> (DESs)</w:t>
      </w:r>
    </w:p>
    <w:p w14:paraId="0715C8BF" w14:textId="5C7CB236" w:rsidR="005F2B11" w:rsidRPr="0007730C" w:rsidRDefault="007F283F" w:rsidP="005F2B11">
      <w:pPr>
        <w:spacing w:line="276" w:lineRule="auto"/>
        <w:jc w:val="both"/>
        <w:rPr>
          <w:rFonts w:asciiTheme="majorBidi" w:hAnsiTheme="majorBidi" w:cstheme="majorBidi"/>
          <w:sz w:val="24"/>
          <w:szCs w:val="24"/>
        </w:rPr>
      </w:pPr>
      <w:r w:rsidRPr="007F283F">
        <w:rPr>
          <w:rFonts w:asciiTheme="majorBidi" w:hAnsiTheme="majorBidi" w:cstheme="majorBidi"/>
          <w:sz w:val="24"/>
          <w:szCs w:val="24"/>
        </w:rPr>
        <w:t xml:space="preserve">A hydrogen bond donor (HBD) or metal salts that can form a complex with the halide anion of a quaternary ammonium salt can be added to the salt to transform it into a deep eutectic solvent (DES). The combination has a lower freezing point than its constituent parts due to charge delocalization </w:t>
      </w:r>
      <w:r w:rsidRPr="007F283F">
        <w:rPr>
          <w:rFonts w:asciiTheme="majorBidi" w:hAnsiTheme="majorBidi" w:cstheme="majorBidi"/>
          <w:sz w:val="24"/>
          <w:szCs w:val="24"/>
        </w:rPr>
        <w:lastRenderedPageBreak/>
        <w:t>brought on by hydrogen bonding between the halide ion and subsequently the hydrogen-donor moiety [9]. The most common ingredient used to make deep eutectic solvents (DESs) is choline chloride (</w:t>
      </w:r>
      <w:proofErr w:type="spellStart"/>
      <w:r w:rsidRPr="007F283F">
        <w:rPr>
          <w:rFonts w:asciiTheme="majorBidi" w:hAnsiTheme="majorBidi" w:cstheme="majorBidi"/>
          <w:sz w:val="24"/>
          <w:szCs w:val="24"/>
        </w:rPr>
        <w:t>ChCl</w:t>
      </w:r>
      <w:proofErr w:type="spellEnd"/>
      <w:r w:rsidRPr="007F283F">
        <w:rPr>
          <w:rFonts w:asciiTheme="majorBidi" w:hAnsiTheme="majorBidi" w:cstheme="majorBidi"/>
          <w:sz w:val="24"/>
          <w:szCs w:val="24"/>
        </w:rPr>
        <w:t>). As a quaternary ammonium salt, choline chloride (</w:t>
      </w:r>
      <w:proofErr w:type="spellStart"/>
      <w:r w:rsidRPr="007F283F">
        <w:rPr>
          <w:rFonts w:asciiTheme="majorBidi" w:hAnsiTheme="majorBidi" w:cstheme="majorBidi"/>
          <w:sz w:val="24"/>
          <w:szCs w:val="24"/>
        </w:rPr>
        <w:t>ChCl</w:t>
      </w:r>
      <w:proofErr w:type="spellEnd"/>
      <w:r w:rsidRPr="007F283F">
        <w:rPr>
          <w:rFonts w:asciiTheme="majorBidi" w:hAnsiTheme="majorBidi" w:cstheme="majorBidi"/>
          <w:sz w:val="24"/>
          <w:szCs w:val="24"/>
        </w:rPr>
        <w:t xml:space="preserve">) is easily synthesised from fossil deposits (million metric tonnes) or recovered from biomass [10]. It's non-toxic, biodegradable, affordable, and safe for the environment. When </w:t>
      </w:r>
      <w:proofErr w:type="spellStart"/>
      <w:r w:rsidRPr="007F283F">
        <w:rPr>
          <w:rFonts w:asciiTheme="majorBidi" w:hAnsiTheme="majorBidi" w:cstheme="majorBidi"/>
          <w:sz w:val="24"/>
          <w:szCs w:val="24"/>
        </w:rPr>
        <w:t>CHCl</w:t>
      </w:r>
      <w:proofErr w:type="spellEnd"/>
      <w:r w:rsidRPr="007F283F">
        <w:rPr>
          <w:rFonts w:asciiTheme="majorBidi" w:hAnsiTheme="majorBidi" w:cstheme="majorBidi"/>
          <w:sz w:val="24"/>
          <w:szCs w:val="24"/>
        </w:rPr>
        <w:t xml:space="preserve"> aggregates with safe hydrogen bond donors such as urea, renewable carboxylic acids (such as oxalic acid, citric acid, succinic acid, or amino acids), or renewable polyols (such as glycerol, polysaccharides), a deep eutectic solvent (DES) can be generated. To verify the eutectic and hydrogen bonding formation in deep eutectic solvents (DESs), nuclear magnetic resonance (NMR) and Fourier transform infrared spectroscopy (FTIR) techniques were employed [11]. We can see changes in the representative peaks and broadening of the involved bonds in FTIR spectra and the resonance signal up field of 1H-NMR (protium nuclear magnetic resonance) spectra.</w:t>
      </w:r>
    </w:p>
    <w:p w14:paraId="69C2F9A9" w14:textId="77777777" w:rsidR="005F2B11" w:rsidRPr="0007730C" w:rsidRDefault="005F2B11" w:rsidP="005F2B11">
      <w:pPr>
        <w:spacing w:line="276" w:lineRule="auto"/>
        <w:jc w:val="both"/>
        <w:rPr>
          <w:rFonts w:asciiTheme="majorBidi" w:hAnsiTheme="majorBidi" w:cstheme="majorBidi"/>
          <w:color w:val="FF0000"/>
          <w:sz w:val="24"/>
          <w:szCs w:val="24"/>
        </w:rPr>
      </w:pPr>
      <w:r w:rsidRPr="0007730C">
        <w:rPr>
          <w:rFonts w:asciiTheme="majorBidi" w:hAnsiTheme="majorBidi" w:cstheme="majorBidi"/>
          <w:noProof/>
          <w:color w:val="FF0000"/>
          <w:sz w:val="24"/>
          <w:szCs w:val="24"/>
        </w:rPr>
        <w:drawing>
          <wp:inline distT="0" distB="0" distL="0" distR="0" wp14:anchorId="6045D22D" wp14:editId="719CE46F">
            <wp:extent cx="6191885" cy="3482975"/>
            <wp:effectExtent l="0" t="0" r="0" b="3175"/>
            <wp:docPr id="4288853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885356" name="Picture 428885356"/>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1885" cy="3482975"/>
                    </a:xfrm>
                    <a:prstGeom prst="rect">
                      <a:avLst/>
                    </a:prstGeom>
                  </pic:spPr>
                </pic:pic>
              </a:graphicData>
            </a:graphic>
          </wp:inline>
        </w:drawing>
      </w:r>
    </w:p>
    <w:p w14:paraId="77F0C406" w14:textId="77777777" w:rsidR="005F2B11" w:rsidRPr="0007730C" w:rsidRDefault="005F2B11" w:rsidP="005F2B11">
      <w:pPr>
        <w:spacing w:line="276" w:lineRule="auto"/>
        <w:ind w:firstLine="284"/>
        <w:jc w:val="both"/>
        <w:rPr>
          <w:rFonts w:asciiTheme="majorBidi" w:hAnsiTheme="majorBidi" w:cstheme="majorBidi"/>
          <w:color w:val="FF0000"/>
          <w:sz w:val="24"/>
          <w:szCs w:val="24"/>
        </w:rPr>
      </w:pPr>
    </w:p>
    <w:p w14:paraId="6A9D0F24" w14:textId="77777777" w:rsidR="005F2B11" w:rsidRPr="0007730C" w:rsidRDefault="005F2B11" w:rsidP="005F2B11">
      <w:pPr>
        <w:spacing w:line="276" w:lineRule="auto"/>
        <w:ind w:firstLine="284"/>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Fig: Synthesis of DESs</w:t>
      </w:r>
    </w:p>
    <w:p w14:paraId="265AC6C0" w14:textId="77777777" w:rsidR="005F2B11" w:rsidRPr="0007730C" w:rsidRDefault="005F2B11" w:rsidP="005F2B11">
      <w:pPr>
        <w:spacing w:line="276" w:lineRule="auto"/>
        <w:ind w:firstLine="284"/>
        <w:jc w:val="both"/>
        <w:rPr>
          <w:rFonts w:asciiTheme="majorBidi" w:hAnsiTheme="majorBidi" w:cstheme="majorBidi"/>
          <w:color w:val="FF0000"/>
          <w:sz w:val="24"/>
          <w:szCs w:val="24"/>
        </w:rPr>
      </w:pPr>
    </w:p>
    <w:p w14:paraId="03877218" w14:textId="77777777" w:rsidR="005F2B11" w:rsidRPr="0007730C" w:rsidRDefault="005F2B11" w:rsidP="005F2B11">
      <w:pPr>
        <w:spacing w:line="276" w:lineRule="auto"/>
        <w:ind w:firstLine="284"/>
        <w:jc w:val="both"/>
        <w:rPr>
          <w:rFonts w:asciiTheme="majorBidi" w:hAnsiTheme="majorBidi" w:cstheme="majorBidi"/>
          <w:color w:val="FF0000"/>
          <w:sz w:val="24"/>
          <w:szCs w:val="24"/>
        </w:rPr>
      </w:pPr>
    </w:p>
    <w:tbl>
      <w:tblPr>
        <w:tblStyle w:val="TableGrid"/>
        <w:tblW w:w="9384" w:type="dxa"/>
        <w:tblInd w:w="182" w:type="dxa"/>
        <w:tblLook w:val="04A0" w:firstRow="1" w:lastRow="0" w:firstColumn="1" w:lastColumn="0" w:noHBand="0" w:noVBand="1"/>
      </w:tblPr>
      <w:tblGrid>
        <w:gridCol w:w="4651"/>
        <w:gridCol w:w="4733"/>
      </w:tblGrid>
      <w:tr w:rsidR="005F2B11" w:rsidRPr="0007730C" w14:paraId="5B7EFD48" w14:textId="77777777" w:rsidTr="00FE4C9D">
        <w:trPr>
          <w:trHeight w:val="452"/>
        </w:trPr>
        <w:tc>
          <w:tcPr>
            <w:tcW w:w="4651" w:type="dxa"/>
          </w:tcPr>
          <w:p w14:paraId="7E30BAFD" w14:textId="77777777" w:rsidR="005F2B11" w:rsidRPr="0007730C" w:rsidRDefault="005F2B11" w:rsidP="00FE4C9D">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Halide Salts</w:t>
            </w:r>
          </w:p>
        </w:tc>
        <w:tc>
          <w:tcPr>
            <w:tcW w:w="4733" w:type="dxa"/>
          </w:tcPr>
          <w:p w14:paraId="2E82658F" w14:textId="77777777" w:rsidR="005F2B11" w:rsidRPr="0007730C" w:rsidRDefault="005F2B11" w:rsidP="00FE4C9D">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Hydrogen Bond Donors</w:t>
            </w:r>
          </w:p>
        </w:tc>
      </w:tr>
      <w:tr w:rsidR="005F2B11" w:rsidRPr="0007730C" w14:paraId="1E66B3B7" w14:textId="77777777" w:rsidTr="00FE4C9D">
        <w:trPr>
          <w:trHeight w:val="3867"/>
        </w:trPr>
        <w:tc>
          <w:tcPr>
            <w:tcW w:w="4651" w:type="dxa"/>
          </w:tcPr>
          <w:p w14:paraId="31C7A74C" w14:textId="77777777" w:rsidR="005F2B11" w:rsidRPr="0007730C" w:rsidRDefault="005F2B11" w:rsidP="00FE4C9D">
            <w:pPr>
              <w:spacing w:line="276" w:lineRule="auto"/>
              <w:jc w:val="both"/>
              <w:rPr>
                <w:rFonts w:asciiTheme="majorBidi" w:hAnsiTheme="majorBidi" w:cstheme="majorBidi"/>
                <w:noProof/>
                <w:color w:val="000000" w:themeColor="text1"/>
                <w:sz w:val="24"/>
                <w:szCs w:val="24"/>
              </w:rPr>
            </w:pPr>
            <w:r w:rsidRPr="0007730C">
              <w:rPr>
                <w:rFonts w:asciiTheme="majorBidi" w:hAnsiTheme="majorBidi" w:cstheme="majorBidi"/>
                <w:noProof/>
                <w:color w:val="000000" w:themeColor="text1"/>
                <w:sz w:val="24"/>
                <w:szCs w:val="24"/>
              </w:rPr>
              <w:drawing>
                <wp:inline distT="0" distB="0" distL="0" distR="0" wp14:anchorId="2AF4593B" wp14:editId="7B0FFD47">
                  <wp:extent cx="1066800" cy="16446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Object 39"/>
                          <pic:cNvPicPr>
                            <a:picLocks noChangeAspect="1" noChangeArrowheads="1"/>
                          </pic:cNvPicPr>
                        </pic:nvPicPr>
                        <pic:blipFill>
                          <a:blip r:embed="rId8" cstate="print"/>
                          <a:srcRect r="14500"/>
                          <a:stretch>
                            <a:fillRect/>
                          </a:stretch>
                        </pic:blipFill>
                        <pic:spPr bwMode="auto">
                          <a:xfrm>
                            <a:off x="0" y="0"/>
                            <a:ext cx="1066800" cy="1644650"/>
                          </a:xfrm>
                          <a:prstGeom prst="rect">
                            <a:avLst/>
                          </a:prstGeom>
                          <a:noFill/>
                        </pic:spPr>
                      </pic:pic>
                    </a:graphicData>
                  </a:graphic>
                </wp:inline>
              </w:drawing>
            </w:r>
          </w:p>
        </w:tc>
        <w:tc>
          <w:tcPr>
            <w:tcW w:w="4733" w:type="dxa"/>
          </w:tcPr>
          <w:p w14:paraId="5369D6EA" w14:textId="77777777" w:rsidR="005F2B11" w:rsidRPr="0007730C" w:rsidRDefault="005F2B11" w:rsidP="00FE4C9D">
            <w:pPr>
              <w:spacing w:line="276" w:lineRule="auto"/>
              <w:jc w:val="both"/>
              <w:rPr>
                <w:rFonts w:asciiTheme="majorBidi" w:hAnsiTheme="majorBidi" w:cstheme="majorBidi"/>
                <w:noProof/>
                <w:color w:val="000000" w:themeColor="text1"/>
                <w:sz w:val="24"/>
                <w:szCs w:val="24"/>
              </w:rPr>
            </w:pPr>
            <w:r w:rsidRPr="0007730C">
              <w:rPr>
                <w:rFonts w:asciiTheme="majorBidi" w:hAnsiTheme="majorBidi" w:cstheme="majorBidi"/>
                <w:noProof/>
                <w:color w:val="000000" w:themeColor="text1"/>
                <w:sz w:val="24"/>
                <w:szCs w:val="24"/>
              </w:rPr>
              <w:drawing>
                <wp:inline distT="0" distB="0" distL="0" distR="0" wp14:anchorId="2F748C9F" wp14:editId="2543851B">
                  <wp:extent cx="2082800" cy="1644650"/>
                  <wp:effectExtent l="19050" t="0" r="0" b="0"/>
                  <wp:docPr id="35" name="Picture 35"/>
                  <wp:cNvGraphicFramePr/>
                  <a:graphic xmlns:a="http://schemas.openxmlformats.org/drawingml/2006/main">
                    <a:graphicData uri="http://schemas.openxmlformats.org/drawingml/2006/picture">
                      <pic:pic xmlns:pic="http://schemas.openxmlformats.org/drawingml/2006/picture">
                        <pic:nvPicPr>
                          <pic:cNvPr id="0" name="Object 40"/>
                          <pic:cNvPicPr>
                            <a:picLocks noChangeAspect="1" noChangeArrowheads="1"/>
                          </pic:cNvPicPr>
                        </pic:nvPicPr>
                        <pic:blipFill>
                          <a:blip r:embed="rId9" cstate="print"/>
                          <a:srcRect/>
                          <a:stretch>
                            <a:fillRect/>
                          </a:stretch>
                        </pic:blipFill>
                        <pic:spPr bwMode="auto">
                          <a:xfrm>
                            <a:off x="0" y="0"/>
                            <a:ext cx="2080465" cy="1642806"/>
                          </a:xfrm>
                          <a:prstGeom prst="rect">
                            <a:avLst/>
                          </a:prstGeom>
                          <a:noFill/>
                        </pic:spPr>
                      </pic:pic>
                    </a:graphicData>
                  </a:graphic>
                </wp:inline>
              </w:drawing>
            </w:r>
          </w:p>
        </w:tc>
      </w:tr>
      <w:tr w:rsidR="005F2B11" w:rsidRPr="0007730C" w14:paraId="2BE04E67" w14:textId="77777777" w:rsidTr="00FE4C9D">
        <w:trPr>
          <w:trHeight w:val="372"/>
        </w:trPr>
        <w:tc>
          <w:tcPr>
            <w:tcW w:w="9384" w:type="dxa"/>
            <w:gridSpan w:val="2"/>
          </w:tcPr>
          <w:p w14:paraId="65092BC0" w14:textId="77777777" w:rsidR="005F2B11" w:rsidRPr="0007730C" w:rsidRDefault="005F2B11" w:rsidP="00FE4C9D">
            <w:pPr>
              <w:spacing w:line="276" w:lineRule="auto"/>
              <w:jc w:val="both"/>
              <w:rPr>
                <w:rFonts w:asciiTheme="majorBidi" w:hAnsiTheme="majorBidi" w:cstheme="majorBidi"/>
                <w:bCs/>
                <w:color w:val="000000" w:themeColor="text1"/>
                <w:sz w:val="24"/>
                <w:szCs w:val="24"/>
              </w:rPr>
            </w:pPr>
            <w:r w:rsidRPr="0007730C">
              <w:rPr>
                <w:rFonts w:asciiTheme="majorBidi" w:hAnsiTheme="majorBidi" w:cstheme="majorBidi"/>
                <w:bCs/>
                <w:color w:val="000000" w:themeColor="text1"/>
                <w:sz w:val="24"/>
                <w:szCs w:val="24"/>
              </w:rPr>
              <w:t>Scheme 1: The chemical structure of Halide Salts and Hydrogen Bond Donors</w:t>
            </w:r>
          </w:p>
        </w:tc>
      </w:tr>
    </w:tbl>
    <w:p w14:paraId="572C7D3D"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p>
    <w:p w14:paraId="60CD735C" w14:textId="77777777" w:rsidR="005F2B11" w:rsidRPr="0007730C" w:rsidRDefault="005F2B11" w:rsidP="005F2B11">
      <w:pPr>
        <w:spacing w:line="276" w:lineRule="auto"/>
        <w:jc w:val="both"/>
        <w:rPr>
          <w:rFonts w:asciiTheme="majorBidi" w:hAnsiTheme="majorBidi" w:cstheme="majorBidi"/>
          <w:b/>
          <w:bCs/>
          <w:sz w:val="24"/>
          <w:szCs w:val="24"/>
        </w:rPr>
      </w:pPr>
      <w:r w:rsidRPr="0007730C">
        <w:rPr>
          <w:rFonts w:asciiTheme="majorBidi" w:hAnsiTheme="majorBidi" w:cstheme="majorBidi"/>
          <w:b/>
          <w:bCs/>
          <w:sz w:val="24"/>
          <w:szCs w:val="24"/>
        </w:rPr>
        <w:t>4. Physicochemical characters of DESs</w:t>
      </w:r>
    </w:p>
    <w:p w14:paraId="44CF8755" w14:textId="77777777" w:rsidR="005F2B11" w:rsidRPr="0007730C" w:rsidRDefault="005F2B11" w:rsidP="005F2B11">
      <w:pPr>
        <w:jc w:val="both"/>
        <w:rPr>
          <w:rFonts w:asciiTheme="majorBidi" w:hAnsiTheme="majorBidi" w:cstheme="majorBidi"/>
          <w:sz w:val="24"/>
          <w:szCs w:val="24"/>
        </w:rPr>
      </w:pPr>
      <w:r w:rsidRPr="00DC5F36">
        <w:rPr>
          <w:rFonts w:asciiTheme="majorBidi" w:hAnsiTheme="majorBidi" w:cstheme="majorBidi"/>
          <w:sz w:val="24"/>
          <w:szCs w:val="24"/>
        </w:rPr>
        <w:t xml:space="preserve">Deep eutectic solvents (DESs) are made by combining various hydrogen bond donors (HBD) and various quaternary ammonium salts (QASs), including </w:t>
      </w:r>
      <w:proofErr w:type="spellStart"/>
      <w:r w:rsidRPr="00DC5F36">
        <w:rPr>
          <w:rFonts w:asciiTheme="majorBidi" w:hAnsiTheme="majorBidi" w:cstheme="majorBidi"/>
          <w:sz w:val="24"/>
          <w:szCs w:val="24"/>
        </w:rPr>
        <w:t>ChCl</w:t>
      </w:r>
      <w:proofErr w:type="spellEnd"/>
      <w:r w:rsidRPr="00DC5F36">
        <w:rPr>
          <w:rFonts w:asciiTheme="majorBidi" w:hAnsiTheme="majorBidi" w:cstheme="majorBidi"/>
          <w:sz w:val="24"/>
          <w:szCs w:val="24"/>
        </w:rPr>
        <w:t>. Conductivity, pH, viscosity, surface tension, phase behaviour, and freezing point are some of the physicochemical properties of deep eutectic solvents (DESs). Deep eutectic solvents' physicochemical characteristics will be examined in this section.</w:t>
      </w:r>
      <w:r>
        <w:rPr>
          <w:rFonts w:asciiTheme="majorBidi" w:hAnsiTheme="majorBidi" w:cstheme="majorBidi"/>
          <w:sz w:val="24"/>
          <w:szCs w:val="24"/>
        </w:rPr>
        <w:t xml:space="preserve"> </w:t>
      </w:r>
      <w:r w:rsidRPr="0007730C">
        <w:rPr>
          <w:rFonts w:asciiTheme="majorBidi" w:hAnsiTheme="majorBidi" w:cstheme="majorBidi"/>
          <w:sz w:val="24"/>
          <w:szCs w:val="24"/>
        </w:rPr>
        <w:t>Sustainable technologies used in green-related material science applications should be crucial in the ensuing decades. Applications in material science, metal processing, synthetic chemistry, gas separation (CO</w:t>
      </w:r>
      <w:r w:rsidRPr="0007730C">
        <w:rPr>
          <w:rFonts w:asciiTheme="majorBidi" w:hAnsiTheme="majorBidi" w:cstheme="majorBidi"/>
          <w:sz w:val="24"/>
          <w:szCs w:val="24"/>
          <w:vertAlign w:val="subscript"/>
        </w:rPr>
        <w:t>2</w:t>
      </w:r>
      <w:r w:rsidRPr="0007730C">
        <w:rPr>
          <w:rFonts w:asciiTheme="majorBidi" w:hAnsiTheme="majorBidi" w:cstheme="majorBidi"/>
          <w:sz w:val="24"/>
          <w:szCs w:val="24"/>
        </w:rPr>
        <w:t>, SO</w:t>
      </w:r>
      <w:r w:rsidRPr="0007730C">
        <w:rPr>
          <w:rFonts w:asciiTheme="majorBidi" w:hAnsiTheme="majorBidi" w:cstheme="majorBidi"/>
          <w:sz w:val="24"/>
          <w:szCs w:val="24"/>
          <w:vertAlign w:val="subscript"/>
        </w:rPr>
        <w:t>2</w:t>
      </w:r>
      <w:r w:rsidRPr="0007730C">
        <w:rPr>
          <w:rFonts w:asciiTheme="majorBidi" w:hAnsiTheme="majorBidi" w:cstheme="majorBidi"/>
          <w:sz w:val="24"/>
          <w:szCs w:val="24"/>
        </w:rPr>
        <w:t>), tea catechin extraction, therapeutic chemistry, extraction and separation, catalyst, agroforestry, biological applications, etc., among others, play a significant part in regulating and lowering environmental pollution. Ionic liquids (ILs) may be replaced with deep eutectic solvents (DESs), which keep the majority of important characteristics like task-specific character.</w:t>
      </w:r>
    </w:p>
    <w:p w14:paraId="6887ABD5" w14:textId="77777777" w:rsidR="005F2B11" w:rsidRPr="0007730C" w:rsidRDefault="005F2B11" w:rsidP="005F2B11">
      <w:pPr>
        <w:jc w:val="both"/>
        <w:rPr>
          <w:rFonts w:asciiTheme="majorBidi" w:hAnsiTheme="majorBidi" w:cstheme="majorBidi"/>
          <w:b/>
          <w:bCs/>
          <w:sz w:val="24"/>
          <w:szCs w:val="24"/>
        </w:rPr>
      </w:pPr>
      <w:r w:rsidRPr="0007730C">
        <w:rPr>
          <w:rFonts w:asciiTheme="majorBidi" w:hAnsiTheme="majorBidi" w:cstheme="majorBidi"/>
          <w:b/>
          <w:bCs/>
          <w:sz w:val="24"/>
          <w:szCs w:val="24"/>
        </w:rPr>
        <w:t>4.1. Surface tension</w:t>
      </w:r>
    </w:p>
    <w:p w14:paraId="37D7F00F" w14:textId="77777777" w:rsidR="005F2B11" w:rsidRPr="0007730C" w:rsidRDefault="005F2B11" w:rsidP="005F2B11">
      <w:pPr>
        <w:spacing w:line="276" w:lineRule="auto"/>
        <w:jc w:val="both"/>
        <w:rPr>
          <w:rFonts w:asciiTheme="majorBidi" w:hAnsiTheme="majorBidi" w:cstheme="majorBidi"/>
          <w:sz w:val="24"/>
          <w:szCs w:val="24"/>
        </w:rPr>
      </w:pPr>
      <w:r w:rsidRPr="0007730C">
        <w:rPr>
          <w:rFonts w:asciiTheme="majorBidi" w:hAnsiTheme="majorBidi" w:cstheme="majorBidi"/>
          <w:sz w:val="24"/>
          <w:szCs w:val="24"/>
        </w:rPr>
        <w:t xml:space="preserve">Deep eutectic solvents' (DESs) surface tension is a crucial physiochemical characteristic that has applications in the fields of interface and colloid. Investigations were done into how the hydrogen-bonding donors (HBDs) and the acceptors (HBAs) affected by surface tension [12]. In addition, the surface tension of mixtures of deep eutectic solvents (DESs) and other solvents, such as water, water+ salt (such as </w:t>
      </w:r>
      <w:proofErr w:type="spellStart"/>
      <w:r w:rsidRPr="0007730C">
        <w:rPr>
          <w:rFonts w:asciiTheme="majorBidi" w:hAnsiTheme="majorBidi" w:cstheme="majorBidi"/>
          <w:sz w:val="24"/>
          <w:szCs w:val="24"/>
        </w:rPr>
        <w:t>KCl</w:t>
      </w:r>
      <w:proofErr w:type="spellEnd"/>
      <w:r w:rsidRPr="0007730C">
        <w:rPr>
          <w:rFonts w:asciiTheme="majorBidi" w:hAnsiTheme="majorBidi" w:cstheme="majorBidi"/>
          <w:sz w:val="24"/>
          <w:szCs w:val="24"/>
        </w:rPr>
        <w:t>), acetone, ethanol, ethyl acetate (</w:t>
      </w:r>
      <w:proofErr w:type="spellStart"/>
      <w:r w:rsidRPr="0007730C">
        <w:rPr>
          <w:rFonts w:asciiTheme="majorBidi" w:hAnsiTheme="majorBidi" w:cstheme="majorBidi"/>
          <w:sz w:val="24"/>
          <w:szCs w:val="24"/>
        </w:rPr>
        <w:t>EtAc</w:t>
      </w:r>
      <w:proofErr w:type="spellEnd"/>
      <w:r w:rsidRPr="0007730C">
        <w:rPr>
          <w:rFonts w:asciiTheme="majorBidi" w:hAnsiTheme="majorBidi" w:cstheme="majorBidi"/>
          <w:sz w:val="24"/>
          <w:szCs w:val="24"/>
        </w:rPr>
        <w:t>), isopropyl alcohol, etc. The surface tension (ST) of deep eutectic solvents (DESs) would be reduced by the inclusion of the crystal water in the salt component. As the molar ratio of the other examined solvents and the factor affecting surface tension (ST) of the deep eutectic solvents (DESs) increased, the surface tension (ST) of deep eutectic solvents (DESs) constantly dropped.</w:t>
      </w:r>
    </w:p>
    <w:p w14:paraId="72213594" w14:textId="77777777" w:rsidR="005F2B11" w:rsidRPr="0007730C" w:rsidRDefault="005F2B11" w:rsidP="005F2B11">
      <w:pPr>
        <w:spacing w:line="276" w:lineRule="auto"/>
        <w:jc w:val="both"/>
        <w:rPr>
          <w:rFonts w:asciiTheme="majorBidi" w:hAnsiTheme="majorBidi" w:cstheme="majorBidi"/>
          <w:b/>
          <w:bCs/>
          <w:sz w:val="24"/>
          <w:szCs w:val="24"/>
        </w:rPr>
      </w:pPr>
      <w:r w:rsidRPr="0007730C">
        <w:rPr>
          <w:rFonts w:asciiTheme="majorBidi" w:hAnsiTheme="majorBidi" w:cstheme="majorBidi"/>
          <w:b/>
          <w:bCs/>
          <w:sz w:val="24"/>
          <w:szCs w:val="24"/>
        </w:rPr>
        <w:t>4.2. Phase behaviours</w:t>
      </w:r>
    </w:p>
    <w:p w14:paraId="7F116F90" w14:textId="1A2E1733" w:rsidR="005F2B11" w:rsidRPr="0007730C" w:rsidRDefault="005F2B11" w:rsidP="005F2B11">
      <w:pPr>
        <w:jc w:val="both"/>
        <w:rPr>
          <w:rFonts w:asciiTheme="majorBidi" w:hAnsiTheme="majorBidi" w:cstheme="majorBidi"/>
          <w:sz w:val="24"/>
          <w:szCs w:val="24"/>
        </w:rPr>
      </w:pPr>
      <w:r w:rsidRPr="0007730C">
        <w:rPr>
          <w:rFonts w:asciiTheme="majorBidi" w:hAnsiTheme="majorBidi" w:cstheme="majorBidi"/>
          <w:sz w:val="24"/>
          <w:szCs w:val="24"/>
        </w:rPr>
        <w:t xml:space="preserve">As previously mentioned, two solids capable of self-association are combined to form the DESs by forming a new liquid phase by hydrogen bonding [13]. To create deep eutectic solvents (DESs), HBAs (ILs) and HBDs are combined in the proper ratios. Most of the literature now in circulation only takes binary DESs—that is, mixes of one type of </w:t>
      </w:r>
      <w:r w:rsidR="007F283F">
        <w:rPr>
          <w:rFonts w:asciiTheme="majorBidi" w:hAnsiTheme="majorBidi" w:cstheme="majorBidi"/>
          <w:sz w:val="24"/>
          <w:szCs w:val="24"/>
        </w:rPr>
        <w:t xml:space="preserve">hydrogen bond (HB) </w:t>
      </w:r>
      <w:r w:rsidRPr="0007730C">
        <w:rPr>
          <w:rFonts w:asciiTheme="majorBidi" w:hAnsiTheme="majorBidi" w:cstheme="majorBidi"/>
          <w:sz w:val="24"/>
          <w:szCs w:val="24"/>
        </w:rPr>
        <w:t>accepter and one type of hydrogen bond donor—into account. The main characteristics of the solid-liquid phase diagrams for these binary deep eutectic solvents (DESs) are summarised in Figure 1(b). The low melting points of the deep eutectic solvents (DESs) in compared to the salts HBAs and HBDs that create them are one of the most significant and distinctive known properties of DESs. The formation of strong hydrogen bond accepter</w:t>
      </w:r>
      <w:r w:rsidR="007F283F">
        <w:rPr>
          <w:rFonts w:asciiTheme="majorBidi" w:hAnsiTheme="majorBidi" w:cstheme="majorBidi"/>
          <w:sz w:val="24"/>
          <w:szCs w:val="24"/>
        </w:rPr>
        <w:t xml:space="preserve"> </w:t>
      </w:r>
      <w:r w:rsidRPr="0007730C">
        <w:rPr>
          <w:rFonts w:asciiTheme="majorBidi" w:hAnsiTheme="majorBidi" w:cstheme="majorBidi"/>
          <w:sz w:val="24"/>
          <w:szCs w:val="24"/>
        </w:rPr>
        <w:t xml:space="preserve">HBA and HBD intermolecular contacts, which are ideal for the eutectic mixture composition, causes melting point lowering during mixing [14] in the case of </w:t>
      </w:r>
      <w:proofErr w:type="spellStart"/>
      <w:r w:rsidRPr="0007730C">
        <w:rPr>
          <w:rFonts w:asciiTheme="majorBidi" w:hAnsiTheme="majorBidi" w:cstheme="majorBidi"/>
          <w:sz w:val="24"/>
          <w:szCs w:val="24"/>
        </w:rPr>
        <w:t>ChCl</w:t>
      </w:r>
      <w:proofErr w:type="spellEnd"/>
      <w:r w:rsidRPr="0007730C">
        <w:rPr>
          <w:rFonts w:asciiTheme="majorBidi" w:hAnsiTheme="majorBidi" w:cstheme="majorBidi"/>
          <w:sz w:val="24"/>
          <w:szCs w:val="24"/>
        </w:rPr>
        <w:t xml:space="preserve"> + urea, which forms a deep eutectic solvent (DESs) at a 1:2 </w:t>
      </w:r>
      <w:proofErr w:type="spellStart"/>
      <w:proofErr w:type="gramStart"/>
      <w:r w:rsidRPr="0007730C">
        <w:rPr>
          <w:rFonts w:asciiTheme="majorBidi" w:hAnsiTheme="majorBidi" w:cstheme="majorBidi"/>
          <w:sz w:val="24"/>
          <w:szCs w:val="24"/>
        </w:rPr>
        <w:t>salt:urea</w:t>
      </w:r>
      <w:proofErr w:type="spellEnd"/>
      <w:proofErr w:type="gramEnd"/>
      <w:r w:rsidRPr="0007730C">
        <w:rPr>
          <w:rFonts w:asciiTheme="majorBidi" w:hAnsiTheme="majorBidi" w:cstheme="majorBidi"/>
          <w:sz w:val="24"/>
          <w:szCs w:val="24"/>
        </w:rPr>
        <w:t xml:space="preserve"> molar ratio. Since interactions between complexes are stronger than those between individual components, eutectic mixtures have a lower freezing point than eutectic components.</w:t>
      </w:r>
    </w:p>
    <w:p w14:paraId="5AF1F0CE" w14:textId="77777777" w:rsidR="005F2B11" w:rsidRPr="0007730C" w:rsidRDefault="005F2B11" w:rsidP="005F2B11">
      <w:pPr>
        <w:spacing w:line="360" w:lineRule="auto"/>
        <w:jc w:val="both"/>
        <w:rPr>
          <w:rFonts w:asciiTheme="majorBidi" w:hAnsiTheme="majorBidi" w:cstheme="majorBidi"/>
          <w:color w:val="000000" w:themeColor="text1"/>
          <w:sz w:val="24"/>
          <w:szCs w:val="24"/>
        </w:rPr>
        <w:sectPr w:rsidR="005F2B11" w:rsidRPr="0007730C" w:rsidSect="005F2B11">
          <w:footnotePr>
            <w:pos w:val="beneathText"/>
            <w:numFmt w:val="lowerLetter"/>
          </w:footnotePr>
          <w:type w:val="continuous"/>
          <w:pgSz w:w="11905" w:h="16837" w:code="9"/>
          <w:pgMar w:top="284" w:right="1077" w:bottom="1134" w:left="1077" w:header="680" w:footer="680" w:gutter="0"/>
          <w:cols w:space="454"/>
          <w:titlePg/>
          <w:docGrid w:linePitch="360"/>
        </w:sectPr>
      </w:pPr>
    </w:p>
    <w:p w14:paraId="0EAFF4AB" w14:textId="77777777" w:rsidR="005F2B11" w:rsidRPr="0007730C" w:rsidRDefault="005F2B11" w:rsidP="005F2B11">
      <w:pPr>
        <w:spacing w:line="360" w:lineRule="auto"/>
        <w:jc w:val="both"/>
        <w:rPr>
          <w:rFonts w:asciiTheme="majorBidi" w:hAnsiTheme="majorBidi" w:cstheme="majorBidi"/>
          <w:color w:val="000000" w:themeColor="text1"/>
          <w:sz w:val="24"/>
          <w:szCs w:val="24"/>
        </w:rPr>
        <w:sectPr w:rsidR="005F2B11" w:rsidRPr="0007730C" w:rsidSect="00267072">
          <w:footnotePr>
            <w:pos w:val="beneathText"/>
            <w:numFmt w:val="lowerLetter"/>
          </w:footnotePr>
          <w:type w:val="continuous"/>
          <w:pgSz w:w="11905" w:h="16837" w:code="9"/>
          <w:pgMar w:top="1418" w:right="1077" w:bottom="1134" w:left="1077" w:header="680" w:footer="680" w:gutter="0"/>
          <w:cols w:space="454"/>
          <w:titlePg/>
          <w:docGrid w:linePitch="360"/>
        </w:sectPr>
      </w:pPr>
      <w:r w:rsidRPr="0007730C">
        <w:rPr>
          <w:rFonts w:asciiTheme="majorBidi" w:hAnsiTheme="majorBidi" w:cstheme="majorBidi"/>
          <w:noProof/>
          <w:color w:val="000000" w:themeColor="text1"/>
          <w:sz w:val="24"/>
          <w:szCs w:val="24"/>
        </w:rPr>
        <w:drawing>
          <wp:inline distT="0" distB="0" distL="0" distR="0" wp14:anchorId="2A563261" wp14:editId="47D77759">
            <wp:extent cx="6191250" cy="2686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2686050"/>
                    </a:xfrm>
                    <a:prstGeom prst="rect">
                      <a:avLst/>
                    </a:prstGeom>
                    <a:noFill/>
                    <a:ln>
                      <a:noFill/>
                    </a:ln>
                  </pic:spPr>
                </pic:pic>
              </a:graphicData>
            </a:graphic>
          </wp:inline>
        </w:drawing>
      </w:r>
    </w:p>
    <w:p w14:paraId="0F49F1D5" w14:textId="77777777" w:rsidR="005F2B11" w:rsidRPr="0007730C" w:rsidRDefault="005F2B11" w:rsidP="005F2B11">
      <w:pPr>
        <w:spacing w:line="276" w:lineRule="auto"/>
        <w:jc w:val="both"/>
        <w:rPr>
          <w:rFonts w:asciiTheme="majorBidi" w:hAnsiTheme="majorBidi" w:cstheme="majorBidi"/>
          <w:b/>
          <w:bCs/>
          <w:color w:val="000000" w:themeColor="text1"/>
          <w:sz w:val="24"/>
          <w:szCs w:val="24"/>
        </w:rPr>
      </w:pPr>
      <w:r w:rsidRPr="0007730C">
        <w:rPr>
          <w:rFonts w:asciiTheme="majorBidi" w:hAnsiTheme="majorBidi" w:cstheme="majorBidi"/>
          <w:b/>
          <w:bCs/>
          <w:color w:val="000000"/>
          <w:sz w:val="24"/>
          <w:szCs w:val="24"/>
        </w:rPr>
        <w:t>4.3. Freezing point (</w:t>
      </w:r>
      <w:proofErr w:type="spellStart"/>
      <w:r w:rsidRPr="0007730C">
        <w:rPr>
          <w:rFonts w:asciiTheme="majorBidi" w:hAnsiTheme="majorBidi" w:cstheme="majorBidi"/>
          <w:b/>
          <w:bCs/>
          <w:color w:val="000000"/>
          <w:sz w:val="24"/>
          <w:szCs w:val="24"/>
        </w:rPr>
        <w:t>T</w:t>
      </w:r>
      <w:r w:rsidRPr="0007730C">
        <w:rPr>
          <w:rFonts w:asciiTheme="majorBidi" w:hAnsiTheme="majorBidi" w:cstheme="majorBidi"/>
          <w:b/>
          <w:bCs/>
          <w:color w:val="000000"/>
          <w:sz w:val="24"/>
          <w:szCs w:val="24"/>
          <w:vertAlign w:val="subscript"/>
        </w:rPr>
        <w:t>f</w:t>
      </w:r>
      <w:proofErr w:type="spellEnd"/>
      <w:r w:rsidRPr="0007730C">
        <w:rPr>
          <w:rFonts w:asciiTheme="majorBidi" w:hAnsiTheme="majorBidi" w:cstheme="majorBidi"/>
          <w:b/>
          <w:bCs/>
          <w:color w:val="000000"/>
          <w:sz w:val="24"/>
          <w:szCs w:val="24"/>
        </w:rPr>
        <w:t>)</w:t>
      </w:r>
    </w:p>
    <w:p w14:paraId="3279F458" w14:textId="0FFC8D55" w:rsidR="007F283F" w:rsidRDefault="007F283F" w:rsidP="007F283F">
      <w:pPr>
        <w:jc w:val="both"/>
        <w:rPr>
          <w:rFonts w:asciiTheme="majorBidi" w:hAnsiTheme="majorBidi" w:cstheme="majorBidi"/>
          <w:color w:val="000000"/>
          <w:sz w:val="24"/>
          <w:szCs w:val="24"/>
        </w:rPr>
      </w:pPr>
      <w:r w:rsidRPr="007F283F">
        <w:rPr>
          <w:rFonts w:asciiTheme="majorBidi" w:hAnsiTheme="majorBidi" w:cstheme="majorBidi"/>
          <w:sz w:val="24"/>
          <w:szCs w:val="24"/>
        </w:rPr>
        <w:t xml:space="preserve">Many deep eutectic solvents (DESs) that have been covered in the literature are included in Table 1 as </w:t>
      </w:r>
      <w:r w:rsidRPr="007F283F">
        <w:rPr>
          <w:rFonts w:asciiTheme="majorBidi" w:hAnsiTheme="majorBidi" w:cstheme="majorBidi"/>
          <w:sz w:val="24"/>
          <w:szCs w:val="24"/>
        </w:rPr>
        <w:lastRenderedPageBreak/>
        <w:t xml:space="preserve">a list of their freezing points. It is worth mentioning that although several other amides have been mixed with </w:t>
      </w:r>
      <w:proofErr w:type="spellStart"/>
      <w:r w:rsidRPr="007F283F">
        <w:rPr>
          <w:rFonts w:asciiTheme="majorBidi" w:hAnsiTheme="majorBidi" w:cstheme="majorBidi"/>
          <w:sz w:val="24"/>
          <w:szCs w:val="24"/>
        </w:rPr>
        <w:t>ChCl</w:t>
      </w:r>
      <w:proofErr w:type="spellEnd"/>
      <w:r w:rsidRPr="007F283F">
        <w:rPr>
          <w:rFonts w:asciiTheme="majorBidi" w:hAnsiTheme="majorBidi" w:cstheme="majorBidi"/>
          <w:sz w:val="24"/>
          <w:szCs w:val="24"/>
        </w:rPr>
        <w:t xml:space="preserve"> to create DESs with freezing temperatures below 100 </w:t>
      </w:r>
      <w:r w:rsidRPr="007F283F">
        <w:rPr>
          <w:rFonts w:asciiTheme="majorBidi" w:hAnsiTheme="majorBidi" w:cstheme="majorBidi"/>
          <w:sz w:val="24"/>
          <w:szCs w:val="24"/>
          <w:vertAlign w:val="superscript"/>
        </w:rPr>
        <w:t>0</w:t>
      </w:r>
      <w:r w:rsidRPr="007F283F">
        <w:rPr>
          <w:rFonts w:asciiTheme="majorBidi" w:hAnsiTheme="majorBidi" w:cstheme="majorBidi"/>
          <w:sz w:val="24"/>
          <w:szCs w:val="24"/>
        </w:rPr>
        <w:t xml:space="preserve">C, </w:t>
      </w:r>
      <w:r w:rsidRPr="007F283F">
        <w:rPr>
          <w:rFonts w:asciiTheme="majorBidi" w:hAnsiTheme="majorBidi" w:cstheme="majorBidi"/>
          <w:sz w:val="24"/>
          <w:szCs w:val="24"/>
        </w:rPr>
        <w:t>the</w:t>
      </w:r>
      <w:r w:rsidRPr="007F283F">
        <w:rPr>
          <w:rFonts w:asciiTheme="majorBidi" w:hAnsiTheme="majorBidi" w:cstheme="majorBidi"/>
          <w:sz w:val="24"/>
          <w:szCs w:val="24"/>
        </w:rPr>
        <w:t xml:space="preserve"> number of DESs that are liquid at normal temperature is still rather small. Distinct constituents have a lower freezing point [15]. For example, mixing urea and </w:t>
      </w:r>
      <w:proofErr w:type="spellStart"/>
      <w:r w:rsidRPr="007F283F">
        <w:rPr>
          <w:rFonts w:asciiTheme="majorBidi" w:hAnsiTheme="majorBidi" w:cstheme="majorBidi"/>
          <w:sz w:val="24"/>
          <w:szCs w:val="24"/>
        </w:rPr>
        <w:t>ChCl</w:t>
      </w:r>
      <w:proofErr w:type="spellEnd"/>
      <w:r w:rsidRPr="007F283F">
        <w:rPr>
          <w:rFonts w:asciiTheme="majorBidi" w:hAnsiTheme="majorBidi" w:cstheme="majorBidi"/>
          <w:sz w:val="24"/>
          <w:szCs w:val="24"/>
        </w:rPr>
        <w:t xml:space="preserve"> in a 1:1 molar ratio </w:t>
      </w:r>
      <w:proofErr w:type="gramStart"/>
      <w:r w:rsidRPr="007F283F">
        <w:rPr>
          <w:rFonts w:asciiTheme="majorBidi" w:hAnsiTheme="majorBidi" w:cstheme="majorBidi"/>
          <w:sz w:val="24"/>
          <w:szCs w:val="24"/>
        </w:rPr>
        <w:t>result</w:t>
      </w:r>
      <w:proofErr w:type="gramEnd"/>
      <w:r w:rsidRPr="007F283F">
        <w:rPr>
          <w:rFonts w:asciiTheme="majorBidi" w:hAnsiTheme="majorBidi" w:cstheme="majorBidi"/>
          <w:sz w:val="24"/>
          <w:szCs w:val="24"/>
        </w:rPr>
        <w:t xml:space="preserve"> in a eutectic combination with a freezing point of 12 0C, which is significantly lower than the MPs of urea and </w:t>
      </w:r>
      <w:proofErr w:type="spellStart"/>
      <w:r w:rsidRPr="007F283F">
        <w:rPr>
          <w:rFonts w:asciiTheme="majorBidi" w:hAnsiTheme="majorBidi" w:cstheme="majorBidi"/>
          <w:sz w:val="24"/>
          <w:szCs w:val="24"/>
        </w:rPr>
        <w:t>ChCl</w:t>
      </w:r>
      <w:proofErr w:type="spellEnd"/>
      <w:r w:rsidRPr="007F283F">
        <w:rPr>
          <w:rFonts w:asciiTheme="majorBidi" w:hAnsiTheme="majorBidi" w:cstheme="majorBidi"/>
          <w:sz w:val="24"/>
          <w:szCs w:val="24"/>
        </w:rPr>
        <w:t xml:space="preserve"> (302 and 133 0C, respectively). The interaction between the halide anion and the hydrogen bond donor (HBD) element—in this case, urea—leads to a considerable decrease in the freezing point (</w:t>
      </w:r>
      <w:proofErr w:type="spellStart"/>
      <w:r w:rsidRPr="007F283F">
        <w:rPr>
          <w:rFonts w:asciiTheme="majorBidi" w:hAnsiTheme="majorBidi" w:cstheme="majorBidi"/>
          <w:sz w:val="24"/>
          <w:szCs w:val="24"/>
        </w:rPr>
        <w:t>Tf</w:t>
      </w:r>
      <w:proofErr w:type="spellEnd"/>
      <w:r w:rsidRPr="007F283F">
        <w:rPr>
          <w:rFonts w:asciiTheme="majorBidi" w:hAnsiTheme="majorBidi" w:cstheme="majorBidi"/>
          <w:sz w:val="24"/>
          <w:szCs w:val="24"/>
        </w:rPr>
        <w:t>).  The component freezing points (</w:t>
      </w:r>
      <w:proofErr w:type="spellStart"/>
      <w:r w:rsidRPr="007F283F">
        <w:rPr>
          <w:rFonts w:asciiTheme="majorBidi" w:hAnsiTheme="majorBidi" w:cstheme="majorBidi"/>
          <w:sz w:val="24"/>
          <w:szCs w:val="24"/>
        </w:rPr>
        <w:t>Tf</w:t>
      </w:r>
      <w:proofErr w:type="spellEnd"/>
      <w:r w:rsidRPr="007F283F">
        <w:rPr>
          <w:rFonts w:asciiTheme="majorBidi" w:hAnsiTheme="majorBidi" w:cstheme="majorBidi"/>
          <w:sz w:val="24"/>
          <w:szCs w:val="24"/>
        </w:rPr>
        <w:t>) of the different deep eutectic solvents (DESs) are listed in Table 1.</w:t>
      </w:r>
      <w:r w:rsidR="005F2B11" w:rsidRPr="0007730C">
        <w:rPr>
          <w:rFonts w:asciiTheme="majorBidi" w:hAnsiTheme="majorBidi" w:cstheme="majorBidi"/>
          <w:i/>
          <w:iCs/>
          <w:color w:val="000000"/>
          <w:sz w:val="24"/>
          <w:szCs w:val="24"/>
        </w:rPr>
        <w:t xml:space="preserve">  </w:t>
      </w:r>
    </w:p>
    <w:p w14:paraId="7FAD0F6B" w14:textId="17F52430" w:rsidR="005F2B11" w:rsidRPr="0007730C" w:rsidRDefault="005F2B11" w:rsidP="007F283F">
      <w:pPr>
        <w:jc w:val="both"/>
        <w:rPr>
          <w:rFonts w:asciiTheme="majorBidi" w:hAnsiTheme="majorBidi" w:cstheme="majorBidi"/>
          <w:b/>
          <w:bCs/>
          <w:color w:val="000000"/>
          <w:sz w:val="24"/>
          <w:szCs w:val="24"/>
        </w:rPr>
      </w:pPr>
      <w:r w:rsidRPr="0007730C">
        <w:rPr>
          <w:rFonts w:asciiTheme="majorBidi" w:hAnsiTheme="majorBidi" w:cstheme="majorBidi"/>
          <w:b/>
          <w:bCs/>
          <w:color w:val="000000"/>
          <w:sz w:val="24"/>
          <w:szCs w:val="24"/>
        </w:rPr>
        <w:t>4.4. Density</w:t>
      </w:r>
    </w:p>
    <w:p w14:paraId="2D3579FA" w14:textId="2017E35A" w:rsidR="005F2B11" w:rsidRDefault="00E53C0C" w:rsidP="005F2B11">
      <w:pPr>
        <w:jc w:val="both"/>
        <w:rPr>
          <w:rFonts w:asciiTheme="majorBidi" w:hAnsiTheme="majorBidi" w:cstheme="majorBidi"/>
          <w:sz w:val="24"/>
          <w:szCs w:val="24"/>
        </w:rPr>
      </w:pPr>
      <w:r w:rsidRPr="00E53C0C">
        <w:rPr>
          <w:rFonts w:asciiTheme="majorBidi" w:hAnsiTheme="majorBidi" w:cstheme="majorBidi"/>
          <w:sz w:val="24"/>
          <w:szCs w:val="24"/>
        </w:rPr>
        <w:t>Density is well-established in process design and has several applications. In order to produce accurate equations of state—which are crucial for calculating the thermodynamic properties needed for the development of industrial processes, including gas separation technologies—it is important to include the effects of temperature and pressure on density (PVT behaviours). While some DESs that contain metallic salts, like ZnCl2, have densities between 1.3 and 1.6 g cm-3 at 298.15 K, the majority of well-known DESs have densities between 1.0 and 1.35 g cm-3 [16]. One of a solvent's most significant physical properties is its density. Densities of deep eutectic solvents (DESs) are commonly measured using a specific gravity metre. Deep eutectic solvents (DESs) frequently have densities that are higher than those of water. ZnCl2 and HBD mixtures with densities more than 1.3 g cm3. ZnCl2-acetamide, for instance, has a density of 1.36 g cm3, but ZnCl2-urea has a density of 1.63 g cm3. The density variance could be caused by the variable molecular packing (DESs) in the deep eutectic fluids.</w:t>
      </w:r>
    </w:p>
    <w:p w14:paraId="77953A44" w14:textId="77777777" w:rsidR="005F2B11" w:rsidRPr="0007730C" w:rsidRDefault="005F2B11" w:rsidP="005F2B11">
      <w:pPr>
        <w:jc w:val="both"/>
        <w:rPr>
          <w:rFonts w:asciiTheme="majorBidi" w:hAnsiTheme="majorBidi" w:cstheme="majorBidi"/>
          <w:b/>
          <w:bCs/>
          <w:color w:val="000000"/>
          <w:sz w:val="24"/>
          <w:szCs w:val="24"/>
        </w:rPr>
      </w:pPr>
      <w:r w:rsidRPr="0007730C">
        <w:rPr>
          <w:rFonts w:asciiTheme="majorBidi" w:hAnsiTheme="majorBidi" w:cstheme="majorBidi"/>
          <w:b/>
          <w:bCs/>
          <w:color w:val="000000"/>
          <w:sz w:val="24"/>
          <w:szCs w:val="24"/>
        </w:rPr>
        <w:t xml:space="preserve">4.5 Viscosity </w:t>
      </w:r>
    </w:p>
    <w:p w14:paraId="3E50BD32" w14:textId="692C0D99" w:rsidR="00E53C0C" w:rsidRPr="00E53C0C" w:rsidRDefault="00E53C0C" w:rsidP="00E53C0C">
      <w:pPr>
        <w:widowControl/>
        <w:shd w:val="clear" w:color="auto" w:fill="FFFFFF"/>
        <w:jc w:val="both"/>
        <w:rPr>
          <w:rFonts w:asciiTheme="majorBidi" w:eastAsia="Times New Roman" w:hAnsiTheme="majorBidi" w:cstheme="majorBidi"/>
          <w:color w:val="111111"/>
          <w:sz w:val="24"/>
          <w:szCs w:val="24"/>
          <w:lang w:val="en-IN" w:eastAsia="en-IN" w:bidi="hi-IN"/>
        </w:rPr>
      </w:pPr>
      <w:r w:rsidRPr="00E53C0C">
        <w:rPr>
          <w:rFonts w:asciiTheme="majorBidi" w:eastAsia="Times New Roman" w:hAnsiTheme="majorBidi" w:cstheme="majorBidi"/>
          <w:color w:val="111111"/>
          <w:sz w:val="24"/>
          <w:szCs w:val="24"/>
          <w:lang w:val="en-IN" w:eastAsia="en-IN" w:bidi="hi-IN"/>
        </w:rPr>
        <w:t>The deep eutectic solvents' (DESs) viscosity ought to be taken into account. At ambient temperature, the general public of deep eutectic solvents (DESs) have quite high viscosities (&gt;100 </w:t>
      </w:r>
      <w:proofErr w:type="spellStart"/>
      <w:r w:rsidRPr="00E53C0C">
        <w:rPr>
          <w:rFonts w:asciiTheme="majorBidi" w:eastAsia="Times New Roman" w:hAnsiTheme="majorBidi" w:cstheme="majorBidi"/>
          <w:color w:val="111111"/>
          <w:sz w:val="24"/>
          <w:szCs w:val="24"/>
          <w:lang w:val="en-IN" w:eastAsia="en-IN" w:bidi="hi-IN"/>
        </w:rPr>
        <w:t>cP</w:t>
      </w:r>
      <w:proofErr w:type="spellEnd"/>
      <w:r w:rsidRPr="00E53C0C">
        <w:rPr>
          <w:rFonts w:asciiTheme="majorBidi" w:eastAsia="Times New Roman" w:hAnsiTheme="majorBidi" w:cstheme="majorBidi"/>
          <w:color w:val="111111"/>
          <w:sz w:val="24"/>
          <w:szCs w:val="24"/>
          <w:lang w:val="en-IN" w:eastAsia="en-IN" w:bidi="hi-IN"/>
        </w:rPr>
        <w:t xml:space="preserve">), apart from the eutectic mixture (EM) of </w:t>
      </w:r>
      <w:r>
        <w:rPr>
          <w:rFonts w:asciiTheme="majorBidi" w:eastAsia="Times New Roman" w:hAnsiTheme="majorBidi" w:cstheme="majorBidi"/>
          <w:color w:val="111111"/>
          <w:sz w:val="24"/>
          <w:szCs w:val="24"/>
          <w:lang w:val="en-IN" w:eastAsia="en-IN" w:bidi="hi-IN"/>
        </w:rPr>
        <w:t xml:space="preserve">choline </w:t>
      </w:r>
      <w:r w:rsidRPr="00E53C0C">
        <w:rPr>
          <w:rFonts w:asciiTheme="majorBidi" w:eastAsia="Times New Roman" w:hAnsiTheme="majorBidi" w:cstheme="majorBidi"/>
          <w:color w:val="111111"/>
          <w:sz w:val="24"/>
          <w:szCs w:val="24"/>
          <w:lang w:val="en-IN" w:eastAsia="en-IN" w:bidi="hi-IN"/>
        </w:rPr>
        <w:t>chloride and ethylene glycol (EG). it is often believed that the formation of a dense hydrogen bond community between every aspect is the purpose of the excessive viscosity of deep eutectic solvents (DESs), which reasons a decreased mobility of free species inside the DESs. Deep eutectic solvents (DESs) are characterized by means of massive ion sizes and small void volumes, and their high viscosity will also be a result of electrostatic or van der Waals interactions. The viscosity of eutectic mixtures is prompted with the aid of the sort of ammonium salts and HBDs gift, their molar ratio</w:t>
      </w:r>
      <w:r>
        <w:rPr>
          <w:rFonts w:asciiTheme="majorBidi" w:eastAsia="Times New Roman" w:hAnsiTheme="majorBidi" w:cstheme="majorBidi"/>
          <w:color w:val="111111"/>
          <w:sz w:val="24"/>
          <w:szCs w:val="24"/>
          <w:lang w:val="en-IN" w:eastAsia="en-IN" w:bidi="hi-IN"/>
        </w:rPr>
        <w:t xml:space="preserve"> </w:t>
      </w:r>
      <w:r w:rsidRPr="00E53C0C">
        <w:rPr>
          <w:rFonts w:asciiTheme="majorBidi" w:eastAsia="Times New Roman" w:hAnsiTheme="majorBidi" w:cstheme="majorBidi"/>
          <w:color w:val="111111"/>
          <w:sz w:val="24"/>
          <w:szCs w:val="24"/>
          <w:lang w:val="en-IN" w:eastAsia="en-IN" w:bidi="hi-IN"/>
        </w:rPr>
        <w:t>with natural salts, different chemical homes,</w:t>
      </w:r>
      <w:r>
        <w:rPr>
          <w:rFonts w:asciiTheme="majorBidi" w:eastAsia="Times New Roman" w:hAnsiTheme="majorBidi" w:cstheme="majorBidi"/>
          <w:color w:val="111111"/>
          <w:sz w:val="24"/>
          <w:szCs w:val="24"/>
          <w:lang w:val="en-IN" w:eastAsia="en-IN" w:bidi="hi-IN"/>
        </w:rPr>
        <w:t xml:space="preserve"> </w:t>
      </w:r>
      <w:r w:rsidRPr="00E53C0C">
        <w:rPr>
          <w:rFonts w:asciiTheme="majorBidi" w:eastAsia="Times New Roman" w:hAnsiTheme="majorBidi" w:cstheme="majorBidi"/>
          <w:color w:val="111111"/>
          <w:sz w:val="24"/>
          <w:szCs w:val="24"/>
          <w:lang w:val="en-IN" w:eastAsia="en-IN" w:bidi="hi-IN"/>
        </w:rPr>
        <w:t>temperature, and water content, among other things. Hydrogen bonds, van der Waals interactions, and electrostatic interactions all have an impact on the viscosity of binary eutectic combos. The hydrogen bond donor used determines the viscosity of the choline chloride (</w:t>
      </w:r>
      <w:proofErr w:type="spellStart"/>
      <w:r w:rsidRPr="00E53C0C">
        <w:rPr>
          <w:rFonts w:asciiTheme="majorBidi" w:eastAsia="Times New Roman" w:hAnsiTheme="majorBidi" w:cstheme="majorBidi"/>
          <w:color w:val="111111"/>
          <w:sz w:val="24"/>
          <w:szCs w:val="24"/>
          <w:lang w:val="en-IN" w:eastAsia="en-IN" w:bidi="hi-IN"/>
        </w:rPr>
        <w:t>ChCl</w:t>
      </w:r>
      <w:proofErr w:type="spellEnd"/>
      <w:r w:rsidRPr="00E53C0C">
        <w:rPr>
          <w:rFonts w:asciiTheme="majorBidi" w:eastAsia="Times New Roman" w:hAnsiTheme="majorBidi" w:cstheme="majorBidi"/>
          <w:color w:val="111111"/>
          <w:sz w:val="24"/>
          <w:szCs w:val="24"/>
          <w:lang w:val="en-IN" w:eastAsia="en-IN" w:bidi="hi-IN"/>
        </w:rPr>
        <w:t>)-based totally deep eutectic solvents (DESs) (HBD)</w:t>
      </w:r>
      <w:r>
        <w:rPr>
          <w:rFonts w:asciiTheme="majorBidi" w:eastAsia="Times New Roman" w:hAnsiTheme="majorBidi" w:cstheme="majorBidi"/>
          <w:color w:val="111111"/>
          <w:sz w:val="24"/>
          <w:szCs w:val="24"/>
          <w:lang w:val="en-IN" w:eastAsia="en-IN" w:bidi="hi-IN"/>
        </w:rPr>
        <w:t xml:space="preserve">. </w:t>
      </w:r>
    </w:p>
    <w:p w14:paraId="3ABE2456" w14:textId="77777777" w:rsidR="005F2B11" w:rsidRPr="0007730C" w:rsidRDefault="005F2B11" w:rsidP="005F2B11">
      <w:pPr>
        <w:jc w:val="both"/>
        <w:rPr>
          <w:rFonts w:asciiTheme="majorBidi" w:hAnsiTheme="majorBidi" w:cstheme="majorBidi"/>
          <w:b/>
          <w:bCs/>
          <w:color w:val="000000"/>
          <w:sz w:val="24"/>
          <w:szCs w:val="24"/>
        </w:rPr>
      </w:pPr>
      <w:r w:rsidRPr="0007730C">
        <w:rPr>
          <w:rFonts w:asciiTheme="majorBidi" w:hAnsiTheme="majorBidi" w:cstheme="majorBidi"/>
          <w:b/>
          <w:bCs/>
          <w:color w:val="000000"/>
          <w:sz w:val="24"/>
          <w:szCs w:val="24"/>
        </w:rPr>
        <w:t xml:space="preserve">4.6 </w:t>
      </w:r>
      <w:r>
        <w:rPr>
          <w:rFonts w:asciiTheme="majorBidi" w:hAnsiTheme="majorBidi" w:cstheme="majorBidi"/>
          <w:b/>
          <w:bCs/>
          <w:color w:val="000000"/>
          <w:sz w:val="24"/>
          <w:szCs w:val="24"/>
        </w:rPr>
        <w:t>I</w:t>
      </w:r>
      <w:r w:rsidRPr="0007730C">
        <w:rPr>
          <w:rFonts w:asciiTheme="majorBidi" w:hAnsiTheme="majorBidi" w:cstheme="majorBidi"/>
          <w:b/>
          <w:bCs/>
          <w:color w:val="000000"/>
          <w:sz w:val="24"/>
          <w:szCs w:val="24"/>
        </w:rPr>
        <w:t xml:space="preserve">onic conductivity </w:t>
      </w:r>
    </w:p>
    <w:p w14:paraId="2B84C0D3" w14:textId="5F1D0091" w:rsidR="005F2B11" w:rsidRPr="004341EB" w:rsidRDefault="00AF3460" w:rsidP="005F2B11">
      <w:pPr>
        <w:spacing w:line="276" w:lineRule="auto"/>
        <w:jc w:val="both"/>
        <w:rPr>
          <w:rFonts w:asciiTheme="majorBidi" w:hAnsiTheme="majorBidi" w:cstheme="majorBidi"/>
          <w:sz w:val="24"/>
          <w:szCs w:val="24"/>
        </w:rPr>
      </w:pPr>
      <w:r w:rsidRPr="00AF3460">
        <w:rPr>
          <w:rFonts w:asciiTheme="majorBidi" w:hAnsiTheme="majorBidi" w:cstheme="majorBidi"/>
          <w:sz w:val="24"/>
          <w:szCs w:val="24"/>
        </w:rPr>
        <w:t xml:space="preserve">Since their viscosities are quite high (less than 2 mS cm-1 at ambient temperature), the majority of DESs have poor ionic conductivities. Vessel viscosity increases with decreasing conductivity. Because of the decrease in viscosity, DESs often exhibit increased conductivities with increasing temperature. Given their significant influence on DES viscosities, changes in the organic salt/HBD molar ratio also evidently have a significant impact on DES conductivities </w:t>
      </w:r>
      <w:r w:rsidR="005F2B11" w:rsidRPr="004341EB">
        <w:rPr>
          <w:rFonts w:asciiTheme="majorBidi" w:hAnsiTheme="majorBidi" w:cstheme="majorBidi"/>
          <w:sz w:val="24"/>
          <w:szCs w:val="24"/>
        </w:rPr>
        <w:t>[17].</w:t>
      </w:r>
    </w:p>
    <w:p w14:paraId="1EE6205E"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4341EB">
        <w:rPr>
          <w:rFonts w:asciiTheme="majorBidi" w:hAnsiTheme="majorBidi" w:cstheme="majorBidi"/>
          <w:sz w:val="24"/>
          <w:szCs w:val="24"/>
        </w:rPr>
        <w:t>Table 1 lists the several deep eutectic's freezing points. [Refs. 7]</w:t>
      </w:r>
    </w:p>
    <w:tbl>
      <w:tblPr>
        <w:tblStyle w:val="TableGrid"/>
        <w:tblW w:w="0" w:type="auto"/>
        <w:tblLook w:val="04A0" w:firstRow="1" w:lastRow="0" w:firstColumn="1" w:lastColumn="0" w:noHBand="0" w:noVBand="1"/>
      </w:tblPr>
      <w:tblGrid>
        <w:gridCol w:w="9741"/>
      </w:tblGrid>
      <w:tr w:rsidR="005F2B11" w14:paraId="14D5B4CB" w14:textId="77777777" w:rsidTr="00FE4C9D">
        <w:tc>
          <w:tcPr>
            <w:tcW w:w="9741" w:type="dxa"/>
          </w:tcPr>
          <w:tbl>
            <w:tblPr>
              <w:tblW w:w="9525" w:type="dxa"/>
              <w:tblBorders>
                <w:top w:val="single" w:sz="4" w:space="0" w:color="auto"/>
                <w:bottom w:val="single" w:sz="4" w:space="0" w:color="auto"/>
              </w:tblBorders>
              <w:tblLook w:val="04A0" w:firstRow="1" w:lastRow="0" w:firstColumn="1" w:lastColumn="0" w:noHBand="0" w:noVBand="1"/>
            </w:tblPr>
            <w:tblGrid>
              <w:gridCol w:w="2386"/>
              <w:gridCol w:w="1069"/>
              <w:gridCol w:w="2162"/>
              <w:gridCol w:w="907"/>
              <w:gridCol w:w="2093"/>
              <w:gridCol w:w="908"/>
            </w:tblGrid>
            <w:tr w:rsidR="005F2B11" w:rsidRPr="00D82C8D" w14:paraId="7B775812" w14:textId="77777777" w:rsidTr="00FE4C9D">
              <w:trPr>
                <w:trHeight w:val="300"/>
              </w:trPr>
              <w:tc>
                <w:tcPr>
                  <w:tcW w:w="2386" w:type="dxa"/>
                  <w:tcBorders>
                    <w:top w:val="single" w:sz="4" w:space="0" w:color="auto"/>
                    <w:bottom w:val="single" w:sz="4" w:space="0" w:color="auto"/>
                  </w:tcBorders>
                  <w:shd w:val="clear" w:color="000000" w:fill="FFFFFF"/>
                  <w:noWrap/>
                  <w:vAlign w:val="center"/>
                  <w:hideMark/>
                </w:tcPr>
                <w:p w14:paraId="7D747516" w14:textId="77777777" w:rsidR="005F2B11" w:rsidRPr="00D82C8D" w:rsidRDefault="005F2B11" w:rsidP="00FE4C9D">
                  <w:pPr>
                    <w:spacing w:line="276" w:lineRule="auto"/>
                    <w:jc w:val="both"/>
                    <w:rPr>
                      <w:rFonts w:asciiTheme="majorBidi" w:hAnsiTheme="majorBidi" w:cstheme="majorBidi"/>
                      <w:b/>
                      <w:bCs/>
                      <w:sz w:val="24"/>
                      <w:szCs w:val="24"/>
                      <w:lang w:eastAsia="en-IN"/>
                    </w:rPr>
                  </w:pPr>
                  <w:r w:rsidRPr="00D82C8D">
                    <w:rPr>
                      <w:rFonts w:asciiTheme="majorBidi" w:hAnsiTheme="majorBidi" w:cstheme="majorBidi"/>
                      <w:b/>
                      <w:bCs/>
                      <w:sz w:val="24"/>
                      <w:szCs w:val="24"/>
                    </w:rPr>
                    <w:t>Halide salt</w:t>
                  </w:r>
                </w:p>
              </w:tc>
              <w:tc>
                <w:tcPr>
                  <w:tcW w:w="1069" w:type="dxa"/>
                  <w:tcBorders>
                    <w:top w:val="single" w:sz="4" w:space="0" w:color="auto"/>
                    <w:bottom w:val="single" w:sz="4" w:space="0" w:color="auto"/>
                  </w:tcBorders>
                  <w:shd w:val="clear" w:color="000000" w:fill="FFFFFF"/>
                  <w:noWrap/>
                  <w:vAlign w:val="center"/>
                  <w:hideMark/>
                </w:tcPr>
                <w:p w14:paraId="77BCBD02" w14:textId="77777777" w:rsidR="005F2B11" w:rsidRPr="00D82C8D" w:rsidRDefault="005F2B11" w:rsidP="00FE4C9D">
                  <w:pPr>
                    <w:spacing w:line="276" w:lineRule="auto"/>
                    <w:jc w:val="both"/>
                    <w:rPr>
                      <w:rFonts w:asciiTheme="majorBidi" w:hAnsiTheme="majorBidi" w:cstheme="majorBidi"/>
                      <w:b/>
                      <w:bCs/>
                      <w:sz w:val="24"/>
                      <w:szCs w:val="24"/>
                    </w:rPr>
                  </w:pPr>
                  <w:proofErr w:type="spellStart"/>
                  <w:r w:rsidRPr="00D82C8D">
                    <w:rPr>
                      <w:rFonts w:asciiTheme="majorBidi" w:hAnsiTheme="majorBidi" w:cstheme="majorBidi"/>
                      <w:b/>
                      <w:bCs/>
                      <w:sz w:val="24"/>
                      <w:szCs w:val="24"/>
                    </w:rPr>
                    <w:t>mp</w:t>
                  </w:r>
                  <w:proofErr w:type="spellEnd"/>
                  <w:r w:rsidRPr="00D82C8D">
                    <w:rPr>
                      <w:rFonts w:asciiTheme="majorBidi" w:hAnsiTheme="majorBidi" w:cstheme="majorBidi"/>
                      <w:b/>
                      <w:bCs/>
                      <w:sz w:val="24"/>
                      <w:szCs w:val="24"/>
                    </w:rPr>
                    <w:t>/</w:t>
                  </w:r>
                  <w:r w:rsidRPr="00D82C8D">
                    <w:rPr>
                      <w:rFonts w:asciiTheme="majorBidi" w:hAnsiTheme="majorBidi" w:cstheme="majorBidi"/>
                      <w:b/>
                      <w:bCs/>
                      <w:sz w:val="24"/>
                      <w:szCs w:val="24"/>
                      <w:vertAlign w:val="superscript"/>
                    </w:rPr>
                    <w:t>0</w:t>
                  </w:r>
                  <w:r w:rsidRPr="00D82C8D">
                    <w:rPr>
                      <w:rFonts w:asciiTheme="majorBidi" w:hAnsiTheme="majorBidi" w:cstheme="majorBidi"/>
                      <w:b/>
                      <w:bCs/>
                      <w:sz w:val="24"/>
                      <w:szCs w:val="24"/>
                    </w:rPr>
                    <w:t>C</w:t>
                  </w:r>
                </w:p>
              </w:tc>
              <w:tc>
                <w:tcPr>
                  <w:tcW w:w="2162" w:type="dxa"/>
                  <w:tcBorders>
                    <w:top w:val="single" w:sz="4" w:space="0" w:color="auto"/>
                    <w:bottom w:val="single" w:sz="4" w:space="0" w:color="auto"/>
                  </w:tcBorders>
                  <w:shd w:val="clear" w:color="000000" w:fill="FFFFFF"/>
                  <w:noWrap/>
                  <w:vAlign w:val="center"/>
                  <w:hideMark/>
                </w:tcPr>
                <w:p w14:paraId="1EABE4D9" w14:textId="77777777" w:rsidR="005F2B11" w:rsidRPr="00D82C8D" w:rsidRDefault="005F2B11" w:rsidP="00FE4C9D">
                  <w:pPr>
                    <w:spacing w:line="276" w:lineRule="auto"/>
                    <w:jc w:val="both"/>
                    <w:rPr>
                      <w:rFonts w:asciiTheme="majorBidi" w:hAnsiTheme="majorBidi" w:cstheme="majorBidi"/>
                      <w:b/>
                      <w:bCs/>
                      <w:sz w:val="24"/>
                      <w:szCs w:val="24"/>
                    </w:rPr>
                  </w:pPr>
                  <w:r w:rsidRPr="00D82C8D">
                    <w:rPr>
                      <w:rFonts w:asciiTheme="majorBidi" w:hAnsiTheme="majorBidi" w:cstheme="majorBidi"/>
                      <w:b/>
                      <w:bCs/>
                      <w:sz w:val="24"/>
                      <w:szCs w:val="24"/>
                    </w:rPr>
                    <w:t>Hydrogen bond donor (HBD)</w:t>
                  </w:r>
                </w:p>
              </w:tc>
              <w:tc>
                <w:tcPr>
                  <w:tcW w:w="907" w:type="dxa"/>
                  <w:tcBorders>
                    <w:top w:val="single" w:sz="4" w:space="0" w:color="auto"/>
                    <w:bottom w:val="single" w:sz="4" w:space="0" w:color="auto"/>
                  </w:tcBorders>
                  <w:shd w:val="clear" w:color="000000" w:fill="FFFFFF"/>
                  <w:noWrap/>
                  <w:vAlign w:val="center"/>
                  <w:hideMark/>
                </w:tcPr>
                <w:p w14:paraId="43771AB2" w14:textId="77777777" w:rsidR="005F2B11" w:rsidRPr="00D82C8D" w:rsidRDefault="005F2B11" w:rsidP="00FE4C9D">
                  <w:pPr>
                    <w:spacing w:line="276" w:lineRule="auto"/>
                    <w:jc w:val="both"/>
                    <w:rPr>
                      <w:rFonts w:asciiTheme="majorBidi" w:hAnsiTheme="majorBidi" w:cstheme="majorBidi"/>
                      <w:b/>
                      <w:bCs/>
                      <w:sz w:val="24"/>
                      <w:szCs w:val="24"/>
                    </w:rPr>
                  </w:pPr>
                  <w:proofErr w:type="spellStart"/>
                  <w:r w:rsidRPr="00D82C8D">
                    <w:rPr>
                      <w:rFonts w:asciiTheme="majorBidi" w:hAnsiTheme="majorBidi" w:cstheme="majorBidi"/>
                      <w:b/>
                      <w:bCs/>
                      <w:sz w:val="24"/>
                      <w:szCs w:val="24"/>
                    </w:rPr>
                    <w:t>mp</w:t>
                  </w:r>
                  <w:proofErr w:type="spellEnd"/>
                  <w:r w:rsidRPr="00D82C8D">
                    <w:rPr>
                      <w:rFonts w:asciiTheme="majorBidi" w:hAnsiTheme="majorBidi" w:cstheme="majorBidi"/>
                      <w:b/>
                      <w:bCs/>
                      <w:sz w:val="24"/>
                      <w:szCs w:val="24"/>
                    </w:rPr>
                    <w:t>/</w:t>
                  </w:r>
                  <w:r w:rsidRPr="00D82C8D">
                    <w:rPr>
                      <w:rFonts w:asciiTheme="majorBidi" w:hAnsiTheme="majorBidi" w:cstheme="majorBidi"/>
                      <w:b/>
                      <w:bCs/>
                      <w:sz w:val="24"/>
                      <w:szCs w:val="24"/>
                      <w:vertAlign w:val="superscript"/>
                    </w:rPr>
                    <w:t>0</w:t>
                  </w:r>
                  <w:r w:rsidRPr="00D82C8D">
                    <w:rPr>
                      <w:rFonts w:asciiTheme="majorBidi" w:hAnsiTheme="majorBidi" w:cstheme="majorBidi"/>
                      <w:b/>
                      <w:bCs/>
                      <w:sz w:val="24"/>
                      <w:szCs w:val="24"/>
                    </w:rPr>
                    <w:t>C</w:t>
                  </w:r>
                </w:p>
              </w:tc>
              <w:tc>
                <w:tcPr>
                  <w:tcW w:w="2093" w:type="dxa"/>
                  <w:tcBorders>
                    <w:top w:val="single" w:sz="4" w:space="0" w:color="auto"/>
                    <w:bottom w:val="single" w:sz="4" w:space="0" w:color="auto"/>
                  </w:tcBorders>
                  <w:shd w:val="clear" w:color="000000" w:fill="FFFFFF"/>
                  <w:noWrap/>
                  <w:vAlign w:val="center"/>
                  <w:hideMark/>
                </w:tcPr>
                <w:p w14:paraId="4B47EB8A" w14:textId="77777777" w:rsidR="005F2B11" w:rsidRPr="00D82C8D" w:rsidRDefault="005F2B11" w:rsidP="00FE4C9D">
                  <w:pPr>
                    <w:spacing w:line="276" w:lineRule="auto"/>
                    <w:jc w:val="both"/>
                    <w:rPr>
                      <w:rFonts w:asciiTheme="majorBidi" w:hAnsiTheme="majorBidi" w:cstheme="majorBidi"/>
                      <w:b/>
                      <w:bCs/>
                      <w:sz w:val="24"/>
                      <w:szCs w:val="24"/>
                    </w:rPr>
                  </w:pPr>
                  <w:r w:rsidRPr="00D82C8D">
                    <w:rPr>
                      <w:rFonts w:asciiTheme="majorBidi" w:hAnsiTheme="majorBidi" w:cstheme="majorBidi"/>
                      <w:b/>
                      <w:bCs/>
                      <w:sz w:val="24"/>
                      <w:szCs w:val="24"/>
                    </w:rPr>
                    <w:t>Salt: HBD (Molar Ratio)</w:t>
                  </w:r>
                </w:p>
              </w:tc>
              <w:tc>
                <w:tcPr>
                  <w:tcW w:w="908" w:type="dxa"/>
                  <w:tcBorders>
                    <w:top w:val="single" w:sz="4" w:space="0" w:color="auto"/>
                    <w:bottom w:val="single" w:sz="4" w:space="0" w:color="auto"/>
                  </w:tcBorders>
                  <w:shd w:val="clear" w:color="000000" w:fill="FFFFFF"/>
                  <w:noWrap/>
                  <w:vAlign w:val="center"/>
                  <w:hideMark/>
                </w:tcPr>
                <w:p w14:paraId="2123F4E9" w14:textId="77777777" w:rsidR="005F2B11" w:rsidRPr="00D82C8D" w:rsidRDefault="005F2B11" w:rsidP="00FE4C9D">
                  <w:pPr>
                    <w:spacing w:line="276" w:lineRule="auto"/>
                    <w:ind w:right="-134"/>
                    <w:jc w:val="both"/>
                    <w:rPr>
                      <w:rFonts w:asciiTheme="majorBidi" w:hAnsiTheme="majorBidi" w:cstheme="majorBidi"/>
                      <w:b/>
                      <w:bCs/>
                      <w:sz w:val="24"/>
                      <w:szCs w:val="24"/>
                    </w:rPr>
                  </w:pPr>
                  <w:r w:rsidRPr="00D82C8D">
                    <w:rPr>
                      <w:rFonts w:asciiTheme="majorBidi" w:hAnsiTheme="majorBidi" w:cstheme="majorBidi"/>
                      <w:b/>
                      <w:bCs/>
                      <w:sz w:val="24"/>
                      <w:szCs w:val="24"/>
                    </w:rPr>
                    <w:t xml:space="preserve">DES </w:t>
                  </w:r>
                  <w:proofErr w:type="spellStart"/>
                  <w:r w:rsidRPr="00D82C8D">
                    <w:rPr>
                      <w:rFonts w:asciiTheme="majorBidi" w:hAnsiTheme="majorBidi" w:cstheme="majorBidi"/>
                      <w:b/>
                      <w:bCs/>
                      <w:sz w:val="24"/>
                      <w:szCs w:val="24"/>
                    </w:rPr>
                    <w:t>T</w:t>
                  </w:r>
                  <w:r w:rsidRPr="00D82C8D">
                    <w:rPr>
                      <w:rFonts w:asciiTheme="majorBidi" w:hAnsiTheme="majorBidi" w:cstheme="majorBidi"/>
                      <w:b/>
                      <w:bCs/>
                      <w:sz w:val="24"/>
                      <w:szCs w:val="24"/>
                      <w:vertAlign w:val="subscript"/>
                    </w:rPr>
                    <w:t>f</w:t>
                  </w:r>
                  <w:proofErr w:type="spellEnd"/>
                  <w:r w:rsidRPr="00D82C8D">
                    <w:rPr>
                      <w:rFonts w:asciiTheme="majorBidi" w:hAnsiTheme="majorBidi" w:cstheme="majorBidi"/>
                      <w:b/>
                      <w:bCs/>
                      <w:sz w:val="24"/>
                      <w:szCs w:val="24"/>
                      <w:vertAlign w:val="subscript"/>
                    </w:rPr>
                    <w:t>/</w:t>
                  </w:r>
                  <w:r w:rsidRPr="00D82C8D">
                    <w:rPr>
                      <w:rFonts w:asciiTheme="majorBidi" w:hAnsiTheme="majorBidi" w:cstheme="majorBidi"/>
                      <w:b/>
                      <w:bCs/>
                      <w:sz w:val="24"/>
                      <w:szCs w:val="24"/>
                      <w:vertAlign w:val="superscript"/>
                    </w:rPr>
                    <w:t>0</w:t>
                  </w:r>
                  <w:r w:rsidRPr="00D82C8D">
                    <w:rPr>
                      <w:rFonts w:asciiTheme="majorBidi" w:hAnsiTheme="majorBidi" w:cstheme="majorBidi"/>
                      <w:b/>
                      <w:bCs/>
                      <w:sz w:val="24"/>
                      <w:szCs w:val="24"/>
                    </w:rPr>
                    <w:t>C</w:t>
                  </w:r>
                </w:p>
              </w:tc>
            </w:tr>
            <w:tr w:rsidR="005F2B11" w:rsidRPr="00D82C8D" w14:paraId="068FF8CF" w14:textId="77777777" w:rsidTr="00FE4C9D">
              <w:trPr>
                <w:trHeight w:val="300"/>
              </w:trPr>
              <w:tc>
                <w:tcPr>
                  <w:tcW w:w="2386" w:type="dxa"/>
                  <w:tcBorders>
                    <w:top w:val="single" w:sz="4" w:space="0" w:color="auto"/>
                  </w:tcBorders>
                  <w:shd w:val="clear" w:color="000000" w:fill="FFFFFF"/>
                  <w:noWrap/>
                  <w:vAlign w:val="center"/>
                </w:tcPr>
                <w:p w14:paraId="2C7AAB0B" w14:textId="77777777" w:rsidR="005F2B11" w:rsidRPr="00D82C8D" w:rsidRDefault="005F2B11" w:rsidP="00FE4C9D">
                  <w:pPr>
                    <w:spacing w:line="276" w:lineRule="auto"/>
                    <w:jc w:val="both"/>
                    <w:rPr>
                      <w:rFonts w:asciiTheme="majorBidi" w:hAnsiTheme="majorBidi" w:cstheme="majorBidi"/>
                      <w:b/>
                      <w:bCs/>
                      <w:sz w:val="24"/>
                      <w:szCs w:val="24"/>
                      <w:u w:val="double"/>
                    </w:rPr>
                  </w:pPr>
                </w:p>
              </w:tc>
              <w:tc>
                <w:tcPr>
                  <w:tcW w:w="1069" w:type="dxa"/>
                  <w:tcBorders>
                    <w:top w:val="single" w:sz="4" w:space="0" w:color="auto"/>
                  </w:tcBorders>
                  <w:shd w:val="clear" w:color="000000" w:fill="FFFFFF"/>
                  <w:noWrap/>
                  <w:vAlign w:val="center"/>
                </w:tcPr>
                <w:p w14:paraId="79008C40" w14:textId="77777777" w:rsidR="005F2B11" w:rsidRPr="00D82C8D" w:rsidRDefault="005F2B11" w:rsidP="00FE4C9D">
                  <w:pPr>
                    <w:spacing w:line="276" w:lineRule="auto"/>
                    <w:jc w:val="both"/>
                    <w:rPr>
                      <w:rFonts w:asciiTheme="majorBidi" w:hAnsiTheme="majorBidi" w:cstheme="majorBidi"/>
                      <w:b/>
                      <w:bCs/>
                      <w:sz w:val="24"/>
                      <w:szCs w:val="24"/>
                      <w:u w:val="double"/>
                    </w:rPr>
                  </w:pPr>
                </w:p>
              </w:tc>
              <w:tc>
                <w:tcPr>
                  <w:tcW w:w="2162" w:type="dxa"/>
                  <w:tcBorders>
                    <w:top w:val="single" w:sz="4" w:space="0" w:color="auto"/>
                  </w:tcBorders>
                  <w:shd w:val="clear" w:color="000000" w:fill="FFFFFF"/>
                  <w:noWrap/>
                  <w:vAlign w:val="center"/>
                </w:tcPr>
                <w:p w14:paraId="2511697D" w14:textId="77777777" w:rsidR="005F2B11" w:rsidRPr="00D82C8D" w:rsidRDefault="005F2B11" w:rsidP="00FE4C9D">
                  <w:pPr>
                    <w:spacing w:line="276" w:lineRule="auto"/>
                    <w:jc w:val="both"/>
                    <w:rPr>
                      <w:rFonts w:asciiTheme="majorBidi" w:hAnsiTheme="majorBidi" w:cstheme="majorBidi"/>
                      <w:b/>
                      <w:bCs/>
                      <w:sz w:val="24"/>
                      <w:szCs w:val="24"/>
                      <w:u w:val="double"/>
                    </w:rPr>
                  </w:pPr>
                </w:p>
              </w:tc>
              <w:tc>
                <w:tcPr>
                  <w:tcW w:w="907" w:type="dxa"/>
                  <w:tcBorders>
                    <w:top w:val="single" w:sz="4" w:space="0" w:color="auto"/>
                  </w:tcBorders>
                  <w:shd w:val="clear" w:color="000000" w:fill="FFFFFF"/>
                  <w:noWrap/>
                  <w:vAlign w:val="center"/>
                </w:tcPr>
                <w:p w14:paraId="2808AC2A" w14:textId="77777777" w:rsidR="005F2B11" w:rsidRPr="00D82C8D" w:rsidRDefault="005F2B11" w:rsidP="00FE4C9D">
                  <w:pPr>
                    <w:spacing w:line="276" w:lineRule="auto"/>
                    <w:jc w:val="both"/>
                    <w:rPr>
                      <w:rFonts w:asciiTheme="majorBidi" w:hAnsiTheme="majorBidi" w:cstheme="majorBidi"/>
                      <w:b/>
                      <w:bCs/>
                      <w:sz w:val="24"/>
                      <w:szCs w:val="24"/>
                      <w:u w:val="double"/>
                    </w:rPr>
                  </w:pPr>
                </w:p>
              </w:tc>
              <w:tc>
                <w:tcPr>
                  <w:tcW w:w="2093" w:type="dxa"/>
                  <w:tcBorders>
                    <w:top w:val="single" w:sz="4" w:space="0" w:color="auto"/>
                  </w:tcBorders>
                  <w:shd w:val="clear" w:color="000000" w:fill="FFFFFF"/>
                  <w:noWrap/>
                  <w:vAlign w:val="center"/>
                </w:tcPr>
                <w:p w14:paraId="6FC1933C" w14:textId="77777777" w:rsidR="005F2B11" w:rsidRPr="00D82C8D" w:rsidRDefault="005F2B11" w:rsidP="00FE4C9D">
                  <w:pPr>
                    <w:spacing w:line="276" w:lineRule="auto"/>
                    <w:jc w:val="both"/>
                    <w:rPr>
                      <w:rFonts w:asciiTheme="majorBidi" w:hAnsiTheme="majorBidi" w:cstheme="majorBidi"/>
                      <w:b/>
                      <w:bCs/>
                      <w:sz w:val="24"/>
                      <w:szCs w:val="24"/>
                      <w:u w:val="double"/>
                    </w:rPr>
                  </w:pPr>
                </w:p>
              </w:tc>
              <w:tc>
                <w:tcPr>
                  <w:tcW w:w="908" w:type="dxa"/>
                  <w:tcBorders>
                    <w:top w:val="single" w:sz="4" w:space="0" w:color="auto"/>
                  </w:tcBorders>
                  <w:shd w:val="clear" w:color="000000" w:fill="FFFFFF"/>
                  <w:noWrap/>
                  <w:vAlign w:val="center"/>
                </w:tcPr>
                <w:p w14:paraId="703A45AD" w14:textId="77777777" w:rsidR="005F2B11" w:rsidRPr="00D82C8D" w:rsidRDefault="005F2B11" w:rsidP="00FE4C9D">
                  <w:pPr>
                    <w:spacing w:line="276" w:lineRule="auto"/>
                    <w:ind w:right="-134"/>
                    <w:jc w:val="both"/>
                    <w:rPr>
                      <w:rFonts w:asciiTheme="majorBidi" w:hAnsiTheme="majorBidi" w:cstheme="majorBidi"/>
                      <w:b/>
                      <w:bCs/>
                      <w:sz w:val="24"/>
                      <w:szCs w:val="24"/>
                      <w:u w:val="double"/>
                    </w:rPr>
                  </w:pPr>
                </w:p>
              </w:tc>
            </w:tr>
            <w:tr w:rsidR="005F2B11" w:rsidRPr="00D82C8D" w14:paraId="5504391A" w14:textId="77777777" w:rsidTr="00FE4C9D">
              <w:trPr>
                <w:trHeight w:val="300"/>
              </w:trPr>
              <w:tc>
                <w:tcPr>
                  <w:tcW w:w="2386" w:type="dxa"/>
                  <w:shd w:val="clear" w:color="auto" w:fill="auto"/>
                  <w:noWrap/>
                  <w:vAlign w:val="center"/>
                  <w:hideMark/>
                </w:tcPr>
                <w:p w14:paraId="5C48D385" w14:textId="77777777" w:rsidR="005F2B11" w:rsidRPr="00D82C8D" w:rsidRDefault="005F2B11" w:rsidP="00FE4C9D">
                  <w:pPr>
                    <w:spacing w:line="276" w:lineRule="auto"/>
                    <w:jc w:val="both"/>
                    <w:rPr>
                      <w:rFonts w:asciiTheme="majorBidi" w:hAnsiTheme="majorBidi" w:cstheme="majorBidi"/>
                      <w:color w:val="000000"/>
                      <w:sz w:val="24"/>
                      <w:szCs w:val="24"/>
                    </w:rPr>
                  </w:pPr>
                  <w:proofErr w:type="spellStart"/>
                  <w:proofErr w:type="gramStart"/>
                  <w:r w:rsidRPr="00D82C8D">
                    <w:rPr>
                      <w:rFonts w:asciiTheme="majorBidi" w:hAnsiTheme="majorBidi" w:cstheme="majorBidi"/>
                      <w:color w:val="000000"/>
                      <w:sz w:val="24"/>
                      <w:szCs w:val="24"/>
                    </w:rPr>
                    <w:t>Choline</w:t>
                  </w:r>
                  <w:r>
                    <w:rPr>
                      <w:rFonts w:asciiTheme="majorBidi" w:hAnsiTheme="majorBidi" w:cstheme="majorBidi"/>
                      <w:color w:val="000000"/>
                      <w:sz w:val="24"/>
                      <w:szCs w:val="24"/>
                    </w:rPr>
                    <w:t>,</w:t>
                  </w:r>
                  <w:r w:rsidRPr="00D82C8D">
                    <w:rPr>
                      <w:rFonts w:asciiTheme="majorBidi" w:hAnsiTheme="majorBidi" w:cstheme="majorBidi"/>
                      <w:color w:val="000000"/>
                      <w:sz w:val="24"/>
                      <w:szCs w:val="24"/>
                    </w:rPr>
                    <w:t>Chloride</w:t>
                  </w:r>
                  <w:proofErr w:type="spellEnd"/>
                  <w:proofErr w:type="gramEnd"/>
                  <w:r w:rsidRPr="00D82C8D">
                    <w:rPr>
                      <w:rFonts w:asciiTheme="majorBidi" w:hAnsiTheme="majorBidi" w:cstheme="majorBidi"/>
                      <w:color w:val="000000"/>
                      <w:sz w:val="24"/>
                      <w:szCs w:val="24"/>
                    </w:rPr>
                    <w:t xml:space="preserve"> (</w:t>
                  </w:r>
                  <w:proofErr w:type="spellStart"/>
                  <w:r w:rsidRPr="00D82C8D">
                    <w:rPr>
                      <w:rFonts w:asciiTheme="majorBidi" w:hAnsiTheme="majorBidi" w:cstheme="majorBidi"/>
                      <w:color w:val="000000"/>
                      <w:sz w:val="24"/>
                      <w:szCs w:val="24"/>
                    </w:rPr>
                    <w:t>ChCl</w:t>
                  </w:r>
                  <w:proofErr w:type="spellEnd"/>
                  <w:r w:rsidRPr="00D82C8D">
                    <w:rPr>
                      <w:rFonts w:asciiTheme="majorBidi" w:hAnsiTheme="majorBidi" w:cstheme="majorBidi"/>
                      <w:color w:val="000000"/>
                      <w:sz w:val="24"/>
                      <w:szCs w:val="24"/>
                    </w:rPr>
                    <w:t>)</w:t>
                  </w:r>
                </w:p>
              </w:tc>
              <w:tc>
                <w:tcPr>
                  <w:tcW w:w="1069" w:type="dxa"/>
                  <w:shd w:val="clear" w:color="auto" w:fill="auto"/>
                  <w:noWrap/>
                  <w:vAlign w:val="center"/>
                  <w:hideMark/>
                </w:tcPr>
                <w:p w14:paraId="70E7899A"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303</w:t>
                  </w:r>
                </w:p>
              </w:tc>
              <w:tc>
                <w:tcPr>
                  <w:tcW w:w="2162" w:type="dxa"/>
                  <w:shd w:val="clear" w:color="auto" w:fill="auto"/>
                  <w:noWrap/>
                  <w:vAlign w:val="center"/>
                  <w:hideMark/>
                </w:tcPr>
                <w:p w14:paraId="7D96D58C"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Urea</w:t>
                  </w:r>
                </w:p>
              </w:tc>
              <w:tc>
                <w:tcPr>
                  <w:tcW w:w="907" w:type="dxa"/>
                  <w:shd w:val="clear" w:color="auto" w:fill="auto"/>
                  <w:noWrap/>
                  <w:vAlign w:val="center"/>
                  <w:hideMark/>
                </w:tcPr>
                <w:p w14:paraId="1E8B5EC3"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134</w:t>
                  </w:r>
                </w:p>
              </w:tc>
              <w:tc>
                <w:tcPr>
                  <w:tcW w:w="2093" w:type="dxa"/>
                  <w:shd w:val="clear" w:color="auto" w:fill="auto"/>
                  <w:noWrap/>
                  <w:vAlign w:val="center"/>
                  <w:hideMark/>
                </w:tcPr>
                <w:p w14:paraId="63BF1EE7"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01:02</w:t>
                  </w:r>
                </w:p>
              </w:tc>
              <w:tc>
                <w:tcPr>
                  <w:tcW w:w="908" w:type="dxa"/>
                  <w:shd w:val="clear" w:color="auto" w:fill="auto"/>
                  <w:noWrap/>
                  <w:vAlign w:val="center"/>
                  <w:hideMark/>
                </w:tcPr>
                <w:p w14:paraId="3611695F"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12</w:t>
                  </w:r>
                </w:p>
              </w:tc>
            </w:tr>
            <w:tr w:rsidR="005F2B11" w:rsidRPr="00D82C8D" w14:paraId="6CC38E18" w14:textId="77777777" w:rsidTr="00FE4C9D">
              <w:trPr>
                <w:trHeight w:val="300"/>
              </w:trPr>
              <w:tc>
                <w:tcPr>
                  <w:tcW w:w="2386" w:type="dxa"/>
                  <w:shd w:val="clear" w:color="auto" w:fill="auto"/>
                  <w:noWrap/>
                  <w:vAlign w:val="center"/>
                  <w:hideMark/>
                </w:tcPr>
                <w:p w14:paraId="1E0F8140" w14:textId="77777777" w:rsidR="005F2B11" w:rsidRPr="00D82C8D" w:rsidRDefault="005F2B11" w:rsidP="00FE4C9D">
                  <w:pPr>
                    <w:spacing w:line="276" w:lineRule="auto"/>
                    <w:jc w:val="both"/>
                    <w:rPr>
                      <w:rFonts w:asciiTheme="majorBidi" w:hAnsiTheme="majorBidi" w:cstheme="majorBidi"/>
                      <w:color w:val="000000"/>
                      <w:sz w:val="24"/>
                      <w:szCs w:val="24"/>
                    </w:rPr>
                  </w:pPr>
                  <w:proofErr w:type="spellStart"/>
                  <w:proofErr w:type="gramStart"/>
                  <w:r w:rsidRPr="00D82C8D">
                    <w:rPr>
                      <w:rFonts w:asciiTheme="majorBidi" w:hAnsiTheme="majorBidi" w:cstheme="majorBidi"/>
                      <w:color w:val="000000"/>
                      <w:sz w:val="24"/>
                      <w:szCs w:val="24"/>
                    </w:rPr>
                    <w:t>Choline</w:t>
                  </w:r>
                  <w:r>
                    <w:rPr>
                      <w:rFonts w:asciiTheme="majorBidi" w:hAnsiTheme="majorBidi" w:cstheme="majorBidi"/>
                      <w:color w:val="000000"/>
                      <w:sz w:val="24"/>
                      <w:szCs w:val="24"/>
                    </w:rPr>
                    <w:t>,</w:t>
                  </w:r>
                  <w:r w:rsidRPr="00D82C8D">
                    <w:rPr>
                      <w:rFonts w:asciiTheme="majorBidi" w:hAnsiTheme="majorBidi" w:cstheme="majorBidi"/>
                      <w:color w:val="000000"/>
                      <w:sz w:val="24"/>
                      <w:szCs w:val="24"/>
                    </w:rPr>
                    <w:t>Chloride</w:t>
                  </w:r>
                  <w:proofErr w:type="spellEnd"/>
                  <w:proofErr w:type="gramEnd"/>
                  <w:r w:rsidRPr="00D82C8D">
                    <w:rPr>
                      <w:rFonts w:asciiTheme="majorBidi" w:hAnsiTheme="majorBidi" w:cstheme="majorBidi"/>
                      <w:color w:val="000000"/>
                      <w:sz w:val="24"/>
                      <w:szCs w:val="24"/>
                    </w:rPr>
                    <w:t xml:space="preserve"> (</w:t>
                  </w:r>
                  <w:proofErr w:type="spellStart"/>
                  <w:r w:rsidRPr="00D82C8D">
                    <w:rPr>
                      <w:rFonts w:asciiTheme="majorBidi" w:hAnsiTheme="majorBidi" w:cstheme="majorBidi"/>
                      <w:color w:val="000000"/>
                      <w:sz w:val="24"/>
                      <w:szCs w:val="24"/>
                    </w:rPr>
                    <w:t>ChCl</w:t>
                  </w:r>
                  <w:proofErr w:type="spellEnd"/>
                  <w:r w:rsidRPr="00D82C8D">
                    <w:rPr>
                      <w:rFonts w:asciiTheme="majorBidi" w:hAnsiTheme="majorBidi" w:cstheme="majorBidi"/>
                      <w:color w:val="000000"/>
                      <w:sz w:val="24"/>
                      <w:szCs w:val="24"/>
                    </w:rPr>
                    <w:t>)</w:t>
                  </w:r>
                </w:p>
              </w:tc>
              <w:tc>
                <w:tcPr>
                  <w:tcW w:w="1069" w:type="dxa"/>
                  <w:shd w:val="clear" w:color="auto" w:fill="auto"/>
                  <w:noWrap/>
                  <w:vAlign w:val="center"/>
                  <w:hideMark/>
                </w:tcPr>
                <w:p w14:paraId="53DE2FD1"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303</w:t>
                  </w:r>
                </w:p>
              </w:tc>
              <w:tc>
                <w:tcPr>
                  <w:tcW w:w="2162" w:type="dxa"/>
                  <w:shd w:val="clear" w:color="auto" w:fill="auto"/>
                  <w:noWrap/>
                  <w:vAlign w:val="center"/>
                  <w:hideMark/>
                </w:tcPr>
                <w:p w14:paraId="0DDD4E47"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Thiourea</w:t>
                  </w:r>
                </w:p>
              </w:tc>
              <w:tc>
                <w:tcPr>
                  <w:tcW w:w="907" w:type="dxa"/>
                  <w:shd w:val="clear" w:color="auto" w:fill="auto"/>
                  <w:noWrap/>
                  <w:vAlign w:val="center"/>
                  <w:hideMark/>
                </w:tcPr>
                <w:p w14:paraId="7E10BC1A"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175</w:t>
                  </w:r>
                </w:p>
              </w:tc>
              <w:tc>
                <w:tcPr>
                  <w:tcW w:w="2093" w:type="dxa"/>
                  <w:shd w:val="clear" w:color="auto" w:fill="auto"/>
                  <w:noWrap/>
                  <w:vAlign w:val="center"/>
                  <w:hideMark/>
                </w:tcPr>
                <w:p w14:paraId="630D2821"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01:02</w:t>
                  </w:r>
                </w:p>
              </w:tc>
              <w:tc>
                <w:tcPr>
                  <w:tcW w:w="908" w:type="dxa"/>
                  <w:shd w:val="clear" w:color="auto" w:fill="auto"/>
                  <w:noWrap/>
                  <w:vAlign w:val="center"/>
                  <w:hideMark/>
                </w:tcPr>
                <w:p w14:paraId="0AC96F68"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69</w:t>
                  </w:r>
                </w:p>
              </w:tc>
            </w:tr>
            <w:tr w:rsidR="005F2B11" w:rsidRPr="00D82C8D" w14:paraId="34080C44" w14:textId="77777777" w:rsidTr="00FE4C9D">
              <w:trPr>
                <w:trHeight w:val="300"/>
              </w:trPr>
              <w:tc>
                <w:tcPr>
                  <w:tcW w:w="2386" w:type="dxa"/>
                  <w:shd w:val="clear" w:color="auto" w:fill="auto"/>
                  <w:noWrap/>
                  <w:vAlign w:val="center"/>
                  <w:hideMark/>
                </w:tcPr>
                <w:p w14:paraId="252F1A18" w14:textId="77777777" w:rsidR="005F2B11" w:rsidRPr="00D82C8D" w:rsidRDefault="005F2B11" w:rsidP="00FE4C9D">
                  <w:pPr>
                    <w:spacing w:line="276" w:lineRule="auto"/>
                    <w:jc w:val="both"/>
                    <w:rPr>
                      <w:rFonts w:asciiTheme="majorBidi" w:hAnsiTheme="majorBidi" w:cstheme="majorBidi"/>
                      <w:color w:val="000000"/>
                      <w:sz w:val="24"/>
                      <w:szCs w:val="24"/>
                    </w:rPr>
                  </w:pPr>
                  <w:proofErr w:type="spellStart"/>
                  <w:proofErr w:type="gramStart"/>
                  <w:r w:rsidRPr="00D82C8D">
                    <w:rPr>
                      <w:rFonts w:asciiTheme="majorBidi" w:hAnsiTheme="majorBidi" w:cstheme="majorBidi"/>
                      <w:color w:val="000000"/>
                      <w:sz w:val="24"/>
                      <w:szCs w:val="24"/>
                    </w:rPr>
                    <w:lastRenderedPageBreak/>
                    <w:t>Choline</w:t>
                  </w:r>
                  <w:r>
                    <w:rPr>
                      <w:rFonts w:asciiTheme="majorBidi" w:hAnsiTheme="majorBidi" w:cstheme="majorBidi"/>
                      <w:color w:val="000000"/>
                      <w:sz w:val="24"/>
                      <w:szCs w:val="24"/>
                    </w:rPr>
                    <w:t>,</w:t>
                  </w:r>
                  <w:r w:rsidRPr="00D82C8D">
                    <w:rPr>
                      <w:rFonts w:asciiTheme="majorBidi" w:hAnsiTheme="majorBidi" w:cstheme="majorBidi"/>
                      <w:color w:val="000000"/>
                      <w:sz w:val="24"/>
                      <w:szCs w:val="24"/>
                    </w:rPr>
                    <w:t>Chloride</w:t>
                  </w:r>
                  <w:proofErr w:type="spellEnd"/>
                  <w:proofErr w:type="gramEnd"/>
                  <w:r w:rsidRPr="00D82C8D">
                    <w:rPr>
                      <w:rFonts w:asciiTheme="majorBidi" w:hAnsiTheme="majorBidi" w:cstheme="majorBidi"/>
                      <w:color w:val="000000"/>
                      <w:sz w:val="24"/>
                      <w:szCs w:val="24"/>
                    </w:rPr>
                    <w:t xml:space="preserve"> (</w:t>
                  </w:r>
                  <w:proofErr w:type="spellStart"/>
                  <w:r w:rsidRPr="00D82C8D">
                    <w:rPr>
                      <w:rFonts w:asciiTheme="majorBidi" w:hAnsiTheme="majorBidi" w:cstheme="majorBidi"/>
                      <w:color w:val="000000"/>
                      <w:sz w:val="24"/>
                      <w:szCs w:val="24"/>
                    </w:rPr>
                    <w:t>ChCl</w:t>
                  </w:r>
                  <w:proofErr w:type="spellEnd"/>
                  <w:r w:rsidRPr="00D82C8D">
                    <w:rPr>
                      <w:rFonts w:asciiTheme="majorBidi" w:hAnsiTheme="majorBidi" w:cstheme="majorBidi"/>
                      <w:color w:val="000000"/>
                      <w:sz w:val="24"/>
                      <w:szCs w:val="24"/>
                    </w:rPr>
                    <w:t>),</w:t>
                  </w:r>
                </w:p>
              </w:tc>
              <w:tc>
                <w:tcPr>
                  <w:tcW w:w="1069" w:type="dxa"/>
                  <w:shd w:val="clear" w:color="auto" w:fill="auto"/>
                  <w:noWrap/>
                  <w:vAlign w:val="center"/>
                  <w:hideMark/>
                </w:tcPr>
                <w:p w14:paraId="1B08C970"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303</w:t>
                  </w:r>
                </w:p>
              </w:tc>
              <w:tc>
                <w:tcPr>
                  <w:tcW w:w="2162" w:type="dxa"/>
                  <w:shd w:val="clear" w:color="auto" w:fill="auto"/>
                  <w:noWrap/>
                  <w:vAlign w:val="center"/>
                  <w:hideMark/>
                </w:tcPr>
                <w:p w14:paraId="3B248270"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1-methyl urea</w:t>
                  </w:r>
                </w:p>
              </w:tc>
              <w:tc>
                <w:tcPr>
                  <w:tcW w:w="907" w:type="dxa"/>
                  <w:shd w:val="clear" w:color="auto" w:fill="auto"/>
                  <w:noWrap/>
                  <w:vAlign w:val="center"/>
                  <w:hideMark/>
                </w:tcPr>
                <w:p w14:paraId="02ACD7BC"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93</w:t>
                  </w:r>
                </w:p>
              </w:tc>
              <w:tc>
                <w:tcPr>
                  <w:tcW w:w="2093" w:type="dxa"/>
                  <w:shd w:val="clear" w:color="auto" w:fill="auto"/>
                  <w:noWrap/>
                  <w:vAlign w:val="center"/>
                  <w:hideMark/>
                </w:tcPr>
                <w:p w14:paraId="3BDD00FE"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01:02</w:t>
                  </w:r>
                </w:p>
              </w:tc>
              <w:tc>
                <w:tcPr>
                  <w:tcW w:w="908" w:type="dxa"/>
                  <w:shd w:val="clear" w:color="auto" w:fill="auto"/>
                  <w:noWrap/>
                  <w:vAlign w:val="center"/>
                  <w:hideMark/>
                </w:tcPr>
                <w:p w14:paraId="287BE4DF"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29</w:t>
                  </w:r>
                </w:p>
              </w:tc>
            </w:tr>
            <w:tr w:rsidR="005F2B11" w:rsidRPr="00D82C8D" w14:paraId="3301C1F3" w14:textId="77777777" w:rsidTr="00FE4C9D">
              <w:trPr>
                <w:trHeight w:val="300"/>
              </w:trPr>
              <w:tc>
                <w:tcPr>
                  <w:tcW w:w="2386" w:type="dxa"/>
                  <w:shd w:val="clear" w:color="auto" w:fill="auto"/>
                  <w:noWrap/>
                  <w:vAlign w:val="center"/>
                  <w:hideMark/>
                </w:tcPr>
                <w:p w14:paraId="33CB4A98" w14:textId="77777777" w:rsidR="005F2B11" w:rsidRPr="00D82C8D" w:rsidRDefault="005F2B11" w:rsidP="00FE4C9D">
                  <w:pPr>
                    <w:spacing w:line="276" w:lineRule="auto"/>
                    <w:jc w:val="both"/>
                    <w:rPr>
                      <w:rFonts w:asciiTheme="majorBidi" w:hAnsiTheme="majorBidi" w:cstheme="majorBidi"/>
                      <w:color w:val="000000"/>
                      <w:sz w:val="24"/>
                      <w:szCs w:val="24"/>
                    </w:rPr>
                  </w:pPr>
                  <w:proofErr w:type="spellStart"/>
                  <w:proofErr w:type="gramStart"/>
                  <w:r w:rsidRPr="00D82C8D">
                    <w:rPr>
                      <w:rFonts w:asciiTheme="majorBidi" w:hAnsiTheme="majorBidi" w:cstheme="majorBidi"/>
                      <w:color w:val="000000"/>
                      <w:sz w:val="24"/>
                      <w:szCs w:val="24"/>
                    </w:rPr>
                    <w:t>Choline</w:t>
                  </w:r>
                  <w:r>
                    <w:rPr>
                      <w:rFonts w:asciiTheme="majorBidi" w:hAnsiTheme="majorBidi" w:cstheme="majorBidi"/>
                      <w:color w:val="000000"/>
                      <w:sz w:val="24"/>
                      <w:szCs w:val="24"/>
                    </w:rPr>
                    <w:t>,</w:t>
                  </w:r>
                  <w:r w:rsidRPr="00D82C8D">
                    <w:rPr>
                      <w:rFonts w:asciiTheme="majorBidi" w:hAnsiTheme="majorBidi" w:cstheme="majorBidi"/>
                      <w:color w:val="000000"/>
                      <w:sz w:val="24"/>
                      <w:szCs w:val="24"/>
                    </w:rPr>
                    <w:t>Chloride</w:t>
                  </w:r>
                  <w:proofErr w:type="spellEnd"/>
                  <w:proofErr w:type="gramEnd"/>
                  <w:r w:rsidRPr="00D82C8D">
                    <w:rPr>
                      <w:rFonts w:asciiTheme="majorBidi" w:hAnsiTheme="majorBidi" w:cstheme="majorBidi"/>
                      <w:color w:val="000000"/>
                      <w:sz w:val="24"/>
                      <w:szCs w:val="24"/>
                    </w:rPr>
                    <w:t xml:space="preserve"> (</w:t>
                  </w:r>
                  <w:proofErr w:type="spellStart"/>
                  <w:r w:rsidRPr="00D82C8D">
                    <w:rPr>
                      <w:rFonts w:asciiTheme="majorBidi" w:hAnsiTheme="majorBidi" w:cstheme="majorBidi"/>
                      <w:color w:val="000000"/>
                      <w:sz w:val="24"/>
                      <w:szCs w:val="24"/>
                    </w:rPr>
                    <w:t>ChCl</w:t>
                  </w:r>
                  <w:proofErr w:type="spellEnd"/>
                  <w:r w:rsidRPr="00D82C8D">
                    <w:rPr>
                      <w:rFonts w:asciiTheme="majorBidi" w:hAnsiTheme="majorBidi" w:cstheme="majorBidi"/>
                      <w:color w:val="000000"/>
                      <w:sz w:val="24"/>
                      <w:szCs w:val="24"/>
                    </w:rPr>
                    <w:t>)</w:t>
                  </w:r>
                </w:p>
              </w:tc>
              <w:tc>
                <w:tcPr>
                  <w:tcW w:w="1069" w:type="dxa"/>
                  <w:shd w:val="clear" w:color="auto" w:fill="auto"/>
                  <w:noWrap/>
                  <w:vAlign w:val="center"/>
                  <w:hideMark/>
                </w:tcPr>
                <w:p w14:paraId="18F98469"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303</w:t>
                  </w:r>
                </w:p>
              </w:tc>
              <w:tc>
                <w:tcPr>
                  <w:tcW w:w="2162" w:type="dxa"/>
                  <w:shd w:val="clear" w:color="auto" w:fill="auto"/>
                  <w:noWrap/>
                  <w:vAlign w:val="center"/>
                  <w:hideMark/>
                </w:tcPr>
                <w:p w14:paraId="375965CB"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1,3-dimethyl   urea</w:t>
                  </w:r>
                </w:p>
              </w:tc>
              <w:tc>
                <w:tcPr>
                  <w:tcW w:w="907" w:type="dxa"/>
                  <w:shd w:val="clear" w:color="auto" w:fill="auto"/>
                  <w:noWrap/>
                  <w:vAlign w:val="center"/>
                  <w:hideMark/>
                </w:tcPr>
                <w:p w14:paraId="7BA2F8AE"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102</w:t>
                  </w:r>
                </w:p>
              </w:tc>
              <w:tc>
                <w:tcPr>
                  <w:tcW w:w="2093" w:type="dxa"/>
                  <w:shd w:val="clear" w:color="auto" w:fill="auto"/>
                  <w:noWrap/>
                  <w:vAlign w:val="center"/>
                  <w:hideMark/>
                </w:tcPr>
                <w:p w14:paraId="362B268B"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01:02</w:t>
                  </w:r>
                </w:p>
              </w:tc>
              <w:tc>
                <w:tcPr>
                  <w:tcW w:w="908" w:type="dxa"/>
                  <w:shd w:val="clear" w:color="auto" w:fill="auto"/>
                  <w:noWrap/>
                  <w:vAlign w:val="center"/>
                  <w:hideMark/>
                </w:tcPr>
                <w:p w14:paraId="30727BBD"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70</w:t>
                  </w:r>
                </w:p>
              </w:tc>
            </w:tr>
            <w:tr w:rsidR="005F2B11" w:rsidRPr="00D82C8D" w14:paraId="5FF25820" w14:textId="77777777" w:rsidTr="00FE4C9D">
              <w:trPr>
                <w:trHeight w:val="300"/>
              </w:trPr>
              <w:tc>
                <w:tcPr>
                  <w:tcW w:w="2386" w:type="dxa"/>
                  <w:shd w:val="clear" w:color="auto" w:fill="auto"/>
                  <w:noWrap/>
                  <w:vAlign w:val="center"/>
                  <w:hideMark/>
                </w:tcPr>
                <w:p w14:paraId="657A5B45" w14:textId="77777777" w:rsidR="005F2B11" w:rsidRPr="00D82C8D" w:rsidRDefault="005F2B11" w:rsidP="00FE4C9D">
                  <w:pPr>
                    <w:spacing w:line="276" w:lineRule="auto"/>
                    <w:jc w:val="both"/>
                    <w:rPr>
                      <w:rFonts w:asciiTheme="majorBidi" w:hAnsiTheme="majorBidi" w:cstheme="majorBidi"/>
                      <w:color w:val="000000"/>
                      <w:sz w:val="24"/>
                      <w:szCs w:val="24"/>
                    </w:rPr>
                  </w:pPr>
                  <w:proofErr w:type="spellStart"/>
                  <w:proofErr w:type="gramStart"/>
                  <w:r w:rsidRPr="00D82C8D">
                    <w:rPr>
                      <w:rFonts w:asciiTheme="majorBidi" w:hAnsiTheme="majorBidi" w:cstheme="majorBidi"/>
                      <w:color w:val="000000"/>
                      <w:sz w:val="24"/>
                      <w:szCs w:val="24"/>
                    </w:rPr>
                    <w:t>Choline</w:t>
                  </w:r>
                  <w:r>
                    <w:rPr>
                      <w:rFonts w:asciiTheme="majorBidi" w:hAnsiTheme="majorBidi" w:cstheme="majorBidi"/>
                      <w:color w:val="000000"/>
                      <w:sz w:val="24"/>
                      <w:szCs w:val="24"/>
                    </w:rPr>
                    <w:t>,</w:t>
                  </w:r>
                  <w:r w:rsidRPr="00D82C8D">
                    <w:rPr>
                      <w:rFonts w:asciiTheme="majorBidi" w:hAnsiTheme="majorBidi" w:cstheme="majorBidi"/>
                      <w:color w:val="000000"/>
                      <w:sz w:val="24"/>
                      <w:szCs w:val="24"/>
                    </w:rPr>
                    <w:t>Chloride</w:t>
                  </w:r>
                  <w:proofErr w:type="spellEnd"/>
                  <w:proofErr w:type="gramEnd"/>
                  <w:r w:rsidRPr="00D82C8D">
                    <w:rPr>
                      <w:rFonts w:asciiTheme="majorBidi" w:hAnsiTheme="majorBidi" w:cstheme="majorBidi"/>
                      <w:color w:val="000000"/>
                      <w:sz w:val="24"/>
                      <w:szCs w:val="24"/>
                    </w:rPr>
                    <w:t xml:space="preserve"> (</w:t>
                  </w:r>
                  <w:proofErr w:type="spellStart"/>
                  <w:r w:rsidRPr="00D82C8D">
                    <w:rPr>
                      <w:rFonts w:asciiTheme="majorBidi" w:hAnsiTheme="majorBidi" w:cstheme="majorBidi"/>
                      <w:color w:val="000000"/>
                      <w:sz w:val="24"/>
                      <w:szCs w:val="24"/>
                    </w:rPr>
                    <w:t>ChCl</w:t>
                  </w:r>
                  <w:proofErr w:type="spellEnd"/>
                  <w:r w:rsidRPr="00D82C8D">
                    <w:rPr>
                      <w:rFonts w:asciiTheme="majorBidi" w:hAnsiTheme="majorBidi" w:cstheme="majorBidi"/>
                      <w:color w:val="000000"/>
                      <w:sz w:val="24"/>
                      <w:szCs w:val="24"/>
                    </w:rPr>
                    <w:t>)</w:t>
                  </w:r>
                </w:p>
              </w:tc>
              <w:tc>
                <w:tcPr>
                  <w:tcW w:w="1069" w:type="dxa"/>
                  <w:shd w:val="clear" w:color="auto" w:fill="auto"/>
                  <w:noWrap/>
                  <w:vAlign w:val="center"/>
                  <w:hideMark/>
                </w:tcPr>
                <w:p w14:paraId="220C57A9"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303</w:t>
                  </w:r>
                </w:p>
              </w:tc>
              <w:tc>
                <w:tcPr>
                  <w:tcW w:w="2162" w:type="dxa"/>
                  <w:shd w:val="clear" w:color="auto" w:fill="auto"/>
                  <w:noWrap/>
                  <w:vAlign w:val="center"/>
                  <w:hideMark/>
                </w:tcPr>
                <w:p w14:paraId="4E8BAFF5"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 xml:space="preserve">Phenyl </w:t>
                  </w:r>
                  <w:proofErr w:type="spellStart"/>
                  <w:r w:rsidRPr="00D82C8D">
                    <w:rPr>
                      <w:rFonts w:asciiTheme="majorBidi" w:hAnsiTheme="majorBidi" w:cstheme="majorBidi"/>
                      <w:color w:val="000000"/>
                      <w:sz w:val="24"/>
                      <w:szCs w:val="24"/>
                    </w:rPr>
                    <w:t>acetaic</w:t>
                  </w:r>
                  <w:proofErr w:type="spellEnd"/>
                  <w:r w:rsidRPr="00D82C8D">
                    <w:rPr>
                      <w:rFonts w:asciiTheme="majorBidi" w:hAnsiTheme="majorBidi" w:cstheme="majorBidi"/>
                      <w:color w:val="000000"/>
                      <w:sz w:val="24"/>
                      <w:szCs w:val="24"/>
                    </w:rPr>
                    <w:t xml:space="preserve"> acid</w:t>
                  </w:r>
                </w:p>
              </w:tc>
              <w:tc>
                <w:tcPr>
                  <w:tcW w:w="907" w:type="dxa"/>
                  <w:shd w:val="clear" w:color="auto" w:fill="auto"/>
                  <w:noWrap/>
                  <w:vAlign w:val="center"/>
                  <w:hideMark/>
                </w:tcPr>
                <w:p w14:paraId="5FEA215E"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77</w:t>
                  </w:r>
                </w:p>
              </w:tc>
              <w:tc>
                <w:tcPr>
                  <w:tcW w:w="2093" w:type="dxa"/>
                  <w:shd w:val="clear" w:color="auto" w:fill="auto"/>
                  <w:noWrap/>
                  <w:vAlign w:val="center"/>
                  <w:hideMark/>
                </w:tcPr>
                <w:p w14:paraId="340F0B69"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01:01</w:t>
                  </w:r>
                </w:p>
              </w:tc>
              <w:tc>
                <w:tcPr>
                  <w:tcW w:w="908" w:type="dxa"/>
                  <w:shd w:val="clear" w:color="auto" w:fill="auto"/>
                  <w:noWrap/>
                  <w:vAlign w:val="center"/>
                  <w:hideMark/>
                </w:tcPr>
                <w:p w14:paraId="40358313"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25</w:t>
                  </w:r>
                </w:p>
              </w:tc>
            </w:tr>
            <w:tr w:rsidR="005F2B11" w:rsidRPr="00D82C8D" w14:paraId="2040B4CD" w14:textId="77777777" w:rsidTr="00FE4C9D">
              <w:trPr>
                <w:trHeight w:val="300"/>
              </w:trPr>
              <w:tc>
                <w:tcPr>
                  <w:tcW w:w="2386" w:type="dxa"/>
                  <w:shd w:val="clear" w:color="auto" w:fill="auto"/>
                  <w:noWrap/>
                  <w:vAlign w:val="center"/>
                  <w:hideMark/>
                </w:tcPr>
                <w:p w14:paraId="6F2BB6DD" w14:textId="77777777" w:rsidR="005F2B11" w:rsidRPr="00D82C8D" w:rsidRDefault="005F2B11" w:rsidP="00FE4C9D">
                  <w:pPr>
                    <w:spacing w:line="276" w:lineRule="auto"/>
                    <w:jc w:val="both"/>
                    <w:rPr>
                      <w:rFonts w:asciiTheme="majorBidi" w:hAnsiTheme="majorBidi" w:cstheme="majorBidi"/>
                      <w:color w:val="000000"/>
                      <w:sz w:val="24"/>
                      <w:szCs w:val="24"/>
                    </w:rPr>
                  </w:pPr>
                  <w:proofErr w:type="spellStart"/>
                  <w:proofErr w:type="gramStart"/>
                  <w:r w:rsidRPr="00D82C8D">
                    <w:rPr>
                      <w:rFonts w:asciiTheme="majorBidi" w:hAnsiTheme="majorBidi" w:cstheme="majorBidi"/>
                      <w:color w:val="000000"/>
                      <w:sz w:val="24"/>
                      <w:szCs w:val="24"/>
                    </w:rPr>
                    <w:t>Choline</w:t>
                  </w:r>
                  <w:r>
                    <w:rPr>
                      <w:rFonts w:asciiTheme="majorBidi" w:hAnsiTheme="majorBidi" w:cstheme="majorBidi"/>
                      <w:color w:val="000000"/>
                      <w:sz w:val="24"/>
                      <w:szCs w:val="24"/>
                    </w:rPr>
                    <w:t>,</w:t>
                  </w:r>
                  <w:r w:rsidRPr="00D82C8D">
                    <w:rPr>
                      <w:rFonts w:asciiTheme="majorBidi" w:hAnsiTheme="majorBidi" w:cstheme="majorBidi"/>
                      <w:color w:val="000000"/>
                      <w:sz w:val="24"/>
                      <w:szCs w:val="24"/>
                    </w:rPr>
                    <w:t>Chloride</w:t>
                  </w:r>
                  <w:proofErr w:type="spellEnd"/>
                  <w:proofErr w:type="gramEnd"/>
                  <w:r w:rsidRPr="00D82C8D">
                    <w:rPr>
                      <w:rFonts w:asciiTheme="majorBidi" w:hAnsiTheme="majorBidi" w:cstheme="majorBidi"/>
                      <w:color w:val="000000"/>
                      <w:sz w:val="24"/>
                      <w:szCs w:val="24"/>
                    </w:rPr>
                    <w:t xml:space="preserve"> (</w:t>
                  </w:r>
                  <w:proofErr w:type="spellStart"/>
                  <w:r w:rsidRPr="00D82C8D">
                    <w:rPr>
                      <w:rFonts w:asciiTheme="majorBidi" w:hAnsiTheme="majorBidi" w:cstheme="majorBidi"/>
                      <w:color w:val="000000"/>
                      <w:sz w:val="24"/>
                      <w:szCs w:val="24"/>
                    </w:rPr>
                    <w:t>ChCl</w:t>
                  </w:r>
                  <w:proofErr w:type="spellEnd"/>
                  <w:r w:rsidRPr="00D82C8D">
                    <w:rPr>
                      <w:rFonts w:asciiTheme="majorBidi" w:hAnsiTheme="majorBidi" w:cstheme="majorBidi"/>
                      <w:color w:val="000000"/>
                      <w:sz w:val="24"/>
                      <w:szCs w:val="24"/>
                    </w:rPr>
                    <w:t>)</w:t>
                  </w:r>
                </w:p>
              </w:tc>
              <w:tc>
                <w:tcPr>
                  <w:tcW w:w="1069" w:type="dxa"/>
                  <w:shd w:val="clear" w:color="auto" w:fill="auto"/>
                  <w:noWrap/>
                  <w:vAlign w:val="center"/>
                  <w:hideMark/>
                </w:tcPr>
                <w:p w14:paraId="7B13240F"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303</w:t>
                  </w:r>
                </w:p>
              </w:tc>
              <w:tc>
                <w:tcPr>
                  <w:tcW w:w="2162" w:type="dxa"/>
                  <w:shd w:val="clear" w:color="auto" w:fill="auto"/>
                  <w:noWrap/>
                  <w:vAlign w:val="center"/>
                  <w:hideMark/>
                </w:tcPr>
                <w:p w14:paraId="285B4352"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Phenyl propionic acid</w:t>
                  </w:r>
                </w:p>
              </w:tc>
              <w:tc>
                <w:tcPr>
                  <w:tcW w:w="907" w:type="dxa"/>
                  <w:shd w:val="clear" w:color="auto" w:fill="auto"/>
                  <w:noWrap/>
                  <w:vAlign w:val="center"/>
                  <w:hideMark/>
                </w:tcPr>
                <w:p w14:paraId="50325B9B"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48</w:t>
                  </w:r>
                </w:p>
              </w:tc>
              <w:tc>
                <w:tcPr>
                  <w:tcW w:w="2093" w:type="dxa"/>
                  <w:shd w:val="clear" w:color="auto" w:fill="auto"/>
                  <w:noWrap/>
                  <w:vAlign w:val="center"/>
                  <w:hideMark/>
                </w:tcPr>
                <w:p w14:paraId="36F139B4"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01:01</w:t>
                  </w:r>
                </w:p>
              </w:tc>
              <w:tc>
                <w:tcPr>
                  <w:tcW w:w="908" w:type="dxa"/>
                  <w:shd w:val="clear" w:color="auto" w:fill="auto"/>
                  <w:noWrap/>
                  <w:vAlign w:val="center"/>
                  <w:hideMark/>
                </w:tcPr>
                <w:p w14:paraId="5F3F738C"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20</w:t>
                  </w:r>
                </w:p>
              </w:tc>
            </w:tr>
            <w:tr w:rsidR="005F2B11" w:rsidRPr="00D82C8D" w14:paraId="09D94D1D" w14:textId="77777777" w:rsidTr="00FE4C9D">
              <w:trPr>
                <w:trHeight w:val="300"/>
              </w:trPr>
              <w:tc>
                <w:tcPr>
                  <w:tcW w:w="2386" w:type="dxa"/>
                  <w:shd w:val="clear" w:color="auto" w:fill="auto"/>
                  <w:noWrap/>
                  <w:vAlign w:val="center"/>
                  <w:hideMark/>
                </w:tcPr>
                <w:p w14:paraId="6D64E85F" w14:textId="77777777" w:rsidR="005F2B11" w:rsidRPr="00D82C8D" w:rsidRDefault="005F2B11" w:rsidP="00FE4C9D">
                  <w:pPr>
                    <w:spacing w:line="276" w:lineRule="auto"/>
                    <w:jc w:val="both"/>
                    <w:rPr>
                      <w:rFonts w:asciiTheme="majorBidi" w:hAnsiTheme="majorBidi" w:cstheme="majorBidi"/>
                      <w:color w:val="000000"/>
                      <w:sz w:val="24"/>
                      <w:szCs w:val="24"/>
                    </w:rPr>
                  </w:pPr>
                  <w:proofErr w:type="spellStart"/>
                  <w:proofErr w:type="gramStart"/>
                  <w:r w:rsidRPr="00D82C8D">
                    <w:rPr>
                      <w:rFonts w:asciiTheme="majorBidi" w:hAnsiTheme="majorBidi" w:cstheme="majorBidi"/>
                      <w:color w:val="000000"/>
                      <w:sz w:val="24"/>
                      <w:szCs w:val="24"/>
                    </w:rPr>
                    <w:t>Choline</w:t>
                  </w:r>
                  <w:r>
                    <w:rPr>
                      <w:rFonts w:asciiTheme="majorBidi" w:hAnsiTheme="majorBidi" w:cstheme="majorBidi"/>
                      <w:color w:val="000000"/>
                      <w:sz w:val="24"/>
                      <w:szCs w:val="24"/>
                    </w:rPr>
                    <w:t>,</w:t>
                  </w:r>
                  <w:r w:rsidRPr="00D82C8D">
                    <w:rPr>
                      <w:rFonts w:asciiTheme="majorBidi" w:hAnsiTheme="majorBidi" w:cstheme="majorBidi"/>
                      <w:color w:val="000000"/>
                      <w:sz w:val="24"/>
                      <w:szCs w:val="24"/>
                    </w:rPr>
                    <w:t>Chloride</w:t>
                  </w:r>
                  <w:proofErr w:type="spellEnd"/>
                  <w:proofErr w:type="gramEnd"/>
                  <w:r w:rsidRPr="00D82C8D">
                    <w:rPr>
                      <w:rFonts w:asciiTheme="majorBidi" w:hAnsiTheme="majorBidi" w:cstheme="majorBidi"/>
                      <w:color w:val="000000"/>
                      <w:sz w:val="24"/>
                      <w:szCs w:val="24"/>
                    </w:rPr>
                    <w:t xml:space="preserve"> (</w:t>
                  </w:r>
                  <w:proofErr w:type="spellStart"/>
                  <w:r w:rsidRPr="00D82C8D">
                    <w:rPr>
                      <w:rFonts w:asciiTheme="majorBidi" w:hAnsiTheme="majorBidi" w:cstheme="majorBidi"/>
                      <w:color w:val="000000"/>
                      <w:sz w:val="24"/>
                      <w:szCs w:val="24"/>
                    </w:rPr>
                    <w:t>ChCl</w:t>
                  </w:r>
                  <w:proofErr w:type="spellEnd"/>
                  <w:r w:rsidRPr="00D82C8D">
                    <w:rPr>
                      <w:rFonts w:asciiTheme="majorBidi" w:hAnsiTheme="majorBidi" w:cstheme="majorBidi"/>
                      <w:color w:val="000000"/>
                      <w:sz w:val="24"/>
                      <w:szCs w:val="24"/>
                    </w:rPr>
                    <w:t>)</w:t>
                  </w:r>
                </w:p>
              </w:tc>
              <w:tc>
                <w:tcPr>
                  <w:tcW w:w="1069" w:type="dxa"/>
                  <w:shd w:val="clear" w:color="auto" w:fill="auto"/>
                  <w:noWrap/>
                  <w:vAlign w:val="center"/>
                  <w:hideMark/>
                </w:tcPr>
                <w:p w14:paraId="533384CA"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303</w:t>
                  </w:r>
                </w:p>
              </w:tc>
              <w:tc>
                <w:tcPr>
                  <w:tcW w:w="2162" w:type="dxa"/>
                  <w:shd w:val="clear" w:color="auto" w:fill="auto"/>
                  <w:noWrap/>
                  <w:vAlign w:val="center"/>
                  <w:hideMark/>
                </w:tcPr>
                <w:p w14:paraId="7A7A1205"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 xml:space="preserve">Succinic acid </w:t>
                  </w:r>
                </w:p>
              </w:tc>
              <w:tc>
                <w:tcPr>
                  <w:tcW w:w="907" w:type="dxa"/>
                  <w:shd w:val="clear" w:color="auto" w:fill="auto"/>
                  <w:noWrap/>
                  <w:vAlign w:val="center"/>
                  <w:hideMark/>
                </w:tcPr>
                <w:p w14:paraId="38124573"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185</w:t>
                  </w:r>
                </w:p>
              </w:tc>
              <w:tc>
                <w:tcPr>
                  <w:tcW w:w="2093" w:type="dxa"/>
                  <w:shd w:val="clear" w:color="auto" w:fill="auto"/>
                  <w:noWrap/>
                  <w:vAlign w:val="center"/>
                  <w:hideMark/>
                </w:tcPr>
                <w:p w14:paraId="2FFF1B87"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01:01</w:t>
                  </w:r>
                </w:p>
              </w:tc>
              <w:tc>
                <w:tcPr>
                  <w:tcW w:w="908" w:type="dxa"/>
                  <w:shd w:val="clear" w:color="auto" w:fill="auto"/>
                  <w:noWrap/>
                  <w:vAlign w:val="center"/>
                  <w:hideMark/>
                </w:tcPr>
                <w:p w14:paraId="68CFE035"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71</w:t>
                  </w:r>
                </w:p>
              </w:tc>
            </w:tr>
            <w:tr w:rsidR="005F2B11" w:rsidRPr="00D82C8D" w14:paraId="357D80B4" w14:textId="77777777" w:rsidTr="00FE4C9D">
              <w:trPr>
                <w:trHeight w:val="300"/>
              </w:trPr>
              <w:tc>
                <w:tcPr>
                  <w:tcW w:w="2386" w:type="dxa"/>
                  <w:shd w:val="clear" w:color="auto" w:fill="auto"/>
                  <w:noWrap/>
                  <w:vAlign w:val="center"/>
                  <w:hideMark/>
                </w:tcPr>
                <w:p w14:paraId="70700EAD" w14:textId="77777777" w:rsidR="005F2B11" w:rsidRPr="00D82C8D" w:rsidRDefault="005F2B11" w:rsidP="00FE4C9D">
                  <w:pPr>
                    <w:spacing w:line="276" w:lineRule="auto"/>
                    <w:jc w:val="both"/>
                    <w:rPr>
                      <w:rFonts w:asciiTheme="majorBidi" w:hAnsiTheme="majorBidi" w:cstheme="majorBidi"/>
                      <w:color w:val="000000"/>
                      <w:sz w:val="24"/>
                      <w:szCs w:val="24"/>
                    </w:rPr>
                  </w:pPr>
                  <w:proofErr w:type="spellStart"/>
                  <w:proofErr w:type="gramStart"/>
                  <w:r w:rsidRPr="00D82C8D">
                    <w:rPr>
                      <w:rFonts w:asciiTheme="majorBidi" w:hAnsiTheme="majorBidi" w:cstheme="majorBidi"/>
                      <w:color w:val="000000"/>
                      <w:sz w:val="24"/>
                      <w:szCs w:val="24"/>
                    </w:rPr>
                    <w:t>Choline</w:t>
                  </w:r>
                  <w:r>
                    <w:rPr>
                      <w:rFonts w:asciiTheme="majorBidi" w:hAnsiTheme="majorBidi" w:cstheme="majorBidi"/>
                      <w:color w:val="000000"/>
                      <w:sz w:val="24"/>
                      <w:szCs w:val="24"/>
                    </w:rPr>
                    <w:t>,</w:t>
                  </w:r>
                  <w:r w:rsidRPr="00D82C8D">
                    <w:rPr>
                      <w:rFonts w:asciiTheme="majorBidi" w:hAnsiTheme="majorBidi" w:cstheme="majorBidi"/>
                      <w:color w:val="000000"/>
                      <w:sz w:val="24"/>
                      <w:szCs w:val="24"/>
                    </w:rPr>
                    <w:t>Chloride</w:t>
                  </w:r>
                  <w:proofErr w:type="spellEnd"/>
                  <w:proofErr w:type="gramEnd"/>
                  <w:r w:rsidRPr="00D82C8D">
                    <w:rPr>
                      <w:rFonts w:asciiTheme="majorBidi" w:hAnsiTheme="majorBidi" w:cstheme="majorBidi"/>
                      <w:color w:val="000000"/>
                      <w:sz w:val="24"/>
                      <w:szCs w:val="24"/>
                    </w:rPr>
                    <w:t xml:space="preserve"> (</w:t>
                  </w:r>
                  <w:proofErr w:type="spellStart"/>
                  <w:r w:rsidRPr="00D82C8D">
                    <w:rPr>
                      <w:rFonts w:asciiTheme="majorBidi" w:hAnsiTheme="majorBidi" w:cstheme="majorBidi"/>
                      <w:color w:val="000000"/>
                      <w:sz w:val="24"/>
                      <w:szCs w:val="24"/>
                    </w:rPr>
                    <w:t>ChCl</w:t>
                  </w:r>
                  <w:proofErr w:type="spellEnd"/>
                  <w:r w:rsidRPr="00D82C8D">
                    <w:rPr>
                      <w:rFonts w:asciiTheme="majorBidi" w:hAnsiTheme="majorBidi" w:cstheme="majorBidi"/>
                      <w:color w:val="000000"/>
                      <w:sz w:val="24"/>
                      <w:szCs w:val="24"/>
                    </w:rPr>
                    <w:t>)</w:t>
                  </w:r>
                </w:p>
              </w:tc>
              <w:tc>
                <w:tcPr>
                  <w:tcW w:w="1069" w:type="dxa"/>
                  <w:shd w:val="clear" w:color="auto" w:fill="auto"/>
                  <w:noWrap/>
                  <w:vAlign w:val="center"/>
                  <w:hideMark/>
                </w:tcPr>
                <w:p w14:paraId="15EFE515"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303</w:t>
                  </w:r>
                </w:p>
              </w:tc>
              <w:tc>
                <w:tcPr>
                  <w:tcW w:w="2162" w:type="dxa"/>
                  <w:shd w:val="clear" w:color="auto" w:fill="auto"/>
                  <w:noWrap/>
                  <w:vAlign w:val="center"/>
                  <w:hideMark/>
                </w:tcPr>
                <w:p w14:paraId="2F340F33" w14:textId="77777777" w:rsidR="005F2B11" w:rsidRPr="00D82C8D" w:rsidRDefault="005F2B11" w:rsidP="00FE4C9D">
                  <w:pPr>
                    <w:spacing w:line="276" w:lineRule="auto"/>
                    <w:jc w:val="both"/>
                    <w:rPr>
                      <w:rFonts w:asciiTheme="majorBidi" w:hAnsiTheme="majorBidi" w:cstheme="majorBidi"/>
                      <w:color w:val="000000"/>
                      <w:sz w:val="24"/>
                      <w:szCs w:val="24"/>
                    </w:rPr>
                  </w:pPr>
                  <w:proofErr w:type="spellStart"/>
                  <w:r w:rsidRPr="00D82C8D">
                    <w:rPr>
                      <w:rFonts w:asciiTheme="majorBidi" w:hAnsiTheme="majorBidi" w:cstheme="majorBidi"/>
                      <w:color w:val="000000"/>
                      <w:sz w:val="24"/>
                      <w:szCs w:val="24"/>
                    </w:rPr>
                    <w:t>tricarballylic</w:t>
                  </w:r>
                  <w:proofErr w:type="spellEnd"/>
                  <w:r w:rsidRPr="00D82C8D">
                    <w:rPr>
                      <w:rFonts w:asciiTheme="majorBidi" w:hAnsiTheme="majorBidi" w:cstheme="majorBidi"/>
                      <w:color w:val="000000"/>
                      <w:sz w:val="24"/>
                      <w:szCs w:val="24"/>
                    </w:rPr>
                    <w:t xml:space="preserve"> acid</w:t>
                  </w:r>
                </w:p>
              </w:tc>
              <w:tc>
                <w:tcPr>
                  <w:tcW w:w="907" w:type="dxa"/>
                  <w:shd w:val="clear" w:color="auto" w:fill="auto"/>
                  <w:noWrap/>
                  <w:vAlign w:val="center"/>
                  <w:hideMark/>
                </w:tcPr>
                <w:p w14:paraId="7B37F6AF"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159</w:t>
                  </w:r>
                </w:p>
              </w:tc>
              <w:tc>
                <w:tcPr>
                  <w:tcW w:w="2093" w:type="dxa"/>
                  <w:shd w:val="clear" w:color="auto" w:fill="auto"/>
                  <w:noWrap/>
                  <w:vAlign w:val="center"/>
                  <w:hideMark/>
                </w:tcPr>
                <w:p w14:paraId="2CFF8BA4"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01:01</w:t>
                  </w:r>
                </w:p>
              </w:tc>
              <w:tc>
                <w:tcPr>
                  <w:tcW w:w="908" w:type="dxa"/>
                  <w:shd w:val="clear" w:color="auto" w:fill="auto"/>
                  <w:noWrap/>
                  <w:vAlign w:val="center"/>
                  <w:hideMark/>
                </w:tcPr>
                <w:p w14:paraId="629CD3FD"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90</w:t>
                  </w:r>
                </w:p>
              </w:tc>
            </w:tr>
            <w:tr w:rsidR="005F2B11" w:rsidRPr="00D82C8D" w14:paraId="7A1C199F" w14:textId="77777777" w:rsidTr="00FE4C9D">
              <w:trPr>
                <w:trHeight w:val="300"/>
              </w:trPr>
              <w:tc>
                <w:tcPr>
                  <w:tcW w:w="2386" w:type="dxa"/>
                  <w:shd w:val="clear" w:color="auto" w:fill="auto"/>
                  <w:noWrap/>
                  <w:vAlign w:val="center"/>
                  <w:hideMark/>
                </w:tcPr>
                <w:p w14:paraId="2ABF5388" w14:textId="77777777" w:rsidR="005F2B11" w:rsidRPr="00D82C8D" w:rsidRDefault="005F2B11" w:rsidP="00FE4C9D">
                  <w:pPr>
                    <w:spacing w:line="276" w:lineRule="auto"/>
                    <w:jc w:val="both"/>
                    <w:rPr>
                      <w:rFonts w:asciiTheme="majorBidi" w:hAnsiTheme="majorBidi" w:cstheme="majorBidi"/>
                      <w:color w:val="000000"/>
                      <w:sz w:val="24"/>
                      <w:szCs w:val="24"/>
                    </w:rPr>
                  </w:pPr>
                  <w:proofErr w:type="spellStart"/>
                  <w:proofErr w:type="gramStart"/>
                  <w:r w:rsidRPr="00D82C8D">
                    <w:rPr>
                      <w:rFonts w:asciiTheme="majorBidi" w:hAnsiTheme="majorBidi" w:cstheme="majorBidi"/>
                      <w:color w:val="000000"/>
                      <w:sz w:val="24"/>
                      <w:szCs w:val="24"/>
                    </w:rPr>
                    <w:t>Choline</w:t>
                  </w:r>
                  <w:r>
                    <w:rPr>
                      <w:rFonts w:asciiTheme="majorBidi" w:hAnsiTheme="majorBidi" w:cstheme="majorBidi"/>
                      <w:color w:val="000000"/>
                      <w:sz w:val="24"/>
                      <w:szCs w:val="24"/>
                    </w:rPr>
                    <w:t>,</w:t>
                  </w:r>
                  <w:r w:rsidRPr="00D82C8D">
                    <w:rPr>
                      <w:rFonts w:asciiTheme="majorBidi" w:hAnsiTheme="majorBidi" w:cstheme="majorBidi"/>
                      <w:color w:val="000000"/>
                      <w:sz w:val="24"/>
                      <w:szCs w:val="24"/>
                    </w:rPr>
                    <w:t>Chloride</w:t>
                  </w:r>
                  <w:proofErr w:type="spellEnd"/>
                  <w:proofErr w:type="gramEnd"/>
                  <w:r w:rsidRPr="00D82C8D">
                    <w:rPr>
                      <w:rFonts w:asciiTheme="majorBidi" w:hAnsiTheme="majorBidi" w:cstheme="majorBidi"/>
                      <w:color w:val="000000"/>
                      <w:sz w:val="24"/>
                      <w:szCs w:val="24"/>
                    </w:rPr>
                    <w:t xml:space="preserve"> (</w:t>
                  </w:r>
                  <w:proofErr w:type="spellStart"/>
                  <w:r w:rsidRPr="00D82C8D">
                    <w:rPr>
                      <w:rFonts w:asciiTheme="majorBidi" w:hAnsiTheme="majorBidi" w:cstheme="majorBidi"/>
                      <w:color w:val="000000"/>
                      <w:sz w:val="24"/>
                      <w:szCs w:val="24"/>
                    </w:rPr>
                    <w:t>ChCl</w:t>
                  </w:r>
                  <w:proofErr w:type="spellEnd"/>
                  <w:r w:rsidRPr="00D82C8D">
                    <w:rPr>
                      <w:rFonts w:asciiTheme="majorBidi" w:hAnsiTheme="majorBidi" w:cstheme="majorBidi"/>
                      <w:color w:val="000000"/>
                      <w:sz w:val="24"/>
                      <w:szCs w:val="24"/>
                    </w:rPr>
                    <w:t>),</w:t>
                  </w:r>
                </w:p>
              </w:tc>
              <w:tc>
                <w:tcPr>
                  <w:tcW w:w="1069" w:type="dxa"/>
                  <w:shd w:val="clear" w:color="auto" w:fill="auto"/>
                  <w:noWrap/>
                  <w:vAlign w:val="center"/>
                  <w:hideMark/>
                </w:tcPr>
                <w:p w14:paraId="08F44F98"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303</w:t>
                  </w:r>
                </w:p>
              </w:tc>
              <w:tc>
                <w:tcPr>
                  <w:tcW w:w="2162" w:type="dxa"/>
                  <w:shd w:val="clear" w:color="auto" w:fill="auto"/>
                  <w:noWrap/>
                  <w:vAlign w:val="center"/>
                  <w:hideMark/>
                </w:tcPr>
                <w:p w14:paraId="1F9E1CC3"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MgCl</w:t>
                  </w:r>
                  <w:r w:rsidRPr="00D82C8D">
                    <w:rPr>
                      <w:rFonts w:asciiTheme="majorBidi" w:hAnsiTheme="majorBidi" w:cstheme="majorBidi"/>
                      <w:color w:val="000000"/>
                      <w:sz w:val="24"/>
                      <w:szCs w:val="24"/>
                      <w:vertAlign w:val="subscript"/>
                    </w:rPr>
                    <w:t>2</w:t>
                  </w:r>
                </w:p>
              </w:tc>
              <w:tc>
                <w:tcPr>
                  <w:tcW w:w="907" w:type="dxa"/>
                  <w:shd w:val="clear" w:color="auto" w:fill="auto"/>
                  <w:noWrap/>
                  <w:vAlign w:val="center"/>
                  <w:hideMark/>
                </w:tcPr>
                <w:p w14:paraId="0FC23491"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116</w:t>
                  </w:r>
                </w:p>
              </w:tc>
              <w:tc>
                <w:tcPr>
                  <w:tcW w:w="2093" w:type="dxa"/>
                  <w:shd w:val="clear" w:color="auto" w:fill="auto"/>
                  <w:noWrap/>
                  <w:vAlign w:val="center"/>
                  <w:hideMark/>
                </w:tcPr>
                <w:p w14:paraId="28675C58"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01:01</w:t>
                  </w:r>
                </w:p>
              </w:tc>
              <w:tc>
                <w:tcPr>
                  <w:tcW w:w="908" w:type="dxa"/>
                  <w:shd w:val="clear" w:color="auto" w:fill="auto"/>
                  <w:noWrap/>
                  <w:vAlign w:val="center"/>
                  <w:hideMark/>
                </w:tcPr>
                <w:p w14:paraId="204E6241"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16</w:t>
                  </w:r>
                </w:p>
              </w:tc>
            </w:tr>
            <w:tr w:rsidR="005F2B11" w:rsidRPr="00D82C8D" w14:paraId="220A3A60" w14:textId="77777777" w:rsidTr="00FE4C9D">
              <w:trPr>
                <w:trHeight w:val="300"/>
              </w:trPr>
              <w:tc>
                <w:tcPr>
                  <w:tcW w:w="2386" w:type="dxa"/>
                  <w:shd w:val="clear" w:color="auto" w:fill="auto"/>
                  <w:noWrap/>
                  <w:vAlign w:val="center"/>
                  <w:hideMark/>
                </w:tcPr>
                <w:p w14:paraId="230FE9F1"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ZnCl</w:t>
                  </w:r>
                  <w:r w:rsidRPr="00D82C8D">
                    <w:rPr>
                      <w:rFonts w:asciiTheme="majorBidi" w:hAnsiTheme="majorBidi" w:cstheme="majorBidi"/>
                      <w:color w:val="000000"/>
                      <w:sz w:val="24"/>
                      <w:szCs w:val="24"/>
                      <w:vertAlign w:val="subscript"/>
                    </w:rPr>
                    <w:t>2,</w:t>
                  </w:r>
                </w:p>
              </w:tc>
              <w:tc>
                <w:tcPr>
                  <w:tcW w:w="1069" w:type="dxa"/>
                  <w:shd w:val="clear" w:color="auto" w:fill="auto"/>
                  <w:noWrap/>
                  <w:vAlign w:val="center"/>
                  <w:hideMark/>
                </w:tcPr>
                <w:p w14:paraId="348E7BB9"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293</w:t>
                  </w:r>
                </w:p>
              </w:tc>
              <w:tc>
                <w:tcPr>
                  <w:tcW w:w="2162" w:type="dxa"/>
                  <w:shd w:val="clear" w:color="auto" w:fill="auto"/>
                  <w:noWrap/>
                  <w:vAlign w:val="center"/>
                  <w:hideMark/>
                </w:tcPr>
                <w:p w14:paraId="592D3263"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Urea</w:t>
                  </w:r>
                </w:p>
              </w:tc>
              <w:tc>
                <w:tcPr>
                  <w:tcW w:w="907" w:type="dxa"/>
                  <w:shd w:val="clear" w:color="auto" w:fill="auto"/>
                  <w:noWrap/>
                  <w:vAlign w:val="center"/>
                  <w:hideMark/>
                </w:tcPr>
                <w:p w14:paraId="35F2D310"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134</w:t>
                  </w:r>
                </w:p>
              </w:tc>
              <w:tc>
                <w:tcPr>
                  <w:tcW w:w="2093" w:type="dxa"/>
                  <w:shd w:val="clear" w:color="auto" w:fill="auto"/>
                  <w:noWrap/>
                  <w:vAlign w:val="bottom"/>
                  <w:hideMark/>
                </w:tcPr>
                <w:p w14:paraId="3F97D126" w14:textId="77777777" w:rsidR="005F2B11" w:rsidRPr="00D82C8D" w:rsidRDefault="005F2B11" w:rsidP="00FE4C9D">
                  <w:pPr>
                    <w:spacing w:line="276" w:lineRule="auto"/>
                    <w:jc w:val="both"/>
                    <w:rPr>
                      <w:rFonts w:asciiTheme="majorBidi" w:hAnsiTheme="majorBidi" w:cstheme="majorBidi"/>
                      <w:color w:val="000000"/>
                      <w:sz w:val="24"/>
                      <w:szCs w:val="24"/>
                    </w:rPr>
                  </w:pPr>
                </w:p>
              </w:tc>
              <w:tc>
                <w:tcPr>
                  <w:tcW w:w="908" w:type="dxa"/>
                  <w:shd w:val="clear" w:color="auto" w:fill="auto"/>
                  <w:noWrap/>
                  <w:vAlign w:val="center"/>
                  <w:hideMark/>
                </w:tcPr>
                <w:p w14:paraId="3E3F6B75"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9</w:t>
                  </w:r>
                </w:p>
              </w:tc>
            </w:tr>
            <w:tr w:rsidR="005F2B11" w:rsidRPr="00D82C8D" w14:paraId="4E3FDFC7" w14:textId="77777777" w:rsidTr="00FE4C9D">
              <w:trPr>
                <w:trHeight w:val="300"/>
              </w:trPr>
              <w:tc>
                <w:tcPr>
                  <w:tcW w:w="2386" w:type="dxa"/>
                  <w:shd w:val="clear" w:color="auto" w:fill="auto"/>
                  <w:noWrap/>
                  <w:vAlign w:val="center"/>
                  <w:hideMark/>
                </w:tcPr>
                <w:p w14:paraId="7D6E4AAA"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ZnCl</w:t>
                  </w:r>
                  <w:r w:rsidRPr="00D82C8D">
                    <w:rPr>
                      <w:rFonts w:asciiTheme="majorBidi" w:hAnsiTheme="majorBidi" w:cstheme="majorBidi"/>
                      <w:color w:val="000000"/>
                      <w:sz w:val="24"/>
                      <w:szCs w:val="24"/>
                      <w:vertAlign w:val="subscript"/>
                    </w:rPr>
                    <w:t>2</w:t>
                  </w:r>
                </w:p>
              </w:tc>
              <w:tc>
                <w:tcPr>
                  <w:tcW w:w="1069" w:type="dxa"/>
                  <w:shd w:val="clear" w:color="auto" w:fill="auto"/>
                  <w:noWrap/>
                  <w:vAlign w:val="center"/>
                  <w:hideMark/>
                </w:tcPr>
                <w:p w14:paraId="0B335B24"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293</w:t>
                  </w:r>
                </w:p>
              </w:tc>
              <w:tc>
                <w:tcPr>
                  <w:tcW w:w="2162" w:type="dxa"/>
                  <w:shd w:val="clear" w:color="auto" w:fill="auto"/>
                  <w:noWrap/>
                  <w:vAlign w:val="center"/>
                  <w:hideMark/>
                </w:tcPr>
                <w:p w14:paraId="4C3C1F76"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Acetamide</w:t>
                  </w:r>
                </w:p>
              </w:tc>
              <w:tc>
                <w:tcPr>
                  <w:tcW w:w="907" w:type="dxa"/>
                  <w:shd w:val="clear" w:color="auto" w:fill="auto"/>
                  <w:noWrap/>
                  <w:vAlign w:val="center"/>
                  <w:hideMark/>
                </w:tcPr>
                <w:p w14:paraId="398FD23A"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81</w:t>
                  </w:r>
                </w:p>
              </w:tc>
              <w:tc>
                <w:tcPr>
                  <w:tcW w:w="2093" w:type="dxa"/>
                  <w:shd w:val="clear" w:color="auto" w:fill="auto"/>
                  <w:noWrap/>
                  <w:vAlign w:val="bottom"/>
                  <w:hideMark/>
                </w:tcPr>
                <w:p w14:paraId="5D80C52C" w14:textId="77777777" w:rsidR="005F2B11" w:rsidRPr="00D82C8D" w:rsidRDefault="005F2B11" w:rsidP="00FE4C9D">
                  <w:pPr>
                    <w:spacing w:line="276" w:lineRule="auto"/>
                    <w:jc w:val="both"/>
                    <w:rPr>
                      <w:rFonts w:asciiTheme="majorBidi" w:hAnsiTheme="majorBidi" w:cstheme="majorBidi"/>
                      <w:color w:val="000000"/>
                      <w:sz w:val="24"/>
                      <w:szCs w:val="24"/>
                    </w:rPr>
                  </w:pPr>
                </w:p>
              </w:tc>
              <w:tc>
                <w:tcPr>
                  <w:tcW w:w="908" w:type="dxa"/>
                  <w:shd w:val="clear" w:color="auto" w:fill="auto"/>
                  <w:noWrap/>
                  <w:vAlign w:val="center"/>
                  <w:hideMark/>
                </w:tcPr>
                <w:p w14:paraId="30191B7A"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-16</w:t>
                  </w:r>
                </w:p>
              </w:tc>
            </w:tr>
            <w:tr w:rsidR="005F2B11" w:rsidRPr="00D82C8D" w14:paraId="1FE5E6B0" w14:textId="77777777" w:rsidTr="00FE4C9D">
              <w:trPr>
                <w:trHeight w:val="300"/>
              </w:trPr>
              <w:tc>
                <w:tcPr>
                  <w:tcW w:w="2386" w:type="dxa"/>
                  <w:shd w:val="clear" w:color="auto" w:fill="auto"/>
                  <w:noWrap/>
                  <w:vAlign w:val="center"/>
                  <w:hideMark/>
                </w:tcPr>
                <w:p w14:paraId="0378A193"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ZnCl</w:t>
                  </w:r>
                  <w:r w:rsidRPr="00D82C8D">
                    <w:rPr>
                      <w:rFonts w:asciiTheme="majorBidi" w:hAnsiTheme="majorBidi" w:cstheme="majorBidi"/>
                      <w:color w:val="000000"/>
                      <w:sz w:val="24"/>
                      <w:szCs w:val="24"/>
                      <w:vertAlign w:val="subscript"/>
                    </w:rPr>
                    <w:t>2,</w:t>
                  </w:r>
                </w:p>
              </w:tc>
              <w:tc>
                <w:tcPr>
                  <w:tcW w:w="1069" w:type="dxa"/>
                  <w:shd w:val="clear" w:color="auto" w:fill="auto"/>
                  <w:noWrap/>
                  <w:vAlign w:val="center"/>
                  <w:hideMark/>
                </w:tcPr>
                <w:p w14:paraId="45DB346E"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293</w:t>
                  </w:r>
                </w:p>
              </w:tc>
              <w:tc>
                <w:tcPr>
                  <w:tcW w:w="2162" w:type="dxa"/>
                  <w:shd w:val="clear" w:color="auto" w:fill="auto"/>
                  <w:noWrap/>
                  <w:vAlign w:val="center"/>
                  <w:hideMark/>
                </w:tcPr>
                <w:p w14:paraId="05774A5D"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Ethylene glycol</w:t>
                  </w:r>
                </w:p>
              </w:tc>
              <w:tc>
                <w:tcPr>
                  <w:tcW w:w="907" w:type="dxa"/>
                  <w:shd w:val="clear" w:color="auto" w:fill="auto"/>
                  <w:noWrap/>
                  <w:vAlign w:val="center"/>
                  <w:hideMark/>
                </w:tcPr>
                <w:p w14:paraId="4C6C8290"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-12.9</w:t>
                  </w:r>
                </w:p>
              </w:tc>
              <w:tc>
                <w:tcPr>
                  <w:tcW w:w="2093" w:type="dxa"/>
                  <w:shd w:val="clear" w:color="auto" w:fill="auto"/>
                  <w:noWrap/>
                  <w:vAlign w:val="bottom"/>
                  <w:hideMark/>
                </w:tcPr>
                <w:p w14:paraId="79D9B1AA" w14:textId="77777777" w:rsidR="005F2B11" w:rsidRPr="00D82C8D" w:rsidRDefault="005F2B11" w:rsidP="00FE4C9D">
                  <w:pPr>
                    <w:spacing w:line="276" w:lineRule="auto"/>
                    <w:jc w:val="both"/>
                    <w:rPr>
                      <w:rFonts w:asciiTheme="majorBidi" w:hAnsiTheme="majorBidi" w:cstheme="majorBidi"/>
                      <w:color w:val="000000"/>
                      <w:sz w:val="24"/>
                      <w:szCs w:val="24"/>
                    </w:rPr>
                  </w:pPr>
                </w:p>
              </w:tc>
              <w:tc>
                <w:tcPr>
                  <w:tcW w:w="908" w:type="dxa"/>
                  <w:shd w:val="clear" w:color="auto" w:fill="auto"/>
                  <w:noWrap/>
                  <w:vAlign w:val="center"/>
                  <w:hideMark/>
                </w:tcPr>
                <w:p w14:paraId="2F81C16B"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-30</w:t>
                  </w:r>
                </w:p>
              </w:tc>
            </w:tr>
            <w:tr w:rsidR="005F2B11" w:rsidRPr="00D82C8D" w14:paraId="0443B506" w14:textId="77777777" w:rsidTr="00FE4C9D">
              <w:trPr>
                <w:trHeight w:val="300"/>
              </w:trPr>
              <w:tc>
                <w:tcPr>
                  <w:tcW w:w="2386" w:type="dxa"/>
                  <w:shd w:val="clear" w:color="auto" w:fill="auto"/>
                  <w:noWrap/>
                  <w:vAlign w:val="center"/>
                  <w:hideMark/>
                </w:tcPr>
                <w:p w14:paraId="51CFA5FC"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ZnCl</w:t>
                  </w:r>
                  <w:r w:rsidRPr="00D82C8D">
                    <w:rPr>
                      <w:rFonts w:asciiTheme="majorBidi" w:hAnsiTheme="majorBidi" w:cstheme="majorBidi"/>
                      <w:color w:val="000000"/>
                      <w:sz w:val="24"/>
                      <w:szCs w:val="24"/>
                      <w:vertAlign w:val="subscript"/>
                    </w:rPr>
                    <w:t>2,</w:t>
                  </w:r>
                </w:p>
              </w:tc>
              <w:tc>
                <w:tcPr>
                  <w:tcW w:w="1069" w:type="dxa"/>
                  <w:shd w:val="clear" w:color="auto" w:fill="auto"/>
                  <w:noWrap/>
                  <w:vAlign w:val="center"/>
                  <w:hideMark/>
                </w:tcPr>
                <w:p w14:paraId="261F894B"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293</w:t>
                  </w:r>
                </w:p>
              </w:tc>
              <w:tc>
                <w:tcPr>
                  <w:tcW w:w="2162" w:type="dxa"/>
                  <w:shd w:val="clear" w:color="auto" w:fill="auto"/>
                  <w:noWrap/>
                  <w:vAlign w:val="center"/>
                  <w:hideMark/>
                </w:tcPr>
                <w:p w14:paraId="22E2C66F"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hexanediol</w:t>
                  </w:r>
                </w:p>
              </w:tc>
              <w:tc>
                <w:tcPr>
                  <w:tcW w:w="907" w:type="dxa"/>
                  <w:shd w:val="clear" w:color="auto" w:fill="auto"/>
                  <w:noWrap/>
                  <w:vAlign w:val="center"/>
                  <w:hideMark/>
                </w:tcPr>
                <w:p w14:paraId="70E34F09"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42</w:t>
                  </w:r>
                </w:p>
              </w:tc>
              <w:tc>
                <w:tcPr>
                  <w:tcW w:w="2093" w:type="dxa"/>
                  <w:shd w:val="clear" w:color="auto" w:fill="auto"/>
                  <w:noWrap/>
                  <w:vAlign w:val="bottom"/>
                  <w:hideMark/>
                </w:tcPr>
                <w:p w14:paraId="5B5C0DBF" w14:textId="77777777" w:rsidR="005F2B11" w:rsidRPr="00D82C8D" w:rsidRDefault="005F2B11" w:rsidP="00FE4C9D">
                  <w:pPr>
                    <w:spacing w:line="276" w:lineRule="auto"/>
                    <w:jc w:val="both"/>
                    <w:rPr>
                      <w:rFonts w:asciiTheme="majorBidi" w:hAnsiTheme="majorBidi" w:cstheme="majorBidi"/>
                      <w:color w:val="000000"/>
                      <w:sz w:val="24"/>
                      <w:szCs w:val="24"/>
                    </w:rPr>
                  </w:pPr>
                </w:p>
              </w:tc>
              <w:tc>
                <w:tcPr>
                  <w:tcW w:w="908" w:type="dxa"/>
                  <w:shd w:val="clear" w:color="auto" w:fill="auto"/>
                  <w:noWrap/>
                  <w:vAlign w:val="center"/>
                  <w:hideMark/>
                </w:tcPr>
                <w:p w14:paraId="75882D6D"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-23</w:t>
                  </w:r>
                </w:p>
              </w:tc>
            </w:tr>
            <w:tr w:rsidR="005F2B11" w:rsidRPr="00D82C8D" w14:paraId="1E303806" w14:textId="77777777" w:rsidTr="00FE4C9D">
              <w:trPr>
                <w:trHeight w:val="300"/>
              </w:trPr>
              <w:tc>
                <w:tcPr>
                  <w:tcW w:w="2386" w:type="dxa"/>
                  <w:shd w:val="clear" w:color="auto" w:fill="auto"/>
                  <w:noWrap/>
                  <w:vAlign w:val="center"/>
                  <w:hideMark/>
                </w:tcPr>
                <w:p w14:paraId="34845590"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Benzyl triphenyl phosphonium chloride</w:t>
                  </w:r>
                </w:p>
              </w:tc>
              <w:tc>
                <w:tcPr>
                  <w:tcW w:w="1069" w:type="dxa"/>
                  <w:shd w:val="clear" w:color="auto" w:fill="auto"/>
                  <w:noWrap/>
                  <w:vAlign w:val="center"/>
                  <w:hideMark/>
                </w:tcPr>
                <w:p w14:paraId="53D3397F"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345-347</w:t>
                  </w:r>
                </w:p>
              </w:tc>
              <w:tc>
                <w:tcPr>
                  <w:tcW w:w="2162" w:type="dxa"/>
                  <w:shd w:val="clear" w:color="auto" w:fill="auto"/>
                  <w:noWrap/>
                  <w:vAlign w:val="center"/>
                  <w:hideMark/>
                </w:tcPr>
                <w:p w14:paraId="6951A236"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Glycerol</w:t>
                  </w:r>
                </w:p>
              </w:tc>
              <w:tc>
                <w:tcPr>
                  <w:tcW w:w="907" w:type="dxa"/>
                  <w:shd w:val="clear" w:color="auto" w:fill="auto"/>
                  <w:noWrap/>
                  <w:vAlign w:val="center"/>
                  <w:hideMark/>
                </w:tcPr>
                <w:p w14:paraId="7BC8F317"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17.8</w:t>
                  </w:r>
                </w:p>
              </w:tc>
              <w:tc>
                <w:tcPr>
                  <w:tcW w:w="2093" w:type="dxa"/>
                  <w:shd w:val="clear" w:color="auto" w:fill="auto"/>
                  <w:noWrap/>
                  <w:vAlign w:val="bottom"/>
                  <w:hideMark/>
                </w:tcPr>
                <w:p w14:paraId="6722B4C3" w14:textId="77777777" w:rsidR="005F2B11" w:rsidRPr="00D82C8D" w:rsidRDefault="005F2B11" w:rsidP="00FE4C9D">
                  <w:pPr>
                    <w:spacing w:line="276" w:lineRule="auto"/>
                    <w:jc w:val="both"/>
                    <w:rPr>
                      <w:rFonts w:asciiTheme="majorBidi" w:hAnsiTheme="majorBidi" w:cstheme="majorBidi"/>
                      <w:color w:val="000000"/>
                      <w:sz w:val="24"/>
                      <w:szCs w:val="24"/>
                    </w:rPr>
                  </w:pPr>
                </w:p>
              </w:tc>
              <w:tc>
                <w:tcPr>
                  <w:tcW w:w="908" w:type="dxa"/>
                  <w:shd w:val="clear" w:color="auto" w:fill="auto"/>
                  <w:noWrap/>
                  <w:vAlign w:val="center"/>
                  <w:hideMark/>
                </w:tcPr>
                <w:p w14:paraId="397D7CF9"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50.36</w:t>
                  </w:r>
                </w:p>
              </w:tc>
            </w:tr>
            <w:tr w:rsidR="005F2B11" w:rsidRPr="00D82C8D" w14:paraId="450E9EDF" w14:textId="77777777" w:rsidTr="00FE4C9D">
              <w:trPr>
                <w:trHeight w:val="300"/>
              </w:trPr>
              <w:tc>
                <w:tcPr>
                  <w:tcW w:w="2386" w:type="dxa"/>
                  <w:shd w:val="clear" w:color="auto" w:fill="auto"/>
                  <w:noWrap/>
                  <w:vAlign w:val="center"/>
                  <w:hideMark/>
                </w:tcPr>
                <w:p w14:paraId="3AE1F04F"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Benzyl triphenyl phosphonium chloride</w:t>
                  </w:r>
                </w:p>
              </w:tc>
              <w:tc>
                <w:tcPr>
                  <w:tcW w:w="1069" w:type="dxa"/>
                  <w:shd w:val="clear" w:color="auto" w:fill="auto"/>
                  <w:noWrap/>
                  <w:vAlign w:val="center"/>
                  <w:hideMark/>
                </w:tcPr>
                <w:p w14:paraId="08CCCE09"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345-347</w:t>
                  </w:r>
                </w:p>
              </w:tc>
              <w:tc>
                <w:tcPr>
                  <w:tcW w:w="2162" w:type="dxa"/>
                  <w:shd w:val="clear" w:color="auto" w:fill="auto"/>
                  <w:noWrap/>
                  <w:vAlign w:val="center"/>
                  <w:hideMark/>
                </w:tcPr>
                <w:p w14:paraId="3408DFC0"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Ethylene glycol</w:t>
                  </w:r>
                </w:p>
              </w:tc>
              <w:tc>
                <w:tcPr>
                  <w:tcW w:w="907" w:type="dxa"/>
                  <w:shd w:val="clear" w:color="auto" w:fill="auto"/>
                  <w:noWrap/>
                  <w:vAlign w:val="center"/>
                  <w:hideMark/>
                </w:tcPr>
                <w:p w14:paraId="537C903B"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-12.9</w:t>
                  </w:r>
                </w:p>
              </w:tc>
              <w:tc>
                <w:tcPr>
                  <w:tcW w:w="2093" w:type="dxa"/>
                  <w:shd w:val="clear" w:color="auto" w:fill="auto"/>
                  <w:noWrap/>
                  <w:vAlign w:val="bottom"/>
                  <w:hideMark/>
                </w:tcPr>
                <w:p w14:paraId="6CB60C36" w14:textId="77777777" w:rsidR="005F2B11" w:rsidRPr="00D82C8D" w:rsidRDefault="005F2B11" w:rsidP="00FE4C9D">
                  <w:pPr>
                    <w:spacing w:line="276" w:lineRule="auto"/>
                    <w:jc w:val="both"/>
                    <w:rPr>
                      <w:rFonts w:asciiTheme="majorBidi" w:hAnsiTheme="majorBidi" w:cstheme="majorBidi"/>
                      <w:color w:val="000000"/>
                      <w:sz w:val="24"/>
                      <w:szCs w:val="24"/>
                    </w:rPr>
                  </w:pPr>
                </w:p>
              </w:tc>
              <w:tc>
                <w:tcPr>
                  <w:tcW w:w="908" w:type="dxa"/>
                  <w:shd w:val="clear" w:color="auto" w:fill="auto"/>
                  <w:noWrap/>
                  <w:vAlign w:val="center"/>
                  <w:hideMark/>
                </w:tcPr>
                <w:p w14:paraId="1EFF5939"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47.91</w:t>
                  </w:r>
                </w:p>
              </w:tc>
            </w:tr>
            <w:tr w:rsidR="005F2B11" w:rsidRPr="00D82C8D" w14:paraId="5F9B2144" w14:textId="77777777" w:rsidTr="00FE4C9D">
              <w:trPr>
                <w:trHeight w:val="300"/>
              </w:trPr>
              <w:tc>
                <w:tcPr>
                  <w:tcW w:w="2386" w:type="dxa"/>
                  <w:shd w:val="clear" w:color="auto" w:fill="auto"/>
                  <w:noWrap/>
                  <w:vAlign w:val="center"/>
                  <w:hideMark/>
                </w:tcPr>
                <w:p w14:paraId="5CF1AF92"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Benzyl triphenyl phosphonium chloride</w:t>
                  </w:r>
                </w:p>
              </w:tc>
              <w:tc>
                <w:tcPr>
                  <w:tcW w:w="1069" w:type="dxa"/>
                  <w:shd w:val="clear" w:color="auto" w:fill="auto"/>
                  <w:noWrap/>
                  <w:vAlign w:val="center"/>
                  <w:hideMark/>
                </w:tcPr>
                <w:p w14:paraId="3EE956B8"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345-347</w:t>
                  </w:r>
                </w:p>
              </w:tc>
              <w:tc>
                <w:tcPr>
                  <w:tcW w:w="2162" w:type="dxa"/>
                  <w:shd w:val="clear" w:color="auto" w:fill="auto"/>
                  <w:noWrap/>
                  <w:vAlign w:val="center"/>
                  <w:hideMark/>
                </w:tcPr>
                <w:p w14:paraId="18B0B327"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 xml:space="preserve">2,2,2-trifluoroacetamide </w:t>
                  </w:r>
                </w:p>
              </w:tc>
              <w:tc>
                <w:tcPr>
                  <w:tcW w:w="907" w:type="dxa"/>
                  <w:shd w:val="clear" w:color="auto" w:fill="auto"/>
                  <w:noWrap/>
                  <w:vAlign w:val="center"/>
                  <w:hideMark/>
                </w:tcPr>
                <w:p w14:paraId="4DD59EA2"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73-75</w:t>
                  </w:r>
                </w:p>
              </w:tc>
              <w:tc>
                <w:tcPr>
                  <w:tcW w:w="2093" w:type="dxa"/>
                  <w:shd w:val="clear" w:color="auto" w:fill="auto"/>
                  <w:noWrap/>
                  <w:vAlign w:val="bottom"/>
                  <w:hideMark/>
                </w:tcPr>
                <w:p w14:paraId="173380ED" w14:textId="77777777" w:rsidR="005F2B11" w:rsidRPr="00D82C8D" w:rsidRDefault="005F2B11" w:rsidP="00FE4C9D">
                  <w:pPr>
                    <w:spacing w:line="276" w:lineRule="auto"/>
                    <w:jc w:val="both"/>
                    <w:rPr>
                      <w:rFonts w:asciiTheme="majorBidi" w:hAnsiTheme="majorBidi" w:cstheme="majorBidi"/>
                      <w:color w:val="000000"/>
                      <w:sz w:val="24"/>
                      <w:szCs w:val="24"/>
                    </w:rPr>
                  </w:pPr>
                </w:p>
              </w:tc>
              <w:tc>
                <w:tcPr>
                  <w:tcW w:w="908" w:type="dxa"/>
                  <w:shd w:val="clear" w:color="auto" w:fill="auto"/>
                  <w:noWrap/>
                  <w:vAlign w:val="center"/>
                  <w:hideMark/>
                </w:tcPr>
                <w:p w14:paraId="2DE5AFEF"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99.72</w:t>
                  </w:r>
                </w:p>
              </w:tc>
            </w:tr>
          </w:tbl>
          <w:p w14:paraId="5D580571" w14:textId="77777777" w:rsidR="005F2B11" w:rsidRDefault="005F2B11" w:rsidP="00FE4C9D"/>
        </w:tc>
      </w:tr>
    </w:tbl>
    <w:p w14:paraId="65858312" w14:textId="77777777" w:rsidR="005F2B11" w:rsidRPr="0007730C" w:rsidRDefault="005F2B11" w:rsidP="005F2B11">
      <w:pPr>
        <w:spacing w:line="276" w:lineRule="auto"/>
        <w:jc w:val="both"/>
        <w:rPr>
          <w:rFonts w:asciiTheme="majorBidi" w:hAnsiTheme="majorBidi" w:cstheme="majorBidi"/>
          <w:b/>
          <w:bCs/>
          <w:color w:val="000000"/>
          <w:sz w:val="24"/>
          <w:szCs w:val="24"/>
        </w:rPr>
      </w:pPr>
    </w:p>
    <w:p w14:paraId="4E0233A3" w14:textId="77777777" w:rsidR="005F2B11" w:rsidRPr="0007730C" w:rsidRDefault="005F2B11" w:rsidP="005F2B11">
      <w:pPr>
        <w:spacing w:line="276" w:lineRule="auto"/>
        <w:jc w:val="both"/>
        <w:rPr>
          <w:rFonts w:asciiTheme="majorBidi" w:hAnsiTheme="majorBidi" w:cstheme="majorBidi"/>
          <w:b/>
          <w:bCs/>
          <w:color w:val="000000"/>
          <w:sz w:val="24"/>
          <w:szCs w:val="24"/>
        </w:rPr>
      </w:pPr>
      <w:r w:rsidRPr="0007730C">
        <w:rPr>
          <w:rFonts w:asciiTheme="majorBidi" w:hAnsiTheme="majorBidi" w:cstheme="majorBidi"/>
          <w:b/>
          <w:bCs/>
          <w:color w:val="000000"/>
          <w:sz w:val="24"/>
          <w:szCs w:val="24"/>
        </w:rPr>
        <w:t xml:space="preserve">4.7 </w:t>
      </w:r>
      <w:r w:rsidRPr="0007730C">
        <w:rPr>
          <w:rFonts w:asciiTheme="majorBidi" w:hAnsiTheme="majorBidi" w:cstheme="majorBidi"/>
          <w:b/>
          <w:bCs/>
          <w:sz w:val="24"/>
          <w:szCs w:val="24"/>
        </w:rPr>
        <w:t xml:space="preserve">Green credentials </w:t>
      </w:r>
    </w:p>
    <w:p w14:paraId="6DAFB34E" w14:textId="70A13BCC" w:rsidR="005F2B11" w:rsidRPr="00AF3460" w:rsidRDefault="00AF3460" w:rsidP="005F2B11">
      <w:pPr>
        <w:spacing w:line="276" w:lineRule="auto"/>
        <w:jc w:val="both"/>
        <w:rPr>
          <w:rFonts w:asciiTheme="majorBidi" w:hAnsiTheme="majorBidi" w:cstheme="majorBidi"/>
          <w:sz w:val="24"/>
          <w:szCs w:val="24"/>
        </w:rPr>
      </w:pPr>
      <w:r w:rsidRPr="00AF3460">
        <w:rPr>
          <w:rFonts w:asciiTheme="majorBidi" w:hAnsiTheme="majorBidi" w:cstheme="majorBidi"/>
          <w:color w:val="000000" w:themeColor="text1"/>
          <w:sz w:val="24"/>
          <w:szCs w:val="24"/>
        </w:rPr>
        <w:t>An eco-friendly substitute for numerous conventional ionic liquids (ILs) could be provided by deep eutectic solvents (DESs). Because of their distinct qualities—such as their non-flammability, lower toxicity, recyclable nature, environmental friendliness, and biodegradability—deep eutectic solvents (DESs) have a notably greater environmental impact than other ionic liquids</w:t>
      </w:r>
      <w:r>
        <w:rPr>
          <w:rFonts w:asciiTheme="majorBidi" w:hAnsiTheme="majorBidi" w:cstheme="majorBidi"/>
          <w:sz w:val="24"/>
          <w:szCs w:val="24"/>
        </w:rPr>
        <w:t xml:space="preserve"> [</w:t>
      </w:r>
      <w:r w:rsidR="005F2B11">
        <w:rPr>
          <w:rFonts w:asciiTheme="majorBidi" w:hAnsiTheme="majorBidi" w:cstheme="majorBidi"/>
          <w:sz w:val="24"/>
          <w:szCs w:val="24"/>
        </w:rPr>
        <w:t>18]</w:t>
      </w:r>
      <w:r>
        <w:rPr>
          <w:rFonts w:asciiTheme="majorBidi" w:hAnsiTheme="majorBidi" w:cstheme="majorBidi"/>
          <w:sz w:val="24"/>
          <w:szCs w:val="24"/>
        </w:rPr>
        <w:t xml:space="preserve">. </w:t>
      </w:r>
    </w:p>
    <w:p w14:paraId="087EB080" w14:textId="77777777" w:rsidR="005F2B11" w:rsidRPr="0007730C" w:rsidRDefault="005F2B11" w:rsidP="005F2B11">
      <w:pPr>
        <w:spacing w:line="276" w:lineRule="auto"/>
        <w:jc w:val="both"/>
        <w:rPr>
          <w:rFonts w:asciiTheme="majorBidi" w:hAnsiTheme="majorBidi" w:cstheme="majorBidi"/>
          <w:sz w:val="24"/>
          <w:szCs w:val="24"/>
        </w:rPr>
      </w:pPr>
      <w:r w:rsidRPr="0007730C">
        <w:rPr>
          <w:rFonts w:asciiTheme="majorBidi" w:hAnsiTheme="majorBidi" w:cstheme="majorBidi"/>
          <w:b/>
          <w:bCs/>
          <w:color w:val="000000"/>
          <w:sz w:val="24"/>
          <w:szCs w:val="24"/>
        </w:rPr>
        <w:t xml:space="preserve">5. Applications of the deep eutectic solvents </w:t>
      </w:r>
      <w:r>
        <w:rPr>
          <w:rFonts w:asciiTheme="majorBidi" w:hAnsiTheme="majorBidi" w:cstheme="majorBidi"/>
          <w:b/>
          <w:bCs/>
          <w:color w:val="000000"/>
          <w:sz w:val="24"/>
          <w:szCs w:val="24"/>
        </w:rPr>
        <w:t>(DESs)</w:t>
      </w:r>
    </w:p>
    <w:p w14:paraId="7F45C708" w14:textId="224A4057" w:rsidR="005F2B11" w:rsidRPr="0007730C" w:rsidRDefault="005F2B11" w:rsidP="005F2B11">
      <w:pPr>
        <w:spacing w:line="276" w:lineRule="auto"/>
        <w:contextualSpacing/>
        <w:jc w:val="both"/>
        <w:rPr>
          <w:rFonts w:asciiTheme="majorBidi" w:hAnsiTheme="majorBidi" w:cstheme="majorBidi"/>
          <w:noProof/>
          <w:sz w:val="24"/>
          <w:szCs w:val="24"/>
        </w:rPr>
      </w:pPr>
      <w:r w:rsidRPr="00043B68">
        <w:rPr>
          <w:rFonts w:asciiTheme="majorBidi" w:hAnsiTheme="majorBidi" w:cstheme="majorBidi"/>
          <w:sz w:val="24"/>
          <w:szCs w:val="24"/>
        </w:rPr>
        <w:t xml:space="preserve">The Deep Eutectic Solvents (DESs) are particularly beneficial for scientists and researchers who do continual research to understand its importance. The statistics for research article publishing are displayed in Graph 1. "Deep eutectic solvents" (DESs) are becoming more and more popular as highly sustainable, distinctive, and ecologically friendly solvents due to their non-toxic, reasonably priced, and recyclable makeup. Ionic liquids (ILs) and deep eutectic solvents (DESs) are wonderful materials with many </w:t>
      </w:r>
      <w:r w:rsidR="00AF3460" w:rsidRPr="00043B68">
        <w:rPr>
          <w:rFonts w:asciiTheme="majorBidi" w:hAnsiTheme="majorBidi" w:cstheme="majorBidi"/>
          <w:sz w:val="24"/>
          <w:szCs w:val="24"/>
        </w:rPr>
        <w:t>benefits;</w:t>
      </w:r>
      <w:r w:rsidRPr="00043B68">
        <w:rPr>
          <w:rFonts w:asciiTheme="majorBidi" w:hAnsiTheme="majorBidi" w:cstheme="majorBidi"/>
          <w:sz w:val="24"/>
          <w:szCs w:val="24"/>
        </w:rPr>
        <w:t xml:space="preserve"> </w:t>
      </w:r>
      <w:r w:rsidR="00AF3460" w:rsidRPr="00043B68">
        <w:rPr>
          <w:rFonts w:asciiTheme="majorBidi" w:hAnsiTheme="majorBidi" w:cstheme="majorBidi"/>
          <w:sz w:val="24"/>
          <w:szCs w:val="24"/>
        </w:rPr>
        <w:t>however,</w:t>
      </w:r>
      <w:r w:rsidRPr="00043B68">
        <w:rPr>
          <w:rFonts w:asciiTheme="majorBidi" w:hAnsiTheme="majorBidi" w:cstheme="majorBidi"/>
          <w:sz w:val="24"/>
          <w:szCs w:val="24"/>
        </w:rPr>
        <w:t xml:space="preserve"> they are not necessarily environmentally friendly. A brand-new family of ionic liquids (ILs) has been created in the search for materials that are less hazardous and biodegradable [19]. Deep eutectic solvents (DESs) have been employed extensively in polymer research as solvents, functional additives, and monomers to synthesise polymers. In-depth discussion of the possibilities and uses of deep eutectic solvents (DESs) in material science can be found below</w:t>
      </w:r>
      <w:r>
        <w:rPr>
          <w:rFonts w:asciiTheme="majorBidi" w:hAnsiTheme="majorBidi" w:cstheme="majorBidi"/>
          <w:sz w:val="24"/>
          <w:szCs w:val="24"/>
        </w:rPr>
        <w:t xml:space="preserve">, </w:t>
      </w:r>
    </w:p>
    <w:p w14:paraId="32F18860" w14:textId="77777777" w:rsidR="005F2B11" w:rsidRPr="0007730C" w:rsidRDefault="005F2B11" w:rsidP="005F2B11">
      <w:pPr>
        <w:spacing w:line="276" w:lineRule="auto"/>
        <w:contextualSpacing/>
        <w:jc w:val="both"/>
        <w:rPr>
          <w:rFonts w:asciiTheme="majorBidi" w:hAnsiTheme="majorBidi" w:cstheme="majorBidi"/>
          <w:noProof/>
          <w:sz w:val="24"/>
          <w:szCs w:val="24"/>
        </w:rPr>
      </w:pPr>
    </w:p>
    <w:p w14:paraId="7709981F" w14:textId="77777777" w:rsidR="005F2B11" w:rsidRPr="0007730C" w:rsidRDefault="005F2B11" w:rsidP="005F2B11">
      <w:pPr>
        <w:spacing w:line="276" w:lineRule="auto"/>
        <w:contextualSpacing/>
        <w:jc w:val="both"/>
        <w:rPr>
          <w:rFonts w:asciiTheme="majorBidi" w:hAnsiTheme="majorBidi" w:cstheme="majorBidi"/>
          <w:sz w:val="24"/>
          <w:szCs w:val="24"/>
        </w:rPr>
      </w:pPr>
      <w:r w:rsidRPr="0007730C">
        <w:rPr>
          <w:rFonts w:asciiTheme="majorBidi" w:hAnsiTheme="majorBidi" w:cstheme="majorBidi"/>
          <w:noProof/>
          <w:sz w:val="24"/>
          <w:szCs w:val="24"/>
        </w:rPr>
        <w:lastRenderedPageBreak/>
        <w:drawing>
          <wp:inline distT="0" distB="0" distL="0" distR="0" wp14:anchorId="300A6F71" wp14:editId="1B62214A">
            <wp:extent cx="6191885" cy="4643755"/>
            <wp:effectExtent l="0" t="0" r="0" b="4445"/>
            <wp:docPr id="1868242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242571" name="Picture 1868242571"/>
                    <pic:cNvPicPr/>
                  </pic:nvPicPr>
                  <pic:blipFill>
                    <a:blip r:embed="rId11">
                      <a:extLst>
                        <a:ext uri="{28A0092B-C50C-407E-A947-70E740481C1C}">
                          <a14:useLocalDpi xmlns:a14="http://schemas.microsoft.com/office/drawing/2010/main" val="0"/>
                        </a:ext>
                      </a:extLst>
                    </a:blip>
                    <a:stretch>
                      <a:fillRect/>
                    </a:stretch>
                  </pic:blipFill>
                  <pic:spPr>
                    <a:xfrm>
                      <a:off x="0" y="0"/>
                      <a:ext cx="6191885" cy="4643755"/>
                    </a:xfrm>
                    <a:prstGeom prst="rect">
                      <a:avLst/>
                    </a:prstGeom>
                  </pic:spPr>
                </pic:pic>
              </a:graphicData>
            </a:graphic>
          </wp:inline>
        </w:drawing>
      </w:r>
    </w:p>
    <w:p w14:paraId="461DE7E1" w14:textId="77777777" w:rsidR="005F2B11" w:rsidRPr="0007730C" w:rsidRDefault="005F2B11" w:rsidP="005F2B11">
      <w:pPr>
        <w:spacing w:line="276" w:lineRule="auto"/>
        <w:contextualSpacing/>
        <w:jc w:val="both"/>
        <w:rPr>
          <w:rFonts w:asciiTheme="majorBidi" w:hAnsiTheme="majorBidi" w:cstheme="majorBidi"/>
          <w:b/>
          <w:bCs/>
          <w:sz w:val="24"/>
          <w:szCs w:val="24"/>
        </w:rPr>
      </w:pPr>
    </w:p>
    <w:p w14:paraId="04557E14" w14:textId="77777777" w:rsidR="005F2B11" w:rsidRDefault="005F2B11" w:rsidP="005F2B11">
      <w:pPr>
        <w:spacing w:line="276" w:lineRule="auto"/>
        <w:contextualSpacing/>
        <w:jc w:val="both"/>
        <w:rPr>
          <w:rFonts w:asciiTheme="majorBidi" w:hAnsiTheme="majorBidi" w:cstheme="majorBidi"/>
          <w:b/>
          <w:bCs/>
          <w:sz w:val="24"/>
          <w:szCs w:val="24"/>
        </w:rPr>
        <w:sectPr w:rsidR="005F2B11" w:rsidSect="00267072">
          <w:footnotePr>
            <w:pos w:val="beneathText"/>
            <w:numFmt w:val="lowerLetter"/>
          </w:footnotePr>
          <w:type w:val="continuous"/>
          <w:pgSz w:w="11905" w:h="16837" w:code="9"/>
          <w:pgMar w:top="1418" w:right="1077" w:bottom="1134" w:left="1077" w:header="680" w:footer="680" w:gutter="0"/>
          <w:cols w:space="454"/>
          <w:titlePg/>
          <w:docGrid w:linePitch="360"/>
        </w:sectPr>
      </w:pPr>
    </w:p>
    <w:p w14:paraId="5ED288D9" w14:textId="77777777" w:rsidR="005F2B11" w:rsidRPr="0007730C" w:rsidRDefault="005F2B11" w:rsidP="005F2B11">
      <w:pPr>
        <w:spacing w:line="276" w:lineRule="auto"/>
        <w:contextualSpacing/>
        <w:jc w:val="both"/>
        <w:rPr>
          <w:rFonts w:asciiTheme="majorBidi" w:hAnsiTheme="majorBidi" w:cstheme="majorBidi"/>
          <w:b/>
          <w:bCs/>
          <w:sz w:val="24"/>
          <w:szCs w:val="24"/>
        </w:rPr>
      </w:pPr>
      <w:r w:rsidRPr="0007730C">
        <w:rPr>
          <w:rFonts w:asciiTheme="majorBidi" w:hAnsiTheme="majorBidi" w:cstheme="majorBidi"/>
          <w:b/>
          <w:bCs/>
          <w:sz w:val="24"/>
          <w:szCs w:val="24"/>
        </w:rPr>
        <w:t>Fig: Application of the “deep eutectic solvents” (DESs).</w:t>
      </w:r>
    </w:p>
    <w:p w14:paraId="4DD8E6E4" w14:textId="77777777" w:rsidR="005F2B11" w:rsidRPr="0007730C" w:rsidRDefault="005F2B11" w:rsidP="005F2B11">
      <w:pPr>
        <w:spacing w:line="276" w:lineRule="auto"/>
        <w:contextualSpacing/>
        <w:jc w:val="both"/>
        <w:rPr>
          <w:rFonts w:asciiTheme="majorBidi" w:hAnsiTheme="majorBidi" w:cstheme="majorBidi"/>
          <w:b/>
          <w:bCs/>
          <w:sz w:val="24"/>
          <w:szCs w:val="24"/>
        </w:rPr>
      </w:pPr>
    </w:p>
    <w:p w14:paraId="151E8E8D" w14:textId="77777777" w:rsidR="005F2B11" w:rsidRPr="0007730C" w:rsidRDefault="005F2B11" w:rsidP="005F2B11">
      <w:pPr>
        <w:spacing w:line="276" w:lineRule="auto"/>
        <w:contextualSpacing/>
        <w:jc w:val="both"/>
        <w:rPr>
          <w:rFonts w:asciiTheme="majorBidi" w:hAnsiTheme="majorBidi" w:cstheme="majorBidi"/>
          <w:b/>
          <w:bCs/>
          <w:sz w:val="24"/>
          <w:szCs w:val="24"/>
        </w:rPr>
      </w:pPr>
      <w:r w:rsidRPr="0007730C">
        <w:rPr>
          <w:rFonts w:asciiTheme="majorBidi" w:hAnsiTheme="majorBidi" w:cstheme="majorBidi"/>
          <w:b/>
          <w:bCs/>
          <w:sz w:val="24"/>
          <w:szCs w:val="24"/>
        </w:rPr>
        <w:t xml:space="preserve">The interesting applications of the “deep eutectic solvents” (DESs) are following: - </w:t>
      </w:r>
    </w:p>
    <w:p w14:paraId="504F62E8" w14:textId="77777777" w:rsidR="005F2B11" w:rsidRPr="0007730C" w:rsidRDefault="005F2B11" w:rsidP="005F2B11">
      <w:pPr>
        <w:spacing w:line="276" w:lineRule="auto"/>
        <w:contextualSpacing/>
        <w:jc w:val="both"/>
        <w:rPr>
          <w:rFonts w:asciiTheme="majorBidi" w:hAnsiTheme="majorBidi" w:cstheme="majorBidi"/>
          <w:noProof/>
          <w:sz w:val="24"/>
          <w:szCs w:val="24"/>
        </w:rPr>
        <w:sectPr w:rsidR="005F2B11" w:rsidRPr="0007730C" w:rsidSect="00C205D6">
          <w:footnotePr>
            <w:pos w:val="beneathText"/>
            <w:numFmt w:val="lowerLetter"/>
          </w:footnotePr>
          <w:type w:val="continuous"/>
          <w:pgSz w:w="11905" w:h="16837" w:code="9"/>
          <w:pgMar w:top="1418" w:right="1077" w:bottom="1134" w:left="1077" w:header="680" w:footer="680" w:gutter="0"/>
          <w:cols w:space="454"/>
          <w:titlePg/>
          <w:docGrid w:linePitch="360"/>
        </w:sectPr>
      </w:pPr>
      <w:bookmarkStart w:id="0" w:name="_Hlk86735768"/>
    </w:p>
    <w:p w14:paraId="10923427" w14:textId="77777777" w:rsidR="005F2B11" w:rsidRPr="00D7743E" w:rsidRDefault="005F2B11" w:rsidP="005F2B11">
      <w:pPr>
        <w:pStyle w:val="ListParagraph"/>
        <w:numPr>
          <w:ilvl w:val="0"/>
          <w:numId w:val="10"/>
        </w:numPr>
        <w:rPr>
          <w:rFonts w:asciiTheme="majorBidi" w:hAnsiTheme="majorBidi" w:cstheme="majorBidi"/>
          <w:noProof/>
        </w:rPr>
      </w:pPr>
      <w:r w:rsidRPr="00D7743E">
        <w:rPr>
          <w:rFonts w:asciiTheme="majorBidi" w:hAnsiTheme="majorBidi" w:cstheme="majorBidi"/>
          <w:noProof/>
        </w:rPr>
        <w:t>Metal processing applications</w:t>
      </w:r>
    </w:p>
    <w:p w14:paraId="53E775C9" w14:textId="77777777" w:rsidR="005F2B11" w:rsidRPr="00D7743E" w:rsidRDefault="005F2B11" w:rsidP="005F2B11">
      <w:pPr>
        <w:pStyle w:val="ListParagraph"/>
        <w:numPr>
          <w:ilvl w:val="0"/>
          <w:numId w:val="10"/>
        </w:numPr>
        <w:rPr>
          <w:rFonts w:asciiTheme="majorBidi" w:hAnsiTheme="majorBidi" w:cstheme="majorBidi"/>
          <w:noProof/>
        </w:rPr>
      </w:pPr>
      <w:r w:rsidRPr="00D7743E">
        <w:rPr>
          <w:rFonts w:asciiTheme="majorBidi" w:hAnsiTheme="majorBidi" w:cstheme="majorBidi"/>
          <w:noProof/>
        </w:rPr>
        <w:t>Synthesis applications</w:t>
      </w:r>
    </w:p>
    <w:p w14:paraId="719E9401" w14:textId="77777777" w:rsidR="005F2B11" w:rsidRPr="00D7743E" w:rsidRDefault="005F2B11" w:rsidP="005F2B11">
      <w:pPr>
        <w:pStyle w:val="ListParagraph"/>
        <w:numPr>
          <w:ilvl w:val="0"/>
          <w:numId w:val="10"/>
        </w:numPr>
        <w:rPr>
          <w:rFonts w:asciiTheme="majorBidi" w:hAnsiTheme="majorBidi" w:cstheme="majorBidi"/>
          <w:noProof/>
        </w:rPr>
      </w:pPr>
      <w:r w:rsidRPr="00D7743E">
        <w:rPr>
          <w:rFonts w:asciiTheme="majorBidi" w:hAnsiTheme="majorBidi" w:cstheme="majorBidi"/>
          <w:noProof/>
        </w:rPr>
        <w:t>Gas seperation (CO</w:t>
      </w:r>
      <w:r w:rsidRPr="00D7743E">
        <w:rPr>
          <w:rFonts w:asciiTheme="majorBidi" w:hAnsiTheme="majorBidi" w:cstheme="majorBidi"/>
          <w:noProof/>
          <w:vertAlign w:val="subscript"/>
        </w:rPr>
        <w:t>2</w:t>
      </w:r>
      <w:r w:rsidRPr="00D7743E">
        <w:rPr>
          <w:rFonts w:asciiTheme="majorBidi" w:hAnsiTheme="majorBidi" w:cstheme="majorBidi"/>
          <w:noProof/>
        </w:rPr>
        <w:t>,SO</w:t>
      </w:r>
      <w:r w:rsidRPr="00D7743E">
        <w:rPr>
          <w:rFonts w:asciiTheme="majorBidi" w:hAnsiTheme="majorBidi" w:cstheme="majorBidi"/>
          <w:noProof/>
          <w:vertAlign w:val="subscript"/>
        </w:rPr>
        <w:t>2</w:t>
      </w:r>
      <w:r w:rsidRPr="00D7743E">
        <w:rPr>
          <w:rFonts w:asciiTheme="majorBidi" w:hAnsiTheme="majorBidi" w:cstheme="majorBidi"/>
          <w:noProof/>
        </w:rPr>
        <w:t>)</w:t>
      </w:r>
    </w:p>
    <w:p w14:paraId="6BA0F175" w14:textId="77777777" w:rsidR="005F2B11" w:rsidRPr="00D7743E" w:rsidRDefault="005F2B11" w:rsidP="005F2B11">
      <w:pPr>
        <w:pStyle w:val="ListParagraph"/>
        <w:numPr>
          <w:ilvl w:val="0"/>
          <w:numId w:val="10"/>
        </w:numPr>
        <w:rPr>
          <w:rFonts w:asciiTheme="majorBidi" w:hAnsiTheme="majorBidi" w:cstheme="majorBidi"/>
        </w:rPr>
      </w:pPr>
      <w:r w:rsidRPr="00D7743E">
        <w:rPr>
          <w:rFonts w:asciiTheme="majorBidi" w:hAnsiTheme="majorBidi" w:cstheme="majorBidi"/>
        </w:rPr>
        <w:t>Extraction of catechins from tea</w:t>
      </w:r>
    </w:p>
    <w:p w14:paraId="185C0287" w14:textId="77777777" w:rsidR="005F2B11" w:rsidRPr="00D7743E" w:rsidRDefault="005F2B11" w:rsidP="005F2B11">
      <w:pPr>
        <w:pStyle w:val="ListParagraph"/>
        <w:numPr>
          <w:ilvl w:val="0"/>
          <w:numId w:val="10"/>
        </w:numPr>
        <w:rPr>
          <w:rFonts w:asciiTheme="majorBidi" w:hAnsiTheme="majorBidi" w:cstheme="majorBidi"/>
        </w:rPr>
      </w:pPr>
      <w:r w:rsidRPr="00D7743E">
        <w:rPr>
          <w:rFonts w:asciiTheme="majorBidi" w:hAnsiTheme="majorBidi" w:cstheme="majorBidi"/>
        </w:rPr>
        <w:t>Therapeutic applications</w:t>
      </w:r>
    </w:p>
    <w:p w14:paraId="1CD9B39C" w14:textId="77777777" w:rsidR="005F2B11" w:rsidRPr="00D7743E" w:rsidRDefault="005F2B11" w:rsidP="005F2B11">
      <w:pPr>
        <w:pStyle w:val="ListParagraph"/>
        <w:numPr>
          <w:ilvl w:val="0"/>
          <w:numId w:val="10"/>
        </w:numPr>
        <w:rPr>
          <w:rFonts w:asciiTheme="majorBidi" w:hAnsiTheme="majorBidi" w:cstheme="majorBidi"/>
        </w:rPr>
      </w:pPr>
      <w:r w:rsidRPr="00D7743E">
        <w:rPr>
          <w:rFonts w:asciiTheme="majorBidi" w:hAnsiTheme="majorBidi" w:cstheme="majorBidi"/>
        </w:rPr>
        <w:t>Extraction and separation</w:t>
      </w:r>
    </w:p>
    <w:p w14:paraId="66CC34D9" w14:textId="77777777" w:rsidR="005F2B11" w:rsidRPr="00D7743E" w:rsidRDefault="005F2B11" w:rsidP="005F2B11">
      <w:pPr>
        <w:pStyle w:val="ListParagraph"/>
        <w:numPr>
          <w:ilvl w:val="0"/>
          <w:numId w:val="10"/>
        </w:numPr>
        <w:rPr>
          <w:rFonts w:asciiTheme="majorBidi" w:hAnsiTheme="majorBidi" w:cstheme="majorBidi"/>
        </w:rPr>
      </w:pPr>
      <w:r w:rsidRPr="00D7743E">
        <w:rPr>
          <w:rFonts w:asciiTheme="majorBidi" w:hAnsiTheme="majorBidi" w:cstheme="majorBidi"/>
        </w:rPr>
        <w:t>Catalyst</w:t>
      </w:r>
    </w:p>
    <w:p w14:paraId="4314461E" w14:textId="77777777" w:rsidR="005F2B11" w:rsidRPr="00D7743E" w:rsidRDefault="005F2B11" w:rsidP="005F2B11">
      <w:pPr>
        <w:pStyle w:val="ListParagraph"/>
        <w:numPr>
          <w:ilvl w:val="0"/>
          <w:numId w:val="10"/>
        </w:numPr>
        <w:rPr>
          <w:rFonts w:asciiTheme="majorBidi" w:hAnsiTheme="majorBidi" w:cstheme="majorBidi"/>
        </w:rPr>
      </w:pPr>
      <w:proofErr w:type="spellStart"/>
      <w:r w:rsidRPr="00D7743E">
        <w:rPr>
          <w:rFonts w:asciiTheme="majorBidi" w:hAnsiTheme="majorBidi" w:cstheme="majorBidi"/>
        </w:rPr>
        <w:t>Agro</w:t>
      </w:r>
      <w:proofErr w:type="spellEnd"/>
      <w:r w:rsidRPr="00D7743E">
        <w:rPr>
          <w:rFonts w:asciiTheme="majorBidi" w:hAnsiTheme="majorBidi" w:cstheme="majorBidi"/>
        </w:rPr>
        <w:t xml:space="preserve"> forestry</w:t>
      </w:r>
    </w:p>
    <w:p w14:paraId="7BD2CC34" w14:textId="77777777" w:rsidR="005F2B11" w:rsidRPr="00D7743E" w:rsidRDefault="005F2B11" w:rsidP="005F2B11">
      <w:pPr>
        <w:pStyle w:val="ListParagraph"/>
        <w:numPr>
          <w:ilvl w:val="0"/>
          <w:numId w:val="10"/>
        </w:numPr>
        <w:rPr>
          <w:rFonts w:asciiTheme="majorBidi" w:hAnsiTheme="majorBidi" w:cstheme="majorBidi"/>
        </w:rPr>
      </w:pPr>
      <w:r w:rsidRPr="00D7743E">
        <w:rPr>
          <w:rFonts w:asciiTheme="majorBidi" w:hAnsiTheme="majorBidi" w:cstheme="majorBidi"/>
        </w:rPr>
        <w:t>Biological applications etc.</w:t>
      </w:r>
    </w:p>
    <w:p w14:paraId="60F0E8E4" w14:textId="77777777" w:rsidR="005F2B11" w:rsidRPr="00D7743E" w:rsidRDefault="005F2B11" w:rsidP="005F2B11">
      <w:pPr>
        <w:pStyle w:val="ListParagraph"/>
        <w:numPr>
          <w:ilvl w:val="0"/>
          <w:numId w:val="10"/>
        </w:numPr>
        <w:rPr>
          <w:rFonts w:asciiTheme="majorBidi" w:hAnsiTheme="majorBidi" w:cstheme="majorBidi"/>
        </w:rPr>
      </w:pPr>
      <w:r w:rsidRPr="00D7743E">
        <w:rPr>
          <w:rFonts w:asciiTheme="majorBidi" w:hAnsiTheme="majorBidi" w:cstheme="majorBidi"/>
        </w:rPr>
        <w:t>polymer synthesis</w:t>
      </w:r>
    </w:p>
    <w:p w14:paraId="1523525D" w14:textId="77777777" w:rsidR="005F2B11" w:rsidRDefault="005F2B11" w:rsidP="005F2B11">
      <w:pPr>
        <w:pStyle w:val="ListParagraph"/>
        <w:numPr>
          <w:ilvl w:val="0"/>
          <w:numId w:val="10"/>
        </w:numPr>
        <w:rPr>
          <w:rFonts w:asciiTheme="majorBidi" w:hAnsiTheme="majorBidi" w:cstheme="majorBidi"/>
        </w:rPr>
      </w:pPr>
      <w:r w:rsidRPr="00D7743E">
        <w:rPr>
          <w:rFonts w:asciiTheme="majorBidi" w:hAnsiTheme="majorBidi" w:cstheme="majorBidi"/>
        </w:rPr>
        <w:t>Synthesis of nanomaterial</w:t>
      </w:r>
      <w:bookmarkStart w:id="1" w:name="_Hlk83819894"/>
      <w:bookmarkEnd w:id="0"/>
    </w:p>
    <w:p w14:paraId="071B83F8" w14:textId="77777777" w:rsidR="005F2B11" w:rsidRDefault="005F2B11" w:rsidP="005F2B11">
      <w:pPr>
        <w:rPr>
          <w:rFonts w:asciiTheme="majorBidi" w:hAnsiTheme="majorBidi" w:cstheme="majorBidi"/>
        </w:rPr>
      </w:pPr>
    </w:p>
    <w:p w14:paraId="45A26DD3" w14:textId="77777777" w:rsidR="005F2B11" w:rsidRDefault="005F2B11" w:rsidP="005F2B11">
      <w:pPr>
        <w:rPr>
          <w:rFonts w:asciiTheme="majorBidi" w:hAnsiTheme="majorBidi" w:cstheme="majorBidi"/>
        </w:rPr>
      </w:pPr>
    </w:p>
    <w:p w14:paraId="035C225B" w14:textId="77777777" w:rsidR="005F2B11" w:rsidRPr="0007730C" w:rsidRDefault="005F2B11" w:rsidP="005F2B11">
      <w:pPr>
        <w:spacing w:line="276" w:lineRule="auto"/>
        <w:jc w:val="both"/>
        <w:rPr>
          <w:rFonts w:asciiTheme="majorBidi" w:hAnsiTheme="majorBidi" w:cstheme="majorBidi"/>
          <w:b/>
          <w:bCs/>
          <w:noProof/>
          <w:color w:val="000000" w:themeColor="text1"/>
          <w:sz w:val="24"/>
          <w:szCs w:val="24"/>
        </w:rPr>
      </w:pPr>
      <w:r w:rsidRPr="0007730C">
        <w:rPr>
          <w:rFonts w:asciiTheme="majorBidi" w:hAnsiTheme="majorBidi" w:cstheme="majorBidi"/>
          <w:b/>
          <w:bCs/>
          <w:noProof/>
          <w:color w:val="000000" w:themeColor="text1"/>
          <w:sz w:val="24"/>
          <w:szCs w:val="24"/>
        </w:rPr>
        <w:t>5.1 Metal processing applications</w:t>
      </w:r>
    </w:p>
    <w:p w14:paraId="009EA35A" w14:textId="77777777" w:rsidR="005F2B11" w:rsidRPr="00CD15C0" w:rsidRDefault="005F2B11" w:rsidP="005F2B11">
      <w:pPr>
        <w:spacing w:line="276" w:lineRule="auto"/>
        <w:ind w:left="360"/>
        <w:jc w:val="both"/>
        <w:rPr>
          <w:rFonts w:asciiTheme="majorBidi" w:eastAsia="Times New Roman" w:hAnsiTheme="majorBidi" w:cstheme="majorBidi"/>
          <w:noProof/>
          <w:sz w:val="24"/>
          <w:szCs w:val="32"/>
          <w:lang w:val="en-US" w:eastAsia="ar-SA"/>
        </w:rPr>
      </w:pPr>
      <w:r w:rsidRPr="00DE51B2">
        <w:rPr>
          <w:rFonts w:asciiTheme="majorBidi" w:hAnsiTheme="majorBidi" w:cstheme="majorBidi"/>
          <w:sz w:val="24"/>
          <w:szCs w:val="32"/>
        </w:rPr>
        <w:t xml:space="preserve">Deep eutectic solvents (DESs) are most frequently used to integrate metal ions in solutions for metal dissolution or processing, metal deposition, and other purposes. Deep eutectic solvents (DESs) provide advantages over aqueous electrolytes, including greater solubility of metal salts in comparison to nonaqueous solvents, the lack of water, and high conductivity [20]. Deep eutectic solvents (DES)-based commercial operations in the metal finishing and metal extraction industries </w:t>
      </w:r>
      <w:r w:rsidRPr="00DE51B2">
        <w:rPr>
          <w:rFonts w:asciiTheme="majorBidi" w:hAnsiTheme="majorBidi" w:cstheme="majorBidi"/>
          <w:sz w:val="24"/>
          <w:szCs w:val="32"/>
        </w:rPr>
        <w:lastRenderedPageBreak/>
        <w:t xml:space="preserve">include metal electrodeposition, a range of electrodeposited coatings with varied characteristics and functions, metal electropolishing, processing of metal oxides, and metal extraction. metal nanoparticle production, etc. </w:t>
      </w:r>
      <w:r w:rsidRPr="00CD15C0">
        <w:rPr>
          <w:rFonts w:asciiTheme="majorBidi" w:hAnsiTheme="majorBidi" w:cstheme="majorBidi"/>
          <w:sz w:val="24"/>
          <w:szCs w:val="32"/>
        </w:rPr>
        <w:t>[21]</w:t>
      </w:r>
    </w:p>
    <w:p w14:paraId="60ED6033" w14:textId="77777777" w:rsidR="005F2B11" w:rsidRPr="00445B22" w:rsidRDefault="005F2B11" w:rsidP="005F2B11">
      <w:pPr>
        <w:pStyle w:val="ListParagraph"/>
        <w:numPr>
          <w:ilvl w:val="0"/>
          <w:numId w:val="8"/>
        </w:numPr>
        <w:spacing w:line="276" w:lineRule="auto"/>
        <w:jc w:val="both"/>
        <w:rPr>
          <w:rFonts w:asciiTheme="majorBidi" w:hAnsiTheme="majorBidi" w:cstheme="majorBidi"/>
          <w:noProof/>
          <w:szCs w:val="24"/>
        </w:rPr>
      </w:pPr>
      <w:r w:rsidRPr="00445B22">
        <w:rPr>
          <w:rFonts w:asciiTheme="majorBidi" w:hAnsiTheme="majorBidi" w:cstheme="majorBidi"/>
          <w:noProof/>
          <w:szCs w:val="24"/>
        </w:rPr>
        <w:t>The copper elctrodeposting is common in surface-finishing industry, and a number of studies involving deep eutectic solvents (DESs) -based copper plating has been done [22- 23].</w:t>
      </w:r>
    </w:p>
    <w:p w14:paraId="0D9080B0" w14:textId="77777777" w:rsidR="005F2B11" w:rsidRPr="0007730C" w:rsidRDefault="005F2B11" w:rsidP="005F2B11">
      <w:pPr>
        <w:pStyle w:val="ListParagraph"/>
        <w:numPr>
          <w:ilvl w:val="0"/>
          <w:numId w:val="8"/>
        </w:numPr>
        <w:spacing w:line="276" w:lineRule="auto"/>
        <w:jc w:val="both"/>
        <w:rPr>
          <w:rFonts w:asciiTheme="majorBidi" w:hAnsiTheme="majorBidi" w:cstheme="majorBidi"/>
          <w:noProof/>
          <w:szCs w:val="24"/>
        </w:rPr>
      </w:pPr>
      <w:r w:rsidRPr="00DE51B2">
        <w:rPr>
          <w:rFonts w:asciiTheme="majorBidi" w:hAnsiTheme="majorBidi" w:cstheme="majorBidi"/>
          <w:noProof/>
          <w:szCs w:val="24"/>
        </w:rPr>
        <w:t xml:space="preserve">Metal deposits of zinc Due to its ability to prevent corrosion, zinc has become important in the metal finishing sector </w:t>
      </w:r>
      <w:r w:rsidRPr="0007730C">
        <w:rPr>
          <w:rFonts w:asciiTheme="majorBidi" w:hAnsiTheme="majorBidi" w:cstheme="majorBidi"/>
          <w:noProof/>
          <w:szCs w:val="24"/>
        </w:rPr>
        <w:t>[24].</w:t>
      </w:r>
    </w:p>
    <w:p w14:paraId="7BA59E0D" w14:textId="77777777" w:rsidR="005F2B11" w:rsidRDefault="005F2B11" w:rsidP="005F2B11">
      <w:pPr>
        <w:rPr>
          <w:rFonts w:asciiTheme="majorBidi" w:hAnsiTheme="majorBidi" w:cstheme="majorBidi"/>
        </w:rPr>
      </w:pPr>
    </w:p>
    <w:p w14:paraId="1BAD48D1" w14:textId="77777777" w:rsidR="005F2B11" w:rsidRPr="0007730C" w:rsidRDefault="005F2B11" w:rsidP="005F2B11">
      <w:pPr>
        <w:spacing w:line="276" w:lineRule="auto"/>
        <w:jc w:val="both"/>
        <w:rPr>
          <w:rFonts w:asciiTheme="majorBidi" w:hAnsiTheme="majorBidi" w:cstheme="majorBidi"/>
          <w:b/>
          <w:bCs/>
          <w:noProof/>
          <w:color w:val="000000" w:themeColor="text1"/>
          <w:sz w:val="24"/>
          <w:szCs w:val="24"/>
        </w:rPr>
      </w:pPr>
      <w:r w:rsidRPr="0007730C">
        <w:rPr>
          <w:rFonts w:asciiTheme="majorBidi" w:hAnsiTheme="majorBidi" w:cstheme="majorBidi"/>
          <w:b/>
          <w:bCs/>
          <w:noProof/>
          <w:color w:val="000000" w:themeColor="text1"/>
          <w:sz w:val="24"/>
          <w:szCs w:val="24"/>
        </w:rPr>
        <w:t xml:space="preserve">5.2 Synthesis applications </w:t>
      </w:r>
    </w:p>
    <w:p w14:paraId="3C1DFFB0" w14:textId="77777777" w:rsidR="005F2B11" w:rsidRDefault="005F2B11" w:rsidP="005F2B11">
      <w:pPr>
        <w:spacing w:line="276" w:lineRule="auto"/>
        <w:contextualSpacing/>
        <w:jc w:val="both"/>
        <w:rPr>
          <w:rFonts w:asciiTheme="majorBidi" w:hAnsiTheme="majorBidi" w:cstheme="majorBidi"/>
          <w:sz w:val="24"/>
          <w:szCs w:val="24"/>
          <w:shd w:val="clear" w:color="auto" w:fill="FFFFFF"/>
        </w:rPr>
      </w:pPr>
      <w:r w:rsidRPr="00DE51B2">
        <w:rPr>
          <w:rFonts w:asciiTheme="majorBidi" w:hAnsiTheme="majorBidi" w:cstheme="majorBidi"/>
          <w:sz w:val="24"/>
          <w:szCs w:val="24"/>
          <w:shd w:val="clear" w:color="auto" w:fill="FFFFFF"/>
        </w:rPr>
        <w:t>"Deep eutectic solvents" (DESs) can be used in a variety of synthetic processes, such as biotransformation, the generation of biodiesel, the synthesis of polymers, and related materials. Deep eutectic solvents (DESs) are frequently employed as solvents, functional additives, and monomers in the production of polymers. Due to the use of deep eutectic solvents (DESs) in these processes, "green" study is required to determine how these procedures harm the environment. This is a result of more</w:t>
      </w:r>
    </w:p>
    <w:p w14:paraId="395829D4" w14:textId="77777777" w:rsidR="005F2B11" w:rsidRDefault="005F2B11" w:rsidP="005F2B11">
      <w:pPr>
        <w:spacing w:line="276" w:lineRule="auto"/>
        <w:contextualSpacing/>
        <w:jc w:val="both"/>
        <w:rPr>
          <w:rFonts w:asciiTheme="majorBidi" w:hAnsiTheme="majorBidi" w:cstheme="majorBidi"/>
          <w:sz w:val="24"/>
          <w:szCs w:val="24"/>
          <w:shd w:val="clear" w:color="auto" w:fill="FFFFFF"/>
        </w:rPr>
      </w:pPr>
      <w:r w:rsidRPr="00DE51B2">
        <w:rPr>
          <w:rFonts w:asciiTheme="majorBidi" w:hAnsiTheme="majorBidi" w:cstheme="majorBidi"/>
          <w:sz w:val="24"/>
          <w:szCs w:val="24"/>
          <w:shd w:val="clear" w:color="auto" w:fill="FFFFFF"/>
        </w:rPr>
        <w:t xml:space="preserve">environmentally friendly chemical synthesis processes emerging. Two "green" methods for doing the technique involve employing the lipase enzyme as a catalyst and deep eutectic solvents (DESs) as a recyclable solvent </w:t>
      </w:r>
      <w:r w:rsidRPr="00E93B8B">
        <w:rPr>
          <w:rFonts w:asciiTheme="majorBidi" w:hAnsiTheme="majorBidi" w:cstheme="majorBidi"/>
          <w:sz w:val="24"/>
          <w:szCs w:val="24"/>
          <w:shd w:val="clear" w:color="auto" w:fill="FFFFFF"/>
        </w:rPr>
        <w:t xml:space="preserve">[25]. </w:t>
      </w:r>
    </w:p>
    <w:p w14:paraId="77B21515" w14:textId="77777777" w:rsidR="005F2B11" w:rsidRPr="0007730C" w:rsidRDefault="005F2B11" w:rsidP="005F2B11">
      <w:pPr>
        <w:spacing w:line="276" w:lineRule="auto"/>
        <w:contextualSpacing/>
        <w:jc w:val="both"/>
        <w:rPr>
          <w:rFonts w:asciiTheme="majorBidi" w:hAnsiTheme="majorBidi" w:cstheme="majorBidi"/>
          <w:b/>
          <w:bCs/>
          <w:sz w:val="24"/>
          <w:szCs w:val="24"/>
        </w:rPr>
      </w:pPr>
      <w:r w:rsidRPr="0007730C">
        <w:rPr>
          <w:rFonts w:asciiTheme="majorBidi" w:hAnsiTheme="majorBidi" w:cstheme="majorBidi"/>
          <w:b/>
          <w:bCs/>
          <w:sz w:val="24"/>
          <w:szCs w:val="24"/>
        </w:rPr>
        <w:t xml:space="preserve">5.2.1 Synthesis of nanomaterials </w:t>
      </w:r>
    </w:p>
    <w:p w14:paraId="05DFB9B9" w14:textId="77777777" w:rsidR="005F2B11" w:rsidRPr="0007730C" w:rsidRDefault="005F2B11" w:rsidP="005F2B11">
      <w:pPr>
        <w:ind w:left="360"/>
        <w:jc w:val="both"/>
        <w:rPr>
          <w:rFonts w:asciiTheme="majorBidi" w:hAnsiTheme="majorBidi" w:cstheme="majorBidi"/>
          <w:sz w:val="24"/>
          <w:szCs w:val="24"/>
        </w:rPr>
      </w:pPr>
      <w:r w:rsidRPr="004F3A43">
        <w:rPr>
          <w:rFonts w:asciiTheme="majorBidi" w:hAnsiTheme="majorBidi" w:cstheme="majorBidi"/>
          <w:sz w:val="24"/>
          <w:szCs w:val="24"/>
        </w:rPr>
        <w:t xml:space="preserve">DESs have been used as both reactants and solvents in a variety of nanostructured materials. In order to change the nucleation and growth processes of nanomaterials, DES has also been utilised in their creation as precursors, dispersants, templates, and designer solvents to change their size and shape </w:t>
      </w:r>
      <w:r w:rsidRPr="0007730C">
        <w:rPr>
          <w:rFonts w:asciiTheme="majorBidi" w:hAnsiTheme="majorBidi" w:cstheme="majorBidi"/>
          <w:sz w:val="24"/>
          <w:szCs w:val="24"/>
        </w:rPr>
        <w:t>[26].</w:t>
      </w:r>
    </w:p>
    <w:p w14:paraId="72E4A1AE" w14:textId="77777777" w:rsidR="005F2B11" w:rsidRPr="0007730C" w:rsidRDefault="005F2B11" w:rsidP="005F2B11">
      <w:pPr>
        <w:pStyle w:val="ListParagraph"/>
        <w:numPr>
          <w:ilvl w:val="0"/>
          <w:numId w:val="9"/>
        </w:numPr>
        <w:jc w:val="both"/>
        <w:rPr>
          <w:rFonts w:asciiTheme="majorBidi" w:hAnsiTheme="majorBidi" w:cstheme="majorBidi"/>
          <w:szCs w:val="24"/>
        </w:rPr>
      </w:pPr>
      <w:r>
        <w:rPr>
          <w:rFonts w:asciiTheme="majorBidi" w:hAnsiTheme="majorBidi" w:cstheme="majorBidi"/>
          <w:szCs w:val="24"/>
        </w:rPr>
        <w:t>F</w:t>
      </w:r>
      <w:r w:rsidRPr="004F3A43">
        <w:rPr>
          <w:rFonts w:asciiTheme="majorBidi" w:hAnsiTheme="majorBidi" w:cstheme="majorBidi"/>
          <w:szCs w:val="24"/>
        </w:rPr>
        <w:t xml:space="preserve">unctionalizing substances Deep eutectic solvents (DESs) have been </w:t>
      </w:r>
      <w:proofErr w:type="spellStart"/>
      <w:r w:rsidRPr="004F3A43">
        <w:rPr>
          <w:rFonts w:asciiTheme="majorBidi" w:hAnsiTheme="majorBidi" w:cstheme="majorBidi"/>
          <w:szCs w:val="24"/>
        </w:rPr>
        <w:t>characterised</w:t>
      </w:r>
      <w:proofErr w:type="spellEnd"/>
      <w:r w:rsidRPr="004F3A43">
        <w:rPr>
          <w:rFonts w:asciiTheme="majorBidi" w:hAnsiTheme="majorBidi" w:cstheme="majorBidi"/>
          <w:szCs w:val="24"/>
        </w:rPr>
        <w:t xml:space="preserve"> as functionalization agents for carbon nanotubes, also known as carbon nanotubes (CNT), while the majority of investigations have focused on the functionalization of CNT. Many people use this material as nanoparticles </w:t>
      </w:r>
      <w:r w:rsidRPr="0007730C">
        <w:rPr>
          <w:rFonts w:asciiTheme="majorBidi" w:hAnsiTheme="majorBidi" w:cstheme="majorBidi"/>
          <w:szCs w:val="24"/>
        </w:rPr>
        <w:t>[27].</w:t>
      </w:r>
    </w:p>
    <w:p w14:paraId="481B883F" w14:textId="77777777" w:rsidR="005F2B11" w:rsidRPr="0007730C" w:rsidRDefault="005F2B11" w:rsidP="005F2B11">
      <w:pPr>
        <w:spacing w:line="276" w:lineRule="auto"/>
        <w:jc w:val="both"/>
        <w:rPr>
          <w:rFonts w:asciiTheme="majorBidi" w:hAnsiTheme="majorBidi" w:cstheme="majorBidi"/>
          <w:b/>
          <w:bCs/>
          <w:sz w:val="24"/>
          <w:szCs w:val="24"/>
        </w:rPr>
      </w:pPr>
      <w:r w:rsidRPr="0007730C">
        <w:rPr>
          <w:rFonts w:asciiTheme="majorBidi" w:hAnsiTheme="majorBidi" w:cstheme="majorBidi"/>
          <w:b/>
          <w:bCs/>
          <w:sz w:val="24"/>
          <w:szCs w:val="24"/>
        </w:rPr>
        <w:t xml:space="preserve">5.2.2 Polymer synthesis </w:t>
      </w:r>
    </w:p>
    <w:p w14:paraId="6346B26D" w14:textId="77777777" w:rsidR="005F2B11" w:rsidRPr="0007730C" w:rsidRDefault="005F2B11" w:rsidP="005F2B11">
      <w:pPr>
        <w:spacing w:line="276" w:lineRule="auto"/>
        <w:jc w:val="both"/>
        <w:rPr>
          <w:rFonts w:asciiTheme="majorBidi" w:hAnsiTheme="majorBidi" w:cstheme="majorBidi"/>
          <w:b/>
          <w:bCs/>
          <w:sz w:val="24"/>
          <w:szCs w:val="24"/>
        </w:rPr>
      </w:pPr>
      <w:r w:rsidRPr="0007730C">
        <w:rPr>
          <w:rFonts w:asciiTheme="majorBidi" w:hAnsiTheme="majorBidi" w:cstheme="majorBidi"/>
          <w:b/>
          <w:bCs/>
          <w:sz w:val="24"/>
          <w:szCs w:val="24"/>
        </w:rPr>
        <w:t xml:space="preserve">5.2.2.1 As functional additives  </w:t>
      </w:r>
    </w:p>
    <w:p w14:paraId="2A37DBC3" w14:textId="77777777" w:rsidR="005F2B11" w:rsidRDefault="005F2B11" w:rsidP="005F2B11">
      <w:pPr>
        <w:spacing w:line="276" w:lineRule="auto"/>
        <w:jc w:val="both"/>
        <w:rPr>
          <w:rFonts w:asciiTheme="majorBidi" w:hAnsiTheme="majorBidi" w:cstheme="majorBidi"/>
          <w:sz w:val="24"/>
          <w:szCs w:val="24"/>
        </w:rPr>
      </w:pPr>
      <w:r w:rsidRPr="00DE51B2">
        <w:rPr>
          <w:rFonts w:asciiTheme="majorBidi" w:hAnsiTheme="majorBidi" w:cstheme="majorBidi"/>
          <w:sz w:val="24"/>
          <w:szCs w:val="24"/>
        </w:rPr>
        <w:t xml:space="preserve">DESs, or deep eutectic solvents, can act as ligand suppliers and/or templates. Many different polymeric green compounds have been demonstrated to work well as plasticizers when using deep eutectic solvents (DESs). The production of cellulose- and corn starch-based polymer electrolytes, as well as the creation of agar films, both require the eutectic mixes of </w:t>
      </w:r>
      <w:proofErr w:type="spellStart"/>
      <w:proofErr w:type="gramStart"/>
      <w:r w:rsidRPr="00DE51B2">
        <w:rPr>
          <w:rFonts w:asciiTheme="majorBidi" w:hAnsiTheme="majorBidi" w:cstheme="majorBidi"/>
          <w:sz w:val="24"/>
          <w:szCs w:val="24"/>
        </w:rPr>
        <w:t>ChCl:urea</w:t>
      </w:r>
      <w:proofErr w:type="spellEnd"/>
      <w:proofErr w:type="gramEnd"/>
      <w:r w:rsidRPr="00DE51B2">
        <w:rPr>
          <w:rFonts w:asciiTheme="majorBidi" w:hAnsiTheme="majorBidi" w:cstheme="majorBidi"/>
          <w:sz w:val="24"/>
          <w:szCs w:val="24"/>
        </w:rPr>
        <w:t xml:space="preserve"> and </w:t>
      </w:r>
      <w:proofErr w:type="spellStart"/>
      <w:r w:rsidRPr="00DE51B2">
        <w:rPr>
          <w:rFonts w:asciiTheme="majorBidi" w:hAnsiTheme="majorBidi" w:cstheme="majorBidi"/>
          <w:sz w:val="24"/>
          <w:szCs w:val="24"/>
        </w:rPr>
        <w:t>ChCl:glycerol</w:t>
      </w:r>
      <w:proofErr w:type="spellEnd"/>
      <w:r w:rsidRPr="00DE51B2">
        <w:rPr>
          <w:rFonts w:asciiTheme="majorBidi" w:hAnsiTheme="majorBidi" w:cstheme="majorBidi"/>
          <w:sz w:val="24"/>
          <w:szCs w:val="24"/>
        </w:rPr>
        <w:t xml:space="preserve"> as an ingredient [28-30].</w:t>
      </w:r>
    </w:p>
    <w:p w14:paraId="3BF68B5A" w14:textId="77777777" w:rsidR="005F2B11" w:rsidRPr="0007730C" w:rsidRDefault="005F2B11" w:rsidP="005F2B11">
      <w:pPr>
        <w:spacing w:line="276" w:lineRule="auto"/>
        <w:jc w:val="both"/>
        <w:rPr>
          <w:rFonts w:asciiTheme="majorBidi" w:hAnsiTheme="majorBidi" w:cstheme="majorBidi"/>
          <w:b/>
          <w:bCs/>
          <w:sz w:val="24"/>
          <w:szCs w:val="24"/>
        </w:rPr>
      </w:pPr>
      <w:r w:rsidRPr="0007730C">
        <w:rPr>
          <w:rFonts w:asciiTheme="majorBidi" w:hAnsiTheme="majorBidi" w:cstheme="majorBidi"/>
          <w:b/>
          <w:bCs/>
          <w:sz w:val="24"/>
          <w:szCs w:val="24"/>
        </w:rPr>
        <w:t>5.2.2.2 As solvents</w:t>
      </w:r>
    </w:p>
    <w:p w14:paraId="7C4CC86B" w14:textId="77777777" w:rsidR="005F2B11" w:rsidRPr="0007730C" w:rsidRDefault="005F2B11" w:rsidP="005F2B11">
      <w:pPr>
        <w:jc w:val="both"/>
        <w:rPr>
          <w:rFonts w:asciiTheme="majorBidi" w:hAnsiTheme="majorBidi" w:cstheme="majorBidi"/>
          <w:sz w:val="24"/>
          <w:szCs w:val="24"/>
        </w:rPr>
      </w:pPr>
      <w:r w:rsidRPr="00DE51B2">
        <w:rPr>
          <w:rFonts w:asciiTheme="majorBidi" w:hAnsiTheme="majorBidi" w:cstheme="majorBidi"/>
          <w:sz w:val="24"/>
          <w:szCs w:val="24"/>
        </w:rPr>
        <w:t xml:space="preserve">Solvents for polymer synthesis have frequently used deep eutectic solvents (DESs). Polymers with important uses in industry and medicine have been created using deep eutectic solvents (DESs) that contain choline chloride and urea </w:t>
      </w:r>
      <w:r w:rsidRPr="0007730C">
        <w:rPr>
          <w:rFonts w:asciiTheme="majorBidi" w:hAnsiTheme="majorBidi" w:cstheme="majorBidi"/>
          <w:sz w:val="24"/>
          <w:szCs w:val="24"/>
        </w:rPr>
        <w:t>[31-32].</w:t>
      </w:r>
    </w:p>
    <w:p w14:paraId="28B1B113" w14:textId="77777777" w:rsidR="005F2B11" w:rsidRPr="0007730C" w:rsidRDefault="005F2B11" w:rsidP="005F2B11">
      <w:pPr>
        <w:spacing w:line="276" w:lineRule="auto"/>
        <w:contextualSpacing/>
        <w:jc w:val="both"/>
        <w:rPr>
          <w:rFonts w:asciiTheme="majorBidi" w:hAnsiTheme="majorBidi" w:cstheme="majorBidi"/>
          <w:b/>
          <w:bCs/>
          <w:sz w:val="24"/>
          <w:szCs w:val="24"/>
        </w:rPr>
      </w:pPr>
      <w:r w:rsidRPr="0007730C">
        <w:rPr>
          <w:rFonts w:asciiTheme="majorBidi" w:hAnsiTheme="majorBidi" w:cstheme="majorBidi"/>
          <w:b/>
          <w:bCs/>
          <w:sz w:val="24"/>
          <w:szCs w:val="24"/>
        </w:rPr>
        <w:t xml:space="preserve">5.2.2.3 As monomers </w:t>
      </w:r>
    </w:p>
    <w:p w14:paraId="43E2F7A6" w14:textId="77777777" w:rsidR="005F2B11" w:rsidRDefault="005F2B11" w:rsidP="005F2B11">
      <w:pPr>
        <w:spacing w:line="276" w:lineRule="auto"/>
        <w:contextualSpacing/>
        <w:jc w:val="both"/>
        <w:rPr>
          <w:rFonts w:asciiTheme="majorBidi" w:hAnsiTheme="majorBidi" w:cstheme="majorBidi"/>
          <w:sz w:val="24"/>
          <w:szCs w:val="24"/>
        </w:rPr>
      </w:pPr>
      <w:r w:rsidRPr="00DE51B2">
        <w:rPr>
          <w:rFonts w:asciiTheme="majorBidi" w:hAnsiTheme="majorBidi" w:cstheme="majorBidi"/>
          <w:sz w:val="24"/>
          <w:szCs w:val="24"/>
        </w:rPr>
        <w:t>The development of polymeric-based "deep eutectic solvents" (DESs) and the preparation of polymeric-based "deep eutectic solvents" (DESs) are the two main applications for deep eutectic solvents (DESs) used as a monomer. in the area of Molecular Imprinted Technology (MIT), as well. The majority of the materials produced have been applied to methods for extraction, purification, and separation</w:t>
      </w:r>
      <w:r>
        <w:rPr>
          <w:rFonts w:asciiTheme="majorBidi" w:hAnsiTheme="majorBidi" w:cstheme="majorBidi"/>
          <w:sz w:val="24"/>
          <w:szCs w:val="24"/>
        </w:rPr>
        <w:t xml:space="preserve"> [33-34]</w:t>
      </w:r>
      <w:r w:rsidRPr="00DE51B2">
        <w:rPr>
          <w:rFonts w:asciiTheme="majorBidi" w:hAnsiTheme="majorBidi" w:cstheme="majorBidi"/>
          <w:sz w:val="24"/>
          <w:szCs w:val="24"/>
        </w:rPr>
        <w:t>.</w:t>
      </w:r>
    </w:p>
    <w:p w14:paraId="75437BA9" w14:textId="77777777" w:rsidR="005F2B11" w:rsidRPr="0007730C" w:rsidRDefault="005F2B11" w:rsidP="005F2B11">
      <w:pPr>
        <w:spacing w:line="276" w:lineRule="auto"/>
        <w:contextualSpacing/>
        <w:jc w:val="both"/>
        <w:rPr>
          <w:rFonts w:asciiTheme="majorBidi" w:hAnsiTheme="majorBidi" w:cstheme="majorBidi"/>
          <w:sz w:val="24"/>
          <w:szCs w:val="24"/>
        </w:rPr>
      </w:pPr>
      <w:r w:rsidRPr="0007730C">
        <w:rPr>
          <w:rFonts w:asciiTheme="majorBidi" w:hAnsiTheme="majorBidi" w:cstheme="majorBidi"/>
          <w:sz w:val="24"/>
          <w:szCs w:val="24"/>
        </w:rPr>
        <w:t xml:space="preserve">Liu et al. [35] synthesized magnetic deep eutectic solvents (DESs) used a </w:t>
      </w:r>
      <w:proofErr w:type="spellStart"/>
      <w:r w:rsidRPr="0007730C">
        <w:rPr>
          <w:rFonts w:asciiTheme="majorBidi" w:hAnsiTheme="majorBidi" w:cstheme="majorBidi"/>
          <w:sz w:val="24"/>
          <w:szCs w:val="24"/>
        </w:rPr>
        <w:t>ChCl</w:t>
      </w:r>
      <w:proofErr w:type="spellEnd"/>
      <w:r w:rsidRPr="0007730C">
        <w:rPr>
          <w:rFonts w:asciiTheme="majorBidi" w:hAnsiTheme="majorBidi" w:cstheme="majorBidi"/>
          <w:sz w:val="24"/>
          <w:szCs w:val="24"/>
        </w:rPr>
        <w:t xml:space="preserve">: </w:t>
      </w:r>
      <w:proofErr w:type="spellStart"/>
      <w:r w:rsidRPr="0007730C">
        <w:rPr>
          <w:rFonts w:asciiTheme="majorBidi" w:hAnsiTheme="majorBidi" w:cstheme="majorBidi"/>
          <w:sz w:val="24"/>
          <w:szCs w:val="24"/>
        </w:rPr>
        <w:t>metacrylic</w:t>
      </w:r>
      <w:proofErr w:type="spellEnd"/>
      <w:r w:rsidRPr="0007730C">
        <w:rPr>
          <w:rFonts w:asciiTheme="majorBidi" w:hAnsiTheme="majorBidi" w:cstheme="majorBidi"/>
          <w:sz w:val="24"/>
          <w:szCs w:val="24"/>
        </w:rPr>
        <w:t xml:space="preserve"> acid eutectic mixtures (EMs) as the functional monomer. </w:t>
      </w:r>
    </w:p>
    <w:p w14:paraId="38EBF2DD" w14:textId="77777777" w:rsidR="005F2B11" w:rsidRPr="0007730C" w:rsidRDefault="005F2B11" w:rsidP="005F2B11">
      <w:pPr>
        <w:spacing w:line="276" w:lineRule="auto"/>
        <w:jc w:val="both"/>
        <w:rPr>
          <w:rFonts w:asciiTheme="majorBidi" w:hAnsiTheme="majorBidi" w:cstheme="majorBidi"/>
          <w:b/>
          <w:bCs/>
          <w:noProof/>
          <w:color w:val="000000" w:themeColor="text1"/>
          <w:sz w:val="24"/>
          <w:szCs w:val="24"/>
        </w:rPr>
      </w:pPr>
      <w:r w:rsidRPr="0007730C">
        <w:rPr>
          <w:rFonts w:asciiTheme="majorBidi" w:hAnsiTheme="majorBidi" w:cstheme="majorBidi"/>
          <w:b/>
          <w:bCs/>
          <w:noProof/>
          <w:color w:val="000000" w:themeColor="text1"/>
          <w:sz w:val="24"/>
          <w:szCs w:val="24"/>
        </w:rPr>
        <w:t xml:space="preserve">5.3 Gas seperation </w:t>
      </w:r>
    </w:p>
    <w:p w14:paraId="4ED0D47D" w14:textId="77777777" w:rsidR="005F2B11" w:rsidRDefault="005F2B11" w:rsidP="005F2B11">
      <w:pPr>
        <w:jc w:val="both"/>
        <w:rPr>
          <w:rFonts w:asciiTheme="majorBidi" w:hAnsiTheme="majorBidi" w:cstheme="majorBidi"/>
          <w:sz w:val="24"/>
          <w:szCs w:val="24"/>
        </w:rPr>
      </w:pPr>
      <w:r w:rsidRPr="00DE51B2">
        <w:rPr>
          <w:rFonts w:asciiTheme="majorBidi" w:hAnsiTheme="majorBidi" w:cstheme="majorBidi"/>
          <w:sz w:val="24"/>
          <w:szCs w:val="24"/>
        </w:rPr>
        <w:lastRenderedPageBreak/>
        <w:t>Deep eutectic solvents (DESs) can replace ionic liquids (ILs), which is relevant from both an economic and environmental perspective. The capture of carbon dioxide (CO2) and sulphur dioxide (SO2) from gases emitted by the combustion of fossil fuels in thermal power plants, vehicles, and other sources is a crucial role in reducing the greenhouse effect. Therefore, research of gas solubility in deep eutectic solvents (DESs) and gas separation equipment are based on the physicochemical features of DESs. Deep eutectic solvents (DESs) may offer a "greener" alternative to many conventional ILs due to their potential as carbon dioxide (CO2) and sulphur dioxide (SO2) gas separating agents.</w:t>
      </w:r>
    </w:p>
    <w:p w14:paraId="42C3F0DB" w14:textId="77777777" w:rsidR="005F2B11" w:rsidRDefault="005F2B11" w:rsidP="005F2B11">
      <w:pPr>
        <w:rPr>
          <w:rFonts w:asciiTheme="majorBidi" w:hAnsiTheme="majorBidi" w:cstheme="majorBidi"/>
        </w:rPr>
      </w:pPr>
    </w:p>
    <w:p w14:paraId="3DD53642" w14:textId="77777777" w:rsidR="005F2B11" w:rsidRDefault="005F2B11" w:rsidP="005F2B11">
      <w:pPr>
        <w:spacing w:line="276" w:lineRule="auto"/>
        <w:jc w:val="both"/>
        <w:rPr>
          <w:rFonts w:asciiTheme="majorBidi" w:hAnsiTheme="majorBidi" w:cstheme="majorBidi"/>
          <w:sz w:val="24"/>
          <w:szCs w:val="24"/>
        </w:rPr>
      </w:pPr>
      <w:r w:rsidRPr="0007730C">
        <w:rPr>
          <w:rFonts w:asciiTheme="majorBidi" w:hAnsiTheme="majorBidi" w:cstheme="majorBidi"/>
          <w:b/>
          <w:bCs/>
          <w:noProof/>
          <w:sz w:val="24"/>
          <w:szCs w:val="24"/>
        </w:rPr>
        <w:drawing>
          <wp:inline distT="0" distB="0" distL="0" distR="0" wp14:anchorId="66DD410F" wp14:editId="5115D4B5">
            <wp:extent cx="3246664" cy="2013612"/>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246664" cy="2013612"/>
                    </a:xfrm>
                    <a:prstGeom prst="rect">
                      <a:avLst/>
                    </a:prstGeom>
                    <a:noFill/>
                    <a:ln w="9525">
                      <a:noFill/>
                      <a:miter lim="800000"/>
                      <a:headEnd/>
                      <a:tailEnd/>
                    </a:ln>
                  </pic:spPr>
                </pic:pic>
              </a:graphicData>
            </a:graphic>
          </wp:inline>
        </w:drawing>
      </w:r>
      <w:r w:rsidRPr="005F2B11">
        <w:rPr>
          <w:rFonts w:asciiTheme="majorBidi" w:hAnsiTheme="majorBidi" w:cstheme="majorBidi"/>
          <w:sz w:val="24"/>
          <w:szCs w:val="24"/>
        </w:rPr>
        <w:t xml:space="preserve"> </w:t>
      </w:r>
    </w:p>
    <w:p w14:paraId="5408CD5E" w14:textId="1A68B42F" w:rsidR="005F2B11" w:rsidRPr="0007730C" w:rsidRDefault="005F2B11" w:rsidP="005F2B11">
      <w:pPr>
        <w:spacing w:line="276" w:lineRule="auto"/>
        <w:jc w:val="both"/>
        <w:rPr>
          <w:rFonts w:asciiTheme="majorBidi" w:hAnsiTheme="majorBidi" w:cstheme="majorBidi"/>
          <w:sz w:val="24"/>
          <w:szCs w:val="24"/>
        </w:rPr>
      </w:pPr>
      <w:r w:rsidRPr="0007730C">
        <w:rPr>
          <w:rFonts w:asciiTheme="majorBidi" w:hAnsiTheme="majorBidi" w:cstheme="majorBidi"/>
          <w:sz w:val="24"/>
          <w:szCs w:val="24"/>
        </w:rPr>
        <w:t>Figure 2. Publication list of deep eutectic solvent [Ref. 12]</w:t>
      </w:r>
    </w:p>
    <w:p w14:paraId="31F7F5D2" w14:textId="77777777" w:rsidR="005F2B11" w:rsidRDefault="005F2B11" w:rsidP="005F2B11">
      <w:pPr>
        <w:rPr>
          <w:rFonts w:asciiTheme="majorBidi" w:hAnsiTheme="majorBidi" w:cstheme="majorBidi"/>
        </w:rPr>
      </w:pPr>
    </w:p>
    <w:p w14:paraId="109E4CC3" w14:textId="77777777" w:rsidR="005F2B11" w:rsidRPr="0007730C" w:rsidRDefault="005F2B11" w:rsidP="005F2B11">
      <w:pPr>
        <w:spacing w:line="276" w:lineRule="auto"/>
        <w:jc w:val="both"/>
        <w:rPr>
          <w:rFonts w:asciiTheme="majorBidi" w:hAnsiTheme="majorBidi" w:cstheme="majorBidi"/>
          <w:b/>
          <w:bCs/>
          <w:color w:val="000000" w:themeColor="text1"/>
          <w:sz w:val="24"/>
          <w:szCs w:val="24"/>
        </w:rPr>
      </w:pPr>
      <w:r w:rsidRPr="0007730C">
        <w:rPr>
          <w:rFonts w:asciiTheme="majorBidi" w:hAnsiTheme="majorBidi" w:cstheme="majorBidi"/>
          <w:b/>
          <w:bCs/>
          <w:color w:val="000000" w:themeColor="text1"/>
          <w:sz w:val="24"/>
          <w:szCs w:val="24"/>
        </w:rPr>
        <w:t>5.4 Extraction of catechins from tea</w:t>
      </w:r>
    </w:p>
    <w:p w14:paraId="23F395A8"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212121"/>
          <w:sz w:val="24"/>
          <w:szCs w:val="24"/>
          <w:shd w:val="clear" w:color="auto" w:fill="FFFFFF"/>
        </w:rPr>
        <w:t xml:space="preserve">Tea is the main source of catechins, which are famous for their high antioxidant potential in humans. Studies on animals and in the lab have connected tea catechins to improved immune function, lower risks for diabetes and obesity, and the prevention of some malignancies. Cardiovascular disease [37]. Deep eutectic solvents (DESs) extractions were compared to ionic liquids (ILs) and conventional solvents because tea catechins are widely used in numerous medications, nutraceuticals, and pretty human health products. </w:t>
      </w:r>
      <w:r w:rsidRPr="0007730C">
        <w:rPr>
          <w:rFonts w:asciiTheme="majorBidi" w:hAnsiTheme="majorBidi" w:cstheme="majorBidi"/>
          <w:color w:val="000000" w:themeColor="text1"/>
          <w:sz w:val="24"/>
          <w:szCs w:val="24"/>
        </w:rPr>
        <w:t xml:space="preserve">Malic acid was present in the DESs, which as hydrogen bond donors demonstrated good solubility of catechins with a range of polarity. the use of the DESs to extract catechins from tea [38]. DESs can be used to extract many kinds of natural elements from biomass in order to produce bioactive chemicals, medications, etc. [39] </w:t>
      </w:r>
    </w:p>
    <w:p w14:paraId="52C10614" w14:textId="77777777" w:rsidR="005F2B11" w:rsidRPr="0007730C" w:rsidRDefault="005F2B11" w:rsidP="005F2B11">
      <w:pPr>
        <w:spacing w:line="276" w:lineRule="auto"/>
        <w:jc w:val="both"/>
        <w:rPr>
          <w:rFonts w:asciiTheme="majorBidi" w:hAnsiTheme="majorBidi" w:cstheme="majorBidi"/>
          <w:b/>
          <w:color w:val="000000" w:themeColor="text1"/>
          <w:sz w:val="24"/>
          <w:szCs w:val="24"/>
        </w:rPr>
      </w:pPr>
      <w:r w:rsidRPr="0007730C">
        <w:rPr>
          <w:rFonts w:asciiTheme="majorBidi" w:hAnsiTheme="majorBidi" w:cstheme="majorBidi"/>
          <w:b/>
          <w:color w:val="000000" w:themeColor="text1"/>
          <w:sz w:val="24"/>
          <w:szCs w:val="24"/>
        </w:rPr>
        <w:t xml:space="preserve">6. Conclusion </w:t>
      </w:r>
    </w:p>
    <w:p w14:paraId="52130202" w14:textId="72E5A3C0" w:rsidR="005F2B11" w:rsidRPr="004F3A43" w:rsidRDefault="006641F8" w:rsidP="005F2B11">
      <w:pPr>
        <w:spacing w:line="276" w:lineRule="auto"/>
        <w:jc w:val="both"/>
        <w:rPr>
          <w:rFonts w:asciiTheme="majorBidi" w:hAnsiTheme="majorBidi" w:cstheme="majorBidi"/>
          <w:color w:val="000000" w:themeColor="text1"/>
          <w:sz w:val="24"/>
          <w:szCs w:val="24"/>
          <w:shd w:val="clear" w:color="auto" w:fill="FFFFFF"/>
        </w:rPr>
      </w:pPr>
      <w:r w:rsidRPr="006641F8">
        <w:rPr>
          <w:rFonts w:asciiTheme="majorBidi" w:hAnsiTheme="majorBidi" w:cstheme="majorBidi"/>
          <w:color w:val="000000" w:themeColor="text1"/>
          <w:sz w:val="24"/>
          <w:szCs w:val="24"/>
          <w:shd w:val="clear" w:color="auto" w:fill="FFFFFF"/>
        </w:rPr>
        <w:t xml:space="preserve">To make deep eutectic solvents (DESs), quaternary ammonium salts can be combined with metal salts that can form a complex with the halide anion or hydrogen bond donors (HBDs) of the quaternary ammonium salt. The production of "Deep eutectic solvents (DESs)" and the range of applications for DESs that stem from their distinct physicochemical properties are the main topics of this article.  The physical and chemical characteristics of "Deep eutectic solvents" (DESs) will be examined in this part. This will include an examination of the DESs' distinct phase behaviours, conductivity, pH, viscosity, and freezing point. </w:t>
      </w:r>
      <w:r w:rsidR="005F2B11" w:rsidRPr="00C25996">
        <w:rPr>
          <w:rFonts w:asciiTheme="majorBidi" w:hAnsiTheme="majorBidi" w:cstheme="majorBidi"/>
          <w:color w:val="000000" w:themeColor="text1"/>
          <w:sz w:val="24"/>
          <w:szCs w:val="24"/>
          <w:shd w:val="clear" w:color="auto" w:fill="FFFFFF"/>
        </w:rPr>
        <w:t>Their potential use in material science includes applications for metal processing, synthesis, gas separation (CO</w:t>
      </w:r>
      <w:r w:rsidR="005F2B11" w:rsidRPr="00C6582C">
        <w:rPr>
          <w:rFonts w:asciiTheme="majorBidi" w:hAnsiTheme="majorBidi" w:cstheme="majorBidi"/>
          <w:color w:val="000000" w:themeColor="text1"/>
          <w:sz w:val="24"/>
          <w:szCs w:val="24"/>
          <w:shd w:val="clear" w:color="auto" w:fill="FFFFFF"/>
          <w:vertAlign w:val="subscript"/>
        </w:rPr>
        <w:t>2</w:t>
      </w:r>
      <w:r w:rsidR="005F2B11" w:rsidRPr="00C25996">
        <w:rPr>
          <w:rFonts w:asciiTheme="majorBidi" w:hAnsiTheme="majorBidi" w:cstheme="majorBidi"/>
          <w:color w:val="000000" w:themeColor="text1"/>
          <w:sz w:val="24"/>
          <w:szCs w:val="24"/>
          <w:shd w:val="clear" w:color="auto" w:fill="FFFFFF"/>
        </w:rPr>
        <w:t>, SO</w:t>
      </w:r>
      <w:r w:rsidR="005F2B11" w:rsidRPr="00C6582C">
        <w:rPr>
          <w:rFonts w:asciiTheme="majorBidi" w:hAnsiTheme="majorBidi" w:cstheme="majorBidi"/>
          <w:color w:val="000000" w:themeColor="text1"/>
          <w:sz w:val="24"/>
          <w:szCs w:val="24"/>
          <w:shd w:val="clear" w:color="auto" w:fill="FFFFFF"/>
          <w:vertAlign w:val="subscript"/>
        </w:rPr>
        <w:t>2</w:t>
      </w:r>
      <w:r w:rsidR="005F2B11" w:rsidRPr="00C25996">
        <w:rPr>
          <w:rFonts w:asciiTheme="majorBidi" w:hAnsiTheme="majorBidi" w:cstheme="majorBidi"/>
          <w:color w:val="000000" w:themeColor="text1"/>
          <w:sz w:val="24"/>
          <w:szCs w:val="24"/>
          <w:shd w:val="clear" w:color="auto" w:fill="FFFFFF"/>
        </w:rPr>
        <w:t>), tea catechin extraction, therapeutic applications, extraction and separation, catalyst, agroforestry, biological applications, etc. These novel properties of DESs are the cause of their potential use in these applications. The potential usage in material science to enhance the uses of these solvents by expanding the kinds of salts and "hydrogen bond donors" that are used.</w:t>
      </w:r>
    </w:p>
    <w:p w14:paraId="3E40F146" w14:textId="77777777" w:rsidR="005F2B11" w:rsidRPr="0007730C" w:rsidRDefault="005F2B11" w:rsidP="005F2B11">
      <w:pPr>
        <w:autoSpaceDE w:val="0"/>
        <w:autoSpaceDN w:val="0"/>
        <w:adjustRightInd w:val="0"/>
        <w:spacing w:line="276" w:lineRule="auto"/>
        <w:jc w:val="both"/>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7</w:t>
      </w:r>
      <w:r w:rsidRPr="0007730C">
        <w:rPr>
          <w:rFonts w:asciiTheme="majorBidi" w:hAnsiTheme="majorBidi" w:cstheme="majorBidi"/>
          <w:b/>
          <w:color w:val="000000" w:themeColor="text1"/>
          <w:sz w:val="24"/>
          <w:szCs w:val="24"/>
        </w:rPr>
        <w:t xml:space="preserve">. Acknowledgements </w:t>
      </w:r>
    </w:p>
    <w:p w14:paraId="5C74EF82"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The authors are grateful to </w:t>
      </w:r>
      <w:proofErr w:type="spellStart"/>
      <w:r w:rsidRPr="0007730C">
        <w:rPr>
          <w:rFonts w:asciiTheme="majorBidi" w:hAnsiTheme="majorBidi" w:cstheme="majorBidi"/>
          <w:color w:val="000000" w:themeColor="text1"/>
          <w:sz w:val="24"/>
          <w:szCs w:val="24"/>
        </w:rPr>
        <w:t>Dr.</w:t>
      </w:r>
      <w:proofErr w:type="spellEnd"/>
      <w:r w:rsidRPr="0007730C">
        <w:rPr>
          <w:rFonts w:asciiTheme="majorBidi" w:hAnsiTheme="majorBidi" w:cstheme="majorBidi"/>
          <w:color w:val="000000" w:themeColor="text1"/>
          <w:sz w:val="24"/>
          <w:szCs w:val="24"/>
        </w:rPr>
        <w:t xml:space="preserve"> Ashish Saraf, Head, MATS School of Sciences, “MATS University”, Raipur (C.G.) for the laboratory facility. </w:t>
      </w:r>
    </w:p>
    <w:p w14:paraId="7662FE77" w14:textId="70BB76EC" w:rsidR="005F2B11" w:rsidRPr="00C205D6" w:rsidRDefault="005F2B11" w:rsidP="005F2B11">
      <w:pPr>
        <w:rPr>
          <w:rFonts w:asciiTheme="majorBidi" w:hAnsiTheme="majorBidi" w:cstheme="majorBidi"/>
        </w:rPr>
        <w:sectPr w:rsidR="005F2B11" w:rsidRPr="00C205D6" w:rsidSect="005F2B11">
          <w:footnotePr>
            <w:pos w:val="beneathText"/>
            <w:numFmt w:val="lowerLetter"/>
          </w:footnotePr>
          <w:type w:val="continuous"/>
          <w:pgSz w:w="11905" w:h="16837" w:code="9"/>
          <w:pgMar w:top="1418" w:right="1077" w:bottom="1135" w:left="1077" w:header="680" w:footer="680" w:gutter="0"/>
          <w:cols w:space="281"/>
          <w:titlePg/>
          <w:docGrid w:linePitch="360"/>
        </w:sectPr>
      </w:pPr>
    </w:p>
    <w:p w14:paraId="4EC92014" w14:textId="74FA613C" w:rsidR="005F2B11" w:rsidRPr="0007730C" w:rsidRDefault="005F2B11" w:rsidP="005F2B11">
      <w:pPr>
        <w:jc w:val="both"/>
        <w:rPr>
          <w:rFonts w:asciiTheme="majorBidi" w:hAnsiTheme="majorBidi" w:cstheme="majorBidi"/>
          <w:color w:val="000000" w:themeColor="text1"/>
          <w:sz w:val="24"/>
          <w:szCs w:val="24"/>
        </w:rPr>
      </w:pPr>
    </w:p>
    <w:p w14:paraId="02DD8F1F" w14:textId="77777777" w:rsidR="005F2B11" w:rsidRPr="0007730C" w:rsidRDefault="005F2B11" w:rsidP="005F2B11">
      <w:pPr>
        <w:spacing w:line="276" w:lineRule="auto"/>
        <w:jc w:val="both"/>
        <w:rPr>
          <w:rFonts w:asciiTheme="majorBidi" w:hAnsiTheme="majorBidi" w:cstheme="majorBidi"/>
          <w:i/>
          <w:iCs/>
          <w:color w:val="000000" w:themeColor="text1"/>
          <w:sz w:val="24"/>
          <w:szCs w:val="24"/>
        </w:rPr>
      </w:pPr>
    </w:p>
    <w:p w14:paraId="6E0F05BE" w14:textId="77777777" w:rsidR="005F2B11" w:rsidRPr="0007730C" w:rsidRDefault="005F2B11" w:rsidP="005F2B11">
      <w:pPr>
        <w:spacing w:line="276" w:lineRule="auto"/>
        <w:jc w:val="both"/>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8</w:t>
      </w:r>
      <w:r w:rsidRPr="0007730C">
        <w:rPr>
          <w:rFonts w:asciiTheme="majorBidi" w:hAnsiTheme="majorBidi" w:cstheme="majorBidi"/>
          <w:b/>
          <w:color w:val="000000" w:themeColor="text1"/>
          <w:sz w:val="24"/>
          <w:szCs w:val="24"/>
        </w:rPr>
        <w:t>. References</w:t>
      </w:r>
    </w:p>
    <w:p w14:paraId="515C413C"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1. R. Hakkinen, A.P. Abbott, Adv. Bot. Res.  97, (2020), 1-16.</w:t>
      </w:r>
    </w:p>
    <w:p w14:paraId="5B3F7456"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2. D. A. Alonso, A. Baeza, R. Chinchilla, G. </w:t>
      </w:r>
      <w:proofErr w:type="spellStart"/>
      <w:r w:rsidRPr="0007730C">
        <w:rPr>
          <w:rFonts w:asciiTheme="majorBidi" w:hAnsiTheme="majorBidi" w:cstheme="majorBidi"/>
          <w:color w:val="000000" w:themeColor="text1"/>
          <w:sz w:val="24"/>
          <w:szCs w:val="24"/>
        </w:rPr>
        <w:t>Guillena</w:t>
      </w:r>
      <w:proofErr w:type="spellEnd"/>
      <w:r w:rsidRPr="0007730C">
        <w:rPr>
          <w:rFonts w:asciiTheme="majorBidi" w:hAnsiTheme="majorBidi" w:cstheme="majorBidi"/>
          <w:color w:val="000000" w:themeColor="text1"/>
          <w:sz w:val="24"/>
          <w:szCs w:val="24"/>
        </w:rPr>
        <w:t xml:space="preserve">, I.M. Paster, D.J. Ramon, </w:t>
      </w:r>
      <w:r w:rsidRPr="0007730C">
        <w:rPr>
          <w:rFonts w:asciiTheme="majorBidi" w:hAnsiTheme="majorBidi" w:cstheme="majorBidi"/>
          <w:color w:val="000000" w:themeColor="text1"/>
          <w:sz w:val="24"/>
          <w:szCs w:val="24"/>
          <w:shd w:val="clear" w:color="auto" w:fill="FFFFFF"/>
        </w:rPr>
        <w:t>Eur. J. Org. Chem.</w:t>
      </w:r>
      <w:r w:rsidRPr="0007730C">
        <w:rPr>
          <w:rFonts w:asciiTheme="majorBidi" w:hAnsiTheme="majorBidi" w:cstheme="majorBidi"/>
          <w:color w:val="000000" w:themeColor="text1"/>
          <w:sz w:val="24"/>
          <w:szCs w:val="24"/>
        </w:rPr>
        <w:t>, 4, (2016), 612-632.</w:t>
      </w:r>
    </w:p>
    <w:p w14:paraId="2C5EE368"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3. Q. Zhang, K.D.O. Vigier, S. Royer, F. Jerome, Chem. Soc. Rev., 41, (2012), 7108-7146.</w:t>
      </w:r>
    </w:p>
    <w:p w14:paraId="4F46D04B"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4. T.R. </w:t>
      </w:r>
      <w:proofErr w:type="spellStart"/>
      <w:r w:rsidRPr="0007730C">
        <w:rPr>
          <w:rFonts w:asciiTheme="majorBidi" w:hAnsiTheme="majorBidi" w:cstheme="majorBidi"/>
          <w:color w:val="000000" w:themeColor="text1"/>
          <w:sz w:val="24"/>
          <w:szCs w:val="24"/>
        </w:rPr>
        <w:t>Sekharan</w:t>
      </w:r>
      <w:proofErr w:type="spellEnd"/>
      <w:r w:rsidRPr="0007730C">
        <w:rPr>
          <w:rFonts w:asciiTheme="majorBidi" w:hAnsiTheme="majorBidi" w:cstheme="majorBidi"/>
          <w:color w:val="000000" w:themeColor="text1"/>
          <w:sz w:val="24"/>
          <w:szCs w:val="24"/>
        </w:rPr>
        <w:t xml:space="preserve">, R.M. Chandira, S. Tamilvanan, S.C.  Rajesh, B.S. </w:t>
      </w:r>
      <w:proofErr w:type="spellStart"/>
      <w:r w:rsidRPr="0007730C">
        <w:rPr>
          <w:rFonts w:asciiTheme="majorBidi" w:hAnsiTheme="majorBidi" w:cstheme="majorBidi"/>
          <w:color w:val="000000" w:themeColor="text1"/>
          <w:sz w:val="24"/>
          <w:szCs w:val="24"/>
        </w:rPr>
        <w:t>Venkateswarlu</w:t>
      </w:r>
      <w:proofErr w:type="spellEnd"/>
      <w:r w:rsidRPr="0007730C">
        <w:rPr>
          <w:rFonts w:asciiTheme="majorBidi" w:hAnsiTheme="majorBidi" w:cstheme="majorBidi"/>
          <w:color w:val="000000" w:themeColor="text1"/>
          <w:sz w:val="24"/>
          <w:szCs w:val="24"/>
        </w:rPr>
        <w:t xml:space="preserve">. </w:t>
      </w:r>
      <w:proofErr w:type="spellStart"/>
      <w:r w:rsidRPr="0007730C">
        <w:rPr>
          <w:rFonts w:asciiTheme="majorBidi" w:hAnsiTheme="majorBidi" w:cstheme="majorBidi"/>
          <w:color w:val="000000" w:themeColor="text1"/>
          <w:sz w:val="24"/>
          <w:szCs w:val="24"/>
          <w:shd w:val="clear" w:color="auto" w:fill="FFFFFF"/>
        </w:rPr>
        <w:t>Biointerface</w:t>
      </w:r>
      <w:proofErr w:type="spellEnd"/>
      <w:r w:rsidRPr="0007730C">
        <w:rPr>
          <w:rFonts w:asciiTheme="majorBidi" w:hAnsiTheme="majorBidi" w:cstheme="majorBidi"/>
          <w:color w:val="000000" w:themeColor="text1"/>
          <w:sz w:val="24"/>
          <w:szCs w:val="24"/>
          <w:shd w:val="clear" w:color="auto" w:fill="FFFFFF"/>
        </w:rPr>
        <w:t xml:space="preserve"> Res. Appl. Chem</w:t>
      </w:r>
      <w:r w:rsidRPr="0007730C">
        <w:rPr>
          <w:rFonts w:asciiTheme="majorBidi" w:hAnsiTheme="majorBidi" w:cstheme="majorBidi"/>
          <w:color w:val="000000" w:themeColor="text1"/>
          <w:sz w:val="24"/>
          <w:szCs w:val="24"/>
        </w:rPr>
        <w:t>,12, (2022), 847-860.</w:t>
      </w:r>
    </w:p>
    <w:p w14:paraId="6AB199F8"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5. E. A. </w:t>
      </w:r>
      <w:proofErr w:type="spellStart"/>
      <w:r w:rsidRPr="0007730C">
        <w:rPr>
          <w:rFonts w:asciiTheme="majorBidi" w:hAnsiTheme="majorBidi" w:cstheme="majorBidi"/>
          <w:color w:val="000000" w:themeColor="text1"/>
          <w:sz w:val="24"/>
          <w:szCs w:val="24"/>
        </w:rPr>
        <w:t>Krisanti</w:t>
      </w:r>
      <w:proofErr w:type="spellEnd"/>
      <w:r w:rsidRPr="0007730C">
        <w:rPr>
          <w:rFonts w:asciiTheme="majorBidi" w:hAnsiTheme="majorBidi" w:cstheme="majorBidi"/>
          <w:color w:val="000000" w:themeColor="text1"/>
          <w:sz w:val="24"/>
          <w:szCs w:val="24"/>
        </w:rPr>
        <w:t>, K. Saputra, M.M. Arif, K. Mulia, AIP Conf. proc. 2175, (2019), 020040-020048.</w:t>
      </w:r>
    </w:p>
    <w:p w14:paraId="3A6CBF4C"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6. J. O. Lloret, L.F. Vega, L. Lovell, Fluid., 448, (2017), 81-93.</w:t>
      </w:r>
    </w:p>
    <w:p w14:paraId="78F39847"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7. E.L Smith, A.P. Abbott, K.S. Ryder, Chem. Rev.114, (2014), 11060-11082.</w:t>
      </w:r>
    </w:p>
    <w:p w14:paraId="3425DB8C"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8. C. Florindo, F.S. Oliveira, L.P.N. Rebelo, A.M. Fernandes, I.M. </w:t>
      </w:r>
      <w:proofErr w:type="spellStart"/>
      <w:r w:rsidRPr="0007730C">
        <w:rPr>
          <w:rFonts w:asciiTheme="majorBidi" w:hAnsiTheme="majorBidi" w:cstheme="majorBidi"/>
          <w:color w:val="000000" w:themeColor="text1"/>
          <w:sz w:val="24"/>
          <w:szCs w:val="24"/>
        </w:rPr>
        <w:t>Murrucho</w:t>
      </w:r>
      <w:proofErr w:type="spellEnd"/>
      <w:r w:rsidRPr="0007730C">
        <w:rPr>
          <w:rFonts w:asciiTheme="majorBidi" w:hAnsiTheme="majorBidi" w:cstheme="majorBidi"/>
          <w:color w:val="000000" w:themeColor="text1"/>
          <w:sz w:val="24"/>
          <w:szCs w:val="24"/>
        </w:rPr>
        <w:t xml:space="preserve">, ACS Sustainable </w:t>
      </w:r>
      <w:proofErr w:type="spellStart"/>
      <w:r w:rsidRPr="0007730C">
        <w:rPr>
          <w:rFonts w:asciiTheme="majorBidi" w:hAnsiTheme="majorBidi" w:cstheme="majorBidi"/>
          <w:color w:val="000000" w:themeColor="text1"/>
          <w:sz w:val="24"/>
          <w:szCs w:val="24"/>
        </w:rPr>
        <w:t>Chem.Eng</w:t>
      </w:r>
      <w:proofErr w:type="spellEnd"/>
      <w:r w:rsidRPr="0007730C">
        <w:rPr>
          <w:rFonts w:asciiTheme="majorBidi" w:hAnsiTheme="majorBidi" w:cstheme="majorBidi"/>
          <w:color w:val="000000" w:themeColor="text1"/>
          <w:sz w:val="24"/>
          <w:szCs w:val="24"/>
        </w:rPr>
        <w:t>. 10, (2014), 2416-2425.</w:t>
      </w:r>
    </w:p>
    <w:p w14:paraId="2B645829"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9. E. Durand, J. Lecomte, P. Villeneuve, Eur. J. Lipid Sci. Technol. 115, (2013), 379- 385.</w:t>
      </w:r>
    </w:p>
    <w:p w14:paraId="4396EF9E"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10. H. Qin, X. Hu, J. Wang, H. Cheng, L. Chen, Z. Qi, </w:t>
      </w:r>
      <w:r w:rsidRPr="0007730C">
        <w:rPr>
          <w:rFonts w:asciiTheme="majorBidi" w:hAnsiTheme="majorBidi" w:cstheme="majorBidi"/>
          <w:color w:val="000000" w:themeColor="text1"/>
          <w:sz w:val="24"/>
          <w:szCs w:val="24"/>
          <w:shd w:val="clear" w:color="auto" w:fill="FFFFFF"/>
        </w:rPr>
        <w:t>Green Energy Environ. 5, (2020), 8-21</w:t>
      </w:r>
      <w:r w:rsidRPr="0007730C">
        <w:rPr>
          <w:rFonts w:asciiTheme="majorBidi" w:hAnsiTheme="majorBidi" w:cstheme="majorBidi"/>
          <w:color w:val="000000" w:themeColor="text1"/>
          <w:sz w:val="24"/>
          <w:szCs w:val="24"/>
        </w:rPr>
        <w:t>.</w:t>
      </w:r>
    </w:p>
    <w:p w14:paraId="10734842"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11. M.K </w:t>
      </w:r>
      <w:proofErr w:type="spellStart"/>
      <w:r w:rsidRPr="0007730C">
        <w:rPr>
          <w:rFonts w:asciiTheme="majorBidi" w:hAnsiTheme="majorBidi" w:cstheme="majorBidi"/>
          <w:color w:val="000000" w:themeColor="text1"/>
          <w:sz w:val="24"/>
          <w:szCs w:val="24"/>
        </w:rPr>
        <w:t>Banjare</w:t>
      </w:r>
      <w:proofErr w:type="spellEnd"/>
      <w:r w:rsidRPr="0007730C">
        <w:rPr>
          <w:rFonts w:asciiTheme="majorBidi" w:hAnsiTheme="majorBidi" w:cstheme="majorBidi"/>
          <w:color w:val="000000" w:themeColor="text1"/>
          <w:sz w:val="24"/>
          <w:szCs w:val="24"/>
        </w:rPr>
        <w:t>, K. Behera, M.L. Satnami, S. Pandey, K.K. Ghosh, RSC Adv. 8, (2018), 7969−7979.</w:t>
      </w:r>
    </w:p>
    <w:p w14:paraId="31A7C6DF"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12. G. Garcia, S. Aparicio, R. Ullah, M. </w:t>
      </w:r>
      <w:proofErr w:type="spellStart"/>
      <w:r w:rsidRPr="0007730C">
        <w:rPr>
          <w:rFonts w:asciiTheme="majorBidi" w:hAnsiTheme="majorBidi" w:cstheme="majorBidi"/>
          <w:color w:val="000000" w:themeColor="text1"/>
          <w:sz w:val="24"/>
          <w:szCs w:val="24"/>
        </w:rPr>
        <w:t>Atilhan</w:t>
      </w:r>
      <w:proofErr w:type="spellEnd"/>
      <w:r w:rsidRPr="0007730C">
        <w:rPr>
          <w:rFonts w:asciiTheme="majorBidi" w:hAnsiTheme="majorBidi" w:cstheme="majorBidi"/>
          <w:color w:val="000000" w:themeColor="text1"/>
          <w:sz w:val="24"/>
          <w:szCs w:val="24"/>
        </w:rPr>
        <w:t>, Energy fuels,29, (2015), 2616-2644.</w:t>
      </w:r>
    </w:p>
    <w:p w14:paraId="0C852A03"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13. Y. Marcus. Springer, Chem. 10, (2019), 1007.</w:t>
      </w:r>
    </w:p>
    <w:p w14:paraId="6BA97620"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14. D.E. Crawford, L.A. Wright, S.L. James, A.P. Abbott., Chem. </w:t>
      </w:r>
      <w:proofErr w:type="spellStart"/>
      <w:r w:rsidRPr="0007730C">
        <w:rPr>
          <w:rFonts w:asciiTheme="majorBidi" w:hAnsiTheme="majorBidi" w:cstheme="majorBidi"/>
          <w:color w:val="000000" w:themeColor="text1"/>
          <w:sz w:val="24"/>
          <w:szCs w:val="24"/>
        </w:rPr>
        <w:t>Commun</w:t>
      </w:r>
      <w:proofErr w:type="spellEnd"/>
      <w:r w:rsidRPr="0007730C">
        <w:rPr>
          <w:rFonts w:asciiTheme="majorBidi" w:hAnsiTheme="majorBidi" w:cstheme="majorBidi"/>
          <w:color w:val="000000" w:themeColor="text1"/>
          <w:sz w:val="24"/>
          <w:szCs w:val="24"/>
        </w:rPr>
        <w:t>. 52, (2016), 4215- 4218.</w:t>
      </w:r>
    </w:p>
    <w:p w14:paraId="5F259CF0" w14:textId="77777777" w:rsidR="005F2B11" w:rsidRPr="0007730C" w:rsidRDefault="005F2B11" w:rsidP="005F2B11">
      <w:pPr>
        <w:spacing w:line="276" w:lineRule="auto"/>
        <w:jc w:val="both"/>
        <w:rPr>
          <w:rFonts w:asciiTheme="majorBidi" w:hAnsiTheme="majorBidi" w:cstheme="majorBidi"/>
          <w:b/>
          <w:bCs/>
          <w:color w:val="000000" w:themeColor="text1"/>
          <w:sz w:val="24"/>
          <w:szCs w:val="24"/>
        </w:rPr>
      </w:pPr>
      <w:r w:rsidRPr="0007730C">
        <w:rPr>
          <w:rFonts w:asciiTheme="majorBidi" w:hAnsiTheme="majorBidi" w:cstheme="majorBidi"/>
          <w:color w:val="000000" w:themeColor="text1"/>
          <w:sz w:val="24"/>
          <w:szCs w:val="24"/>
        </w:rPr>
        <w:t xml:space="preserve">15. L. </w:t>
      </w:r>
      <w:proofErr w:type="spellStart"/>
      <w:r w:rsidRPr="0007730C">
        <w:rPr>
          <w:rFonts w:asciiTheme="majorBidi" w:hAnsiTheme="majorBidi" w:cstheme="majorBidi"/>
          <w:color w:val="000000" w:themeColor="text1"/>
          <w:sz w:val="24"/>
          <w:szCs w:val="24"/>
        </w:rPr>
        <w:t>Piemontese</w:t>
      </w:r>
      <w:proofErr w:type="spellEnd"/>
      <w:r w:rsidRPr="0007730C">
        <w:rPr>
          <w:rFonts w:asciiTheme="majorBidi" w:hAnsiTheme="majorBidi" w:cstheme="majorBidi"/>
          <w:color w:val="000000" w:themeColor="text1"/>
          <w:sz w:val="24"/>
          <w:szCs w:val="24"/>
        </w:rPr>
        <w:t>, R. Sergio, F. Rinaldo, L. Brunetti, F.M. Perna, M.A. Santos, V. Capriati, Mol.,    25(3), (2020), 574.</w:t>
      </w:r>
    </w:p>
    <w:p w14:paraId="41029202"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16. R.B. </w:t>
      </w:r>
      <w:proofErr w:type="spellStart"/>
      <w:r w:rsidRPr="0007730C">
        <w:rPr>
          <w:rFonts w:asciiTheme="majorBidi" w:hAnsiTheme="majorBidi" w:cstheme="majorBidi"/>
          <w:color w:val="000000" w:themeColor="text1"/>
          <w:sz w:val="24"/>
          <w:szCs w:val="24"/>
        </w:rPr>
        <w:t>Leron</w:t>
      </w:r>
      <w:proofErr w:type="spellEnd"/>
      <w:r w:rsidRPr="0007730C">
        <w:rPr>
          <w:rFonts w:asciiTheme="majorBidi" w:hAnsiTheme="majorBidi" w:cstheme="majorBidi"/>
          <w:color w:val="000000" w:themeColor="text1"/>
          <w:sz w:val="24"/>
          <w:szCs w:val="24"/>
        </w:rPr>
        <w:t xml:space="preserve">, A.N. Soriano, M.H. Li, </w:t>
      </w:r>
      <w:r w:rsidRPr="0007730C">
        <w:rPr>
          <w:rFonts w:asciiTheme="majorBidi" w:hAnsiTheme="majorBidi" w:cstheme="majorBidi"/>
          <w:color w:val="000000" w:themeColor="text1"/>
          <w:sz w:val="24"/>
          <w:szCs w:val="24"/>
          <w:shd w:val="clear" w:color="auto" w:fill="FFFFFF"/>
        </w:rPr>
        <w:t>J. Taiwan. Inst. Chem. Eng. 43, (2012), 551- 557</w:t>
      </w:r>
      <w:r w:rsidRPr="0007730C">
        <w:rPr>
          <w:rFonts w:asciiTheme="majorBidi" w:hAnsiTheme="majorBidi" w:cstheme="majorBidi"/>
          <w:color w:val="000000" w:themeColor="text1"/>
          <w:sz w:val="24"/>
          <w:szCs w:val="24"/>
        </w:rPr>
        <w:t>.</w:t>
      </w:r>
    </w:p>
    <w:p w14:paraId="1AA82302"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17. Y. Dai, J.V. </w:t>
      </w:r>
      <w:proofErr w:type="spellStart"/>
      <w:r w:rsidRPr="0007730C">
        <w:rPr>
          <w:rFonts w:asciiTheme="majorBidi" w:hAnsiTheme="majorBidi" w:cstheme="majorBidi"/>
          <w:color w:val="000000" w:themeColor="text1"/>
          <w:sz w:val="24"/>
          <w:szCs w:val="24"/>
        </w:rPr>
        <w:t>Spronsen</w:t>
      </w:r>
      <w:proofErr w:type="spellEnd"/>
      <w:r w:rsidRPr="0007730C">
        <w:rPr>
          <w:rFonts w:asciiTheme="majorBidi" w:hAnsiTheme="majorBidi" w:cstheme="majorBidi"/>
          <w:color w:val="000000" w:themeColor="text1"/>
          <w:sz w:val="24"/>
          <w:szCs w:val="24"/>
        </w:rPr>
        <w:t xml:space="preserve">, G. </w:t>
      </w:r>
      <w:proofErr w:type="spellStart"/>
      <w:r w:rsidRPr="0007730C">
        <w:rPr>
          <w:rFonts w:asciiTheme="majorBidi" w:hAnsiTheme="majorBidi" w:cstheme="majorBidi"/>
          <w:color w:val="000000" w:themeColor="text1"/>
          <w:sz w:val="24"/>
          <w:szCs w:val="24"/>
        </w:rPr>
        <w:t>Witkamp</w:t>
      </w:r>
      <w:proofErr w:type="spellEnd"/>
      <w:r w:rsidRPr="0007730C">
        <w:rPr>
          <w:rFonts w:asciiTheme="majorBidi" w:hAnsiTheme="majorBidi" w:cstheme="majorBidi"/>
          <w:color w:val="000000" w:themeColor="text1"/>
          <w:sz w:val="24"/>
          <w:szCs w:val="24"/>
        </w:rPr>
        <w:t xml:space="preserve">, R. </w:t>
      </w:r>
      <w:proofErr w:type="spellStart"/>
      <w:r w:rsidRPr="0007730C">
        <w:rPr>
          <w:rFonts w:asciiTheme="majorBidi" w:hAnsiTheme="majorBidi" w:cstheme="majorBidi"/>
          <w:color w:val="000000" w:themeColor="text1"/>
          <w:sz w:val="24"/>
          <w:szCs w:val="24"/>
        </w:rPr>
        <w:t>Verpoorte</w:t>
      </w:r>
      <w:proofErr w:type="spellEnd"/>
      <w:r w:rsidRPr="0007730C">
        <w:rPr>
          <w:rFonts w:asciiTheme="majorBidi" w:hAnsiTheme="majorBidi" w:cstheme="majorBidi"/>
          <w:color w:val="000000" w:themeColor="text1"/>
          <w:sz w:val="24"/>
          <w:szCs w:val="24"/>
        </w:rPr>
        <w:t>, Y.H. Choi, Analytical chemical acta 766, (2013), 61-68.</w:t>
      </w:r>
    </w:p>
    <w:p w14:paraId="3F53B3C2"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18. M.K.H. Kali, K.E.A. Khidir, I. </w:t>
      </w:r>
      <w:proofErr w:type="spellStart"/>
      <w:r w:rsidRPr="0007730C">
        <w:rPr>
          <w:rFonts w:asciiTheme="majorBidi" w:hAnsiTheme="majorBidi" w:cstheme="majorBidi"/>
          <w:color w:val="000000" w:themeColor="text1"/>
          <w:sz w:val="24"/>
          <w:szCs w:val="24"/>
        </w:rPr>
        <w:t>Wazeer</w:t>
      </w:r>
      <w:proofErr w:type="spellEnd"/>
      <w:r w:rsidRPr="0007730C">
        <w:rPr>
          <w:rFonts w:asciiTheme="majorBidi" w:hAnsiTheme="majorBidi" w:cstheme="majorBidi"/>
          <w:color w:val="000000" w:themeColor="text1"/>
          <w:sz w:val="24"/>
          <w:szCs w:val="24"/>
        </w:rPr>
        <w:t xml:space="preserve">, L.E. Blidi, S. Mulyono, I.M. </w:t>
      </w:r>
      <w:proofErr w:type="spellStart"/>
      <w:proofErr w:type="gramStart"/>
      <w:r w:rsidRPr="0007730C">
        <w:rPr>
          <w:rFonts w:asciiTheme="majorBidi" w:hAnsiTheme="majorBidi" w:cstheme="majorBidi"/>
          <w:color w:val="000000" w:themeColor="text1"/>
          <w:sz w:val="24"/>
          <w:szCs w:val="24"/>
        </w:rPr>
        <w:t>AlNashef</w:t>
      </w:r>
      <w:proofErr w:type="spellEnd"/>
      <w:r w:rsidRPr="0007730C">
        <w:rPr>
          <w:rFonts w:asciiTheme="majorBidi" w:hAnsiTheme="majorBidi" w:cstheme="majorBidi"/>
          <w:color w:val="000000" w:themeColor="text1"/>
          <w:sz w:val="24"/>
          <w:szCs w:val="24"/>
        </w:rPr>
        <w:t>,,</w:t>
      </w:r>
      <w:proofErr w:type="gramEnd"/>
      <w:r w:rsidRPr="0007730C">
        <w:rPr>
          <w:rFonts w:asciiTheme="majorBidi" w:hAnsiTheme="majorBidi" w:cstheme="majorBidi"/>
          <w:color w:val="000000" w:themeColor="text1"/>
          <w:sz w:val="24"/>
          <w:szCs w:val="24"/>
        </w:rPr>
        <w:t xml:space="preserve"> Col. </w:t>
      </w:r>
      <w:proofErr w:type="spellStart"/>
      <w:r w:rsidRPr="0007730C">
        <w:rPr>
          <w:rFonts w:asciiTheme="majorBidi" w:hAnsiTheme="majorBidi" w:cstheme="majorBidi"/>
          <w:color w:val="000000" w:themeColor="text1"/>
          <w:sz w:val="24"/>
          <w:szCs w:val="24"/>
        </w:rPr>
        <w:t>Surfa</w:t>
      </w:r>
      <w:proofErr w:type="spellEnd"/>
      <w:r w:rsidRPr="0007730C">
        <w:rPr>
          <w:rFonts w:asciiTheme="majorBidi" w:hAnsiTheme="majorBidi" w:cstheme="majorBidi"/>
          <w:color w:val="000000" w:themeColor="text1"/>
          <w:sz w:val="24"/>
          <w:szCs w:val="24"/>
        </w:rPr>
        <w:t>. 487, (2015), 221-231.</w:t>
      </w:r>
    </w:p>
    <w:p w14:paraId="0923DD84"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19. P. Liu, J.W. </w:t>
      </w:r>
      <w:proofErr w:type="spellStart"/>
      <w:proofErr w:type="gramStart"/>
      <w:r w:rsidRPr="0007730C">
        <w:rPr>
          <w:rFonts w:asciiTheme="majorBidi" w:hAnsiTheme="majorBidi" w:cstheme="majorBidi"/>
          <w:color w:val="000000" w:themeColor="text1"/>
          <w:sz w:val="24"/>
          <w:szCs w:val="24"/>
        </w:rPr>
        <w:t>Hao,L.P</w:t>
      </w:r>
      <w:proofErr w:type="spellEnd"/>
      <w:r w:rsidRPr="0007730C">
        <w:rPr>
          <w:rFonts w:asciiTheme="majorBidi" w:hAnsiTheme="majorBidi" w:cstheme="majorBidi"/>
          <w:color w:val="000000" w:themeColor="text1"/>
          <w:sz w:val="24"/>
          <w:szCs w:val="24"/>
        </w:rPr>
        <w:t>.</w:t>
      </w:r>
      <w:proofErr w:type="gramEnd"/>
      <w:r w:rsidRPr="0007730C">
        <w:rPr>
          <w:rFonts w:asciiTheme="majorBidi" w:hAnsiTheme="majorBidi" w:cstheme="majorBidi"/>
          <w:color w:val="000000" w:themeColor="text1"/>
          <w:sz w:val="24"/>
          <w:szCs w:val="24"/>
        </w:rPr>
        <w:t xml:space="preserve"> Mo, Z.H. Zhang, RSC Adv. 5, (2015), 48675−48704.</w:t>
      </w:r>
    </w:p>
    <w:p w14:paraId="3FF5C1BB"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20. K.D.O. Vigier, G. Chatel, F. Jerome, </w:t>
      </w:r>
      <w:proofErr w:type="spellStart"/>
      <w:r w:rsidRPr="0007730C">
        <w:rPr>
          <w:rFonts w:asciiTheme="majorBidi" w:hAnsiTheme="majorBidi" w:cstheme="majorBidi"/>
          <w:color w:val="000000" w:themeColor="text1"/>
          <w:sz w:val="24"/>
          <w:szCs w:val="24"/>
        </w:rPr>
        <w:t>Chemcatchem</w:t>
      </w:r>
      <w:proofErr w:type="spellEnd"/>
      <w:r w:rsidRPr="0007730C">
        <w:rPr>
          <w:rFonts w:asciiTheme="majorBidi" w:hAnsiTheme="majorBidi" w:cstheme="majorBidi"/>
          <w:color w:val="000000" w:themeColor="text1"/>
          <w:sz w:val="24"/>
          <w:szCs w:val="24"/>
        </w:rPr>
        <w:t xml:space="preserve">, </w:t>
      </w:r>
      <w:proofErr w:type="gramStart"/>
      <w:r w:rsidRPr="0007730C">
        <w:rPr>
          <w:rFonts w:asciiTheme="majorBidi" w:hAnsiTheme="majorBidi" w:cstheme="majorBidi"/>
          <w:color w:val="000000" w:themeColor="text1"/>
          <w:sz w:val="24"/>
          <w:szCs w:val="24"/>
        </w:rPr>
        <w:t>7,(</w:t>
      </w:r>
      <w:proofErr w:type="gramEnd"/>
      <w:r w:rsidRPr="0007730C">
        <w:rPr>
          <w:rFonts w:asciiTheme="majorBidi" w:hAnsiTheme="majorBidi" w:cstheme="majorBidi"/>
          <w:color w:val="000000" w:themeColor="text1"/>
          <w:sz w:val="24"/>
          <w:szCs w:val="24"/>
        </w:rPr>
        <w:t>2015), 1250-1260.</w:t>
      </w:r>
    </w:p>
    <w:p w14:paraId="5216064A"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21. T.R. </w:t>
      </w:r>
      <w:proofErr w:type="spellStart"/>
      <w:r w:rsidRPr="0007730C">
        <w:rPr>
          <w:rFonts w:asciiTheme="majorBidi" w:hAnsiTheme="majorBidi" w:cstheme="majorBidi"/>
          <w:color w:val="000000" w:themeColor="text1"/>
          <w:sz w:val="24"/>
          <w:szCs w:val="24"/>
        </w:rPr>
        <w:t>Sekharan</w:t>
      </w:r>
      <w:proofErr w:type="spellEnd"/>
      <w:r w:rsidRPr="0007730C">
        <w:rPr>
          <w:rFonts w:asciiTheme="majorBidi" w:hAnsiTheme="majorBidi" w:cstheme="majorBidi"/>
          <w:color w:val="000000" w:themeColor="text1"/>
          <w:sz w:val="24"/>
          <w:szCs w:val="24"/>
        </w:rPr>
        <w:t xml:space="preserve">, R.M. Chandira, S. Tamilvanan, S.C. Rajesh, B.S. </w:t>
      </w:r>
      <w:proofErr w:type="spellStart"/>
      <w:r w:rsidRPr="0007730C">
        <w:rPr>
          <w:rFonts w:asciiTheme="majorBidi" w:hAnsiTheme="majorBidi" w:cstheme="majorBidi"/>
          <w:color w:val="000000" w:themeColor="text1"/>
          <w:sz w:val="24"/>
          <w:szCs w:val="24"/>
        </w:rPr>
        <w:t>Venkateswarlu</w:t>
      </w:r>
      <w:proofErr w:type="spellEnd"/>
      <w:r w:rsidRPr="0007730C">
        <w:rPr>
          <w:rFonts w:asciiTheme="majorBidi" w:hAnsiTheme="majorBidi" w:cstheme="majorBidi"/>
          <w:color w:val="000000" w:themeColor="text1"/>
          <w:sz w:val="24"/>
          <w:szCs w:val="24"/>
        </w:rPr>
        <w:t xml:space="preserve">, </w:t>
      </w:r>
      <w:proofErr w:type="spellStart"/>
      <w:r w:rsidRPr="0007730C">
        <w:rPr>
          <w:rFonts w:asciiTheme="majorBidi" w:hAnsiTheme="majorBidi" w:cstheme="majorBidi"/>
          <w:color w:val="000000" w:themeColor="text1"/>
          <w:sz w:val="24"/>
          <w:szCs w:val="24"/>
          <w:shd w:val="clear" w:color="auto" w:fill="FFFFFF"/>
        </w:rPr>
        <w:t>Biointerface</w:t>
      </w:r>
      <w:proofErr w:type="spellEnd"/>
      <w:r w:rsidRPr="0007730C">
        <w:rPr>
          <w:rFonts w:asciiTheme="majorBidi" w:hAnsiTheme="majorBidi" w:cstheme="majorBidi"/>
          <w:color w:val="000000" w:themeColor="text1"/>
          <w:sz w:val="24"/>
          <w:szCs w:val="24"/>
          <w:shd w:val="clear" w:color="auto" w:fill="FFFFFF"/>
        </w:rPr>
        <w:t xml:space="preserve"> Res. Appl. Chem</w:t>
      </w:r>
      <w:r w:rsidRPr="0007730C">
        <w:rPr>
          <w:rFonts w:asciiTheme="majorBidi" w:hAnsiTheme="majorBidi" w:cstheme="majorBidi"/>
          <w:color w:val="000000" w:themeColor="text1"/>
          <w:sz w:val="24"/>
          <w:szCs w:val="24"/>
        </w:rPr>
        <w:t>,12 (2022), 847-860.</w:t>
      </w:r>
    </w:p>
    <w:p w14:paraId="31FC192E" w14:textId="77777777" w:rsidR="005F2B11" w:rsidRPr="0007730C" w:rsidRDefault="005F2B11" w:rsidP="005F2B11">
      <w:pPr>
        <w:spacing w:line="276" w:lineRule="auto"/>
        <w:jc w:val="both"/>
        <w:rPr>
          <w:rFonts w:asciiTheme="majorBidi" w:hAnsiTheme="majorBidi" w:cstheme="majorBidi"/>
          <w:sz w:val="24"/>
          <w:szCs w:val="24"/>
        </w:rPr>
      </w:pPr>
      <w:r w:rsidRPr="0007730C">
        <w:rPr>
          <w:rFonts w:asciiTheme="majorBidi" w:hAnsiTheme="majorBidi" w:cstheme="majorBidi"/>
          <w:sz w:val="24"/>
          <w:szCs w:val="24"/>
        </w:rPr>
        <w:t>22. C.D. Gum, Y.H. You, X.L. Wang, J.P. Tu, Surf. Coatings Technol. 209, (2012), 117-123.</w:t>
      </w:r>
    </w:p>
    <w:p w14:paraId="2F5EBA73" w14:textId="77777777" w:rsidR="005F2B11" w:rsidRPr="0007730C" w:rsidRDefault="005F2B11" w:rsidP="005F2B11">
      <w:pPr>
        <w:spacing w:line="276" w:lineRule="auto"/>
        <w:jc w:val="both"/>
        <w:rPr>
          <w:rFonts w:asciiTheme="majorBidi" w:hAnsiTheme="majorBidi" w:cstheme="majorBidi"/>
          <w:sz w:val="24"/>
          <w:szCs w:val="24"/>
        </w:rPr>
      </w:pPr>
      <w:r w:rsidRPr="0007730C">
        <w:rPr>
          <w:rFonts w:asciiTheme="majorBidi" w:hAnsiTheme="majorBidi" w:cstheme="majorBidi"/>
          <w:sz w:val="24"/>
          <w:szCs w:val="24"/>
        </w:rPr>
        <w:t xml:space="preserve">23. A. </w:t>
      </w:r>
      <w:proofErr w:type="spellStart"/>
      <w:r w:rsidRPr="0007730C">
        <w:rPr>
          <w:rFonts w:asciiTheme="majorBidi" w:hAnsiTheme="majorBidi" w:cstheme="majorBidi"/>
          <w:sz w:val="24"/>
          <w:szCs w:val="24"/>
        </w:rPr>
        <w:t>Mandroyan</w:t>
      </w:r>
      <w:proofErr w:type="spellEnd"/>
      <w:r w:rsidRPr="0007730C">
        <w:rPr>
          <w:rFonts w:asciiTheme="majorBidi" w:hAnsiTheme="majorBidi" w:cstheme="majorBidi"/>
          <w:sz w:val="24"/>
          <w:szCs w:val="24"/>
        </w:rPr>
        <w:t>, M. Mourad-</w:t>
      </w:r>
      <w:proofErr w:type="spellStart"/>
      <w:r w:rsidRPr="0007730C">
        <w:rPr>
          <w:rFonts w:asciiTheme="majorBidi" w:hAnsiTheme="majorBidi" w:cstheme="majorBidi"/>
          <w:sz w:val="24"/>
          <w:szCs w:val="24"/>
        </w:rPr>
        <w:t>Mohmoud</w:t>
      </w:r>
      <w:proofErr w:type="spellEnd"/>
      <w:r w:rsidRPr="0007730C">
        <w:rPr>
          <w:rFonts w:asciiTheme="majorBidi" w:hAnsiTheme="majorBidi" w:cstheme="majorBidi"/>
          <w:sz w:val="24"/>
          <w:szCs w:val="24"/>
        </w:rPr>
        <w:t>, M.L. Doche, J.Y. Hinh. Ultrasonics Sonochemistry 21, (2014), 2010-2019.</w:t>
      </w:r>
    </w:p>
    <w:p w14:paraId="6023A538" w14:textId="77777777" w:rsidR="005F2B11" w:rsidRPr="0007730C" w:rsidRDefault="005F2B11" w:rsidP="005F2B11">
      <w:pPr>
        <w:spacing w:line="276" w:lineRule="auto"/>
        <w:jc w:val="both"/>
        <w:rPr>
          <w:rFonts w:asciiTheme="majorBidi" w:hAnsiTheme="majorBidi" w:cstheme="majorBidi"/>
          <w:sz w:val="24"/>
          <w:szCs w:val="24"/>
        </w:rPr>
      </w:pPr>
      <w:r w:rsidRPr="0007730C">
        <w:rPr>
          <w:rFonts w:asciiTheme="majorBidi" w:hAnsiTheme="majorBidi" w:cstheme="majorBidi"/>
          <w:noProof/>
          <w:sz w:val="24"/>
          <w:szCs w:val="24"/>
        </w:rPr>
        <w:t>24. H. Yang, R.G. Reddy, Electrochim. Acta 178, (2015), 617-623.</w:t>
      </w:r>
    </w:p>
    <w:p w14:paraId="52862E35"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25. K. </w:t>
      </w:r>
      <w:proofErr w:type="spellStart"/>
      <w:r w:rsidRPr="0007730C">
        <w:rPr>
          <w:rFonts w:asciiTheme="majorBidi" w:hAnsiTheme="majorBidi" w:cstheme="majorBidi"/>
          <w:color w:val="000000" w:themeColor="text1"/>
          <w:sz w:val="24"/>
          <w:szCs w:val="24"/>
        </w:rPr>
        <w:t>Ghandi</w:t>
      </w:r>
      <w:proofErr w:type="spellEnd"/>
      <w:r w:rsidRPr="0007730C">
        <w:rPr>
          <w:rFonts w:asciiTheme="majorBidi" w:hAnsiTheme="majorBidi" w:cstheme="majorBidi"/>
          <w:color w:val="000000" w:themeColor="text1"/>
          <w:sz w:val="24"/>
          <w:szCs w:val="24"/>
        </w:rPr>
        <w:t xml:space="preserve">, P. Kalhor, Molecules, 24, (2019), 4012.,1-37. </w:t>
      </w:r>
    </w:p>
    <w:p w14:paraId="00A7916E" w14:textId="77777777" w:rsidR="005F2B11" w:rsidRPr="0007730C" w:rsidRDefault="005F2B11" w:rsidP="005F2B11">
      <w:pPr>
        <w:spacing w:line="276" w:lineRule="auto"/>
        <w:jc w:val="both"/>
        <w:rPr>
          <w:rFonts w:asciiTheme="majorBidi" w:hAnsiTheme="majorBidi" w:cstheme="majorBidi"/>
          <w:noProof/>
          <w:sz w:val="24"/>
          <w:szCs w:val="24"/>
        </w:rPr>
      </w:pPr>
      <w:r w:rsidRPr="0007730C">
        <w:rPr>
          <w:rFonts w:asciiTheme="majorBidi" w:hAnsiTheme="majorBidi" w:cstheme="majorBidi"/>
          <w:noProof/>
          <w:sz w:val="24"/>
          <w:szCs w:val="24"/>
        </w:rPr>
        <w:t>26. H.-G. Liao, Y.-X. Jiang, Z.-Y. Zhou, S.-P. Chen, S.-G. Sun, Angew. Chem. Int. Ed. 47, (2008), 9100-9103.</w:t>
      </w:r>
    </w:p>
    <w:p w14:paraId="3782EB33" w14:textId="77777777" w:rsidR="005F2B11" w:rsidRPr="0007730C" w:rsidRDefault="005F2B11" w:rsidP="005F2B11">
      <w:pPr>
        <w:spacing w:line="276" w:lineRule="auto"/>
        <w:jc w:val="both"/>
        <w:rPr>
          <w:rFonts w:asciiTheme="majorBidi" w:hAnsiTheme="majorBidi" w:cstheme="majorBidi"/>
          <w:sz w:val="24"/>
          <w:szCs w:val="24"/>
        </w:rPr>
      </w:pPr>
      <w:r w:rsidRPr="0007730C">
        <w:rPr>
          <w:rFonts w:asciiTheme="majorBidi" w:hAnsiTheme="majorBidi" w:cstheme="majorBidi"/>
          <w:noProof/>
          <w:sz w:val="24"/>
          <w:szCs w:val="24"/>
        </w:rPr>
        <w:t xml:space="preserve">27. </w:t>
      </w:r>
      <w:r w:rsidRPr="0007730C">
        <w:rPr>
          <w:rFonts w:asciiTheme="majorBidi" w:hAnsiTheme="majorBidi" w:cstheme="majorBidi"/>
          <w:sz w:val="24"/>
          <w:szCs w:val="24"/>
        </w:rPr>
        <w:t xml:space="preserve">M.K. </w:t>
      </w:r>
      <w:proofErr w:type="spellStart"/>
      <w:r w:rsidRPr="0007730C">
        <w:rPr>
          <w:rFonts w:asciiTheme="majorBidi" w:hAnsiTheme="majorBidi" w:cstheme="majorBidi"/>
          <w:sz w:val="24"/>
          <w:szCs w:val="24"/>
        </w:rPr>
        <w:t>AlOmar</w:t>
      </w:r>
      <w:proofErr w:type="spellEnd"/>
      <w:r w:rsidRPr="0007730C">
        <w:rPr>
          <w:rFonts w:asciiTheme="majorBidi" w:hAnsiTheme="majorBidi" w:cstheme="majorBidi"/>
          <w:sz w:val="24"/>
          <w:szCs w:val="24"/>
        </w:rPr>
        <w:t xml:space="preserve">, M.A. AlSaadi, M. Hayyan, S. Akib, R.K. Ibrahim, M.A. Hashim, J. </w:t>
      </w:r>
      <w:proofErr w:type="spellStart"/>
      <w:r w:rsidRPr="0007730C">
        <w:rPr>
          <w:rFonts w:asciiTheme="majorBidi" w:hAnsiTheme="majorBidi" w:cstheme="majorBidi"/>
          <w:sz w:val="24"/>
          <w:szCs w:val="24"/>
        </w:rPr>
        <w:t>Molec</w:t>
      </w:r>
      <w:proofErr w:type="spellEnd"/>
      <w:r w:rsidRPr="0007730C">
        <w:rPr>
          <w:rFonts w:asciiTheme="majorBidi" w:hAnsiTheme="majorBidi" w:cstheme="majorBidi"/>
          <w:sz w:val="24"/>
          <w:szCs w:val="24"/>
        </w:rPr>
        <w:t>. Liq. 222, (2016), 883-894.</w:t>
      </w:r>
    </w:p>
    <w:p w14:paraId="3485CCE2" w14:textId="77777777" w:rsidR="005F2B11" w:rsidRPr="0007730C" w:rsidRDefault="005F2B11" w:rsidP="005F2B11">
      <w:pPr>
        <w:spacing w:line="276" w:lineRule="auto"/>
        <w:jc w:val="both"/>
        <w:rPr>
          <w:rFonts w:asciiTheme="majorBidi" w:hAnsiTheme="majorBidi" w:cstheme="majorBidi"/>
          <w:sz w:val="24"/>
          <w:szCs w:val="24"/>
        </w:rPr>
      </w:pPr>
      <w:r w:rsidRPr="0007730C">
        <w:rPr>
          <w:rFonts w:asciiTheme="majorBidi" w:hAnsiTheme="majorBidi" w:cstheme="majorBidi"/>
          <w:sz w:val="24"/>
          <w:szCs w:val="24"/>
        </w:rPr>
        <w:lastRenderedPageBreak/>
        <w:t xml:space="preserve">28. </w:t>
      </w:r>
      <w:r w:rsidRPr="0007730C">
        <w:rPr>
          <w:rFonts w:asciiTheme="majorBidi" w:hAnsiTheme="majorBidi" w:cstheme="majorBidi"/>
          <w:noProof/>
          <w:sz w:val="24"/>
          <w:szCs w:val="24"/>
        </w:rPr>
        <w:t>S. Ramesh, R. Shanti, E. Morris, Carbohydr. Polym. 91,(2013), 14-21.</w:t>
      </w:r>
    </w:p>
    <w:p w14:paraId="0C11D8BD" w14:textId="77777777" w:rsidR="005F2B11" w:rsidRPr="0007730C" w:rsidRDefault="005F2B11" w:rsidP="005F2B11">
      <w:pPr>
        <w:spacing w:line="276" w:lineRule="auto"/>
        <w:jc w:val="both"/>
        <w:rPr>
          <w:rFonts w:asciiTheme="majorBidi" w:hAnsiTheme="majorBidi" w:cstheme="majorBidi"/>
          <w:noProof/>
          <w:sz w:val="24"/>
          <w:szCs w:val="24"/>
        </w:rPr>
      </w:pPr>
      <w:r w:rsidRPr="0007730C">
        <w:rPr>
          <w:rFonts w:asciiTheme="majorBidi" w:hAnsiTheme="majorBidi" w:cstheme="majorBidi"/>
          <w:sz w:val="24"/>
          <w:szCs w:val="24"/>
        </w:rPr>
        <w:t xml:space="preserve">29. </w:t>
      </w:r>
      <w:r w:rsidRPr="0007730C">
        <w:rPr>
          <w:rFonts w:asciiTheme="majorBidi" w:hAnsiTheme="majorBidi" w:cstheme="majorBidi"/>
          <w:noProof/>
          <w:sz w:val="24"/>
          <w:szCs w:val="24"/>
        </w:rPr>
        <w:t>S. Wang, X. Peng, L. Zhong, S. Jing, X. Cao, F. Lu, R. Sun, Carbohydr. Polym. 117, (2015), 133139.</w:t>
      </w:r>
    </w:p>
    <w:p w14:paraId="23B48DF3" w14:textId="77777777" w:rsidR="005F2B11" w:rsidRPr="0007730C" w:rsidRDefault="005F2B11" w:rsidP="005F2B11">
      <w:pPr>
        <w:spacing w:line="276" w:lineRule="auto"/>
        <w:jc w:val="both"/>
        <w:rPr>
          <w:rFonts w:asciiTheme="majorBidi" w:hAnsiTheme="majorBidi" w:cstheme="majorBidi"/>
          <w:noProof/>
          <w:sz w:val="24"/>
          <w:szCs w:val="24"/>
        </w:rPr>
      </w:pPr>
      <w:r w:rsidRPr="0007730C">
        <w:rPr>
          <w:rFonts w:asciiTheme="majorBidi" w:hAnsiTheme="majorBidi" w:cstheme="majorBidi"/>
          <w:noProof/>
          <w:sz w:val="24"/>
          <w:szCs w:val="24"/>
        </w:rPr>
        <w:t>30. S. Ramesh, R. Shanti, E. Morris, Carbohydr. Polym. 87,(2012), 701-706.</w:t>
      </w:r>
    </w:p>
    <w:p w14:paraId="60B65B19" w14:textId="77777777" w:rsidR="005F2B11" w:rsidRPr="0007730C" w:rsidRDefault="005F2B11" w:rsidP="005F2B11">
      <w:pPr>
        <w:spacing w:line="276" w:lineRule="auto"/>
        <w:jc w:val="both"/>
        <w:rPr>
          <w:rFonts w:asciiTheme="majorBidi" w:hAnsiTheme="majorBidi" w:cstheme="majorBidi"/>
          <w:sz w:val="24"/>
          <w:szCs w:val="24"/>
        </w:rPr>
      </w:pPr>
      <w:r w:rsidRPr="0007730C">
        <w:rPr>
          <w:rFonts w:asciiTheme="majorBidi" w:hAnsiTheme="majorBidi" w:cstheme="majorBidi"/>
          <w:sz w:val="24"/>
          <w:szCs w:val="24"/>
        </w:rPr>
        <w:t xml:space="preserve">31. L. Liu, S.-M. Wang, W.-L. Chen, Y. Lu, Y.-G. Li, E.-B. Wang, Inorg. Chem. </w:t>
      </w:r>
      <w:proofErr w:type="spellStart"/>
      <w:r w:rsidRPr="0007730C">
        <w:rPr>
          <w:rFonts w:asciiTheme="majorBidi" w:hAnsiTheme="majorBidi" w:cstheme="majorBidi"/>
          <w:sz w:val="24"/>
          <w:szCs w:val="24"/>
        </w:rPr>
        <w:t>Commun</w:t>
      </w:r>
      <w:proofErr w:type="spellEnd"/>
      <w:r w:rsidRPr="0007730C">
        <w:rPr>
          <w:rFonts w:asciiTheme="majorBidi" w:hAnsiTheme="majorBidi" w:cstheme="majorBidi"/>
          <w:sz w:val="24"/>
          <w:szCs w:val="24"/>
        </w:rPr>
        <w:t xml:space="preserve">. 23, (2012), 14-16. </w:t>
      </w:r>
    </w:p>
    <w:p w14:paraId="4ED1B449" w14:textId="77777777" w:rsidR="005F2B11" w:rsidRPr="0007730C" w:rsidRDefault="005F2B11" w:rsidP="005F2B11">
      <w:pPr>
        <w:spacing w:line="276" w:lineRule="auto"/>
        <w:jc w:val="both"/>
        <w:rPr>
          <w:rFonts w:asciiTheme="majorBidi" w:hAnsiTheme="majorBidi" w:cstheme="majorBidi"/>
          <w:sz w:val="24"/>
          <w:szCs w:val="24"/>
        </w:rPr>
      </w:pPr>
      <w:r w:rsidRPr="0007730C">
        <w:rPr>
          <w:rFonts w:asciiTheme="majorBidi" w:hAnsiTheme="majorBidi" w:cstheme="majorBidi"/>
          <w:sz w:val="24"/>
          <w:szCs w:val="24"/>
        </w:rPr>
        <w:t xml:space="preserve">32. F. </w:t>
      </w:r>
      <w:proofErr w:type="spellStart"/>
      <w:r w:rsidRPr="0007730C">
        <w:rPr>
          <w:rFonts w:asciiTheme="majorBidi" w:hAnsiTheme="majorBidi" w:cstheme="majorBidi"/>
          <w:sz w:val="24"/>
          <w:szCs w:val="24"/>
        </w:rPr>
        <w:t>Lionetto</w:t>
      </w:r>
      <w:proofErr w:type="spellEnd"/>
      <w:r w:rsidRPr="0007730C">
        <w:rPr>
          <w:rFonts w:asciiTheme="majorBidi" w:hAnsiTheme="majorBidi" w:cstheme="majorBidi"/>
          <w:sz w:val="24"/>
          <w:szCs w:val="24"/>
        </w:rPr>
        <w:t xml:space="preserve">, A. Timo, M. </w:t>
      </w:r>
      <w:proofErr w:type="spellStart"/>
      <w:r w:rsidRPr="0007730C">
        <w:rPr>
          <w:rFonts w:asciiTheme="majorBidi" w:hAnsiTheme="majorBidi" w:cstheme="majorBidi"/>
          <w:sz w:val="24"/>
          <w:szCs w:val="24"/>
        </w:rPr>
        <w:t>Frigione</w:t>
      </w:r>
      <w:proofErr w:type="spellEnd"/>
      <w:r w:rsidRPr="0007730C">
        <w:rPr>
          <w:rFonts w:asciiTheme="majorBidi" w:hAnsiTheme="majorBidi" w:cstheme="majorBidi"/>
          <w:sz w:val="24"/>
          <w:szCs w:val="24"/>
        </w:rPr>
        <w:t xml:space="preserve">, </w:t>
      </w:r>
      <w:proofErr w:type="spellStart"/>
      <w:r w:rsidRPr="0007730C">
        <w:rPr>
          <w:rFonts w:asciiTheme="majorBidi" w:hAnsiTheme="majorBidi" w:cstheme="majorBidi"/>
          <w:sz w:val="24"/>
          <w:szCs w:val="24"/>
        </w:rPr>
        <w:t>Thermochim</w:t>
      </w:r>
      <w:proofErr w:type="spellEnd"/>
      <w:r w:rsidRPr="0007730C">
        <w:rPr>
          <w:rFonts w:asciiTheme="majorBidi" w:hAnsiTheme="majorBidi" w:cstheme="majorBidi"/>
          <w:sz w:val="24"/>
          <w:szCs w:val="24"/>
        </w:rPr>
        <w:t>. Acta 612, (2015), 70-78.</w:t>
      </w:r>
    </w:p>
    <w:p w14:paraId="5DFE2511" w14:textId="77777777" w:rsidR="005F2B11" w:rsidRPr="0007730C" w:rsidRDefault="005F2B11" w:rsidP="005F2B11">
      <w:pPr>
        <w:spacing w:line="276" w:lineRule="auto"/>
        <w:jc w:val="both"/>
        <w:rPr>
          <w:rFonts w:asciiTheme="majorBidi" w:hAnsiTheme="majorBidi" w:cstheme="majorBidi"/>
          <w:noProof/>
          <w:sz w:val="24"/>
          <w:szCs w:val="24"/>
        </w:rPr>
      </w:pPr>
      <w:r w:rsidRPr="0007730C">
        <w:rPr>
          <w:rFonts w:asciiTheme="majorBidi" w:hAnsiTheme="majorBidi" w:cstheme="majorBidi"/>
          <w:sz w:val="24"/>
          <w:szCs w:val="24"/>
        </w:rPr>
        <w:t xml:space="preserve">33. </w:t>
      </w:r>
      <w:r w:rsidRPr="0007730C">
        <w:rPr>
          <w:rFonts w:asciiTheme="majorBidi" w:hAnsiTheme="majorBidi" w:cstheme="majorBidi"/>
          <w:noProof/>
          <w:sz w:val="24"/>
          <w:szCs w:val="24"/>
        </w:rPr>
        <w:t>K. Xu, Y. Wang, Y. Li, Y. Lin, H. Zhang, Y. Zhou, , Anal. Chim. Acta 946 64-72 (2016).</w:t>
      </w:r>
    </w:p>
    <w:p w14:paraId="79E0E120" w14:textId="77777777" w:rsidR="005F2B11" w:rsidRPr="0007730C" w:rsidRDefault="005F2B11" w:rsidP="005F2B11">
      <w:pPr>
        <w:spacing w:line="276" w:lineRule="auto"/>
        <w:jc w:val="both"/>
        <w:rPr>
          <w:rFonts w:asciiTheme="majorBidi" w:hAnsiTheme="majorBidi" w:cstheme="majorBidi"/>
          <w:noProof/>
          <w:sz w:val="24"/>
          <w:szCs w:val="24"/>
        </w:rPr>
      </w:pPr>
      <w:r w:rsidRPr="0007730C">
        <w:rPr>
          <w:rFonts w:asciiTheme="majorBidi" w:hAnsiTheme="majorBidi" w:cstheme="majorBidi"/>
          <w:noProof/>
          <w:sz w:val="24"/>
          <w:szCs w:val="24"/>
        </w:rPr>
        <w:t>34. M. Isik, F. Ruiperez, H. Sardon, A. Gonzalez, S. Zulfiqar, D. Mecerreyes, Macromol. Rapid Commun. 37, (2016),  1135-1142.</w:t>
      </w:r>
    </w:p>
    <w:p w14:paraId="432994AB" w14:textId="77777777" w:rsidR="005F2B11" w:rsidRPr="0007730C" w:rsidRDefault="005F2B11" w:rsidP="005F2B11">
      <w:pPr>
        <w:spacing w:line="276" w:lineRule="auto"/>
        <w:jc w:val="both"/>
        <w:rPr>
          <w:rFonts w:asciiTheme="majorBidi" w:hAnsiTheme="majorBidi" w:cstheme="majorBidi"/>
          <w:sz w:val="24"/>
          <w:szCs w:val="24"/>
        </w:rPr>
      </w:pPr>
      <w:r w:rsidRPr="0007730C">
        <w:rPr>
          <w:rFonts w:asciiTheme="majorBidi" w:hAnsiTheme="majorBidi" w:cstheme="majorBidi"/>
          <w:noProof/>
          <w:sz w:val="24"/>
          <w:szCs w:val="24"/>
        </w:rPr>
        <w:t>35. Y. Liu, Y. Wang, Q. Dai, Y. Zhou, Anal. Chim. Acta 936, (2016), 168-178.</w:t>
      </w:r>
    </w:p>
    <w:p w14:paraId="2D392A55"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36. M. Ishaq, M.A. Gilani, Z.M. Afzal, M.R. Bilad, A.S. Nizami, M. Rehan, E. Tahir, A.L. Khan, Front. Energy Res., 8, (2020), 595041. </w:t>
      </w:r>
    </w:p>
    <w:p w14:paraId="0519B9ED"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37.Q.V. Vuong, J.B. Golding, </w:t>
      </w:r>
      <w:proofErr w:type="spellStart"/>
      <w:proofErr w:type="gramStart"/>
      <w:r w:rsidRPr="0007730C">
        <w:rPr>
          <w:rFonts w:asciiTheme="majorBidi" w:hAnsiTheme="majorBidi" w:cstheme="majorBidi"/>
          <w:color w:val="000000" w:themeColor="text1"/>
          <w:sz w:val="24"/>
          <w:szCs w:val="24"/>
        </w:rPr>
        <w:t>M.Nguyen</w:t>
      </w:r>
      <w:proofErr w:type="spellEnd"/>
      <w:proofErr w:type="gramEnd"/>
      <w:r w:rsidRPr="0007730C">
        <w:rPr>
          <w:rFonts w:asciiTheme="majorBidi" w:hAnsiTheme="majorBidi" w:cstheme="majorBidi"/>
          <w:color w:val="000000" w:themeColor="text1"/>
          <w:sz w:val="24"/>
          <w:szCs w:val="24"/>
        </w:rPr>
        <w:t xml:space="preserve">, P.D. Roach, Seper.sci.33, (2010) ,3415-3428. </w:t>
      </w:r>
    </w:p>
    <w:p w14:paraId="46FE71AB"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38. S. </w:t>
      </w:r>
      <w:proofErr w:type="spellStart"/>
      <w:r w:rsidRPr="0007730C">
        <w:rPr>
          <w:rFonts w:asciiTheme="majorBidi" w:hAnsiTheme="majorBidi" w:cstheme="majorBidi"/>
          <w:color w:val="000000" w:themeColor="text1"/>
          <w:sz w:val="24"/>
          <w:szCs w:val="24"/>
        </w:rPr>
        <w:t>Bajkacz</w:t>
      </w:r>
      <w:proofErr w:type="spellEnd"/>
      <w:r w:rsidRPr="0007730C">
        <w:rPr>
          <w:rFonts w:asciiTheme="majorBidi" w:hAnsiTheme="majorBidi" w:cstheme="majorBidi"/>
          <w:color w:val="000000" w:themeColor="text1"/>
          <w:sz w:val="24"/>
          <w:szCs w:val="24"/>
        </w:rPr>
        <w:t xml:space="preserve">, J. Adamek, A. </w:t>
      </w:r>
      <w:proofErr w:type="spellStart"/>
      <w:r w:rsidRPr="0007730C">
        <w:rPr>
          <w:rFonts w:asciiTheme="majorBidi" w:hAnsiTheme="majorBidi" w:cstheme="majorBidi"/>
          <w:color w:val="000000" w:themeColor="text1"/>
          <w:sz w:val="24"/>
          <w:szCs w:val="24"/>
        </w:rPr>
        <w:t>Sobska</w:t>
      </w:r>
      <w:proofErr w:type="spellEnd"/>
      <w:r w:rsidRPr="0007730C">
        <w:rPr>
          <w:rFonts w:asciiTheme="majorBidi" w:hAnsiTheme="majorBidi" w:cstheme="majorBidi"/>
          <w:color w:val="000000" w:themeColor="text1"/>
          <w:sz w:val="24"/>
          <w:szCs w:val="24"/>
        </w:rPr>
        <w:t>, Molecules,25, (2020).,3216</w:t>
      </w:r>
    </w:p>
    <w:p w14:paraId="2A5B8C48"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39.F. Santos, M.L.P.S Leitao, A.R.C. Duarte, Molecules 24, (2019), 24010055.</w:t>
      </w:r>
    </w:p>
    <w:p w14:paraId="3CD5F8AF" w14:textId="77777777" w:rsidR="005F2B11" w:rsidRDefault="005F2B11" w:rsidP="005F2B11">
      <w:pPr>
        <w:spacing w:line="276" w:lineRule="auto"/>
        <w:contextualSpacing/>
        <w:jc w:val="both"/>
        <w:rPr>
          <w:rFonts w:asciiTheme="majorBidi" w:hAnsiTheme="majorBidi" w:cstheme="majorBidi"/>
          <w:sz w:val="24"/>
          <w:szCs w:val="24"/>
          <w:shd w:val="clear" w:color="auto" w:fill="FFFFFF"/>
        </w:rPr>
      </w:pPr>
    </w:p>
    <w:bookmarkEnd w:id="1"/>
    <w:p w14:paraId="2D621E47" w14:textId="77777777" w:rsidR="00437EBB" w:rsidRPr="0007730C" w:rsidRDefault="00437EBB" w:rsidP="00D35944">
      <w:pPr>
        <w:spacing w:line="360" w:lineRule="auto"/>
        <w:jc w:val="both"/>
        <w:rPr>
          <w:rFonts w:asciiTheme="majorBidi" w:hAnsiTheme="majorBidi" w:cstheme="majorBidi"/>
          <w:color w:val="000000" w:themeColor="text1"/>
          <w:sz w:val="24"/>
          <w:szCs w:val="24"/>
        </w:rPr>
      </w:pPr>
    </w:p>
    <w:p w14:paraId="175DA8C0" w14:textId="77777777" w:rsidR="001476D7" w:rsidRPr="0007730C" w:rsidRDefault="001476D7" w:rsidP="00D35944">
      <w:pPr>
        <w:jc w:val="both"/>
        <w:rPr>
          <w:rFonts w:asciiTheme="majorBidi" w:hAnsiTheme="majorBidi" w:cstheme="majorBidi"/>
          <w:i/>
          <w:sz w:val="24"/>
          <w:szCs w:val="24"/>
          <w:lang w:val="en-US"/>
        </w:rPr>
      </w:pPr>
    </w:p>
    <w:p w14:paraId="6E380FD7" w14:textId="4C9A99D4" w:rsidR="00AA6B0F" w:rsidRPr="0007730C" w:rsidRDefault="00AA6B0F" w:rsidP="00D35944">
      <w:pPr>
        <w:pStyle w:val="Els-caption"/>
        <w:jc w:val="both"/>
        <w:rPr>
          <w:rFonts w:asciiTheme="majorBidi" w:hAnsiTheme="majorBidi" w:cstheme="majorBidi"/>
          <w:sz w:val="24"/>
          <w:szCs w:val="24"/>
        </w:rPr>
      </w:pPr>
    </w:p>
    <w:p w14:paraId="620C3E0B" w14:textId="0AB518A5" w:rsidR="00124EBF" w:rsidRPr="0007730C" w:rsidRDefault="00124EBF" w:rsidP="00D35944">
      <w:pPr>
        <w:jc w:val="both"/>
        <w:rPr>
          <w:rFonts w:asciiTheme="majorBidi" w:hAnsiTheme="majorBidi" w:cstheme="majorBidi"/>
          <w:sz w:val="24"/>
          <w:szCs w:val="24"/>
          <w:lang w:val="en-US"/>
        </w:rPr>
      </w:pPr>
    </w:p>
    <w:p w14:paraId="607F33F4" w14:textId="0AF8F275" w:rsidR="00124EBF" w:rsidRPr="0007730C" w:rsidRDefault="00124EBF" w:rsidP="00D35944">
      <w:pPr>
        <w:jc w:val="both"/>
        <w:rPr>
          <w:rFonts w:asciiTheme="majorBidi" w:hAnsiTheme="majorBidi" w:cstheme="majorBidi"/>
          <w:sz w:val="24"/>
          <w:szCs w:val="24"/>
          <w:lang w:val="en-US"/>
        </w:rPr>
      </w:pPr>
    </w:p>
    <w:p w14:paraId="0B7A2BAD" w14:textId="68EA5606" w:rsidR="00124EBF" w:rsidRPr="0007730C" w:rsidRDefault="00124EBF" w:rsidP="00D35944">
      <w:pPr>
        <w:jc w:val="both"/>
        <w:rPr>
          <w:rFonts w:asciiTheme="majorBidi" w:hAnsiTheme="majorBidi" w:cstheme="majorBidi"/>
          <w:sz w:val="24"/>
          <w:szCs w:val="24"/>
          <w:lang w:val="en-US"/>
        </w:rPr>
      </w:pPr>
    </w:p>
    <w:p w14:paraId="00F31DA5" w14:textId="09C4E0EB" w:rsidR="00124EBF" w:rsidRPr="0007730C" w:rsidRDefault="00124EBF" w:rsidP="00D35944">
      <w:pPr>
        <w:jc w:val="both"/>
        <w:rPr>
          <w:rFonts w:asciiTheme="majorBidi" w:hAnsiTheme="majorBidi" w:cstheme="majorBidi"/>
          <w:sz w:val="24"/>
          <w:szCs w:val="24"/>
          <w:lang w:val="en-US"/>
        </w:rPr>
      </w:pPr>
    </w:p>
    <w:p w14:paraId="60F53DA9" w14:textId="3B4B5AC4" w:rsidR="00124EBF" w:rsidRPr="0007730C" w:rsidRDefault="00124EBF" w:rsidP="00D35944">
      <w:pPr>
        <w:jc w:val="both"/>
        <w:rPr>
          <w:rFonts w:asciiTheme="majorBidi" w:hAnsiTheme="majorBidi" w:cstheme="majorBidi"/>
          <w:sz w:val="24"/>
          <w:szCs w:val="24"/>
          <w:lang w:val="en-US"/>
        </w:rPr>
      </w:pPr>
    </w:p>
    <w:p w14:paraId="54E5F59B" w14:textId="150C2470" w:rsidR="00124EBF" w:rsidRPr="0007730C" w:rsidRDefault="00124EBF" w:rsidP="00D35944">
      <w:pPr>
        <w:jc w:val="both"/>
        <w:rPr>
          <w:rFonts w:asciiTheme="majorBidi" w:hAnsiTheme="majorBidi" w:cstheme="majorBidi"/>
          <w:sz w:val="24"/>
          <w:szCs w:val="24"/>
          <w:lang w:val="en-US"/>
        </w:rPr>
      </w:pPr>
    </w:p>
    <w:p w14:paraId="0DDE8A19" w14:textId="2D649768" w:rsidR="00124EBF" w:rsidRPr="0007730C" w:rsidRDefault="00124EBF" w:rsidP="00D35944">
      <w:pPr>
        <w:jc w:val="both"/>
        <w:rPr>
          <w:rFonts w:asciiTheme="majorBidi" w:hAnsiTheme="majorBidi" w:cstheme="majorBidi"/>
          <w:sz w:val="24"/>
          <w:szCs w:val="24"/>
          <w:lang w:val="en-US"/>
        </w:rPr>
      </w:pPr>
    </w:p>
    <w:p w14:paraId="07113EB6" w14:textId="3B9F7BFF" w:rsidR="00124EBF" w:rsidRPr="0007730C" w:rsidRDefault="00124EBF" w:rsidP="00D35944">
      <w:pPr>
        <w:jc w:val="both"/>
        <w:rPr>
          <w:rFonts w:asciiTheme="majorBidi" w:hAnsiTheme="majorBidi" w:cstheme="majorBidi"/>
          <w:sz w:val="24"/>
          <w:szCs w:val="24"/>
          <w:lang w:val="en-US"/>
        </w:rPr>
      </w:pPr>
    </w:p>
    <w:p w14:paraId="7064C218" w14:textId="64771877" w:rsidR="00124EBF" w:rsidRPr="0007730C" w:rsidRDefault="00124EBF" w:rsidP="00D35944">
      <w:pPr>
        <w:jc w:val="both"/>
        <w:rPr>
          <w:rFonts w:asciiTheme="majorBidi" w:hAnsiTheme="majorBidi" w:cstheme="majorBidi"/>
          <w:sz w:val="24"/>
          <w:szCs w:val="24"/>
          <w:lang w:val="en-US"/>
        </w:rPr>
      </w:pPr>
    </w:p>
    <w:p w14:paraId="47F26FE9" w14:textId="3ABC1FF3" w:rsidR="00124EBF" w:rsidRPr="0007730C" w:rsidRDefault="00124EBF" w:rsidP="00D35944">
      <w:pPr>
        <w:jc w:val="both"/>
        <w:rPr>
          <w:rFonts w:asciiTheme="majorBidi" w:hAnsiTheme="majorBidi" w:cstheme="majorBidi"/>
          <w:sz w:val="24"/>
          <w:szCs w:val="24"/>
          <w:lang w:val="en-US"/>
        </w:rPr>
      </w:pPr>
    </w:p>
    <w:p w14:paraId="5E22931A" w14:textId="6F7246E0" w:rsidR="00124EBF" w:rsidRPr="0007730C" w:rsidRDefault="00124EBF" w:rsidP="00D35944">
      <w:pPr>
        <w:jc w:val="both"/>
        <w:rPr>
          <w:rFonts w:asciiTheme="majorBidi" w:hAnsiTheme="majorBidi" w:cstheme="majorBidi"/>
          <w:sz w:val="24"/>
          <w:szCs w:val="24"/>
          <w:lang w:val="en-US"/>
        </w:rPr>
      </w:pPr>
    </w:p>
    <w:p w14:paraId="0E15F7F0" w14:textId="7BD56FB3" w:rsidR="00124EBF" w:rsidRPr="0007730C" w:rsidRDefault="00124EBF" w:rsidP="00D35944">
      <w:pPr>
        <w:jc w:val="both"/>
        <w:rPr>
          <w:rFonts w:asciiTheme="majorBidi" w:hAnsiTheme="majorBidi" w:cstheme="majorBidi"/>
          <w:sz w:val="24"/>
          <w:szCs w:val="24"/>
          <w:lang w:val="en-US"/>
        </w:rPr>
      </w:pPr>
    </w:p>
    <w:p w14:paraId="462B2B1A" w14:textId="01214EB4" w:rsidR="00124EBF" w:rsidRPr="0007730C" w:rsidRDefault="00124EBF" w:rsidP="00D35944">
      <w:pPr>
        <w:jc w:val="both"/>
        <w:rPr>
          <w:rFonts w:asciiTheme="majorBidi" w:hAnsiTheme="majorBidi" w:cstheme="majorBidi"/>
          <w:sz w:val="24"/>
          <w:szCs w:val="24"/>
          <w:lang w:val="en-US"/>
        </w:rPr>
      </w:pPr>
    </w:p>
    <w:p w14:paraId="75D50317" w14:textId="07E46FF0" w:rsidR="00124EBF" w:rsidRPr="0007730C" w:rsidRDefault="00124EBF" w:rsidP="00D35944">
      <w:pPr>
        <w:jc w:val="both"/>
        <w:rPr>
          <w:rFonts w:asciiTheme="majorBidi" w:hAnsiTheme="majorBidi" w:cstheme="majorBidi"/>
          <w:sz w:val="24"/>
          <w:szCs w:val="24"/>
          <w:lang w:val="en-US"/>
        </w:rPr>
      </w:pPr>
    </w:p>
    <w:p w14:paraId="61A6FC76" w14:textId="5E30367F" w:rsidR="00124EBF" w:rsidRPr="0007730C" w:rsidRDefault="00124EBF" w:rsidP="00D35944">
      <w:pPr>
        <w:jc w:val="both"/>
        <w:rPr>
          <w:rFonts w:asciiTheme="majorBidi" w:hAnsiTheme="majorBidi" w:cstheme="majorBidi"/>
          <w:sz w:val="24"/>
          <w:szCs w:val="24"/>
          <w:lang w:val="en-US"/>
        </w:rPr>
      </w:pPr>
    </w:p>
    <w:p w14:paraId="7AA79B19" w14:textId="0AF5FCAE" w:rsidR="00124EBF" w:rsidRPr="0007730C" w:rsidRDefault="00124EBF" w:rsidP="00D35944">
      <w:pPr>
        <w:jc w:val="both"/>
        <w:rPr>
          <w:rFonts w:asciiTheme="majorBidi" w:hAnsiTheme="majorBidi" w:cstheme="majorBidi"/>
          <w:sz w:val="24"/>
          <w:szCs w:val="24"/>
          <w:lang w:val="en-US"/>
        </w:rPr>
      </w:pPr>
    </w:p>
    <w:p w14:paraId="19EB5696" w14:textId="746574E2" w:rsidR="00124EBF" w:rsidRPr="0007730C" w:rsidRDefault="00124EBF" w:rsidP="00D35944">
      <w:pPr>
        <w:jc w:val="both"/>
        <w:rPr>
          <w:rFonts w:asciiTheme="majorBidi" w:hAnsiTheme="majorBidi" w:cstheme="majorBidi"/>
          <w:sz w:val="24"/>
          <w:szCs w:val="24"/>
          <w:lang w:val="en-US"/>
        </w:rPr>
      </w:pPr>
    </w:p>
    <w:p w14:paraId="7341EB5F" w14:textId="42EFA3A8" w:rsidR="00124EBF" w:rsidRPr="0007730C" w:rsidRDefault="00124EBF" w:rsidP="00D35944">
      <w:pPr>
        <w:jc w:val="both"/>
        <w:rPr>
          <w:rFonts w:asciiTheme="majorBidi" w:hAnsiTheme="majorBidi" w:cstheme="majorBidi"/>
          <w:sz w:val="24"/>
          <w:szCs w:val="24"/>
          <w:lang w:val="en-US"/>
        </w:rPr>
      </w:pPr>
    </w:p>
    <w:p w14:paraId="7E663F84" w14:textId="339FA2D7" w:rsidR="00124EBF" w:rsidRPr="0007730C" w:rsidRDefault="00124EBF" w:rsidP="00D35944">
      <w:pPr>
        <w:jc w:val="both"/>
        <w:rPr>
          <w:rFonts w:asciiTheme="majorBidi" w:hAnsiTheme="majorBidi" w:cstheme="majorBidi"/>
          <w:sz w:val="24"/>
          <w:szCs w:val="24"/>
          <w:lang w:val="en-US"/>
        </w:rPr>
      </w:pPr>
    </w:p>
    <w:p w14:paraId="0E36DD90" w14:textId="69DE8D6A" w:rsidR="00124EBF" w:rsidRPr="0007730C" w:rsidRDefault="00124EBF" w:rsidP="00D35944">
      <w:pPr>
        <w:tabs>
          <w:tab w:val="left" w:pos="8670"/>
        </w:tabs>
        <w:jc w:val="both"/>
        <w:rPr>
          <w:rFonts w:asciiTheme="majorBidi" w:hAnsiTheme="majorBidi" w:cstheme="majorBidi"/>
          <w:sz w:val="24"/>
          <w:szCs w:val="24"/>
          <w:lang w:val="en-US"/>
        </w:rPr>
      </w:pPr>
      <w:r w:rsidRPr="0007730C">
        <w:rPr>
          <w:rFonts w:asciiTheme="majorBidi" w:hAnsiTheme="majorBidi" w:cstheme="majorBidi"/>
          <w:sz w:val="24"/>
          <w:szCs w:val="24"/>
          <w:lang w:val="en-US"/>
        </w:rPr>
        <w:tab/>
      </w:r>
    </w:p>
    <w:sectPr w:rsidR="00124EBF" w:rsidRPr="0007730C" w:rsidSect="00C205D6">
      <w:headerReference w:type="first" r:id="rId13"/>
      <w:type w:val="continuous"/>
      <w:pgSz w:w="12240" w:h="15840"/>
      <w:pgMar w:top="0" w:right="1440"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BCA86" w14:textId="77777777" w:rsidR="00963B99" w:rsidRDefault="00963B99" w:rsidP="00AA6B0F">
      <w:r>
        <w:separator/>
      </w:r>
    </w:p>
  </w:endnote>
  <w:endnote w:type="continuationSeparator" w:id="0">
    <w:p w14:paraId="1AF5D95C" w14:textId="77777777" w:rsidR="00963B99" w:rsidRDefault="00963B99" w:rsidP="00AA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BCB7A" w14:textId="77777777" w:rsidR="00963B99" w:rsidRDefault="00963B99" w:rsidP="00AA6B0F">
      <w:r>
        <w:separator/>
      </w:r>
    </w:p>
  </w:footnote>
  <w:footnote w:type="continuationSeparator" w:id="0">
    <w:p w14:paraId="635185DF" w14:textId="77777777" w:rsidR="00963B99" w:rsidRDefault="00963B99" w:rsidP="00AA6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CA52" w14:textId="77777777" w:rsidR="00AA6B0F" w:rsidRDefault="00AA6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1B0120B0"/>
    <w:multiLevelType w:val="hybridMultilevel"/>
    <w:tmpl w:val="4A724C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 w15:restartNumberingAfterBreak="0">
    <w:nsid w:val="341F3CE4"/>
    <w:multiLevelType w:val="hybridMultilevel"/>
    <w:tmpl w:val="66B46EEC"/>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191621A"/>
    <w:multiLevelType w:val="hybridMultilevel"/>
    <w:tmpl w:val="8CAC333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8" w15:restartNumberingAfterBreak="0">
    <w:nsid w:val="73E738AB"/>
    <w:multiLevelType w:val="hybridMultilevel"/>
    <w:tmpl w:val="7144C8A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7EC5B09"/>
    <w:multiLevelType w:val="hybridMultilevel"/>
    <w:tmpl w:val="6C0EE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15603631">
    <w:abstractNumId w:val="2"/>
  </w:num>
  <w:num w:numId="2" w16cid:durableId="1081219286">
    <w:abstractNumId w:val="6"/>
  </w:num>
  <w:num w:numId="3" w16cid:durableId="903949875">
    <w:abstractNumId w:val="0"/>
  </w:num>
  <w:num w:numId="4" w16cid:durableId="1432823513">
    <w:abstractNumId w:val="5"/>
  </w:num>
  <w:num w:numId="5" w16cid:durableId="403797943">
    <w:abstractNumId w:val="7"/>
  </w:num>
  <w:num w:numId="6" w16cid:durableId="1331834152">
    <w:abstractNumId w:val="3"/>
  </w:num>
  <w:num w:numId="7" w16cid:durableId="903567312">
    <w:abstractNumId w:val="8"/>
  </w:num>
  <w:num w:numId="8" w16cid:durableId="902134388">
    <w:abstractNumId w:val="4"/>
  </w:num>
  <w:num w:numId="9" w16cid:durableId="216822594">
    <w:abstractNumId w:val="9"/>
  </w:num>
  <w:num w:numId="10" w16cid:durableId="1565026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pos w:val="beneathText"/>
    <w:numFmt w:val="lowerLette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0F"/>
    <w:rsid w:val="00003785"/>
    <w:rsid w:val="00012E6A"/>
    <w:rsid w:val="0001465C"/>
    <w:rsid w:val="00043B68"/>
    <w:rsid w:val="00071338"/>
    <w:rsid w:val="000724F7"/>
    <w:rsid w:val="0007730C"/>
    <w:rsid w:val="00096C3A"/>
    <w:rsid w:val="000F0D9C"/>
    <w:rsid w:val="000F14A7"/>
    <w:rsid w:val="00124EBF"/>
    <w:rsid w:val="00126622"/>
    <w:rsid w:val="001456B3"/>
    <w:rsid w:val="00146B6E"/>
    <w:rsid w:val="001476D7"/>
    <w:rsid w:val="0015762D"/>
    <w:rsid w:val="001829B4"/>
    <w:rsid w:val="001A3F3E"/>
    <w:rsid w:val="001C4B08"/>
    <w:rsid w:val="001D48A0"/>
    <w:rsid w:val="00214B26"/>
    <w:rsid w:val="00251F74"/>
    <w:rsid w:val="00253054"/>
    <w:rsid w:val="00267072"/>
    <w:rsid w:val="002773E5"/>
    <w:rsid w:val="00295C4E"/>
    <w:rsid w:val="002A71AF"/>
    <w:rsid w:val="002C7A9E"/>
    <w:rsid w:val="00355D0B"/>
    <w:rsid w:val="00381BEB"/>
    <w:rsid w:val="003F3553"/>
    <w:rsid w:val="003F3997"/>
    <w:rsid w:val="00424ACD"/>
    <w:rsid w:val="00425679"/>
    <w:rsid w:val="00425BDD"/>
    <w:rsid w:val="00432A6F"/>
    <w:rsid w:val="004341EB"/>
    <w:rsid w:val="00437EBB"/>
    <w:rsid w:val="00445B22"/>
    <w:rsid w:val="004A1A6E"/>
    <w:rsid w:val="004C2203"/>
    <w:rsid w:val="004C40B1"/>
    <w:rsid w:val="004D5855"/>
    <w:rsid w:val="004D7B3C"/>
    <w:rsid w:val="004F19FD"/>
    <w:rsid w:val="004F2362"/>
    <w:rsid w:val="00507A08"/>
    <w:rsid w:val="005248D2"/>
    <w:rsid w:val="005466BD"/>
    <w:rsid w:val="00567710"/>
    <w:rsid w:val="005870F5"/>
    <w:rsid w:val="005B2262"/>
    <w:rsid w:val="005B2846"/>
    <w:rsid w:val="005B29E7"/>
    <w:rsid w:val="005B5C45"/>
    <w:rsid w:val="005D7635"/>
    <w:rsid w:val="005F2B11"/>
    <w:rsid w:val="00606B72"/>
    <w:rsid w:val="00626B1A"/>
    <w:rsid w:val="00663D98"/>
    <w:rsid w:val="006641F8"/>
    <w:rsid w:val="0066453E"/>
    <w:rsid w:val="00677ADF"/>
    <w:rsid w:val="006A4C0B"/>
    <w:rsid w:val="006A6DC5"/>
    <w:rsid w:val="006B6B64"/>
    <w:rsid w:val="006C507B"/>
    <w:rsid w:val="006E2FE5"/>
    <w:rsid w:val="00743B9C"/>
    <w:rsid w:val="00757969"/>
    <w:rsid w:val="00765B02"/>
    <w:rsid w:val="0078427B"/>
    <w:rsid w:val="00792A54"/>
    <w:rsid w:val="007E6053"/>
    <w:rsid w:val="007F283F"/>
    <w:rsid w:val="007F2945"/>
    <w:rsid w:val="00873DCF"/>
    <w:rsid w:val="008771E6"/>
    <w:rsid w:val="0089125E"/>
    <w:rsid w:val="008A30EC"/>
    <w:rsid w:val="008A79C7"/>
    <w:rsid w:val="008D3D44"/>
    <w:rsid w:val="008E6F34"/>
    <w:rsid w:val="0093518D"/>
    <w:rsid w:val="00943859"/>
    <w:rsid w:val="00963B99"/>
    <w:rsid w:val="009859AC"/>
    <w:rsid w:val="00987D42"/>
    <w:rsid w:val="00A133A6"/>
    <w:rsid w:val="00A545D8"/>
    <w:rsid w:val="00A6182A"/>
    <w:rsid w:val="00A85AFD"/>
    <w:rsid w:val="00AA6B0F"/>
    <w:rsid w:val="00AB4344"/>
    <w:rsid w:val="00AB686B"/>
    <w:rsid w:val="00AB7DF2"/>
    <w:rsid w:val="00AD0466"/>
    <w:rsid w:val="00AF13AA"/>
    <w:rsid w:val="00AF3460"/>
    <w:rsid w:val="00B206DC"/>
    <w:rsid w:val="00B53BD8"/>
    <w:rsid w:val="00B903F1"/>
    <w:rsid w:val="00B90F89"/>
    <w:rsid w:val="00BA077A"/>
    <w:rsid w:val="00BC6FD0"/>
    <w:rsid w:val="00C000BF"/>
    <w:rsid w:val="00C205D6"/>
    <w:rsid w:val="00C25996"/>
    <w:rsid w:val="00C30FA8"/>
    <w:rsid w:val="00C46033"/>
    <w:rsid w:val="00C6579C"/>
    <w:rsid w:val="00C6582C"/>
    <w:rsid w:val="00C953B9"/>
    <w:rsid w:val="00CB27FD"/>
    <w:rsid w:val="00CD15C0"/>
    <w:rsid w:val="00D35944"/>
    <w:rsid w:val="00D617D6"/>
    <w:rsid w:val="00D637E9"/>
    <w:rsid w:val="00D7743E"/>
    <w:rsid w:val="00D807F6"/>
    <w:rsid w:val="00D82C8D"/>
    <w:rsid w:val="00DC109E"/>
    <w:rsid w:val="00DC3856"/>
    <w:rsid w:val="00DC5008"/>
    <w:rsid w:val="00DE51B2"/>
    <w:rsid w:val="00E307FC"/>
    <w:rsid w:val="00E30C1F"/>
    <w:rsid w:val="00E44341"/>
    <w:rsid w:val="00E445C6"/>
    <w:rsid w:val="00E53C0C"/>
    <w:rsid w:val="00E7341B"/>
    <w:rsid w:val="00E87C64"/>
    <w:rsid w:val="00E93B8B"/>
    <w:rsid w:val="00EB0C0D"/>
    <w:rsid w:val="00EB23CE"/>
    <w:rsid w:val="00ED2A29"/>
    <w:rsid w:val="00EE6995"/>
    <w:rsid w:val="00EF5B79"/>
    <w:rsid w:val="00F1432D"/>
    <w:rsid w:val="00F2056E"/>
    <w:rsid w:val="00F20C56"/>
    <w:rsid w:val="00F239DE"/>
    <w:rsid w:val="00F45233"/>
    <w:rsid w:val="00FA2424"/>
    <w:rsid w:val="00FB5A4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DD436"/>
  <w15:docId w15:val="{47714C82-9FC3-4F41-8A2A-E1D065BD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B0F"/>
    <w:pPr>
      <w:widowControl w:val="0"/>
      <w:spacing w:after="0" w:line="240" w:lineRule="auto"/>
    </w:pPr>
    <w:rPr>
      <w:rFonts w:ascii="Times New Roman" w:eastAsia="SimSun" w:hAnsi="Times New Roman" w:cs="Times New Roman"/>
      <w:sz w:val="20"/>
      <w:szCs w:val="20"/>
      <w:lang w:val="en-GB" w:eastAsia="en-US"/>
    </w:rPr>
  </w:style>
  <w:style w:type="paragraph" w:styleId="Heading1">
    <w:name w:val="heading 1"/>
    <w:basedOn w:val="Normal"/>
    <w:next w:val="Normal"/>
    <w:link w:val="Heading1Char"/>
    <w:qFormat/>
    <w:rsid w:val="00AA6B0F"/>
    <w:pPr>
      <w:keepNext/>
      <w:pBdr>
        <w:top w:val="single" w:sz="4" w:space="1" w:color="auto"/>
        <w:left w:val="single" w:sz="4" w:space="0" w:color="auto"/>
        <w:bottom w:val="single" w:sz="4" w:space="7" w:color="auto"/>
        <w:right w:val="single" w:sz="4" w:space="4" w:color="auto"/>
      </w:pBdr>
      <w:spacing w:line="36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A6B0F"/>
    <w:pPr>
      <w:tabs>
        <w:tab w:val="center" w:pos="4513"/>
        <w:tab w:val="right" w:pos="9026"/>
      </w:tabs>
    </w:pPr>
  </w:style>
  <w:style w:type="character" w:customStyle="1" w:styleId="HeaderChar">
    <w:name w:val="Header Char"/>
    <w:basedOn w:val="DefaultParagraphFont"/>
    <w:link w:val="Header"/>
    <w:rsid w:val="00AA6B0F"/>
    <w:rPr>
      <w:lang w:val="en-GB"/>
    </w:rPr>
  </w:style>
  <w:style w:type="paragraph" w:styleId="Footer">
    <w:name w:val="footer"/>
    <w:basedOn w:val="Normal"/>
    <w:link w:val="FooterChar"/>
    <w:uiPriority w:val="99"/>
    <w:unhideWhenUsed/>
    <w:rsid w:val="00AA6B0F"/>
    <w:pPr>
      <w:tabs>
        <w:tab w:val="center" w:pos="4513"/>
        <w:tab w:val="right" w:pos="9026"/>
      </w:tabs>
    </w:pPr>
  </w:style>
  <w:style w:type="character" w:customStyle="1" w:styleId="FooterChar">
    <w:name w:val="Footer Char"/>
    <w:basedOn w:val="DefaultParagraphFont"/>
    <w:link w:val="Footer"/>
    <w:uiPriority w:val="99"/>
    <w:rsid w:val="00AA6B0F"/>
    <w:rPr>
      <w:lang w:val="en-GB"/>
    </w:rPr>
  </w:style>
  <w:style w:type="character" w:styleId="Hyperlink">
    <w:name w:val="Hyperlink"/>
    <w:semiHidden/>
    <w:rsid w:val="00AA6B0F"/>
    <w:rPr>
      <w:color w:val="auto"/>
      <w:sz w:val="16"/>
      <w:u w:val="none"/>
    </w:rPr>
  </w:style>
  <w:style w:type="character" w:customStyle="1" w:styleId="Heading1Char">
    <w:name w:val="Heading 1 Char"/>
    <w:basedOn w:val="DefaultParagraphFont"/>
    <w:link w:val="Heading1"/>
    <w:rsid w:val="00AA6B0F"/>
    <w:rPr>
      <w:rFonts w:ascii="Times New Roman" w:eastAsia="SimSun" w:hAnsi="Times New Roman" w:cs="Times New Roman"/>
      <w:b/>
      <w:bCs/>
      <w:sz w:val="20"/>
      <w:szCs w:val="20"/>
      <w:lang w:val="en-GB" w:eastAsia="en-US"/>
    </w:rPr>
  </w:style>
  <w:style w:type="paragraph" w:customStyle="1" w:styleId="Els-1storder-head">
    <w:name w:val="Els-1storder-head"/>
    <w:next w:val="Els-body-text"/>
    <w:rsid w:val="00AA6B0F"/>
    <w:pPr>
      <w:keepNext/>
      <w:numPr>
        <w:numId w:val="4"/>
      </w:numPr>
      <w:suppressAutoHyphens/>
      <w:spacing w:before="240" w:after="240" w:line="240" w:lineRule="exact"/>
    </w:pPr>
    <w:rPr>
      <w:rFonts w:ascii="Times New Roman" w:eastAsia="SimSun" w:hAnsi="Times New Roman" w:cs="Times New Roman"/>
      <w:b/>
      <w:sz w:val="20"/>
      <w:szCs w:val="20"/>
      <w:lang w:eastAsia="en-US"/>
    </w:rPr>
  </w:style>
  <w:style w:type="paragraph" w:customStyle="1" w:styleId="Els-2ndorder-head">
    <w:name w:val="Els-2ndorder-head"/>
    <w:next w:val="Els-body-text"/>
    <w:rsid w:val="00AA6B0F"/>
    <w:pPr>
      <w:keepNext/>
      <w:numPr>
        <w:ilvl w:val="1"/>
        <w:numId w:val="4"/>
      </w:numPr>
      <w:suppressAutoHyphens/>
      <w:spacing w:before="240" w:after="240" w:line="240" w:lineRule="exact"/>
    </w:pPr>
    <w:rPr>
      <w:rFonts w:ascii="Times New Roman" w:eastAsia="SimSun" w:hAnsi="Times New Roman" w:cs="Times New Roman"/>
      <w:i/>
      <w:sz w:val="20"/>
      <w:szCs w:val="20"/>
      <w:lang w:eastAsia="en-US"/>
    </w:rPr>
  </w:style>
  <w:style w:type="paragraph" w:customStyle="1" w:styleId="Els-3rdorder-head">
    <w:name w:val="Els-3rdorder-head"/>
    <w:next w:val="Els-body-text"/>
    <w:rsid w:val="00AA6B0F"/>
    <w:pPr>
      <w:keepNext/>
      <w:numPr>
        <w:ilvl w:val="2"/>
        <w:numId w:val="4"/>
      </w:numPr>
      <w:suppressAutoHyphens/>
      <w:spacing w:before="240" w:after="0" w:line="240" w:lineRule="exact"/>
    </w:pPr>
    <w:rPr>
      <w:rFonts w:ascii="Times New Roman" w:eastAsia="SimSun" w:hAnsi="Times New Roman" w:cs="Times New Roman"/>
      <w:i/>
      <w:sz w:val="20"/>
      <w:szCs w:val="20"/>
      <w:lang w:eastAsia="en-US"/>
    </w:rPr>
  </w:style>
  <w:style w:type="paragraph" w:customStyle="1" w:styleId="Els-4thorder-head">
    <w:name w:val="Els-4thorder-head"/>
    <w:next w:val="Els-body-text"/>
    <w:rsid w:val="00AA6B0F"/>
    <w:pPr>
      <w:keepNext/>
      <w:numPr>
        <w:ilvl w:val="3"/>
        <w:numId w:val="4"/>
      </w:numPr>
      <w:suppressAutoHyphens/>
      <w:spacing w:before="240" w:after="0" w:line="240" w:lineRule="exact"/>
    </w:pPr>
    <w:rPr>
      <w:rFonts w:ascii="Times New Roman" w:eastAsia="SimSun" w:hAnsi="Times New Roman" w:cs="Times New Roman"/>
      <w:i/>
      <w:sz w:val="20"/>
      <w:szCs w:val="20"/>
      <w:lang w:eastAsia="en-US"/>
    </w:rPr>
  </w:style>
  <w:style w:type="paragraph" w:customStyle="1" w:styleId="Els-Abstract-head">
    <w:name w:val="Els-Abstract-head"/>
    <w:next w:val="Normal"/>
    <w:rsid w:val="00AA6B0F"/>
    <w:pPr>
      <w:keepNext/>
      <w:pBdr>
        <w:top w:val="single" w:sz="4" w:space="10" w:color="auto"/>
      </w:pBdr>
      <w:suppressAutoHyphens/>
      <w:spacing w:after="220" w:line="220" w:lineRule="exact"/>
    </w:pPr>
    <w:rPr>
      <w:rFonts w:ascii="Times New Roman" w:eastAsia="SimSun" w:hAnsi="Times New Roman" w:cs="Times New Roman"/>
      <w:b/>
      <w:sz w:val="18"/>
      <w:szCs w:val="20"/>
      <w:lang w:eastAsia="en-US"/>
    </w:rPr>
  </w:style>
  <w:style w:type="paragraph" w:customStyle="1" w:styleId="Els-Abstract-text">
    <w:name w:val="Els-Abstract-text"/>
    <w:next w:val="Normal"/>
    <w:rsid w:val="00AA6B0F"/>
    <w:pPr>
      <w:spacing w:after="0" w:line="220" w:lineRule="exact"/>
      <w:jc w:val="both"/>
    </w:pPr>
    <w:rPr>
      <w:rFonts w:ascii="Times New Roman" w:eastAsia="SimSun" w:hAnsi="Times New Roman" w:cs="Times New Roman"/>
      <w:sz w:val="18"/>
      <w:szCs w:val="20"/>
      <w:lang w:eastAsia="en-US"/>
    </w:rPr>
  </w:style>
  <w:style w:type="paragraph" w:customStyle="1" w:styleId="Els-acknowledgement">
    <w:name w:val="Els-acknowledgement"/>
    <w:next w:val="Normal"/>
    <w:rsid w:val="00AA6B0F"/>
    <w:pPr>
      <w:keepNext/>
      <w:spacing w:before="480" w:after="240" w:line="220" w:lineRule="exact"/>
    </w:pPr>
    <w:rPr>
      <w:rFonts w:ascii="Times New Roman" w:eastAsia="SimSun" w:hAnsi="Times New Roman" w:cs="Times New Roman"/>
      <w:b/>
      <w:sz w:val="20"/>
      <w:szCs w:val="20"/>
      <w:lang w:eastAsia="en-US"/>
    </w:rPr>
  </w:style>
  <w:style w:type="paragraph" w:customStyle="1" w:styleId="Els-Affiliation">
    <w:name w:val="Els-Affiliation"/>
    <w:next w:val="Els-Abstract-head"/>
    <w:rsid w:val="00AA6B0F"/>
    <w:pPr>
      <w:suppressAutoHyphens/>
      <w:spacing w:after="0" w:line="200" w:lineRule="exact"/>
      <w:jc w:val="center"/>
    </w:pPr>
    <w:rPr>
      <w:rFonts w:ascii="Times New Roman" w:eastAsia="SimSun" w:hAnsi="Times New Roman" w:cs="Times New Roman"/>
      <w:i/>
      <w:noProof/>
      <w:sz w:val="16"/>
      <w:szCs w:val="20"/>
      <w:lang w:eastAsia="en-US"/>
    </w:rPr>
  </w:style>
  <w:style w:type="paragraph" w:customStyle="1" w:styleId="Els-appendixhead">
    <w:name w:val="Els-appendixhead"/>
    <w:next w:val="Normal"/>
    <w:rsid w:val="00AA6B0F"/>
    <w:pPr>
      <w:numPr>
        <w:numId w:val="1"/>
      </w:numPr>
      <w:spacing w:before="480" w:after="240" w:line="220" w:lineRule="exact"/>
    </w:pPr>
    <w:rPr>
      <w:rFonts w:ascii="Times New Roman" w:eastAsia="SimSun" w:hAnsi="Times New Roman" w:cs="Times New Roman"/>
      <w:b/>
      <w:sz w:val="20"/>
      <w:szCs w:val="20"/>
      <w:lang w:eastAsia="en-US"/>
    </w:rPr>
  </w:style>
  <w:style w:type="paragraph" w:customStyle="1" w:styleId="Els-appendixsubhead">
    <w:name w:val="Els-appendixsubhead"/>
    <w:next w:val="Normal"/>
    <w:rsid w:val="00AA6B0F"/>
    <w:pPr>
      <w:numPr>
        <w:ilvl w:val="1"/>
        <w:numId w:val="2"/>
      </w:numPr>
      <w:spacing w:before="240" w:after="240" w:line="220" w:lineRule="exact"/>
    </w:pPr>
    <w:rPr>
      <w:rFonts w:ascii="Times New Roman" w:eastAsia="SimSun" w:hAnsi="Times New Roman" w:cs="Times New Roman"/>
      <w:i/>
      <w:sz w:val="20"/>
      <w:szCs w:val="20"/>
      <w:lang w:eastAsia="en-US"/>
    </w:rPr>
  </w:style>
  <w:style w:type="paragraph" w:customStyle="1" w:styleId="Els-Author">
    <w:name w:val="Els-Author"/>
    <w:next w:val="Normal"/>
    <w:rsid w:val="00AA6B0F"/>
    <w:pPr>
      <w:keepNext/>
      <w:suppressAutoHyphens/>
      <w:spacing w:after="160" w:line="300" w:lineRule="exact"/>
      <w:jc w:val="center"/>
    </w:pPr>
    <w:rPr>
      <w:rFonts w:ascii="Times New Roman" w:eastAsia="SimSun" w:hAnsi="Times New Roman" w:cs="Times New Roman"/>
      <w:noProof/>
      <w:sz w:val="26"/>
      <w:szCs w:val="20"/>
      <w:lang w:eastAsia="en-US"/>
    </w:rPr>
  </w:style>
  <w:style w:type="paragraph" w:customStyle="1" w:styleId="Els-body-text">
    <w:name w:val="Els-body-text"/>
    <w:rsid w:val="00AA6B0F"/>
    <w:pPr>
      <w:spacing w:after="0" w:line="240" w:lineRule="exact"/>
      <w:ind w:firstLine="238"/>
      <w:jc w:val="both"/>
    </w:pPr>
    <w:rPr>
      <w:rFonts w:ascii="Times New Roman" w:eastAsia="SimSun" w:hAnsi="Times New Roman" w:cs="Times New Roman"/>
      <w:sz w:val="20"/>
      <w:szCs w:val="20"/>
      <w:lang w:eastAsia="en-US"/>
    </w:rPr>
  </w:style>
  <w:style w:type="paragraph" w:customStyle="1" w:styleId="Els-bulletlist">
    <w:name w:val="Els-bulletlist"/>
    <w:basedOn w:val="Els-body-text"/>
    <w:rsid w:val="00AA6B0F"/>
    <w:pPr>
      <w:numPr>
        <w:numId w:val="3"/>
      </w:numPr>
      <w:tabs>
        <w:tab w:val="left" w:pos="240"/>
      </w:tabs>
      <w:jc w:val="left"/>
    </w:pPr>
  </w:style>
  <w:style w:type="paragraph" w:customStyle="1" w:styleId="Els-caption">
    <w:name w:val="Els-caption"/>
    <w:rsid w:val="00AA6B0F"/>
    <w:pPr>
      <w:keepLines/>
      <w:spacing w:before="200" w:after="240" w:line="200" w:lineRule="exact"/>
    </w:pPr>
    <w:rPr>
      <w:rFonts w:ascii="Times New Roman" w:eastAsia="SimSun" w:hAnsi="Times New Roman" w:cs="Times New Roman"/>
      <w:sz w:val="16"/>
      <w:szCs w:val="20"/>
      <w:lang w:eastAsia="en-US"/>
    </w:rPr>
  </w:style>
  <w:style w:type="paragraph" w:customStyle="1" w:styleId="Els-equation">
    <w:name w:val="Els-equation"/>
    <w:next w:val="Normal"/>
    <w:rsid w:val="00AA6B0F"/>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eastAsia="en-US"/>
    </w:rPr>
  </w:style>
  <w:style w:type="paragraph" w:customStyle="1" w:styleId="Els-footnote">
    <w:name w:val="Els-footnote"/>
    <w:rsid w:val="00AA6B0F"/>
    <w:pPr>
      <w:keepLines/>
      <w:widowControl w:val="0"/>
      <w:spacing w:after="0" w:line="200" w:lineRule="exact"/>
      <w:ind w:firstLine="245"/>
      <w:jc w:val="both"/>
    </w:pPr>
    <w:rPr>
      <w:rFonts w:ascii="Times New Roman" w:eastAsia="SimSun" w:hAnsi="Times New Roman" w:cs="Times New Roman"/>
      <w:sz w:val="16"/>
      <w:szCs w:val="20"/>
      <w:lang w:eastAsia="en-US"/>
    </w:rPr>
  </w:style>
  <w:style w:type="paragraph" w:customStyle="1" w:styleId="Els-keywords">
    <w:name w:val="Els-keywords"/>
    <w:next w:val="Normal"/>
    <w:rsid w:val="00AA6B0F"/>
    <w:pPr>
      <w:pBdr>
        <w:bottom w:val="single" w:sz="4" w:space="10" w:color="auto"/>
      </w:pBdr>
      <w:spacing w:line="200" w:lineRule="exact"/>
    </w:pPr>
    <w:rPr>
      <w:rFonts w:ascii="Times New Roman" w:eastAsia="SimSun" w:hAnsi="Times New Roman" w:cs="Times New Roman"/>
      <w:noProof/>
      <w:sz w:val="16"/>
      <w:szCs w:val="20"/>
      <w:lang w:eastAsia="en-US"/>
    </w:rPr>
  </w:style>
  <w:style w:type="paragraph" w:customStyle="1" w:styleId="Els-reference-head">
    <w:name w:val="Els-reference-head"/>
    <w:next w:val="Normal"/>
    <w:rsid w:val="00AA6B0F"/>
    <w:pPr>
      <w:keepNext/>
      <w:spacing w:before="480" w:line="220" w:lineRule="exact"/>
    </w:pPr>
    <w:rPr>
      <w:rFonts w:ascii="Times New Roman" w:eastAsia="SimSun" w:hAnsi="Times New Roman" w:cs="Times New Roman"/>
      <w:b/>
      <w:sz w:val="20"/>
      <w:szCs w:val="20"/>
      <w:lang w:eastAsia="en-US"/>
    </w:rPr>
  </w:style>
  <w:style w:type="paragraph" w:customStyle="1" w:styleId="Els-table-text">
    <w:name w:val="Els-table-text"/>
    <w:rsid w:val="00AA6B0F"/>
    <w:pPr>
      <w:spacing w:after="80" w:line="200" w:lineRule="exact"/>
    </w:pPr>
    <w:rPr>
      <w:rFonts w:ascii="Times New Roman" w:eastAsia="SimSun" w:hAnsi="Times New Roman" w:cs="Times New Roman"/>
      <w:sz w:val="16"/>
      <w:szCs w:val="20"/>
      <w:lang w:eastAsia="en-US"/>
    </w:rPr>
  </w:style>
  <w:style w:type="paragraph" w:customStyle="1" w:styleId="Els-Title">
    <w:name w:val="Els-Title"/>
    <w:next w:val="Els-Author"/>
    <w:autoRedefine/>
    <w:rsid w:val="0093518D"/>
    <w:pPr>
      <w:suppressAutoHyphens/>
      <w:spacing w:after="240" w:line="400" w:lineRule="exact"/>
      <w:jc w:val="center"/>
    </w:pPr>
    <w:rPr>
      <w:rFonts w:ascii="Times New Roman" w:eastAsia="SimSun" w:hAnsi="Times New Roman" w:cs="Times New Roman"/>
      <w:sz w:val="34"/>
      <w:szCs w:val="20"/>
      <w:lang w:eastAsia="en-US"/>
    </w:rPr>
  </w:style>
  <w:style w:type="character" w:styleId="FootnoteReference">
    <w:name w:val="footnote reference"/>
    <w:semiHidden/>
    <w:rsid w:val="00AA6B0F"/>
    <w:rPr>
      <w:vertAlign w:val="superscript"/>
    </w:rPr>
  </w:style>
  <w:style w:type="paragraph" w:styleId="FootnoteText">
    <w:name w:val="footnote text"/>
    <w:basedOn w:val="Normal"/>
    <w:link w:val="FootnoteTextChar"/>
    <w:semiHidden/>
    <w:rsid w:val="00AA6B0F"/>
    <w:rPr>
      <w:rFonts w:ascii="Univers" w:hAnsi="Univers"/>
    </w:rPr>
  </w:style>
  <w:style w:type="character" w:customStyle="1" w:styleId="FootnoteTextChar">
    <w:name w:val="Footnote Text Char"/>
    <w:basedOn w:val="DefaultParagraphFont"/>
    <w:link w:val="FootnoteText"/>
    <w:semiHidden/>
    <w:rsid w:val="00AA6B0F"/>
    <w:rPr>
      <w:rFonts w:ascii="Univers" w:eastAsia="SimSun" w:hAnsi="Univers" w:cs="Times New Roman"/>
      <w:sz w:val="20"/>
      <w:szCs w:val="20"/>
      <w:lang w:val="en-GB" w:eastAsia="en-US"/>
    </w:rPr>
  </w:style>
  <w:style w:type="paragraph" w:customStyle="1" w:styleId="DocHead">
    <w:name w:val="DocHead"/>
    <w:rsid w:val="00AA6B0F"/>
    <w:pPr>
      <w:spacing w:before="240" w:after="240" w:line="240" w:lineRule="auto"/>
      <w:jc w:val="center"/>
    </w:pPr>
    <w:rPr>
      <w:rFonts w:ascii="Times New Roman" w:eastAsia="SimSun" w:hAnsi="Times New Roman" w:cs="Times New Roman"/>
      <w:sz w:val="24"/>
      <w:szCs w:val="20"/>
      <w:lang w:eastAsia="en-US"/>
    </w:rPr>
  </w:style>
  <w:style w:type="paragraph" w:styleId="CommentText">
    <w:name w:val="annotation text"/>
    <w:basedOn w:val="Normal"/>
    <w:link w:val="CommentTextChar"/>
    <w:semiHidden/>
    <w:unhideWhenUsed/>
    <w:rsid w:val="00AA6B0F"/>
  </w:style>
  <w:style w:type="character" w:customStyle="1" w:styleId="CommentTextChar">
    <w:name w:val="Comment Text Char"/>
    <w:basedOn w:val="DefaultParagraphFont"/>
    <w:link w:val="CommentText"/>
    <w:semiHidden/>
    <w:rsid w:val="00AA6B0F"/>
    <w:rPr>
      <w:rFonts w:ascii="Times New Roman" w:eastAsia="SimSun" w:hAnsi="Times New Roman" w:cs="Times New Roman"/>
      <w:sz w:val="20"/>
      <w:szCs w:val="20"/>
      <w:lang w:val="en-GB" w:eastAsia="en-US"/>
    </w:rPr>
  </w:style>
  <w:style w:type="paragraph" w:styleId="BodyTextIndent2">
    <w:name w:val="Body Text Indent 2"/>
    <w:basedOn w:val="Normal"/>
    <w:link w:val="BodyTextIndent2Char"/>
    <w:semiHidden/>
    <w:rsid w:val="00AA6B0F"/>
    <w:pPr>
      <w:ind w:firstLine="240"/>
    </w:pPr>
  </w:style>
  <w:style w:type="character" w:customStyle="1" w:styleId="BodyTextIndent2Char">
    <w:name w:val="Body Text Indent 2 Char"/>
    <w:basedOn w:val="DefaultParagraphFont"/>
    <w:link w:val="BodyTextIndent2"/>
    <w:semiHidden/>
    <w:rsid w:val="00AA6B0F"/>
    <w:rPr>
      <w:rFonts w:ascii="Times New Roman" w:eastAsia="SimSun" w:hAnsi="Times New Roman" w:cs="Times New Roman"/>
      <w:sz w:val="20"/>
      <w:szCs w:val="20"/>
      <w:lang w:val="en-GB" w:eastAsia="en-US"/>
    </w:rPr>
  </w:style>
  <w:style w:type="paragraph" w:styleId="BalloonText">
    <w:name w:val="Balloon Text"/>
    <w:basedOn w:val="Normal"/>
    <w:link w:val="BalloonTextChar"/>
    <w:uiPriority w:val="99"/>
    <w:semiHidden/>
    <w:unhideWhenUsed/>
    <w:rsid w:val="00003785"/>
    <w:rPr>
      <w:rFonts w:ascii="Tahoma" w:hAnsi="Tahoma" w:cs="Tahoma"/>
      <w:sz w:val="16"/>
      <w:szCs w:val="16"/>
    </w:rPr>
  </w:style>
  <w:style w:type="character" w:customStyle="1" w:styleId="BalloonTextChar">
    <w:name w:val="Balloon Text Char"/>
    <w:basedOn w:val="DefaultParagraphFont"/>
    <w:link w:val="BalloonText"/>
    <w:uiPriority w:val="99"/>
    <w:semiHidden/>
    <w:rsid w:val="00003785"/>
    <w:rPr>
      <w:rFonts w:ascii="Tahoma" w:eastAsia="SimSun" w:hAnsi="Tahoma" w:cs="Tahoma"/>
      <w:sz w:val="16"/>
      <w:szCs w:val="16"/>
      <w:lang w:val="en-GB" w:eastAsia="en-US"/>
    </w:rPr>
  </w:style>
  <w:style w:type="table" w:styleId="TableGrid">
    <w:name w:val="Table Grid"/>
    <w:basedOn w:val="TableNormal"/>
    <w:uiPriority w:val="39"/>
    <w:rsid w:val="001476D7"/>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EBB"/>
    <w:pPr>
      <w:widowControl/>
      <w:suppressAutoHyphens/>
      <w:ind w:left="720"/>
    </w:pPr>
    <w:rPr>
      <w:rFonts w:ascii="New York" w:eastAsia="Times New Roman" w:hAnsi="New York" w:cs="New York"/>
      <w:sz w:val="24"/>
      <w:lang w:val="en-US" w:eastAsia="ar-SA"/>
    </w:rPr>
  </w:style>
  <w:style w:type="paragraph" w:customStyle="1" w:styleId="text-center">
    <w:name w:val="text-center"/>
    <w:basedOn w:val="Normal"/>
    <w:rsid w:val="00E53C0C"/>
    <w:pPr>
      <w:widowControl/>
      <w:spacing w:before="100" w:beforeAutospacing="1" w:after="100" w:afterAutospacing="1"/>
    </w:pPr>
    <w:rPr>
      <w:rFonts w:eastAsia="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363774">
      <w:bodyDiv w:val="1"/>
      <w:marLeft w:val="0"/>
      <w:marRight w:val="0"/>
      <w:marTop w:val="0"/>
      <w:marBottom w:val="0"/>
      <w:divBdr>
        <w:top w:val="none" w:sz="0" w:space="0" w:color="auto"/>
        <w:left w:val="none" w:sz="0" w:space="0" w:color="auto"/>
        <w:bottom w:val="none" w:sz="0" w:space="0" w:color="auto"/>
        <w:right w:val="none" w:sz="0" w:space="0" w:color="auto"/>
      </w:divBdr>
      <w:divsChild>
        <w:div w:id="1549803210">
          <w:marLeft w:val="0"/>
          <w:marRight w:val="0"/>
          <w:marTop w:val="0"/>
          <w:marBottom w:val="0"/>
          <w:divBdr>
            <w:top w:val="single" w:sz="6" w:space="0" w:color="C3E8F4"/>
            <w:left w:val="single" w:sz="6" w:space="0" w:color="C3E8F4"/>
            <w:bottom w:val="single" w:sz="6" w:space="0" w:color="C3E8F4"/>
            <w:right w:val="single" w:sz="6" w:space="0" w:color="C3E8F4"/>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10</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Bland, Stewart (ELS-OXF)</dc:creator>
  <cp:lastModifiedBy>benvikram barman</cp:lastModifiedBy>
  <cp:revision>30</cp:revision>
  <dcterms:created xsi:type="dcterms:W3CDTF">2023-08-15T10:21:00Z</dcterms:created>
  <dcterms:modified xsi:type="dcterms:W3CDTF">2023-10-20T07:27:00Z</dcterms:modified>
</cp:coreProperties>
</file>