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5F0B" w14:textId="535C016D" w:rsidR="003E1B16" w:rsidRDefault="003E1B16"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Title</w:t>
      </w:r>
    </w:p>
    <w:p w14:paraId="29BEE5BF" w14:textId="5ED56033" w:rsidR="00F83531" w:rsidRDefault="00F83531" w:rsidP="00DA4AA9">
      <w:pPr>
        <w:spacing w:line="360" w:lineRule="auto"/>
        <w:jc w:val="both"/>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Current analytical approaches in quality evaluation of medicinal plants</w:t>
      </w:r>
    </w:p>
    <w:p w14:paraId="70DB3D56" w14:textId="16767DE6" w:rsidR="009E57EB" w:rsidRPr="00A109B3" w:rsidRDefault="009E57EB" w:rsidP="00EE5569">
      <w:pPr>
        <w:tabs>
          <w:tab w:val="left" w:pos="720"/>
        </w:tabs>
        <w:spacing w:after="0" w:line="36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Sapna Salar</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Rustam Ekbbal</w:t>
      </w:r>
      <w:r w:rsidR="00A109B3">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Shamim</w:t>
      </w:r>
      <w:r w:rsidR="00A109B3">
        <w:rPr>
          <w:rFonts w:ascii="Times New Roman" w:hAnsi="Times New Roman" w:cs="Times New Roman"/>
          <w:color w:val="000000" w:themeColor="text1"/>
          <w:sz w:val="24"/>
          <w:szCs w:val="24"/>
          <w:vertAlign w:val="superscript"/>
        </w:rPr>
        <w:t>2</w:t>
      </w:r>
    </w:p>
    <w:p w14:paraId="25CCF2D2" w14:textId="77777777" w:rsidR="009E57EB" w:rsidRDefault="009E57EB" w:rsidP="009E57EB">
      <w:pPr>
        <w:spacing w:after="0" w:line="360" w:lineRule="auto"/>
        <w:jc w:val="both"/>
        <w:rPr>
          <w:rFonts w:ascii="Times New Roman" w:hAnsi="Times New Roman" w:cs="Times New Roman"/>
          <w:color w:val="000000" w:themeColor="text1"/>
          <w:sz w:val="24"/>
          <w:szCs w:val="24"/>
        </w:rPr>
      </w:pPr>
    </w:p>
    <w:p w14:paraId="428C2F64" w14:textId="77777777" w:rsidR="009E57EB" w:rsidRDefault="009E57EB" w:rsidP="009E57E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Department of Pharmaceutical Sciences, Apex University, Jaipur, Rajasthan-302018</w:t>
      </w:r>
    </w:p>
    <w:p w14:paraId="572E8CEE" w14:textId="5AF5E386" w:rsidR="009E57EB" w:rsidRDefault="009E57EB" w:rsidP="009E57E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IIMT College of Medical Sciences, IIMT University, </w:t>
      </w:r>
      <w:r w:rsidRPr="009E57EB">
        <w:rPr>
          <w:rFonts w:ascii="Times New Roman" w:hAnsi="Times New Roman" w:cs="Times New Roman"/>
          <w:color w:val="000000" w:themeColor="text1"/>
          <w:sz w:val="24"/>
          <w:szCs w:val="24"/>
        </w:rPr>
        <w:t xml:space="preserve">'O' Pocket, Ganga Nagar Colony, </w:t>
      </w:r>
      <w:proofErr w:type="spellStart"/>
      <w:r w:rsidRPr="009E57EB">
        <w:rPr>
          <w:rFonts w:ascii="Times New Roman" w:hAnsi="Times New Roman" w:cs="Times New Roman"/>
          <w:color w:val="000000" w:themeColor="text1"/>
          <w:sz w:val="24"/>
          <w:szCs w:val="24"/>
        </w:rPr>
        <w:t>Mawana</w:t>
      </w:r>
      <w:proofErr w:type="spellEnd"/>
      <w:r w:rsidRPr="009E57EB">
        <w:rPr>
          <w:rFonts w:ascii="Times New Roman" w:hAnsi="Times New Roman" w:cs="Times New Roman"/>
          <w:color w:val="000000" w:themeColor="text1"/>
          <w:sz w:val="24"/>
          <w:szCs w:val="24"/>
        </w:rPr>
        <w:t xml:space="preserve"> Road, Meerut</w:t>
      </w:r>
      <w:r>
        <w:rPr>
          <w:rFonts w:ascii="Times New Roman" w:hAnsi="Times New Roman" w:cs="Times New Roman"/>
          <w:color w:val="000000" w:themeColor="text1"/>
          <w:sz w:val="24"/>
          <w:szCs w:val="24"/>
        </w:rPr>
        <w:t>, Uttar Pradesh-250001</w:t>
      </w:r>
    </w:p>
    <w:p w14:paraId="262667EB" w14:textId="2A6D6CDA" w:rsidR="00FC54AC" w:rsidRDefault="00FC54AC" w:rsidP="009E57EB">
      <w:pPr>
        <w:spacing w:line="360" w:lineRule="auto"/>
        <w:jc w:val="both"/>
        <w:rPr>
          <w:rFonts w:ascii="Times New Roman" w:hAnsi="Times New Roman" w:cs="Times New Roman"/>
          <w:color w:val="000000" w:themeColor="text1"/>
          <w:sz w:val="24"/>
          <w:szCs w:val="24"/>
        </w:rPr>
      </w:pPr>
    </w:p>
    <w:p w14:paraId="42F5AFCD" w14:textId="666625AF" w:rsidR="00FC54AC" w:rsidRDefault="00FC54AC" w:rsidP="009E57EB">
      <w:pPr>
        <w:spacing w:line="360" w:lineRule="auto"/>
        <w:jc w:val="both"/>
        <w:rPr>
          <w:rFonts w:ascii="Times New Roman" w:hAnsi="Times New Roman" w:cs="Times New Roman"/>
          <w:color w:val="000000" w:themeColor="text1"/>
          <w:sz w:val="24"/>
          <w:szCs w:val="24"/>
        </w:rPr>
      </w:pPr>
    </w:p>
    <w:p w14:paraId="560D5DB4" w14:textId="77777777" w:rsidR="00FC54AC" w:rsidRDefault="00FC54AC" w:rsidP="00FC54AC">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Address for correspondence </w:t>
      </w:r>
    </w:p>
    <w:p w14:paraId="59D0B04F" w14:textId="77777777" w:rsidR="00FC54AC" w:rsidRDefault="00FC54AC" w:rsidP="00FC54AC">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Sapna </w:t>
      </w:r>
      <w:proofErr w:type="spellStart"/>
      <w:r>
        <w:rPr>
          <w:rFonts w:ascii="Times New Roman" w:hAnsi="Times New Roman" w:cs="Times New Roman"/>
          <w:b/>
          <w:bCs/>
          <w:color w:val="000000" w:themeColor="text1"/>
          <w:sz w:val="24"/>
          <w:szCs w:val="24"/>
        </w:rPr>
        <w:t>Salar</w:t>
      </w:r>
      <w:proofErr w:type="spellEnd"/>
    </w:p>
    <w:p w14:paraId="3608B272" w14:textId="77777777" w:rsidR="00FC54AC" w:rsidRDefault="00FC54AC" w:rsidP="00FC54AC">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Assistant Professor</w:t>
      </w:r>
    </w:p>
    <w:p w14:paraId="06B2A0E6" w14:textId="77777777" w:rsidR="00FC54AC" w:rsidRDefault="00FC54AC" w:rsidP="00FC54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Pharmaceutical Sciences, </w:t>
      </w:r>
    </w:p>
    <w:p w14:paraId="0DD35719" w14:textId="77777777" w:rsidR="00FC54AC" w:rsidRDefault="00FC54AC" w:rsidP="00FC54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Apex University, Jaipur, </w:t>
      </w:r>
    </w:p>
    <w:p w14:paraId="7FC10EC1" w14:textId="77777777" w:rsidR="00FC54AC" w:rsidRDefault="00FC54AC" w:rsidP="00FC54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Rajasthan-302018</w:t>
      </w:r>
    </w:p>
    <w:p w14:paraId="2C5FF68E" w14:textId="77777777" w:rsidR="00FC54AC" w:rsidRDefault="00FC54AC" w:rsidP="00FC54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sapnasalar50@gmail.com</w:t>
      </w:r>
    </w:p>
    <w:p w14:paraId="7882638C" w14:textId="77777777" w:rsidR="00FC54AC" w:rsidRDefault="00FC54AC" w:rsidP="00FC54AC">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Phone No.: 81786 35762</w:t>
      </w:r>
    </w:p>
    <w:p w14:paraId="77C09F16" w14:textId="77777777" w:rsidR="00FC54AC" w:rsidRDefault="00FC54AC" w:rsidP="009E57EB">
      <w:pPr>
        <w:spacing w:line="360" w:lineRule="auto"/>
        <w:jc w:val="both"/>
        <w:rPr>
          <w:rFonts w:ascii="Times New Roman" w:hAnsi="Times New Roman" w:cs="Times New Roman"/>
          <w:color w:val="000000" w:themeColor="text1"/>
          <w:sz w:val="24"/>
          <w:szCs w:val="24"/>
        </w:rPr>
      </w:pPr>
    </w:p>
    <w:p w14:paraId="64A6294B" w14:textId="7F6511DC" w:rsidR="009E57EB" w:rsidRDefault="009E57EB" w:rsidP="00DA4AA9">
      <w:pPr>
        <w:spacing w:line="360" w:lineRule="auto"/>
        <w:jc w:val="both"/>
        <w:rPr>
          <w:rFonts w:ascii="Times New Roman" w:hAnsi="Times New Roman" w:cs="Times New Roman"/>
          <w:b/>
          <w:bCs/>
          <w:color w:val="000000" w:themeColor="text1"/>
          <w:sz w:val="24"/>
          <w:szCs w:val="24"/>
        </w:rPr>
      </w:pPr>
    </w:p>
    <w:p w14:paraId="636B274C" w14:textId="20CF6A8C" w:rsidR="00FC54AC" w:rsidRDefault="00FC54AC" w:rsidP="00DA4AA9">
      <w:pPr>
        <w:spacing w:line="360" w:lineRule="auto"/>
        <w:jc w:val="both"/>
        <w:rPr>
          <w:rFonts w:ascii="Times New Roman" w:hAnsi="Times New Roman" w:cs="Times New Roman"/>
          <w:b/>
          <w:bCs/>
          <w:color w:val="000000" w:themeColor="text1"/>
          <w:sz w:val="24"/>
          <w:szCs w:val="24"/>
        </w:rPr>
      </w:pPr>
    </w:p>
    <w:p w14:paraId="503751D4" w14:textId="754B0B1A" w:rsidR="00FC54AC" w:rsidRPr="004F0A7F" w:rsidRDefault="00FC54AC"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column"/>
      </w:r>
      <w:bookmarkStart w:id="0" w:name="_GoBack"/>
      <w:bookmarkEnd w:id="0"/>
    </w:p>
    <w:p w14:paraId="66D04696" w14:textId="2A539281" w:rsidR="00394744" w:rsidRPr="004F0A7F" w:rsidRDefault="00394744" w:rsidP="00394744">
      <w:pPr>
        <w:pStyle w:val="Heading1"/>
        <w:numPr>
          <w:ilvl w:val="0"/>
          <w:numId w:val="5"/>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Introduction</w:t>
      </w:r>
    </w:p>
    <w:p w14:paraId="0BC036CB" w14:textId="7A52EFC0"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Quality control refers to a set of activities and techniques employed to ensure that medicinal plants and their derived products meet specific quality standards and comply with regulatory requirements. The aim of quality control for medicinal plants is to ensure the safety, efficacy, and consistency of these products throughout their lifecycle, from cultivation and harvesting to processing, manufacturing, and distribution. Quality control measures are implemented to identify and minimize potential risks associated with medicinal plants, such as the presence of contaminants (e.g., heavy metals, pesticides, microbial pathogens) or toxic substances. By ensuring the safety of medicinal plant products, quality control helps protect the health and well-being of consumers</w:t>
      </w:r>
      <w:r w:rsidR="00AD10B6">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{"citationItems":[{"id":"ITEM-1","itemData":{"DOI":"10.4103/pm.pm_582_21","author":[{"dropping-particle":"","family":"Gaurav","given":"","non-dropping-particle":"","parse-names":false,"suffix":""}],"container-title":"Pharmacognosy Magazine","id":"ITEM-1","issue":"79","issued":{"date-parts":[["2022"]]},"page":"548-558","title":"GC–MS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-2","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Plants","id":"ITEM-2","issued":{"date-parts":[["2023"]]},"title":"LC-MS-based Metabolomics of Medicinal Plants","type":"chapter"},"uris":["http://www.mendeley.com/documents/?uuid=f0525073-21d1-48b2-a262-f6d790ac5532"]}],"mendeley":{"formattedCitation":"[1,2]","plainTextFormattedCitation":"[1,2]","previouslyFormattedCitation":"[1,2]"},"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[1,2]</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58CF78F5" w14:textId="215F2562"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Quality control aims to verify the presence and potency of bioactive compounds in medicinal plants. It involves assessing the levels of active constituents, such as alkaloids, flavonoids, or terpenoids, that contribute to the therapeutic effects of the plant</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mendeley":{"formattedCitation":"[2]","plainTextFormattedCitation":"[2]","previouslyFormattedCitation":"[2]"},"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 By ensuring consistent levels of active compounds, quality control supports the efficacy and reliability of medicinal plant products.</w:t>
      </w:r>
      <w:r w:rsidR="008F4B24">
        <w:rPr>
          <w:rFonts w:ascii="Times New Roman" w:hAnsi="Times New Roman" w:cs="Times New Roman"/>
          <w:color w:val="000000" w:themeColor="text1"/>
          <w:sz w:val="24"/>
          <w:szCs w:val="24"/>
        </w:rPr>
        <w:t xml:space="preserve"> It </w:t>
      </w:r>
      <w:r w:rsidRPr="004F0A7F">
        <w:rPr>
          <w:rFonts w:ascii="Times New Roman" w:hAnsi="Times New Roman" w:cs="Times New Roman"/>
          <w:color w:val="000000" w:themeColor="text1"/>
          <w:sz w:val="24"/>
          <w:szCs w:val="24"/>
        </w:rPr>
        <w:t>including macroscopic and microscopic examination, DNA barcoding, and other analytical methods, are used to authenticate medicinal plant materials. These methods help confirm the correct species, verify the absence of adulterants or substitutes, and ensure the accurate identification of the plant material used in products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{"citationItems":[{"id":"ITEM-1","itemData":{"DOI":"10.1016/j.aca.2009.10.024","ISSN":"00032670","PMID":"19951752","abstract":"Traditional Chinese medicines (TCMs) are gaining more and more attention all over the world, due to their specific theory and long historical clinical practice. But the uncontrollable quality is a bottleneck for its modernization and globalization. This paper reviewed the recent analytical methods in the quality control of TCMs, including screening strategies of bioactive markers from TCMs through biochromatographic methods, the traditional chromatographic methods, DNA methods, as well as the spectroscopic methods, including FT-IR, NIR and NMR. The comprehensive methods, such as fingerprint and multi-component quantification are emphasized; hyphenated techniques, like HPLC-MS, GC-MS, CE-MS, LC-NMR, chemometric methods, and combination of chemical and biological methods, such as biofingerprint, metabolic fingerprint are now more and more widely used in TCMs. In a few word, the analysis and quality control of TCMs are moving towards an integrative and comprehensive direction, in order to better address the inherent holistic nature of TCMs. © 2009 Elsevier B.V. All rights reserved.","author":[{"dropping-particle":"","family":"Jiang","given":"Yong","non-dropping-particle":"","parse-names":false,"suffix":""},{"dropping-particle":"","family":"David","given":"Bruno","non-dropping-particle":"","parse-names":false,"suffix":""},{"dropping-particle":"","family":"Tu","given":"Pengfei","non-dropping-particle":"","parse-names":false,"suffix":""},{"dropping-particle":"","family":"Barbin","given":"Yves","non-dropping-particle":"","parse-names":false,"suffix":""}],"container-title":"Analytica Chimica Acta","id":"ITEM-1","issued":{"date-parts":[["2010"]]},"title":"Recent analytical approaches in quality control of traditional Chinese medicines-A review","type":"article"},"uris":["http://www.mendeley.com/documents/?uuid=4f32b4e5-ca56-4e2f-bede-19ec2aaefa7b"]},{"id":"ITEM-2","itemData":{"DOI":"10.1016/j.btre.2019.e00318","ISSN":"2215017X","abstract":"Genomic DNA of Strychnos minor (Dennst) of sixteen geographical regions were amplified using thirteen primers. The analyses of products of Radom Amplified Polymorphic DNA (RAPD) revealed polymorphism among the samples. The polymorphic information content (PIC) was maximum for the primer of OPB-04 (0.40) followed by the primer OPB-20 (0.39). Clustering analysis by Jaccard's coefficient index exhibited similarity matrix and distance matrix. The amplified products of the 13 primers collectively showed similarity index ranged from 0.654 to 0.986. The phylogenetic trees were constructed by UPGMA cluster analysis. Significant variations in the amplified genomic DNA suggest genetic variability of population but low inter-population genetic segregation.","author":[{"dropping-particle":"","family":"Arumugam","given":"T.","non-dropping-particle":"","parse-names":false,"suffix":""},{"dropping-particle":"","family":"Jayapriya","given":"G.","non-dropping-particle":"","parse-names":false,"suffix":""},{"dropping-particle":"","family":"Sekar","given":"T.","non-dropping-particle":"","parse-names":false,"suffix":""}],"container-title":"Biotechnology Reports","id":"ITEM-2","issued":{"date-parts":[["2019"]]},"title":"Molecular fingerprinting of the Indian medicinal plant Strychnos minor Dennst","type":"article-journal"},"uris":["http://www.mendeley.com/documents/?uuid=8b9100ef-9b3d-4a9d-9e36-940845fd807b"]}],"mendeley":{"formattedCitation":"[3,4]","plainTextFormattedCitation":"[3,4]","previouslyFormattedCitation":"[3,4]"},"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[3,4]</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290918DA" w14:textId="445C6221"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Quality control ensures that medicinal plant products are manufactured with consistent quality and meet predetermined specifications. This involves controlling factors such as cultivation practices, harvesting methods, processing techniques, and storage conditions to minimize variability and maintain uniformity in the composition and properties of the plant material.</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Quality control in medicinal plants ensures compliance with national and international regulatory standards and guidelines. This includes adherence to good agricultural and collection practices, good manufacturing practices (GMP), and the implementation of quality management systems. By meeting regulatory requirements, quality control helps maintain the integrity and legality of medicinal plant products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{"citationItems":[{"id":"ITEM-1","itemData":{"DOI":"10.3389/fphar.2020.578970","ISSN":"16639812","PMID":"33737875","abstract":"The cases of COVID-19 are still increasing day-by-day worldwide, even after a year of its first occurrence in Wuhan city of China. The spreading of SARS-CoV-2 infection is very fast and different from other SARS-CoV infections possibly due to structural differences in S proteins. The patients with severe diseases may die due to acute respiratory distress syndrome (ARDS) caused by systemic inflammatory reactions due to the excessive release of pro-inflammatory cytokines and chemokines by the immune effector cells. In India too, it is spreading very rapidly, although the case fatality rate is below 1.50% (https://www.statista.com), which is markedly less than in other countries, despite the dense population and minimal health infrastructure in rural areas. This may be due to the routine use of many immunomodulator medicinal plants and traditional AYUSH formulations by the Indian people. This communication reviews the AYUSH recommended formulations and their ingredients, routinely used medicinal plants and formulations by Indian population as well as other promising Indian medicinal plants, which can be tested against COVID-19. Special emphasis is placed on Indian medicinal plants reported for antiviral, immunomodulatory and anti-allergic/anti-inflammatory activities and they are categorized for prioritization in research on the basis of earlier reports. The traditional AYUSH medicines currently under clinical trials against COVID-19 are also discussed as well as furtherance of pre-clinical and clinical testing of the potential traditional medicines against COVID-19 and SARS-CoV-2. The results of the clinical studies on AYUSH drugs will guide the policymakers from the AYUSH systems of medicines to maneuver their policies for public health, provide information to the global scientific community and could form a platform for collaborative studies at national and global levels. It is thereby suggested that promising AYUSH formulations and Indian medicinal plants must be investigated on a priority basis to solve the current crisis.","author":[{"dropping-particle":"","family":"Ahmad","given":"Sayeed","non-dropping-particle":"","parse-names":false,"suffix":""},{"dropping-particle":"","family":"Zahiruddin","given":"Sultan","non-dropping-particle":"","parse-names":false,"suffix":""},{"dropping-particle":"","family":"Parveen","given":"Bushra","non-dropping-particle":"","parse-names":false,"suffix":""},{"dropping-particle":"","family":"Basist","given":"Parakh","non-dropping-particle":"","parse-names":false,"suffix":""},{"dropping-particle":"","family":"Parveen","given":"Abida","non-dropping-particle":"","parse-names":false,"suffix":""},{"dropping-particle":"","family":"Gaurav","given":"","non-dropping-particle":"","parse-names":false,"suffix":""},{"dropping-particle":"","family":"Parveen","given":"Rabea","non-dropping-particle":"","parse-names":false,"suffix":""},{"dropping-particle":"","family":"Ahmad","given":"Minhaj","non-dropping-particle":"","parse-names":false,"suffix":""}],"container-title":"Frontiers in Pharmacology","id":"ITEM-1","issued":{"date-parts":[["2021"]]},"title":"Indian Medicinal Plants and Formulations and Their Potential Against COVID-19–Preclinical and Clinical Research","type":"article"},"uris":["http://www.mendeley.com/documents/?uuid=ec27f100-fff1-46be-86f0-2690af16a4ac"]},{"id":"ITEM-2","itemData":{"DOI":"10.5740/jaoacint.19-0287","ISSN":"1060-3271","PMID":"31570115","abstract":"Background: Interest in the antioxidant and antidiabetic activity of natural products are growing vastly in the modern world. Thin layer chromatography-bioautography-mass spectroscopy (TLC-bioautography-MS) plays an important role in chemico-biological screening of natural sources. TLC combined with 2, 2-Diphenyl-1-picrylhydrazyl (DPPH) free radical, α-amylase and α-glucosidase bioassay were used to evaluate antioxidant and antidiabetic activities, respectively, in different extracts of Citrullus colocynthis (Hanzal), a well-known traditional Indian Unani medicinal plant. Objective: To develop a TLC-bioautographic-MS method for DPPH, α-amylase, and glucosidase inhibitors in different extract of C. colocynthis fruits. Method: Fruits of C. colocynthis were successively extracted with toluene, dichloromethane, ethyl acetate, methanol, and water. TLC solvents were developed, and bioautographic-MS analysis was carried out to identify the antioxidant and antidiabetic compounds. Results: HPTLC fingerprinting analysis showed maximum numbers of band separated in dichloromethane and ethyl acetate extracts of C. colocynthis, fourteen and thirteen at 254 and 366 nm, respectively. Whereas six and five separated bands were observed in toluene extract at 254 and 366 nm, respectively showed minimum numbers of metabolites. Based on TLC-bioautography-MS, maximum number of antioxidant compounds were identified in dichloromethane extract. Except aqueous extract of C. colocynthis, all the extracts have shown antidiabetic activity. On the other hand, there were no antioxidant compounds in methanolic extract of C. colocynthis. Conclusions: The results of this study reveal that TLC-bioautography-MS–guided strategy used to identify antioxidant and antidiabetic compounds of C. colocynthis is very useful technique for high-throughput screening of bioactive compounds. Highlights: TLC-MS bioautography is a simple and fast to enables bioactive compounds present in extracts.","author":[{"dropping-particle":"","family":"Parveen","given":"Rabea","non-dropping-particle":"","parse-names":false,"suffix":""},{"dropping-particle":"","family":"Khan","given":"Nausheen","non-dropping-particle":"","parse-names":false,"suffix":""},{"dropping-particle":"","family":"Zahiruddin","given":"Sultan","non-dropping-particle":"","parse-names":false,"suffix":""},{"dropping-particle":"","family":"Ibrahim","given":"Mohammad","non-dropping-particle":"","parse-names":false,"suffix":""},{"dropping-particle":"","family":"Anjum","given":"Varisha","non-dropping-particle":"","parse-names":false,"suffix":""},{"dropping-particle":"","family":"Parveen","given":"Bushra","non-dropping-particle":"","parse-names":false,"suffix":""},{"dropping-particle":"","family":"Khan","given":"Mohammad Ahmad","non-dropping-particle":"","parse-names":false,"suffix":""}],"container-title":"Journal of AOAC INTERNATIONAL","id":"ITEM-2","issued":{"date-parts":[["2020"]]},"title":"TLC-Bioautographic Evaluation for High-Throughput Screening and Identification of Free Radical Scavenging and Antidiabetic Compounds from Traditional Unani Medicinal Plant: Citrullus colocynthis Schrad","type":"article-journal"},"uris":["http://www.mendeley.com/documents/?uuid=430dff76-fe92-4957-a447-349446153dc0"]},{"id":"ITEM-3","itemData":{"author":[{"dropping-particle":"","family":"Zahiruddin","given":"Sultan","non-dropping-particle":"","parse-names":false,"suffix":""},{"dropping-particle":"","family":"Parveen","given":"Abida","non-dropping-particle":"","parse-names":false,"suffix":""},{"dropping-particle":"","family":"Khan","given":"Washim","non-dropping-particle":"","parse-names":false,"suffix":""},{"dropping-particle":"","family":"Parveen","given":"Rabea","non-dropping-particle":"","parse-names":false,"suffix":""},{"dropping-particle":"","family":"Ahmad","given":"Sayeed","non-dropping-particle":"","parse-names":false,"suffix":""}],"id":"ITEM-3","issued":{"date-parts":[["2021"]]},"title":"TLC-Based Metabolite Profiling and Bioactivity-Based Scientific Validation for Use of Water Extracts in AYUSH Formulations","type":"article-journal","volume":"2021"},"uris":["http://www.mendeley.com/documents/?uuid=7bf3f729-b845-4c04-b1e2-2afb10206b09"]}],"mendeley":{"formattedCitation":"[5–7]","plainTextFormattedCitation":"[5–7]","previouslyFormattedCitation":"[5–7]"},"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[5–7]</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108E1B4A" w14:textId="04BE0D6A"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Quality control involves maintaining comprehensive documentation and traceability of medicinal plant materials throughout the supply chain. This includes recording information about cultivation, </w:t>
      </w:r>
      <w:r w:rsidRPr="004F0A7F">
        <w:rPr>
          <w:rFonts w:ascii="Times New Roman" w:hAnsi="Times New Roman" w:cs="Times New Roman"/>
          <w:color w:val="000000" w:themeColor="text1"/>
          <w:sz w:val="24"/>
          <w:szCs w:val="24"/>
        </w:rPr>
        <w:lastRenderedPageBreak/>
        <w:t>harvesting, processing, testing, and distribution. Traceability ensures transparency and enables effective monitoring, recall, and investigation of any quality issues that may arise.</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By implementing quality control measures, stakeholders in the medicinal plant industry, including growers, manufacturers, and regulatory authorities, can ensure that medicinal plant products are of consistent quality, free from contaminants, and deliver the intended therapeutic benefits. Quality control is vital for building trust among consumers, healthcare professionals, and regulatory agencies and plays a crucial role in promoting the safe and effective use of medicinal plants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{"citationItems":[{"id":"ITEM-1","itemData":{"DOI":"10.1016/j.jep.2020.112876","ISSN":"18727573","PMID":"32305638","abstract":"Ethnopharmacological relevance: Withania somnifera (Family: Solanaceae), commonly known as Ashwagandha or Indian ginseng is distributed widely in India, Nepal, China and Yemen. The roots of plant consist of active phytoconstituents mainly withanolides, alkaloids and sitoindosides and are conventionally used for the treatment of multiple brain disorders. Aim of the review: This review aims to critically assess and summarize the current state and implication of Ashwagandha in brain disorders. We have mainly focussed on the reported neuroactive phytoconstituents, available marketed products, pharmacological studies, mechanism of action and recent patents published related to neuroprotective effects of Ashwagandha in brain disorders. Materials and methods: All the information and data was collected on Ashwagandha using keywords “Ashwagandha” along with “Phytoconstituents”, “Ayurvedic, Unani and Homeopathy marketed formulation”, “Brain disorders”, “Mechanism” and “Patents”. Following sources were searched for data collection: electronic scientific databases such as Science Direct, Google Scholar, Elsevier, PubMed, Wiley On-line Library, Taylor and Francis, Springer; books such as AYUSH Pharmacopoeia; authentic textbooks and formularies. Results: Identified neuroprotective phytoconstituents of Ashwagandha are sitoindosides VII–X, withaferin A, withanosides IV, withanols, withanolide A, withanolide B, anaferine, beta-sitosterol, withanolide D with key pharmacological effects in brain disorders mainly anxiety, Alzheimer's, Parkinson's, Schizophrenia, Huntington's disease, dyslexia, depression, autism, addiction, amyotrophic lateral sclerosis, attention deficit hyperactivity disorder and bipolar disorders. The literature survey does not highlight any toxic effects of Ashwagandha. Further, multiple available marketed products and patents recognized its beneficial role in various brain disorders; however, very few data is available on mechanistic pathway and clinical studies of Ashwagandha for various brain disorders is scarce and not promising. Conclusion: The review concludes the results of recent studies on Ashwagandha suggesting its extensive potential as neuroprotective in various brain disorders as supported by preclinical studies, clinical trials and published patents. However vague understanding of the mechanistic pathways involved in imparting the neuroprotective effect of Ashwagandha warrants further study to promote it as a promising drug candidate.","author":[{"dropping-particle":"","family":"Zahiruddin","given":"Sultan","non-dropping-particle":"","parse-names":false,"suffix":""},{"dropping-particle":"","family":"Basist","given":"Parakh","non-dropping-particle":"","parse-names":false,"suffix":""},{"dropping-particle":"","family":"Parveen","given":"Abida","non-dropping-particle":"","parse-names":false,"suffix":""},{"dropping-particle":"","family":"Parveen","given":"Rabea","non-dropping-particle":"","parse-names":false,"suffix":""},{"dropping-particle":"","family":"Khan","given":"Washim","non-dropping-particle":"","parse-names":false,"suffix":""},{"dropping-particle":"","family":"Gaurav","given":"","non-dropping-particle":"","parse-names":false,"suffix":""},{"dropping-particle":"","family":"Ahmad","given":"Sayeed","non-dropping-particle":"","parse-names":false,"suffix":""}],"container-title":"Journal of Ethnopharmacology","id":"ITEM-1","issued":{"date-parts":[["2020"]]},"title":"Ashwagandha in brain disorders: A review of recent developments","type":"article"},"uris":["http://www.mendeley.com/documents/?uuid=d3e38eb2-35ae-4bab-992b-6d988fb1cf19"]},{"id":"ITEM-2","itemData":{"DOI":"10.1016/j.sajb.2022.01.038","ISSN":"02546299","abstract":"Synergism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id":"ITEM-3","itemData":{"DOI":"10.1016/j.jep.2021.114743","ISSN":"03788741","author":[{"dropping-particle":"","family":"Basist","given":"Parakh","non-dropping-particle":"","parse-names":false,"suffix":""},{"dropping-particle":"","family":"Parveen","given":"Bushra","non-dropping-particle":"","parse-names":false,"suffix":""},{"dropping-particle":"","family":"Zahiruddin","given":"Sultan","non-dropping-particle":"","parse-names":false,"suffix":""},{"dropping-particle":"","family":"Gautam","given":"Gaurav","non-dropping-particle":"","parse-names":false,"suffix":""},{"dropping-particle":"","family":"Parveen","given":"Rabea","non-dropping-particle":"","parse-names":false,"suffix":""},{"dropping-particle":"","family":"Khan","given":"Mohammad Ahmed","non-dropping-particle":"","parse-names":false,"suffix":""},{"dropping-particle":"","family":"Krishnan","given":"Anuja","non-dropping-particle":"","parse-names":false,"suffix":""},{"dropping-particle":"","family":"Shahid","given":"Mohd","non-dropping-particle":"","parse-names":false,"suffix":""},{"dropping-particle":"","family":"Ahmad","given":"Sayeed","non-dropping-particle":"","parse-names":false,"suffix":""}],"container-title":"Journal of Ethnopharmacology","id":"ITEM-3","issued":{"date-parts":[["2022"]]},"title":"Potential nephroprotective phytochemicals: Mechanism and future prospects","type":"article-journal"},"uris":["http://www.mendeley.com/documents/?uuid=d3aae0a0-03a8-49f3-822a-c8716fc696b7"]},{"id":"ITEM-4","itemData":{"DOI":"10.1016/j.jksus.2022.101839","ISSN":"10183647","abstract":"Sharbat-e-Bazoori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Science","id":"ITEM-4","issue":"3","issued":{"date-parts":[["2022"]]},"page":"101839","publisher":"The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mendeley":{"formattedCitation":"[8–11]","plainTextFormattedCitation":"[8–11]","previouslyFormattedCitation":"[8–11]"},"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[8–11]</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0AE2ACC2" w14:textId="350A42A1" w:rsidR="00394744" w:rsidRPr="004F0A7F" w:rsidRDefault="00394744" w:rsidP="00394744">
      <w:pPr>
        <w:pStyle w:val="Heading1"/>
        <w:numPr>
          <w:ilvl w:val="0"/>
          <w:numId w:val="5"/>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Quality control techniques</w:t>
      </w:r>
    </w:p>
    <w:p w14:paraId="3C8E30BF" w14:textId="11B5EA1A"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Quality control techniques for medicinal plants involve a range of methods and tests to ensure the safety, efficacy, and consistency of the plant-based products. Here are some common quality control techniques used in the evaluation of medicinal plants:</w:t>
      </w:r>
    </w:p>
    <w:p w14:paraId="4973BEAB" w14:textId="502114F8" w:rsidR="00F83531" w:rsidRPr="004F0A7F" w:rsidRDefault="00B50B8E" w:rsidP="00394744">
      <w:pPr>
        <w:pStyle w:val="Heading2"/>
        <w:numPr>
          <w:ilvl w:val="1"/>
          <w:numId w:val="5"/>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Pharmacognostic Evaluation</w:t>
      </w:r>
    </w:p>
    <w:p w14:paraId="35F0DB24" w14:textId="3C66A925" w:rsidR="00574309"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Pharmacognosy is the science of identifying and characterizing medicinal plants based on their macroscopic, microscopic, and organoleptic properties. Pharmacognostic evaluation involves a comprehensive examination of the plant material, including its morphological features, histological structures, and chemical composition.</w:t>
      </w:r>
    </w:p>
    <w:p w14:paraId="7E596189" w14:textId="59418136" w:rsidR="00574309" w:rsidRPr="004F0A7F" w:rsidRDefault="00574309" w:rsidP="00A940A5">
      <w:pPr>
        <w:pStyle w:val="Heading2"/>
        <w:numPr>
          <w:ilvl w:val="1"/>
          <w:numId w:val="5"/>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Macroscopic and Microscopic Examination</w:t>
      </w:r>
    </w:p>
    <w:p w14:paraId="7413C00D" w14:textId="6E3B2C59"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Visual inspection of the plant material is performed to assess its macroscopic characteristics such as color, odor, texture, and presence of foreign matter. Microscopic examination involves the study of plant tissue structures using a microscope, which can help identify specific plant parts and detect adulteration</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{"citationItems":[{"id":"ITEM-1","itemData":{"DOI":"10.2174/0929867043365206","ISSN":"09298673","PMID":"15180573","abstract":"Medicinal plants have become extremely popular in the United States as botanical supplements, herbal medicines and sources of lead compounds for pharmaceutical development. It is estimated that in 1997 Americans used or consumed 5.1 billion US dollars worth of herbal medicines. For the protection of consumers, authentication of medicinal plants is a critical issue. Ideally, authentication should occur from the harvesting of the plant material to the final product. Unfortunately there is no single or superior method to assure 100 percent authentication during the entire process, but the goal can be achieved through the application of a variety of different methodologies. The whole process starts with good voucher specimens that act as reference material and to prove chain of custody. Macroscopic and microscopic examinations can be used as rapid and inexpensive identification techniques. Chemical analysis is by far the best method for the detection of contaminants and can be an excellent method for plant identification. Each of these methodologies has limitations and more analytical methods are needed to assist in the authentication process. Molecular biology offers an assortment of techniques that can be very useful for authentication of medicinal plants. This review covers various aspects of authentication methods, with special emphasis on molecular biology techniques.","author":[{"dropping-particle":"","family":"Techen","given":"N.","non-dropping-particle":"","parse-names":false,"suffix":""},{"dropping-particle":"","family":"Crockett","given":"S.","non-dropping-particle":"","parse-names":false,"suffix":""},{"dropping-particle":"","family":"Khan","given":"I.","non-dropping-particle":"","parse-names":false,"suffix":""},{"dropping-particle":"","family":"Scheffler","given":"B.","non-dropping-particle":"","parse-names":false,"suffix":""}],"container-title":"Current Medicinal Chemistry","id":"ITEM-1","issued":{"date-parts":[["2012"]]},"title":"Authentication of Medicinal Plants Using Molecular Biology Techniques to Compliment Conventional Methods","type":"article-journal"},"uris":["http://www.mendeley.com/documents/?uuid=a668540d-ce06-4fad-987e-230c8129ff26"]}],"mendeley":{"formattedCitation":"[12]","plainTextFormattedCitation":"[12]","previouslyFormattedCitation":"[12]"},"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[12]</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5F0923F8" w14:textId="786671DF"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Macroscopic and microscopic examination are essential techniques used in the evaluation of medicinal plants. These techniques provide valuable information about the identity, authenticity, and quality of plant materials. Here's an overview of macroscopic and microscopic examination of medicinal plants:</w:t>
      </w:r>
    </w:p>
    <w:p w14:paraId="7CB5CD23" w14:textId="393ADA88" w:rsidR="00574309" w:rsidRPr="004F0A7F" w:rsidRDefault="00574309" w:rsidP="00A940A5">
      <w:pPr>
        <w:pStyle w:val="Heading3"/>
        <w:numPr>
          <w:ilvl w:val="2"/>
          <w:numId w:val="6"/>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Macroscopic Examination</w:t>
      </w:r>
    </w:p>
    <w:p w14:paraId="658BB511" w14:textId="77777777"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Macroscopic examination involves the visual inspection of the physical characteristics of medicinal plant materials. It includes observing the plant's external features, such as size, shape, </w:t>
      </w:r>
      <w:r w:rsidRPr="004F0A7F">
        <w:rPr>
          <w:rFonts w:ascii="Times New Roman" w:hAnsi="Times New Roman" w:cs="Times New Roman"/>
          <w:color w:val="000000" w:themeColor="text1"/>
          <w:sz w:val="24"/>
          <w:szCs w:val="24"/>
        </w:rPr>
        <w:lastRenderedPageBreak/>
        <w:t>color, texture, and the presence of any distinctive markings or patterns. Some key aspects of macroscopic examination include:</w:t>
      </w:r>
    </w:p>
    <w:p w14:paraId="3BAE4908" w14:textId="77777777" w:rsidR="00574309" w:rsidRPr="004F0A7F" w:rsidRDefault="00574309"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Size and Shape:</w:t>
      </w:r>
      <w:r w:rsidRPr="004F0A7F">
        <w:rPr>
          <w:rFonts w:ascii="Times New Roman" w:hAnsi="Times New Roman" w:cs="Times New Roman"/>
          <w:color w:val="000000" w:themeColor="text1"/>
          <w:sz w:val="24"/>
          <w:szCs w:val="24"/>
        </w:rPr>
        <w:t xml:space="preserve"> Examining the overall size and shape of the plant, including its leaves, stems, flowers, and fruits.</w:t>
      </w:r>
    </w:p>
    <w:p w14:paraId="28349B6A" w14:textId="77777777" w:rsidR="00574309" w:rsidRPr="004F0A7F" w:rsidRDefault="00574309"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Color:</w:t>
      </w:r>
      <w:r w:rsidRPr="004F0A7F">
        <w:rPr>
          <w:rFonts w:ascii="Times New Roman" w:hAnsi="Times New Roman" w:cs="Times New Roman"/>
          <w:color w:val="000000" w:themeColor="text1"/>
          <w:sz w:val="24"/>
          <w:szCs w:val="24"/>
        </w:rPr>
        <w:t xml:space="preserve"> Noting the color of different plant parts, such as the leaves, flowers, or roots, which can vary and provide diagnostic information.</w:t>
      </w:r>
    </w:p>
    <w:p w14:paraId="053AED61" w14:textId="77777777" w:rsidR="00574309" w:rsidRPr="004F0A7F" w:rsidRDefault="00574309"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Texture:</w:t>
      </w:r>
      <w:r w:rsidRPr="004F0A7F">
        <w:rPr>
          <w:rFonts w:ascii="Times New Roman" w:hAnsi="Times New Roman" w:cs="Times New Roman"/>
          <w:color w:val="000000" w:themeColor="text1"/>
          <w:sz w:val="24"/>
          <w:szCs w:val="24"/>
        </w:rPr>
        <w:t xml:space="preserve"> Assessing the texture of plant parts, such as the presence of hairs, ridges, or smooth surfaces.</w:t>
      </w:r>
    </w:p>
    <w:p w14:paraId="40B15ABC" w14:textId="77777777" w:rsidR="00574309" w:rsidRPr="004F0A7F" w:rsidRDefault="00574309"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Odor:</w:t>
      </w:r>
      <w:r w:rsidRPr="004F0A7F">
        <w:rPr>
          <w:rFonts w:ascii="Times New Roman" w:hAnsi="Times New Roman" w:cs="Times New Roman"/>
          <w:color w:val="000000" w:themeColor="text1"/>
          <w:sz w:val="24"/>
          <w:szCs w:val="24"/>
        </w:rPr>
        <w:t xml:space="preserve"> Detecting and documenting any specific or characteristic odor emitted by the plant material.</w:t>
      </w:r>
    </w:p>
    <w:p w14:paraId="6EF2B67C" w14:textId="77777777" w:rsidR="00574309" w:rsidRPr="004F0A7F" w:rsidRDefault="00574309"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Taste:</w:t>
      </w:r>
      <w:r w:rsidRPr="004F0A7F">
        <w:rPr>
          <w:rFonts w:ascii="Times New Roman" w:hAnsi="Times New Roman" w:cs="Times New Roman"/>
          <w:color w:val="000000" w:themeColor="text1"/>
          <w:sz w:val="24"/>
          <w:szCs w:val="24"/>
        </w:rPr>
        <w:t xml:space="preserve"> Occasionally, the taste of plant parts may be evaluated, as some medicinal plants possess distinctive flavors.</w:t>
      </w:r>
    </w:p>
    <w:p w14:paraId="3B68DDC3" w14:textId="64EC91BD"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These macroscopic characteristics help in the initial identification of medicinal plants and can assist in distinguishing between different species or varieties.</w:t>
      </w:r>
    </w:p>
    <w:p w14:paraId="411047E6" w14:textId="3913B3CE" w:rsidR="00574309" w:rsidRPr="004F0A7F" w:rsidRDefault="00574309" w:rsidP="00A940A5">
      <w:pPr>
        <w:pStyle w:val="Heading3"/>
        <w:numPr>
          <w:ilvl w:val="2"/>
          <w:numId w:val="7"/>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Microscopic Examination</w:t>
      </w:r>
    </w:p>
    <w:p w14:paraId="28A31607" w14:textId="77777777"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Microscopic examination involves the study of the internal structures of plant materials using a microscope. This technique provides more detailed information about the cellular and tissue characteristics of medicinal plants. Here are some aspects of microscopic examination:</w:t>
      </w:r>
    </w:p>
    <w:p w14:paraId="1390CB5C" w14:textId="77777777" w:rsidR="00574309" w:rsidRPr="004F0A7F" w:rsidRDefault="00574309"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Epidermal Cells:</w:t>
      </w:r>
      <w:r w:rsidRPr="004F0A7F">
        <w:rPr>
          <w:rFonts w:ascii="Times New Roman" w:hAnsi="Times New Roman" w:cs="Times New Roman"/>
          <w:color w:val="000000" w:themeColor="text1"/>
          <w:sz w:val="24"/>
          <w:szCs w:val="24"/>
        </w:rPr>
        <w:t xml:space="preserve"> Observing the outer layer of cells (epidermis) of plant parts, such as leaves, stems, or roots, to identify specific features like cell shape, size, and the presence of stomata (pores).</w:t>
      </w:r>
    </w:p>
    <w:p w14:paraId="34D64078" w14:textId="77777777" w:rsidR="00574309" w:rsidRPr="004F0A7F" w:rsidRDefault="00574309"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Trichomes:</w:t>
      </w:r>
      <w:r w:rsidRPr="004F0A7F">
        <w:rPr>
          <w:rFonts w:ascii="Times New Roman" w:hAnsi="Times New Roman" w:cs="Times New Roman"/>
          <w:color w:val="000000" w:themeColor="text1"/>
          <w:sz w:val="24"/>
          <w:szCs w:val="24"/>
        </w:rPr>
        <w:t xml:space="preserve"> Examining specialized hair-like structures on the plant surface, which can be glandular or non-glandular and aid in identification.</w:t>
      </w:r>
    </w:p>
    <w:p w14:paraId="1A741057" w14:textId="77777777" w:rsidR="00574309" w:rsidRPr="004F0A7F" w:rsidRDefault="00574309"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Vascular Tissues:</w:t>
      </w:r>
      <w:r w:rsidRPr="004F0A7F">
        <w:rPr>
          <w:rFonts w:ascii="Times New Roman" w:hAnsi="Times New Roman" w:cs="Times New Roman"/>
          <w:color w:val="000000" w:themeColor="text1"/>
          <w:sz w:val="24"/>
          <w:szCs w:val="24"/>
        </w:rPr>
        <w:t xml:space="preserve"> Investigating the arrangement and types of vascular tissues, including xylem and phloem, which transport water, nutrients, and metabolites within the plant.</w:t>
      </w:r>
    </w:p>
    <w:p w14:paraId="71A39DCA" w14:textId="77777777" w:rsidR="00574309" w:rsidRPr="004F0A7F" w:rsidRDefault="00574309"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Secretory Structures:</w:t>
      </w:r>
      <w:r w:rsidRPr="004F0A7F">
        <w:rPr>
          <w:rFonts w:ascii="Times New Roman" w:hAnsi="Times New Roman" w:cs="Times New Roman"/>
          <w:color w:val="000000" w:themeColor="text1"/>
          <w:sz w:val="24"/>
          <w:szCs w:val="24"/>
        </w:rPr>
        <w:t xml:space="preserve"> Identifying glandular structures or cells that may contain essential oils, resins, or other secondary metabolites.</w:t>
      </w:r>
    </w:p>
    <w:p w14:paraId="2CE93376" w14:textId="77777777" w:rsidR="00574309" w:rsidRPr="004F0A7F" w:rsidRDefault="00574309"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Powder Analysis:</w:t>
      </w:r>
      <w:r w:rsidRPr="004F0A7F">
        <w:rPr>
          <w:rFonts w:ascii="Times New Roman" w:hAnsi="Times New Roman" w:cs="Times New Roman"/>
          <w:color w:val="000000" w:themeColor="text1"/>
          <w:sz w:val="24"/>
          <w:szCs w:val="24"/>
        </w:rPr>
        <w:t xml:space="preserve"> Preparing a fine powder of plant material and examining it under a microscope to assess particle characteristics, including size, shape, and presence of distinctive cell fragments.</w:t>
      </w:r>
    </w:p>
    <w:p w14:paraId="6DFDC38C" w14:textId="77B6F7F2"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lastRenderedPageBreak/>
        <w:t>Microscopic examination allows for a more accurate identification and differentiation of medicinal plant species. It can also help detect the presence of adulterants or substitutes by comparing microscopic features with reference standards.</w:t>
      </w:r>
    </w:p>
    <w:p w14:paraId="7B0795DB" w14:textId="45147376" w:rsidR="00574309" w:rsidRPr="004F0A7F" w:rsidRDefault="00574309" w:rsidP="00A940A5">
      <w:pPr>
        <w:pStyle w:val="Heading2"/>
        <w:numPr>
          <w:ilvl w:val="1"/>
          <w:numId w:val="7"/>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Physicochemical Analysis</w:t>
      </w:r>
    </w:p>
    <w:p w14:paraId="5F0CD7BD" w14:textId="1B2FD4C4"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Various physicochemical parameters are measured to evaluate the quality and consistency of medicinal plants. This includes determination of moisture content, ash value (total ash, acid-insoluble ash, water-soluble ash), extractive values (solvent-soluble extractives), pH, and specific gravity. These tests provide information about the purity, contamination, and chemical composition of the plant material.</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Physicochemical analysis is an important component of the characterization and quality assessment of medicinal plants. It involves the evaluation of various physical and chemical properties of plant materials. Physicochemical analysis provides valuable information about the composition, purity, and potential therapeutic activity of medicinal plants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{"citationItems":[{"id":"ITEM-1","itemData":{"DOI":"10.1007/BF02858720","ISSN":"18749364","abstract":"The data reported in the literature concerning the uses and composition of yarrow, Achillea millefolium aggr., Compositae, are compiled and discussed. Historically, this plant has been extensively used as a herbal remedy for numerous afflictions by many cultures on several continents. It has also been the subject of a considerable number of scientific investigations. It has, however, not been previously reviewed. Analysis of available information demonstrates the value of continued phytochemical investigations of folklore remedies. © 1982 The New York Botanical Garden, Bronx, NY 10458.","author":[{"dropping-particle":"","family":"Chandler","given":"R. F.","non-dropping-particle":"","parse-names":false,"suffix":""},{"dropping-particle":"","family":"Hooper","given":"S. N.","non-dropping-particle":"","parse-names":false,"suffix":""},{"dropping-particle":"","family":"Harvey","given":"M. J.","non-dropping-particle":"","parse-names":false,"suffix":""}],"container-title":"Economic Botany","id":"ITEM-1","issue":"2","issued":{"date-parts":[["1982"]]},"page":"203-223","title":"Ethnobotany and phytochemistry of yarrow, Achillea millefolium, compositae","type":"article-journal","volume":"36"},"uris":["http://www.mendeley.com/documents/?uuid=be5d84d4-7a73-49b5-af83-428d51178ce5"]},{"id":"ITEM-2","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Magazine","id":"ITEM-2","issued":{"date-parts":[["2021"]]},"title":"Thin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id":"ITEM-3","itemData":{"author":[{"dropping-particle":"","family":"Zahiruddin","given":"Sultan","non-dropping-particle":"","parse-names":false,"suffix":""},{"dropping-particle":"","family":"Parveen","given":"Abida","non-dropping-particle":"","parse-names":false,"suffix":""},{"dropping-particle":"","family":"Khan","given":"Washim","non-dropping-particle":"","parse-names":false,"suffix":""},{"dropping-particle":"","family":"Parveen","given":"Rabea","non-dropping-particle":"","parse-names":false,"suffix":""},{"dropping-particle":"","family":"Ahmad","given":"Sayeed","non-dropping-particle":"","parse-names":false,"suffix":""}],"id":"ITEM-3","issued":{"date-parts":[["2021"]]},"title":"TLC-Based Metabolite Profiling and Bioactivity-Based Scientific Validation for Use of Water Extracts in AYUSH Formulations","type":"article-journal","volume":"2021"},"uris":["http://www.mendeley.com/documents/?uuid=7bf3f729-b845-4c04-b1e2-2afb10206b09"]}],"mendeley":{"formattedCitation":"[7,13,14]","plainTextFormattedCitation":"[7,13,14]","previouslyFormattedCitation":"[7,13,14]"},"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[7,13,14]</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 Here are some commonly performed physicochemical analyses in the characterization of medicinal plants:</w:t>
      </w:r>
    </w:p>
    <w:p w14:paraId="1AC3074B" w14:textId="1142C266"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Moisture Content:</w:t>
      </w:r>
      <w:r w:rsidRPr="004F0A7F">
        <w:rPr>
          <w:rFonts w:ascii="Times New Roman" w:hAnsi="Times New Roman" w:cs="Times New Roman"/>
          <w:color w:val="000000" w:themeColor="text1"/>
          <w:sz w:val="24"/>
          <w:szCs w:val="24"/>
        </w:rPr>
        <w:t xml:space="preserve"> Determining the amount of water present in the plant material is crucial for assessing its stability and susceptibility to microbial growth and degradation.</w:t>
      </w:r>
    </w:p>
    <w:p w14:paraId="3D2D072F" w14:textId="3E17AC97"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Ash Content:</w:t>
      </w:r>
      <w:r w:rsidRPr="004F0A7F">
        <w:rPr>
          <w:rFonts w:ascii="Times New Roman" w:hAnsi="Times New Roman" w:cs="Times New Roman"/>
          <w:color w:val="000000" w:themeColor="text1"/>
          <w:sz w:val="24"/>
          <w:szCs w:val="24"/>
        </w:rPr>
        <w:t xml:space="preserve"> Ash content analysis involves determining the total mineral content in the plant material after incineration. It provides information about the inorganic residue and helps identify the presence of impurities or contaminants.</w:t>
      </w:r>
    </w:p>
    <w:p w14:paraId="6414FDB2" w14:textId="4928787A"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Extractive Values:</w:t>
      </w:r>
      <w:r w:rsidRPr="004F0A7F">
        <w:rPr>
          <w:rFonts w:ascii="Times New Roman" w:hAnsi="Times New Roman" w:cs="Times New Roman"/>
          <w:color w:val="000000" w:themeColor="text1"/>
          <w:sz w:val="24"/>
          <w:szCs w:val="24"/>
        </w:rPr>
        <w:t xml:space="preserve"> Extractive values determine the </w:t>
      </w:r>
      <w:proofErr w:type="gramStart"/>
      <w:r w:rsidRPr="004F0A7F">
        <w:rPr>
          <w:rFonts w:ascii="Times New Roman" w:hAnsi="Times New Roman" w:cs="Times New Roman"/>
          <w:color w:val="000000" w:themeColor="text1"/>
          <w:sz w:val="24"/>
          <w:szCs w:val="24"/>
        </w:rPr>
        <w:t>amount</w:t>
      </w:r>
      <w:proofErr w:type="gramEnd"/>
      <w:r w:rsidRPr="004F0A7F">
        <w:rPr>
          <w:rFonts w:ascii="Times New Roman" w:hAnsi="Times New Roman" w:cs="Times New Roman"/>
          <w:color w:val="000000" w:themeColor="text1"/>
          <w:sz w:val="24"/>
          <w:szCs w:val="24"/>
        </w:rPr>
        <w:t xml:space="preserve"> of soluble compounds extracted from the plant material using specific solvents. Solvent-soluble extractives reflect the presence of various chemical constituents, including alkaloids, flavonoids, phenolic compounds, and other bioactive compounds.</w:t>
      </w:r>
    </w:p>
    <w:p w14:paraId="305DCE9A" w14:textId="30A2CDB8"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pH:</w:t>
      </w:r>
      <w:r w:rsidRPr="004F0A7F">
        <w:rPr>
          <w:rFonts w:ascii="Times New Roman" w:hAnsi="Times New Roman" w:cs="Times New Roman"/>
          <w:color w:val="000000" w:themeColor="text1"/>
          <w:sz w:val="24"/>
          <w:szCs w:val="24"/>
        </w:rPr>
        <w:t xml:space="preserve"> Measuring the pH of aqueous extracts or solutions prepared from medicinal plants can indicate their acidity or alkalinity. pH affects the stability and solubility of bioactive compounds and can influence the extraction and formulation processes.</w:t>
      </w:r>
    </w:p>
    <w:p w14:paraId="35403470" w14:textId="70BAC6CF"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Specific Gravity:</w:t>
      </w:r>
      <w:r w:rsidRPr="004F0A7F">
        <w:rPr>
          <w:rFonts w:ascii="Times New Roman" w:hAnsi="Times New Roman" w:cs="Times New Roman"/>
          <w:color w:val="000000" w:themeColor="text1"/>
          <w:sz w:val="24"/>
          <w:szCs w:val="24"/>
        </w:rPr>
        <w:t xml:space="preserve"> Specific gravity determination assesses the density of the plant material or its extracts relative to the density of water. It provides information about the concentration and purity of active constituents.</w:t>
      </w:r>
    </w:p>
    <w:p w14:paraId="5DA3B05E" w14:textId="4869F187"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lastRenderedPageBreak/>
        <w:t>Refractive Index:</w:t>
      </w:r>
      <w:r w:rsidRPr="004F0A7F">
        <w:rPr>
          <w:rFonts w:ascii="Times New Roman" w:hAnsi="Times New Roman" w:cs="Times New Roman"/>
          <w:color w:val="000000" w:themeColor="text1"/>
          <w:sz w:val="24"/>
          <w:szCs w:val="24"/>
        </w:rPr>
        <w:t xml:space="preserve"> Refractive index is a measure of how light bends as it passes through a substance. It can help determine the purity and concentration of plant extracts, as well as identify any adulteration.</w:t>
      </w:r>
    </w:p>
    <w:p w14:paraId="24352434" w14:textId="2363AB7A"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Bulk Density and Tapped Density:</w:t>
      </w:r>
      <w:r w:rsidRPr="004F0A7F">
        <w:rPr>
          <w:rFonts w:ascii="Times New Roman" w:hAnsi="Times New Roman" w:cs="Times New Roman"/>
          <w:color w:val="000000" w:themeColor="text1"/>
          <w:sz w:val="24"/>
          <w:szCs w:val="24"/>
        </w:rPr>
        <w:t xml:space="preserve"> Bulk density and tapped density measurements assess the flow properties and compressibility of plant powders. These parameters are important for formulation development and manufacturing processes.</w:t>
      </w:r>
    </w:p>
    <w:p w14:paraId="0200ECA7" w14:textId="41B61C38"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Particle Size Analysis:</w:t>
      </w:r>
      <w:r w:rsidRPr="004F0A7F">
        <w:rPr>
          <w:rFonts w:ascii="Times New Roman" w:hAnsi="Times New Roman" w:cs="Times New Roman"/>
          <w:color w:val="000000" w:themeColor="text1"/>
          <w:sz w:val="24"/>
          <w:szCs w:val="24"/>
        </w:rPr>
        <w:t xml:space="preserve"> Particle size distribution analysis evaluates the size range and distribution of particles in the plant material. It is relevant for optimizing extraction efficiency, determining dissolution properties, and ensuring uniformity in formulations.</w:t>
      </w:r>
    </w:p>
    <w:p w14:paraId="64920F8C" w14:textId="02657354"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Melting Point and Boiling Point:</w:t>
      </w:r>
      <w:r w:rsidRPr="004F0A7F">
        <w:rPr>
          <w:rFonts w:ascii="Times New Roman" w:hAnsi="Times New Roman" w:cs="Times New Roman"/>
          <w:color w:val="000000" w:themeColor="text1"/>
          <w:sz w:val="24"/>
          <w:szCs w:val="24"/>
        </w:rPr>
        <w:t xml:space="preserve"> Determining the melting and boiling points of specific compounds isolated from medicinal plants can aid in their identification and characterization.</w:t>
      </w:r>
    </w:p>
    <w:p w14:paraId="310A2227" w14:textId="035078AB"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Solubility Profile:</w:t>
      </w:r>
      <w:r w:rsidRPr="004F0A7F">
        <w:rPr>
          <w:rFonts w:ascii="Times New Roman" w:hAnsi="Times New Roman" w:cs="Times New Roman"/>
          <w:color w:val="000000" w:themeColor="text1"/>
          <w:sz w:val="24"/>
          <w:szCs w:val="24"/>
        </w:rPr>
        <w:t xml:space="preserve"> Evaluating the solubility of medicinal plant extracts or isolated compounds in different solvents provides insight into their chemical nature and helps determine suitable extraction or formulation strategies.</w:t>
      </w:r>
    </w:p>
    <w:p w14:paraId="20FD530B" w14:textId="2D4500BD"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Loss on Drying:</w:t>
      </w:r>
      <w:r w:rsidRPr="004F0A7F">
        <w:rPr>
          <w:rFonts w:ascii="Times New Roman" w:hAnsi="Times New Roman" w:cs="Times New Roman"/>
          <w:color w:val="000000" w:themeColor="text1"/>
          <w:sz w:val="24"/>
          <w:szCs w:val="24"/>
        </w:rPr>
        <w:t xml:space="preserve"> Loss on drying is a measurement of the weight loss that occurs when plant material is dried under specific conditions. It helps determine the moisture content and indirectly assesses the stability and potential for microbial growth or degradation.</w:t>
      </w:r>
    </w:p>
    <w:p w14:paraId="6D9292C7" w14:textId="09060EF9"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Density:</w:t>
      </w:r>
      <w:r w:rsidRPr="004F0A7F">
        <w:rPr>
          <w:rFonts w:ascii="Times New Roman" w:hAnsi="Times New Roman" w:cs="Times New Roman"/>
          <w:color w:val="000000" w:themeColor="text1"/>
          <w:sz w:val="24"/>
          <w:szCs w:val="24"/>
        </w:rPr>
        <w:t xml:space="preserve"> Density refers to the mass per unit volume of a substance. Determining the density of plant extracts or formulations provides information about their concentration and physical properties, which can impact dosing accuracy and formulation stability.</w:t>
      </w:r>
    </w:p>
    <w:p w14:paraId="7F03D98A" w14:textId="48791570"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Optical Rotation:</w:t>
      </w:r>
      <w:r w:rsidRPr="004F0A7F">
        <w:rPr>
          <w:rFonts w:ascii="Times New Roman" w:hAnsi="Times New Roman" w:cs="Times New Roman"/>
          <w:color w:val="000000" w:themeColor="text1"/>
          <w:sz w:val="24"/>
          <w:szCs w:val="24"/>
        </w:rPr>
        <w:t xml:space="preserve"> Optical rotation measures the rotation of plane-polarized light as it passes through a chiral compound, such as a specific molecule in a medicinal plant. It is used to determine the presence and quantify the amount of optically active compounds, such as enantiomers.</w:t>
      </w:r>
    </w:p>
    <w:p w14:paraId="6B818D4C" w14:textId="6838563F"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Colorimetric Analysis:</w:t>
      </w:r>
      <w:r w:rsidRPr="004F0A7F">
        <w:rPr>
          <w:rFonts w:ascii="Times New Roman" w:hAnsi="Times New Roman" w:cs="Times New Roman"/>
          <w:color w:val="000000" w:themeColor="text1"/>
          <w:sz w:val="24"/>
          <w:szCs w:val="24"/>
        </w:rPr>
        <w:t xml:space="preserve"> Colorimetric analysis involves the measurement of absorbance or color intensity of a specific compound or class of compounds using spectrophotometry. It allows for the quantification of various constituents, such as phenolics, flavonoids, or specific chemical markers.</w:t>
      </w:r>
    </w:p>
    <w:p w14:paraId="4131F56A" w14:textId="64169B3C" w:rsidR="00574309" w:rsidRPr="004F0A7F" w:rsidRDefault="00574309"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Elemental Analysis:</w:t>
      </w:r>
      <w:r w:rsidRPr="004F0A7F">
        <w:rPr>
          <w:rFonts w:ascii="Times New Roman" w:hAnsi="Times New Roman" w:cs="Times New Roman"/>
          <w:color w:val="000000" w:themeColor="text1"/>
          <w:sz w:val="24"/>
          <w:szCs w:val="24"/>
        </w:rPr>
        <w:t xml:space="preserve"> Elemental analysis determines the elemental composition of plant materials using techniques like atomic absorption spectroscopy (AAS) or inductively </w:t>
      </w:r>
      <w:r w:rsidRPr="004F0A7F">
        <w:rPr>
          <w:rFonts w:ascii="Times New Roman" w:hAnsi="Times New Roman" w:cs="Times New Roman"/>
          <w:color w:val="000000" w:themeColor="text1"/>
          <w:sz w:val="24"/>
          <w:szCs w:val="24"/>
        </w:rPr>
        <w:lastRenderedPageBreak/>
        <w:t>coupled plasma spectroscopy (ICP). It helps identify and quantify essential and trace elements present in the plant, which can have implications for nutritional value or potential contaminants.</w:t>
      </w:r>
    </w:p>
    <w:p w14:paraId="55F399CD" w14:textId="6E1CE94D" w:rsidR="00A940A5" w:rsidRPr="004F0A7F" w:rsidRDefault="00574309" w:rsidP="00A940A5">
      <w:pPr>
        <w:pStyle w:val="Heading2"/>
        <w:numPr>
          <w:ilvl w:val="1"/>
          <w:numId w:val="7"/>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Chromatographic Techniques</w:t>
      </w:r>
    </w:p>
    <w:p w14:paraId="20CA4C3A" w14:textId="440B7460"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Chromatographic techniques, such as thin-layer chromatography (TLC), high-performance liquid chromatography (HPLC), or gas chromatography (GC), are commonly used in the analysis of medicinal plants. These techniques separate and quantify individual compounds or classes of compounds, providing information about their presence, purity, and concentration</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BGR-34","type":"article-journal"},"uris":["http://www.mendeley.com/documents/?uuid=03233ac1-eb07-4505-a907-fd7d9989759c"]},{"id":"ITEM-2","itemData":{"DOI":"10.3390/biomedicines11010168","ISSN":"22279059","abstract":"Based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-2","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-3","itemData":{"DOI":"10.1016/J.SJBS.2021.07.008","ISSN":"1319-562X","author":[{"dropping-particle":"","family":"Gautam","given":"Gaurav","non-dropping-particle":"","parse-names":false,"suffix":""},{"dropping-particle":"","family":"Parveen","given":"Bushra","non-dropping-particle":"","parse-names":false,"suffix":""},{"dropping-particle":"","family":"Umar Khan","given":"Mohammad","non-dropping-particle":"","parse-names":false,"suffix":""},{"dropping-particle":"","family":"Sharma","given":"Ikshit","non-dropping-particle":"","parse-names":false,"suffix":""},{"dropping-particle":"","family":"Kumar Sharma","given":"Anil","non-dropping-particle":"","parse-names":false,"suffix":""},{"dropping-particle":"","family":"Parveen","given":"Rabea","non-dropping-particle":"","parse-names":false,"suffix":""},{"dropping-particle":"","family":"Ahmad","given":"Sayeed","non-dropping-particle":"","parse-names":false,"suffix":""}],"container-title":"Saudi Journal of Biological Sciences","id":"ITEM-3","issued":{"date-parts":[["2021","7","12"]]},"publisher":"Elsevier","title":"A systematic review on nephron protective AYUSH drugs as constituents of NEERI-KFT (A traditional Indian polyherbal formulation) for the management of chronic kidney disease","type":"article-journal"},"uris":["http://www.mendeley.com/documents/?uuid=6845a323-3002-3e8f-b5a3-944805c88207"]},{"id":"ITEM-4","itemData":{"DOI":"10.1016/j.sajb.2022.01.038","ISSN":"02546299","abstract":"Synergism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Botany","id":"ITEM-4","issued":{"date-parts":[["2022"]]},"publisher":"Elsevier B.V.","title":"Nephroprotective potential of Boerhaavia diffusa and Tinospora cordifolia herbal combination against diclofenac induced nephrotoxicity","type":"article-journal","volume":"000"},"uris":["http://www.mendeley.com/documents/?uuid=c100ed2d-8d94-487a-bf99-55e84bc4b2c1"]}],"mendeley":{"formattedCitation":"[9,15–17]","plainTextFormattedCitation":"[9,15–17]","previouslyFormattedCitation":"[9,15–17]"},"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[9,15–17]</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209806FA" w14:textId="196F6AC8" w:rsidR="00574309" w:rsidRPr="004F0A7F" w:rsidRDefault="00574309" w:rsidP="00A940A5">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Thin-Layer Chromatography (TLC)</w:t>
      </w:r>
    </w:p>
    <w:p w14:paraId="6CCCEEDC" w14:textId="74ACB491"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TLC is a common technique used for the identification and qualitative analysis of chemical constituents in medicinal plants. It involves the separation of compounds on a thin layer of adsorbent material and subsequent visualization using suitable reagents or UV light.</w:t>
      </w:r>
    </w:p>
    <w:p w14:paraId="6B2A103A" w14:textId="0735F82E"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Thin-Layer Chromatography (TLC) is a chromatographic technique used to separate and analyze the components of a mixture based on their different affinities to a stationary phase and a mobile phase. It is a simple and cost-effective method commonly employed in the analysis of medicinal plants, pharmaceuticals, and other organic compounds. TLC is particularly useful for qualitative analysis, identification, and purity assessment of compounds in a sample.</w:t>
      </w:r>
    </w:p>
    <w:p w14:paraId="47B9DE5B" w14:textId="5451A75F"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 basic principle of TLC involves the application of a small spot or line of the sample mixture onto a thin layer of a stationary phase, typically a polar adsorbent material, such as silica gel or alumina, coated on a flat, inert support, such as a glass or plastic plate. The sample is applied near the bottom of the plate, and the plate is then placed in a developing chamber containing a suitable solvent system, which serves as the mobile phase. As the solvent migrates up the plate by capillary action, it carries the sample components with it. The different components of the mixture separate based on their varying affinities to the stationary phase and the mobile phase.</w:t>
      </w:r>
    </w:p>
    <w:p w14:paraId="61F37A7A" w14:textId="629145E9"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 separation of compounds on the TLC plate is visualized by either direct observation or by using specific visualization techniques. Common methods include</w:t>
      </w:r>
      <w:r w:rsidR="0078114B" w:rsidRPr="004F0A7F">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UV Absorption</w:t>
      </w:r>
      <w:r w:rsidR="0078114B" w:rsidRPr="004F0A7F">
        <w:rPr>
          <w:rFonts w:ascii="Times New Roman" w:hAnsi="Times New Roman" w:cs="Times New Roman"/>
          <w:color w:val="000000" w:themeColor="text1"/>
          <w:sz w:val="24"/>
          <w:szCs w:val="24"/>
        </w:rPr>
        <w:t xml:space="preserve"> where s</w:t>
      </w:r>
      <w:r w:rsidRPr="004F0A7F">
        <w:rPr>
          <w:rFonts w:ascii="Times New Roman" w:hAnsi="Times New Roman" w:cs="Times New Roman"/>
          <w:color w:val="000000" w:themeColor="text1"/>
          <w:sz w:val="24"/>
          <w:szCs w:val="24"/>
        </w:rPr>
        <w:t>ome compounds exhibit natural or enhanced UV absorption properties, allowing them to be visualized under UV light.</w:t>
      </w:r>
    </w:p>
    <w:p w14:paraId="7251AD2D" w14:textId="3D7ECD0B" w:rsidR="0078114B" w:rsidRPr="004F0A7F" w:rsidRDefault="00B50B8E" w:rsidP="00DC4244">
      <w:pPr>
        <w:pStyle w:val="Heading4"/>
        <w:numPr>
          <w:ilvl w:val="3"/>
          <w:numId w:val="8"/>
        </w:numPr>
        <w:rPr>
          <w:rFonts w:ascii="Times New Roman" w:hAnsi="Times New Roman" w:cs="Times New Roman"/>
          <w:b/>
          <w:bCs/>
          <w:i w:val="0"/>
          <w:iCs w:val="0"/>
          <w:color w:val="000000" w:themeColor="text1"/>
          <w:sz w:val="24"/>
          <w:szCs w:val="24"/>
        </w:rPr>
      </w:pPr>
      <w:r w:rsidRPr="004F0A7F">
        <w:rPr>
          <w:rFonts w:ascii="Times New Roman" w:hAnsi="Times New Roman" w:cs="Times New Roman"/>
          <w:b/>
          <w:bCs/>
          <w:i w:val="0"/>
          <w:iCs w:val="0"/>
          <w:color w:val="000000" w:themeColor="text1"/>
          <w:sz w:val="24"/>
          <w:szCs w:val="24"/>
        </w:rPr>
        <w:lastRenderedPageBreak/>
        <w:t>Staining Agents</w:t>
      </w:r>
    </w:p>
    <w:p w14:paraId="47B30C23" w14:textId="56672164"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Staining agents, such as iodine vapor or specific chemical reagents, can be used to reveal the presence of compounds on the TLC plate by producing colored spots or bands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{"citationItems":[{"id":"ITEM-1","itemData":{"DOI":"10.3791/51411","ISSN":"1940087X","abstract":"A common screen for plant antimicrobial compounds consists of separating plant extracts by paper or thin-layer chromatography (PC or TLC), exposing the chromatograms to microbial suspensions (e.g. fungi or bacteria in broth or agar), allowing time for the microbes to grow in a humid environment, and visualizing zones with no microbial growth. The effectiveness of this screening method, known as bioautography, depends on both the quality of the chromatographic separation and the care taken with microbial culture conditions. This paper describes standard protocols for TLC and contact bioautography with a novel application to amino acid-fermenting bacteria. The extract is separated on flexible (aluminum-backed) silica TLC plates, and bands are visualized under ultraviolet (UV) light. Zones are cut out and incubated face down onto agar inoculated with the test microorganism. Inhibitory bands are visualized by staining the agar plates with tetrazolium red. The method is applied to the separation of red clover (Trifolium pratense cv. Kenland) phenolic compounds and their screening for activity against Clostridium sticklandii, a hyper ammonia-producing bacterium (HAB) that is native to the bovine rumen. The TLC methods apply to many types of plant extracts and other bacterial species (aerobic or anaerobic), as well as fungi, can be used as test organisms if culture conditions are modified to fit the growth requirements of the species. © JoVE 2006-2014. All Rights Reserved.","author":[{"dropping-particle":"","family":"Kagan","given":"Isabelle A.","non-dropping-particle":"","parse-names":false,"suffix":""},{"dropping-particle":"","family":"Flythe","given":"Michael D.","non-dropping-particle":"","parse-names":false,"suffix":""}],"container-title":"Journal of Visualized Experiments","id":"ITEM-1","issued":{"date-parts":[["2014"]]},"title":"Thin-Layer Chromatographic (TLC) separations and bioassays of plant extracts to identify antimicrobial compounds","type":"article-journal"},"uris":["http://www.mendeley.com/documents/?uuid=4a5949d9-77a2-4aca-8864-8af9dfb1058d","http://www.mendeley.com/documents/?uuid=8f071991-b7bb-4260-9d6c-25b2569a24af"]}],"mendeley":{"formattedCitation":"[18]","plainTextFormattedCitation":"[18]","previouslyFormattedCitation":"[18]"},"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[18]</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0214CAB3" w14:textId="049C7DCC" w:rsidR="0085503B" w:rsidRPr="004F0A7F" w:rsidRDefault="0085503B"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Iodine Vapor:</w:t>
      </w:r>
      <w:r w:rsidRPr="004F0A7F">
        <w:rPr>
          <w:rFonts w:ascii="Times New Roman" w:hAnsi="Times New Roman" w:cs="Times New Roman"/>
          <w:color w:val="000000" w:themeColor="text1"/>
          <w:sz w:val="24"/>
          <w:szCs w:val="24"/>
        </w:rPr>
        <w:t xml:space="preserve"> Iodine vapor is a widely used staining agent in TLC. It is produced by placing iodine crystals in a closed chamber or by using iodine crystals on a filter paper placed inside a TLC chamber. When the TLC plate is exposed to iodine vapor, compounds on the plate react with iodine, resulting in the formation of visible spots or bands. Different compounds show varying intensities of staining, allowing for their visualization and identification.</w:t>
      </w:r>
    </w:p>
    <w:p w14:paraId="08E86220" w14:textId="66C825A1" w:rsidR="0085503B" w:rsidRPr="004F0A7F" w:rsidRDefault="0085503B" w:rsidP="0078114B">
      <w:pPr>
        <w:pStyle w:val="ListParagraph"/>
        <w:numPr>
          <w:ilvl w:val="0"/>
          <w:numId w:val="10"/>
        </w:numPr>
        <w:spacing w:line="360" w:lineRule="auto"/>
        <w:jc w:val="both"/>
        <w:rPr>
          <w:rFonts w:ascii="Times New Roman" w:hAnsi="Times New Roman" w:cs="Times New Roman"/>
          <w:color w:val="000000" w:themeColor="text1"/>
          <w:sz w:val="24"/>
          <w:szCs w:val="24"/>
        </w:rPr>
      </w:pPr>
      <w:proofErr w:type="spellStart"/>
      <w:r w:rsidRPr="004F0A7F">
        <w:rPr>
          <w:rFonts w:ascii="Times New Roman" w:hAnsi="Times New Roman" w:cs="Times New Roman"/>
          <w:b/>
          <w:bCs/>
          <w:color w:val="000000" w:themeColor="text1"/>
          <w:sz w:val="24"/>
          <w:szCs w:val="24"/>
        </w:rPr>
        <w:t>Anisaldehyde</w:t>
      </w:r>
      <w:proofErr w:type="spellEnd"/>
      <w:r w:rsidRPr="004F0A7F">
        <w:rPr>
          <w:rFonts w:ascii="Times New Roman" w:hAnsi="Times New Roman" w:cs="Times New Roman"/>
          <w:b/>
          <w:bCs/>
          <w:color w:val="000000" w:themeColor="text1"/>
          <w:sz w:val="24"/>
          <w:szCs w:val="24"/>
        </w:rPr>
        <w:t>-Sulfuric Acid:</w:t>
      </w:r>
      <w:r w:rsidRPr="004F0A7F">
        <w:rPr>
          <w:rFonts w:ascii="Times New Roman" w:hAnsi="Times New Roman" w:cs="Times New Roman"/>
          <w:color w:val="000000" w:themeColor="text1"/>
          <w:sz w:val="24"/>
          <w:szCs w:val="24"/>
        </w:rPr>
        <w:t xml:space="preserve"> This staining agent involves a mixture of </w:t>
      </w:r>
      <w:proofErr w:type="spellStart"/>
      <w:r w:rsidRPr="004F0A7F">
        <w:rPr>
          <w:rFonts w:ascii="Times New Roman" w:hAnsi="Times New Roman" w:cs="Times New Roman"/>
          <w:color w:val="000000" w:themeColor="text1"/>
          <w:sz w:val="24"/>
          <w:szCs w:val="24"/>
        </w:rPr>
        <w:t>anisaldehyde</w:t>
      </w:r>
      <w:proofErr w:type="spellEnd"/>
      <w:r w:rsidRPr="004F0A7F">
        <w:rPr>
          <w:rFonts w:ascii="Times New Roman" w:hAnsi="Times New Roman" w:cs="Times New Roman"/>
          <w:color w:val="000000" w:themeColor="text1"/>
          <w:sz w:val="24"/>
          <w:szCs w:val="24"/>
        </w:rPr>
        <w:t xml:space="preserve"> (p-</w:t>
      </w:r>
      <w:proofErr w:type="spellStart"/>
      <w:r w:rsidRPr="004F0A7F">
        <w:rPr>
          <w:rFonts w:ascii="Times New Roman" w:hAnsi="Times New Roman" w:cs="Times New Roman"/>
          <w:color w:val="000000" w:themeColor="text1"/>
          <w:sz w:val="24"/>
          <w:szCs w:val="24"/>
        </w:rPr>
        <w:t>methoxybenzaldehyde</w:t>
      </w:r>
      <w:proofErr w:type="spellEnd"/>
      <w:r w:rsidRPr="004F0A7F">
        <w:rPr>
          <w:rFonts w:ascii="Times New Roman" w:hAnsi="Times New Roman" w:cs="Times New Roman"/>
          <w:color w:val="000000" w:themeColor="text1"/>
          <w:sz w:val="24"/>
          <w:szCs w:val="24"/>
        </w:rPr>
        <w:t xml:space="preserve">) and concentrated sulfuric acid. After separation of compounds on the TLC plate, the plate is sprayed with or dipped into the </w:t>
      </w:r>
      <w:proofErr w:type="spellStart"/>
      <w:r w:rsidRPr="004F0A7F">
        <w:rPr>
          <w:rFonts w:ascii="Times New Roman" w:hAnsi="Times New Roman" w:cs="Times New Roman"/>
          <w:color w:val="000000" w:themeColor="text1"/>
          <w:sz w:val="24"/>
          <w:szCs w:val="24"/>
        </w:rPr>
        <w:t>anisaldehyde</w:t>
      </w:r>
      <w:proofErr w:type="spellEnd"/>
      <w:r w:rsidRPr="004F0A7F">
        <w:rPr>
          <w:rFonts w:ascii="Times New Roman" w:hAnsi="Times New Roman" w:cs="Times New Roman"/>
          <w:color w:val="000000" w:themeColor="text1"/>
          <w:sz w:val="24"/>
          <w:szCs w:val="24"/>
        </w:rPr>
        <w:t>-sulfuric acid reagent. The presence of certain functional groups, such as aldehydes and phenols, results in the formation of colored spots or bands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mendeley":{"formattedCitation":"[15]","plainTextFormattedCitation":"[15]","previouslyFormattedCitation":"[15]"},"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[15]</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37ACF9C1" w14:textId="3564C903" w:rsidR="0085503B" w:rsidRPr="004F0A7F" w:rsidRDefault="0085503B"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Ninhydrin:</w:t>
      </w:r>
      <w:r w:rsidRPr="004F0A7F">
        <w:rPr>
          <w:rFonts w:ascii="Times New Roman" w:hAnsi="Times New Roman" w:cs="Times New Roman"/>
          <w:color w:val="000000" w:themeColor="text1"/>
          <w:sz w:val="24"/>
          <w:szCs w:val="24"/>
        </w:rPr>
        <w:t xml:space="preserve"> Ninhydrin is a commonly used staining agent for detecting amino acids and primary amines in TLC. The TLC plate is sprayed with a solution of ninhydrin, which reacts with amino compounds to produce purple or blue spots upon heating. This staining method is particularly useful for analyzing protein hydrolysates or samples containing amino acids.</w:t>
      </w:r>
    </w:p>
    <w:p w14:paraId="5CB985E6" w14:textId="5D24DE55" w:rsidR="0085503B" w:rsidRPr="004F0A7F" w:rsidRDefault="0085503B" w:rsidP="0078114B">
      <w:pPr>
        <w:pStyle w:val="ListParagraph"/>
        <w:numPr>
          <w:ilvl w:val="0"/>
          <w:numId w:val="10"/>
        </w:numPr>
        <w:spacing w:line="360" w:lineRule="auto"/>
        <w:jc w:val="both"/>
        <w:rPr>
          <w:rFonts w:ascii="Times New Roman" w:hAnsi="Times New Roman" w:cs="Times New Roman"/>
          <w:color w:val="000000" w:themeColor="text1"/>
          <w:sz w:val="24"/>
          <w:szCs w:val="24"/>
        </w:rPr>
      </w:pPr>
      <w:proofErr w:type="spellStart"/>
      <w:r w:rsidRPr="004F0A7F">
        <w:rPr>
          <w:rFonts w:ascii="Times New Roman" w:hAnsi="Times New Roman" w:cs="Times New Roman"/>
          <w:b/>
          <w:bCs/>
          <w:color w:val="000000" w:themeColor="text1"/>
          <w:sz w:val="24"/>
          <w:szCs w:val="24"/>
        </w:rPr>
        <w:t>Dragendorff's</w:t>
      </w:r>
      <w:proofErr w:type="spellEnd"/>
      <w:r w:rsidRPr="004F0A7F">
        <w:rPr>
          <w:rFonts w:ascii="Times New Roman" w:hAnsi="Times New Roman" w:cs="Times New Roman"/>
          <w:b/>
          <w:bCs/>
          <w:color w:val="000000" w:themeColor="text1"/>
          <w:sz w:val="24"/>
          <w:szCs w:val="24"/>
        </w:rPr>
        <w:t xml:space="preserve"> Reagent:</w:t>
      </w:r>
      <w:r w:rsidRPr="004F0A7F">
        <w:rPr>
          <w:rFonts w:ascii="Times New Roman" w:hAnsi="Times New Roman" w:cs="Times New Roman"/>
          <w:color w:val="000000" w:themeColor="text1"/>
          <w:sz w:val="24"/>
          <w:szCs w:val="24"/>
        </w:rPr>
        <w:t xml:space="preserve"> </w:t>
      </w:r>
      <w:proofErr w:type="spellStart"/>
      <w:r w:rsidRPr="004F0A7F">
        <w:rPr>
          <w:rFonts w:ascii="Times New Roman" w:hAnsi="Times New Roman" w:cs="Times New Roman"/>
          <w:color w:val="000000" w:themeColor="text1"/>
          <w:sz w:val="24"/>
          <w:szCs w:val="24"/>
        </w:rPr>
        <w:t>Dragendorff's</w:t>
      </w:r>
      <w:proofErr w:type="spellEnd"/>
      <w:r w:rsidRPr="004F0A7F">
        <w:rPr>
          <w:rFonts w:ascii="Times New Roman" w:hAnsi="Times New Roman" w:cs="Times New Roman"/>
          <w:color w:val="000000" w:themeColor="text1"/>
          <w:sz w:val="24"/>
          <w:szCs w:val="24"/>
        </w:rPr>
        <w:t xml:space="preserve"> reagent is a solution containing bismuth nitrate and potassium iodide. It is commonly used for alkaloid detection in TLC. The TLC plate is sprayed with </w:t>
      </w:r>
      <w:proofErr w:type="spellStart"/>
      <w:r w:rsidRPr="004F0A7F">
        <w:rPr>
          <w:rFonts w:ascii="Times New Roman" w:hAnsi="Times New Roman" w:cs="Times New Roman"/>
          <w:color w:val="000000" w:themeColor="text1"/>
          <w:sz w:val="24"/>
          <w:szCs w:val="24"/>
        </w:rPr>
        <w:t>Dragendorff's</w:t>
      </w:r>
      <w:proofErr w:type="spellEnd"/>
      <w:r w:rsidRPr="004F0A7F">
        <w:rPr>
          <w:rFonts w:ascii="Times New Roman" w:hAnsi="Times New Roman" w:cs="Times New Roman"/>
          <w:color w:val="000000" w:themeColor="text1"/>
          <w:sz w:val="24"/>
          <w:szCs w:val="24"/>
        </w:rPr>
        <w:t xml:space="preserve"> reagent, and alkaloids present in the sample form orange or brown spots upon reaction with the reagent</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9E57EB">
        <w:rPr>
          <w:rFonts w:ascii="Times New Roman" w:hAnsi="Times New Roman" w:cs="Times New Roman"/>
          <w:color w:val="000000" w:themeColor="text1"/>
          <w:sz w:val="24"/>
          <w:szCs w:val="24"/>
        </w:rPr>
        <w:instrText>ADDIN CSL_CITATION {"citationItems":[{"id":"ITEM-1","itemData":{"DOI":"10.15373/22778160/apr2014/2","ISSN":"22778160","abstract":"The present study was performed for the development of physico-chemical parameters of Carica papaya Linn. Leaves (CP) belong to family Caricaceae. The study comprises physico-chemical and phytochemical evaluation to confirm the Secondary metabolites present in Carica papaya leaf. The TLC fingerprinting profile of different extracts developed which exhibited the presence of several secondary metabolites. The methods adopted here for the identification of Secondary Metabolites is simple, specific, accurate and rapid also. Extraction from the plant is an empirical exercise in which different solvents are utilized under a variety of conditions such as time and temperature during extraction. After extraction, the bioactive components were separated from the co extractives. Further steps for the isolation involved is the solvent partition of the co extractives of chromatographic methods in order to fractionate the compounds based on their acidity, polarity or molecular size and Qualitative Methods also. For purification, some structural analysis, may be accomplished by appropriate techniques such as recrystallisation, sublimation, distillation/extraction. Here, the distillation process was done. The main purpose for this study is to find out the role of phytochemicals, particularly secondary metabolites present in Carica papaya L. leaves in curing the disease Dengue/DHF directly or indirectly.","author":[{"dropping-particle":"","family":"Sharma","given":"Dinesh Kumar","non-dropping-particle":"","parse-names":false,"suffix":""},{"dropping-particle":"","family":"Prof. B. tiwari","given":"Prof. B. tiwari","non-dropping-particle":"","parse-names":false,"suffix":""}],"container-title":"Global Journal For Research Analysis","id":"ITEM-1","issued":{"date-parts":[["2012"]]},"title":"Identification of Secondary Metabolites Present in Carica Papaya L. Leaf Extract Found in Northern India by HPtLC &amp; Other test Procedures, its Significance and Role in Curing Dengue/DHF Disease","type":"article-journal"},"uris":["http://www.mendeley.com/documents/?uuid=2f69dadc-30f5-4542-95be-641cec267171","http://www.mendeley.com/documents/?uuid=7776de7f-9076-453c-a28c-898934d7dc60"]}],"mendeley":{"formattedCitation":"[19]","plainTextFormattedCitation":"[19]","previouslyFormattedCitation":"[19]"},"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[19]</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7DA1E229" w14:textId="5452B953" w:rsidR="0085503B" w:rsidRPr="004F0A7F" w:rsidRDefault="0085503B"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Vanillin-Sulfuric Acid:</w:t>
      </w:r>
      <w:r w:rsidRPr="004F0A7F">
        <w:rPr>
          <w:rFonts w:ascii="Times New Roman" w:hAnsi="Times New Roman" w:cs="Times New Roman"/>
          <w:color w:val="000000" w:themeColor="text1"/>
          <w:sz w:val="24"/>
          <w:szCs w:val="24"/>
        </w:rPr>
        <w:t xml:space="preserve"> This staining agent involves the use of a mixture of vanillin and concentrated sulfuric acid. The TLC plate is sprayed with the vanillin-sulfuric acid reagent, and compounds containing phenolic groups produce colored spots upon heating. This staining method is often used for the detection of phenolic compounds in plant extracts.</w:t>
      </w:r>
    </w:p>
    <w:p w14:paraId="12250132" w14:textId="5CD05A2A" w:rsidR="00B50B8E" w:rsidRPr="004F0A7F" w:rsidRDefault="00B50B8E"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Fluorescent Indicators:</w:t>
      </w:r>
      <w:r w:rsidRPr="004F0A7F">
        <w:rPr>
          <w:rFonts w:ascii="Times New Roman" w:hAnsi="Times New Roman" w:cs="Times New Roman"/>
          <w:color w:val="000000" w:themeColor="text1"/>
          <w:sz w:val="24"/>
          <w:szCs w:val="24"/>
        </w:rPr>
        <w:t xml:space="preserve"> Specific fluorescent indicators can be incorporated into the stationary phase, allowing for the visualization of compounds under UV light.</w:t>
      </w:r>
    </w:p>
    <w:p w14:paraId="44716E60" w14:textId="00D489F9"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After separation, the Rf (retention factor) value of each separated compound is calculated by dividing the distance traveled by the compound by the distance traveled by the solvent front. The </w:t>
      </w:r>
      <w:r w:rsidRPr="004F0A7F">
        <w:rPr>
          <w:rFonts w:ascii="Times New Roman" w:hAnsi="Times New Roman" w:cs="Times New Roman"/>
          <w:color w:val="000000" w:themeColor="text1"/>
          <w:sz w:val="24"/>
          <w:szCs w:val="24"/>
        </w:rPr>
        <w:lastRenderedPageBreak/>
        <w:t>Rf value serves as a characteristic parameter that helps in the identification and comparison of compounds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Science","id":"ITEM-1","issue":"3","issued":{"date-parts":[["2022"]]},"page":"101839","publisher":"The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mendeley":{"formattedCitation":"[11]","plainTextFormattedCitation":"[11]","previouslyFormattedCitation":"[11]"},"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[11]</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3ED7EB04" w14:textId="13AE1A81"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TLC offers several advantages in the analysis of medicinal plants. It is relatively quick, requires minimal sample preparation, and allows for the simultaneous analysis of multiple samples. TLC is also useful for monitoring the progress of reactions, assessing the purity of isolated compounds, and detecting the presence of impurities or adulterants. However, it should be noted that TLC is a qualitative technique and may not provide accurate quantitative information</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mendeley":{"formattedCitation":"[15]","plainTextFormattedCitation":"[15]","previouslyFormattedCitation":"[15]"},"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[15]</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40482C95" w14:textId="57A9DE6C" w:rsidR="00F31DA8" w:rsidRPr="004F0A7F" w:rsidRDefault="00574309" w:rsidP="00B469E9">
      <w:pPr>
        <w:pStyle w:val="Heading3"/>
        <w:numPr>
          <w:ilvl w:val="2"/>
          <w:numId w:val="8"/>
        </w:numPr>
        <w:rPr>
          <w:rFonts w:ascii="Times New Roman" w:hAnsi="Times New Roman" w:cs="Times New Roman"/>
          <w:color w:val="000000" w:themeColor="text1"/>
        </w:rPr>
      </w:pPr>
      <w:r w:rsidRPr="004F0A7F">
        <w:rPr>
          <w:rFonts w:ascii="Times New Roman" w:hAnsi="Times New Roman" w:cs="Times New Roman"/>
          <w:color w:val="000000" w:themeColor="text1"/>
        </w:rPr>
        <w:t>High-Performance Liquid Chromatography (HPLC)</w:t>
      </w:r>
    </w:p>
    <w:p w14:paraId="6D116F5D" w14:textId="2358B9FA" w:rsidR="00F31DA8" w:rsidRPr="004F0A7F" w:rsidRDefault="00574309"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HPLC is a more advanced technique that allows for the quantitative analysis of specific compounds in medicinal plants. It enables the identification and quantification of active constituents, such as alkaloids, flavonoids, phenolic compounds, and other bioactive compounds.</w:t>
      </w:r>
      <w:r w:rsidR="008F4B24">
        <w:rPr>
          <w:rFonts w:ascii="Times New Roman" w:hAnsi="Times New Roman" w:cs="Times New Roman"/>
          <w:color w:val="000000" w:themeColor="text1"/>
          <w:sz w:val="24"/>
          <w:szCs w:val="24"/>
        </w:rPr>
        <w:t xml:space="preserve"> </w:t>
      </w:r>
      <w:r w:rsidR="00F31DA8" w:rsidRPr="004F0A7F">
        <w:rPr>
          <w:rFonts w:ascii="Times New Roman" w:hAnsi="Times New Roman" w:cs="Times New Roman"/>
          <w:color w:val="000000" w:themeColor="text1"/>
          <w:sz w:val="24"/>
          <w:szCs w:val="24"/>
        </w:rPr>
        <w:t>HPLC is used to separate, identify, and quantify components in a mixture. It is widely employed in various fields, including pharmaceutical analysis, environmental analysis, food analysis, and forensic science. HPLC offers high resolution, sensitivity, and versatility, making it a preferred choice for complex sample analysis.</w:t>
      </w:r>
      <w:r w:rsidR="008F4B24">
        <w:rPr>
          <w:rFonts w:ascii="Times New Roman" w:hAnsi="Times New Roman" w:cs="Times New Roman"/>
          <w:color w:val="000000" w:themeColor="text1"/>
          <w:sz w:val="24"/>
          <w:szCs w:val="24"/>
        </w:rPr>
        <w:t xml:space="preserve"> </w:t>
      </w:r>
      <w:r w:rsidR="00F31DA8" w:rsidRPr="004F0A7F">
        <w:rPr>
          <w:rFonts w:ascii="Times New Roman" w:hAnsi="Times New Roman" w:cs="Times New Roman"/>
          <w:color w:val="000000" w:themeColor="text1"/>
          <w:sz w:val="24"/>
          <w:szCs w:val="24"/>
        </w:rPr>
        <w:t>In HPLC, a liquid mobile phase is passed through a column packed with a stationary phase, which consists of porous particles with specific chemical and physical properties. The sample mixture is injected into the HPLC system, and different components in the mixture interact differently with the stationary phase based on their physicochemical characteristics such as size, polarity, and charge</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{"citationItems":[{"id":"ITEM-1","itemData":{"DOI":"10.1016/j.jep.2016.07.072","ISSN":"18727573","abstract":"Ethno-pharmacological relevance Picrosides I, II and apocynin are the main active principles present in the roots and rhizomes of Picrorhiza kurroa Royle ex. Benth (Kutki). Ethno-medicinally, the plant is used for the treatment of liver, upper respiratory tract disorders and dyspepsia, since long in Ayurveda. Aim of the study This study attempts to determine the pharmacokinetic profile of picrosides I, II and apocynin in rats after oral administration of iridoid enriched fraction (IRF) and to recognize the pattern of its metabolites as such in IRF and in plasma. Materials and methods A simple, precise, specific and sensitive RP-HPLC method was developed for simultaneous quantification of picrosides I, II and apocynin in rat plasma and in plant extract. Acetonitrile (ACN) and water was used as a solvent system with a gradient elution for pharmacokinetic studies using HPLC-PDA (Flow rate: 1.0 mL/min) and metabolic profiling through UPLC-MS (Flow rate: 0.5 mL/min) in selected reaction monitoring. A comparative study was performed in order to recognize the pattern and fate of metabolites in rat plasma up to 24 h after single oral administration of IRF. Results Developed method produced more than 85% recovery of the targeted metabolites in rat plasma. The content of picrosides I, II and apocynin in IRF were found 5.7%, 18.3% and 27.3% w/w, respectively. The mean plasma concentration versus time profiles of picroside I, II and apocynin resulted in peak plasma concentration (Cmax) 244.9, 104.6 and 504.2 ng/mL with half-life (t1/2) 14, 8 and 6 h, respectively. Other pharmacokinetic parameters such as time to reach Cmax (tmax), area under curve (AUC), absorption (ka) and elimination (ke) constant, volume of distribution (Vd) were also determined. Pattern recognition analysis showed fate of 18 metabolites in rat plasma up to 24 h out of 26 present in IRF. Conclusion The information gained from this study postulates the basic pharmacokinetic profiling of picroside I, II and apocynin as well as fate of other metabolites after oral administration of IRF, demonstrating scientific basis of its traditional use in Ayurveda.","author":[{"dropping-particle":"","family":"Zahiruddin","given":"Sultan","non-dropping-particle":"","parse-names":false,"suffix":""},{"dropping-particle":"","family":"Khan","given":"Washim","non-dropping-particle":"","parse-names":false,"suffix":""},{"dropping-particle":"","family":"Nehra","given":"Rinki","non-dropping-particle":"","parse-names":false,"suffix":""},{"dropping-particle":"","family":"Alam","given":"Md Javed","non-dropping-particle":"","parse-names":false,"suffix":""},{"dropping-particle":"","family":"Mallick","given":"Md Nasar","non-dropping-particle":"","parse-names":false,"suffix":""},{"dropping-particle":"","family":"Parveen","given":"Rabea","non-dropping-particle":"","parse-names":false,"suffix":""},{"dropping-particle":"","family":"Ahmad","given":"Sayeed","non-dropping-particle":"","parse-names":false,"suffix":""}],"container-title":"Journal of Ethnopharmacology","id":"ITEM-1","issued":{"date-parts":[["2017"]]},"title":"Pharmacokinetics and comparative metabolic profiling of iridoid enriched fraction of Picrorhiza kurroa – An Ayurvedic Herb","type":"article-journal"},"uris":["http://www.mendeley.com/documents/?uuid=c6fde00b-2b76-4bc3-af0d-08bb1c81050b"]},{"id":"ITEM-2","itemData":{"DOI":"10.3389/fphar.2017.00577","ISSN":"16639812","abstract":"Moringa oleifera Lam. (family; Moringaceae), commonly known as drumstick, have been used for centuries as a part of the Ayurvedic system for several diseases without having any scientific data. Demineralized water was used to prepare aqueous extract by maceration for 24 h and complete metabolic profiling was performed using GC-MS and HPLC. Hypoglycemic properties of extract have been tested on carbohydrate digesting enzyme activity, yeast cell uptake, muscle glucose uptake, and intestinal glucose absorption. Type 2 diabetes was induced by feeding high-fat diet (HFD) for 8 weeks and a single injection of streptozotocin (STZ, 45 mg/kg body weight, intraperitoneally) was used for the induction of type 1 diabetes. Aqueous extract of M. oleifera leaf was given orally at a dose of 100 mg/kg to STZ-induced rats and 200 mg/kg in HFD mice for 3 weeks after diabetes induction. Aqueous extract remarkably inhibited the activity of a-amylase and a-glucosidase and it displayed improved antioxidant capacity, glucose tolerance and rate of glucose uptake in yeast cell. In STZ-induced diabetic rats, it produces a maximum fall up to 47.86% in acute effect whereas, in chronic effect, it was 44.5% as compared to control. The fasting blood glucose, lipid profile, liver marker enzyme level were significantly (p &lt; 0.05) restored in both HFD and STZ experimental model. Multivariate principal component analysis on polar and lipophilic metabolites revealed clear distinctions in the metabolite pattern in extract and in blood after its oral administration. Thus, the aqueous extract can be used as phytopharmaceuticals for the management of diabetes by using as adjuvants or alone.","author":[{"dropping-particle":"","family":"Khan","given":"Washim","non-dropping-particle":"","parse-names":false,"suffix":""},{"dropping-particle":"","family":"Parveen","given":"Rabea","non-dropping-particle":"","parse-names":false,"suffix":""},{"dropping-particle":"","family":"Chester","given":"Karishma","non-dropping-particle":"","parse-names":false,"suffix":""},{"dropping-particle":"","family":"Parveen","given":"Shabana","non-dropping-particle":"","parse-names":false,"suffix":""},{"dropping-particle":"","family":"Ahmad","given":"Sayeed","non-dropping-particle":"","parse-names":false,"suffix":""}],"container-title":"Frontiers in Pharmacology","id":"ITEM-2","issued":{"date-parts":[["2017"]]},"title":"Hypoglycemic potential of aqueous extract of Moringa oleifera leaf and in vivo GC-MS metabolomics","type":"article-journal"},"uris":["http://www.mendeley.com/documents/?uuid=c4b4b759-e7d9-4eb3-8441-4b5f9ffb8624"]},{"id":"ITEM-3","itemData":{"DOI":"10.1016/j.foodchem.2011.11.005","ISSN":"18737072","PMID":"26434305","abstract":"Foeniculum vulgare fruits are routinely consumed for their carminative and mouth freshening effect. The plant was evaluated for aldose reductase inhibition and anti-diabetic action. Bioguided fractionation using silica gel column chromatography, HPLC, and GC-MS analysis revealed trans-anethole as the bioactive constituent possessing potent aldose reductase inhibitory action, with an IC50 value of 3.8 μg/ml. Prolonged treatment with the pet ether fraction of the F. vulgare distillate demonstrated improvement in blood glucose, lipid profile, glycated haemoglobin and other parameters in streptozotocin-induced diabetic rats. Trans-anethole could effectively show anti-cataract activity through the increase in soluble lens protein, reduced glutathione, catalase and SOD activity on in vitro incubation of the eye lens with 55 mM glucose. Trans-anethole demonstrated noncompetitive to mixed type of inhibition of lens aldose reductase using Lineweaver Burk plot. © 2011 Elsevier Ltd. All rights reserved.","author":[{"dropping-particle":"","family":"Dongare","given":"Vandana","non-dropping-particle":"","parse-names":false,"suffix":""},{"dropping-particle":"","family":"Kulkarni","given":"Chaitanya","non-dropping-particle":"","parse-names":false,"suffix":""},{"dropping-particle":"","family":"Kondawar","given":"Manish","non-dropping-particle":"","parse-names":false,"suffix":""},{"dropping-particle":"","family":"Magdum","given":"Chandrakant","non-dropping-particle":"","parse-names":false,"suffix":""},{"dropping-particle":"","family":"Haldavnekar","given":"Vivek","non-dropping-particle":"","parse-names":false,"suffix":""},{"dropping-particle":"","family":"Arvindekar","given":"Akalpita","non-dropping-particle":"","parse-names":false,"suffix":""}],"container-title":"Food Chemistry","id":"ITEM-3","issued":{"date-parts":[["2012"]]},"title":"Inhibition of aldose reductase and anti-cataract action of trans-anethole isolated from Foeniculum vulgare Mill. fruits","type":"article-journal"},"uris":["http://www.mendeley.com/documents/?uuid=a07fded3-97ed-41a3-ac29-5bdf9d5239f6"]}],"mendeley":{"formattedCitation":"[20–22]","plainTextFormattedCitation":"[20–22]","previouslyFormattedCitation":"[20–22]"},"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[20–22]</w:t>
      </w:r>
      <w:r w:rsidR="008F4B24">
        <w:rPr>
          <w:rFonts w:ascii="Times New Roman" w:hAnsi="Times New Roman" w:cs="Times New Roman"/>
          <w:color w:val="000000" w:themeColor="text1"/>
          <w:sz w:val="24"/>
          <w:szCs w:val="24"/>
        </w:rPr>
        <w:fldChar w:fldCharType="end"/>
      </w:r>
      <w:r w:rsidR="00F31DA8" w:rsidRPr="004F0A7F">
        <w:rPr>
          <w:rFonts w:ascii="Times New Roman" w:hAnsi="Times New Roman" w:cs="Times New Roman"/>
          <w:color w:val="000000" w:themeColor="text1"/>
          <w:sz w:val="24"/>
          <w:szCs w:val="24"/>
        </w:rPr>
        <w:t>.</w:t>
      </w:r>
    </w:p>
    <w:p w14:paraId="45411F48" w14:textId="2AC6B538" w:rsidR="00F31DA8" w:rsidRPr="004F0A7F" w:rsidRDefault="00F31DA8"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There are different modes of HPLC, including:</w:t>
      </w:r>
    </w:p>
    <w:p w14:paraId="0A41B356" w14:textId="77D361DC" w:rsidR="00F31DA8" w:rsidRPr="004F0A7F" w:rsidRDefault="00F31DA8" w:rsidP="00F31DA8">
      <w:pPr>
        <w:pStyle w:val="ListParagraph"/>
        <w:numPr>
          <w:ilvl w:val="0"/>
          <w:numId w:val="11"/>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Reverse-Phase Chromatography:</w:t>
      </w:r>
      <w:r w:rsidRPr="004F0A7F">
        <w:rPr>
          <w:rFonts w:ascii="Times New Roman" w:hAnsi="Times New Roman" w:cs="Times New Roman"/>
          <w:color w:val="000000" w:themeColor="text1"/>
          <w:sz w:val="24"/>
          <w:szCs w:val="24"/>
        </w:rPr>
        <w:t xml:space="preserve"> The stationary phase is nonpolar, and the mobile phase is a polar solvent. Nonpolar compounds in the sample have stronger interactions with the stationary phase and elute later, while polar compounds elute earlier.</w:t>
      </w:r>
    </w:p>
    <w:p w14:paraId="5E710B1D" w14:textId="5910E0DB" w:rsidR="00F31DA8" w:rsidRPr="004F0A7F" w:rsidRDefault="00F31DA8" w:rsidP="00F31DA8">
      <w:pPr>
        <w:pStyle w:val="ListParagraph"/>
        <w:numPr>
          <w:ilvl w:val="0"/>
          <w:numId w:val="11"/>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Normal-Phase Chromatography:</w:t>
      </w:r>
      <w:r w:rsidRPr="004F0A7F">
        <w:rPr>
          <w:rFonts w:ascii="Times New Roman" w:hAnsi="Times New Roman" w:cs="Times New Roman"/>
          <w:color w:val="000000" w:themeColor="text1"/>
          <w:sz w:val="24"/>
          <w:szCs w:val="24"/>
        </w:rPr>
        <w:t xml:space="preserve"> The stationary phase is polar, and the mobile phase is a nonpolar solvent. Polar compounds in the sample have stronger interactions with the stationary phase and elute later, while nonpolar compounds elute earlier.</w:t>
      </w:r>
    </w:p>
    <w:p w14:paraId="51086621" w14:textId="778F101D" w:rsidR="00F31DA8" w:rsidRPr="004F0A7F" w:rsidRDefault="00F31DA8" w:rsidP="00F31DA8">
      <w:pPr>
        <w:pStyle w:val="ListParagraph"/>
        <w:numPr>
          <w:ilvl w:val="0"/>
          <w:numId w:val="11"/>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Ion-Exchange Chromatography:</w:t>
      </w:r>
      <w:r w:rsidRPr="004F0A7F">
        <w:rPr>
          <w:rFonts w:ascii="Times New Roman" w:hAnsi="Times New Roman" w:cs="Times New Roman"/>
          <w:color w:val="000000" w:themeColor="text1"/>
          <w:sz w:val="24"/>
          <w:szCs w:val="24"/>
        </w:rPr>
        <w:t xml:space="preserve"> The stationary phase contains charged functional groups that interact with charged analytes in the sample. Analytes with opposite charges are retained, while those with similar charges elute earlier.</w:t>
      </w:r>
    </w:p>
    <w:p w14:paraId="02E79D77" w14:textId="466A3194" w:rsidR="00F31DA8" w:rsidRPr="004F0A7F" w:rsidRDefault="00F31DA8" w:rsidP="00F31DA8">
      <w:pPr>
        <w:pStyle w:val="ListParagraph"/>
        <w:numPr>
          <w:ilvl w:val="0"/>
          <w:numId w:val="11"/>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lastRenderedPageBreak/>
        <w:t>Size-Exclusion Chromatography:</w:t>
      </w:r>
      <w:r w:rsidRPr="004F0A7F">
        <w:rPr>
          <w:rFonts w:ascii="Times New Roman" w:hAnsi="Times New Roman" w:cs="Times New Roman"/>
          <w:color w:val="000000" w:themeColor="text1"/>
          <w:sz w:val="24"/>
          <w:szCs w:val="24"/>
        </w:rPr>
        <w:t xml:space="preserve"> The stationary phase contains porous particles that allow separation based on molecular size. Larger molecules are excluded from the pores and elute earlier, while smaller molecules penetrate the pores and elute later.</w:t>
      </w:r>
    </w:p>
    <w:p w14:paraId="682F930C" w14:textId="72FCDD25" w:rsidR="00F31DA8" w:rsidRPr="004F0A7F" w:rsidRDefault="00F31DA8"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During the separation process, the components in the sample are detected by a detector, such as a UV/Vis detector or a mass spectrometer. The detector generates a signal that is recorded as a chromatogram, which represents the intensity of the analyte as a function of time.</w:t>
      </w:r>
    </w:p>
    <w:p w14:paraId="36B22A44" w14:textId="69BCC13C" w:rsidR="00F31DA8" w:rsidRPr="004F0A7F" w:rsidRDefault="00F31DA8"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HPLC is known for its high sensitivity, as it can detect and quantify components in a sample at very low concentrations. It also allows for accurate quantification through the use of calibration curves constructed with standard solutions of known concentrations. HPLC methods can be validated to ensure accuracy, precision, selectivity, and robustness.</w:t>
      </w:r>
    </w:p>
    <w:p w14:paraId="6C0C3A2F" w14:textId="77777777" w:rsidR="00F31DA8" w:rsidRPr="004F0A7F" w:rsidRDefault="00F31DA8"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 advantages of HPLC include its versatility for analyzing a wide range of compounds, its ability to handle complex mixtures, and its high reproducibility. It is widely used for the analysis of pharmaceuticals, natural products, food and beverages, environmental samples, and various other applications requiring separation and quantification of components in a mixture.</w:t>
      </w:r>
    </w:p>
    <w:p w14:paraId="7901139C" w14:textId="2EDEAA4F" w:rsidR="00AD2A56" w:rsidRPr="004F0A7F" w:rsidRDefault="00AD2A56"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Furthermore, there are several other techniques that have been extensively </w:t>
      </w:r>
      <w:r w:rsidR="007C774D" w:rsidRPr="004F0A7F">
        <w:rPr>
          <w:rFonts w:ascii="Times New Roman" w:hAnsi="Times New Roman" w:cs="Times New Roman"/>
          <w:color w:val="000000" w:themeColor="text1"/>
          <w:sz w:val="24"/>
          <w:szCs w:val="24"/>
        </w:rPr>
        <w:t>u</w:t>
      </w:r>
      <w:r w:rsidRPr="004F0A7F">
        <w:rPr>
          <w:rFonts w:ascii="Times New Roman" w:hAnsi="Times New Roman" w:cs="Times New Roman"/>
          <w:color w:val="000000" w:themeColor="text1"/>
          <w:sz w:val="24"/>
          <w:szCs w:val="24"/>
        </w:rPr>
        <w:t>sed for characterization of phytochemicals form plants</w:t>
      </w:r>
      <w:r w:rsidR="007C774D" w:rsidRPr="004F0A7F">
        <w:rPr>
          <w:rFonts w:ascii="Times New Roman" w:hAnsi="Times New Roman" w:cs="Times New Roman"/>
          <w:color w:val="000000" w:themeColor="text1"/>
          <w:sz w:val="24"/>
          <w:szCs w:val="24"/>
        </w:rPr>
        <w:t xml:space="preserve">. These techniques are follows as </w:t>
      </w:r>
    </w:p>
    <w:p w14:paraId="505EDE9E" w14:textId="3D0493F1" w:rsidR="00B469E9" w:rsidRPr="004F0A7F" w:rsidRDefault="00574309" w:rsidP="004F0A7F">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Heavy Metal Analysis</w:t>
      </w:r>
    </w:p>
    <w:p w14:paraId="57463074" w14:textId="30E83F82" w:rsidR="00574309" w:rsidRPr="004F0A7F"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Medicinal plants are often tested for the presence of heavy metals, which can pose health risks if present above permissible limits. Techniques such as atomic absorption spectroscopy (AAS) or inductively coupled plasma mass spectrometry (ICP-MS) are commonly employed for heavy metal analysis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{"citationItems":[{"id":"ITEM-1","itemData":{"DOI":"10.5530/ctbp.2022.3s.57","ISSN":"22307303","abstract":"Herbs are rich source of secondary metabolites that have been found to have medicinal properties. The present study was conducted to evaluate the phytochemical and heavy metal analysis whole plant of Erygium foetidium Linn. The obtained results revealed that Petroleum ether and Chloroform extract contains less phytochemical constituents when compared with, Ethyl acetate and Ethanolic extracts in maximum quantity. The Heavy metals anlaysis for powder were determined by atomic absorption spectroscopy method (AAS). The results showed doesn’t contains high toxic levels of heavy metals; (Arsenic-0.022 mg/L; below the detectable level, Chromium 0.005 mg/L; and Lead 0.006 mg/L below the detectable level).","author":[{"dropping-particle":"","family":"Basha","given":"Shaik Chand","non-dropping-particle":"","parse-names":false,"suffix":""},{"dropping-particle":"","family":"Alagusundaram","given":"M.","non-dropping-particle":"","parse-names":false,"suffix":""}],"container-title":"Current Trends in Biotechnology and Pharmacy","id":"ITEM-1","issued":{"date-parts":[["2022"]]},"title":"Phytochemical investigation and heavy metal analysis of a miracle plant Eryngium foetidum Linn.","type":"article-journal"},"uris":["http://www.mendeley.com/documents/?uuid=f940fbf4-930a-499f-8510-7dd5c3d8c4ff","http://www.mendeley.com/documents/?uuid=cf11224d-797f-4bc3-a893-dbf9b5f4e91a"]},{"id":"ITEM-2","itemData":{"DOI":"10.3389/fenvs.2020.603668","ISSN":"2296665X","abstract":"Plant endophytic bacteria have received special attention in recent decades for their ability to improve plant response to multiple stresses. A positive effect of endophytes on plant’s ability to cope with drought, salinity, nitrogen deficiency, and pathogens have already been demonstrated in numerous studies, and recently this evidence was consolidated in a meta-analysis of published data. Endophytic bacteria have also been implicated in increasing resistance to heavy metals in plants; despite the important biotechnological applications of such effect in heavy metal bioremediation and agriculture, efforts to systematically analyze studies in this field have been limited. In this study, we address this task with the objective of establishing whether the findings made for other types of stresses extend to the response to heavy metals. Specifically, we seek to establish if plant inoculation with plant-growth promoting endophytic bacteria have an impact on their tolerance to heavy metal stress? We carried out a meta-analysis of the effect size of inoculation with endophytic bacteria on the host plant biomass in response to heavy metal stress (aluminum, arsenic, cadmium, copper, chromium, manganese, nickel, lead, and zinc), which included 27 (from 76 published in the last 10 years) studies under controlled conditions that evaluated 19 host plants and 20 bacterial genera. Our results suggest that endophytic bacteria increase the biomass production of host plants subjected to different heavy metals, indicating their effectiveness in protecting plants from a wide range of metal toxicities. Stress mitigation by the bacteria was similar among the different plant groups with the exception of non-accumulating plants that benefit most from the symbiotic association. Host identity and heavy metal concentration seem to influence the effect of the bacteria. Our analysis revealed that bacterial consortia provide the greatest benefit although the most common biotechnological applications are not directed towards them, and support the value of endophytic bacteria as an alternative to mitigate heavy metal stress in a wide variety of hosts.","author":[{"dropping-particle":"","family":"Franco-Franklin","given":"Valeria","non-dropping-particle":"","parse-names":false,"suffix":""},{"dropping-particle":"","family":"Moreno-Riascos","given":"Sandra","non-dropping-particle":"","parse-names":false,"suffix":""},{"dropping-particle":"","family":"Ghneim-Herrera","given":"Thaura","non-dropping-particle":"","parse-names":false,"suffix":""}],"container-title":"Frontiers in Environmental Science","id":"ITEM-2","issued":{"date-parts":[["2021"]]},"title":"Are Endophytic Bacteria an Option for Increasing Heavy Metal Tolerance of Plants? A Meta-Analysis of the Effect Size","type":"article-journal"},"uris":["http://www.mendeley.com/documents/?uuid=639efb7e-d41d-4ae7-9c68-b8269c569f52","http://www.mendeley.com/documents/?uuid=d9aafae3-9bb3-4dd7-b0ca-c6d19d11d8f7"]}],"mendeley":{"formattedCitation":"[23,24]","plainTextFormattedCitation":"[23,24]","previouslyFormattedCitation":"[23,24]"},"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[23,24]</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36685ACF" w14:textId="35DC2B07" w:rsidR="00B469E9" w:rsidRPr="004F0A7F" w:rsidRDefault="00B50B8E" w:rsidP="004F0A7F">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Infrared Spectroscopy (IR)</w:t>
      </w:r>
    </w:p>
    <w:p w14:paraId="052C5D04" w14:textId="597429A5"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Infrared spectroscopy involves the measurement of the absorption, reflection, or transmission of infrared radiation by molecules. It provides information about the functional groups present in medicinal plant compounds. Different regions of the infrared spectrum correspond to specific vibrational frequencies of chemical bonds, allowing for the identification of characteristic functional groups such as carbonyl, hydroxyl, or amino groups. IR spectroscopy is valuable for the structural elucidation and identification of compounds in medicinal plants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{"citationItems":[{"id":"ITEM-1","itemData":{"DOI":"10.31838/ijpr/2020.SP2.169","ISSN":"09752366","abstract":"New topical pharmaceutical options are critically needed to obviate fungal infections. Luliconazole is a potent antifungal drug for the treatment of fungal infection. Due to bioavailability barriers of luliconazole, the current study is associated to develop an optimized topical luliconazole solid lipid nanoparticles (SLN) gel formulation against tropical fungal infection with prolonged therapeutic potential. Luliconazole loaded SLN were prepared through the solvent diffusion method using stearic acid &amp; poloxamer 188 and optimized as per their entrapment efficacy. Thereafter, the optimized SLN wes subjected to physicochemical evaluation, followed by the preparation of different gel formulation. The physicochemical parameters of the optimized gel formulation (G3) were evaluated. Further anti-fungal activity of the G3 was determined against the growth of Candida albicans by TLC-Bioautography assay. The results reveal that SLN F6 shows a significant entrapment with 92.13%±0.975 entrapment efficacy. In particle size, size distribution and zeta potential analysis, SLN exhibit a mean particle diameter of ~344.3 nm, PDI of 0.168, intercept value 0.98 and zeta potential ~18.8 mV. The G3 shows a higher entrapment with 91.39%±0.187 entrapment efficacy and in-vitro drug release profile of the G3 with 1.5 % carbopol 934 w/v shown a sustained release profile with 79.57%±0.213 desolvation rate even after 24 hrs. The anti-fungal activity of SLN G3 gel showed a strong zone of inhibition of the growth of C. albicans. Hence, the study concludes that luliconazole loaded SLN G3 gel formulation containing 1.5% w/v carbopol 934 is suitable for topical application and having strong anti-fungal activity.","author":[{"dropping-particle":"","family":"Kumar","given":"Vijay","non-dropping-particle":"","parse-names":false,"suffix":""},{"dropping-particle":"","family":"Ain","given":"Shabnam","non-dropping-particle":"","parse-names":false,"suffix":""},{"dropping-particle":"","family":"Kumar","given":"Babita","non-dropping-particle":"","parse-names":false,"suffix":""},{"dropping-particle":"","family":"Ain","given":"Qurratul","non-dropping-particle":"","parse-names":false,"suffix":""},{"dropping-particle":"","family":"Gaurav","given":"","non-dropping-particle":"","parse-names":false,"suffix":""}],"container-title":"International Journal of Pharmaceutical Research","id":"ITEM-1","issued":{"date-parts":[["2020"]]},"title":"Optimization and evaluation of topical gel containing solid lipid nanoparticles loaded with luliconazole and its anti-fungal activity","type":"article-journal"},"uris":["http://www.mendeley.com/documents/?uuid=80cae69a-22a0-47f5-ab90-611bb9ea504c"]}],"mendeley":{"formattedCitation":"[25]","plainTextFormattedCitation":"[25]","previouslyFormattedCitation":"[25]"},"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[25]</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021BF88B" w14:textId="2B53BE62" w:rsidR="00B469E9" w:rsidRPr="004F0A7F" w:rsidRDefault="00B50B8E" w:rsidP="004F0A7F">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lastRenderedPageBreak/>
        <w:t>Nuclear Magnetic Resonance (NMR)</w:t>
      </w:r>
    </w:p>
    <w:p w14:paraId="1DA847AB" w14:textId="1EA75990"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NMR spectroscopy is a powerful technique used to study the structure and dynamics of molecules. It relies on the interaction of atomic nuclei with a strong magnetic field and radiofrequency pulses. By measuring the chemical shifts and coupling patterns of nuclei, NMR provides information about the connectivity, stereochemistry, and conformation of compounds. Proton NMR (^1H-NMR) is commonly used to analyze medicinal plants and can identify specific compounds or chemical markers. Carbon-13 NMR (^13C-NMR) provides further structural information about the carbon atoms in a molecule</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10.4103/pm.pm_500_20","ISSN":"0973-1296","author":[{"dropping-particle":"","family":"Ekbbal","given":"Rustam","non-dropping-particle":"","parse-names":false,"suffix":""},{"dropping-particle":"","family":"Iqubal","given":"Ashif","non-dropping-particle":"","parse-names":false,"suffix":""},{"dropping-particle":"","family":"Ansari","given":"MohdAsif","non-dropping-particle":"","parse-names":false,"suffix":""},{"dropping-particle":"","family":"Ahmad","given":"Sayeed","non-dropping-particle":"","parse-names":false,"suffix":""},{"dropping-particle":"","family":"Haque","given":"SyedEhtaishamul","non-dropping-particle":"","parse-names":false,"suffix":""}],"container-title":"Pharmacognosy Magazine","id":"ITEM-1","issued":{"date-parts":[["2022"]]},"title":"Evaluation of cardioprotective potential of isolated swerchirin against the isoproterenol-induced cardiotoxicity in wistar albino rats","type":"article-journal"},"uris":["http://www.mendeley.com/documents/?uuid=f178523e-b076-4b62-bc45-359096d73e2e"]}],"mendeley":{"formattedCitation":"[26]","plainTextFormattedCitation":"[26]","previouslyFormattedCitation":"[26]"},"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[26]</w:t>
      </w:r>
      <w:r w:rsidR="008F4B24">
        <w:rPr>
          <w:rFonts w:ascii="Times New Roman" w:hAnsi="Times New Roman" w:cs="Times New Roman"/>
          <w:color w:val="000000" w:themeColor="text1"/>
          <w:sz w:val="24"/>
          <w:szCs w:val="24"/>
        </w:rPr>
        <w:fldChar w:fldCharType="end"/>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{"citationItems":[{"id":"ITEM-1","itemData":{"DOI":"10.4103/2229-4708.72222","ISSN":"2229-4708","abstract":"The hyphenated technique is developed from the coupling of a separation technique and an on-line spectroscopic detection technology. The remarkable improvements in hyphenated analytical methods over the last two decades have significantly broadened their applications in the analysis of biomaterials, especially natural products. In this article, recent advances in the applications of various hyphenated techniques, e.g., GC-MS, LC-MS, LC-FTIR, LC-NMR, CE-MS, etc. in the context of pre-isolation analyses of crude extracts or fraction from various natural sources, isolation and on-line detection of natural products, chemotaxonomic studies, chemical fingerprinting, quality control of herbal products, dereplication of natural products, and metabolomic studies are discussed with appropriate examples.","author":[{"dropping-particle":"","family":"Patel","given":"KalpeshN","non-dropping-particle":"","parse-names":false,"suffix":""},{"dropping-particle":"","family":"Patel","given":"JayvadanK","non-dropping-particle":"","parse-names":false,"suffix":""},{"dropping-particle":"","family":"Patel","given":"ManishP","non-dropping-particle":"","parse-names":false,"suffix":""},{"dropping-particle":"","family":"Rajput","given":"GaneshC","non-dropping-particle":"","parse-names":false,"suffix":""},{"dropping-particle":"","family":"Patel","given":"HiteshA","non-dropping-particle":"","parse-names":false,"suffix":""}],"container-title":"Pharmaceutical Methods","id":"ITEM-1","issued":{"date-parts":[["2010"]]},"title":"Introduction to hyphenated techniques and their applications in pharmacy","type":"article-journal"},"uris":["http://www.mendeley.com/documents/?uuid=9faccfcb-1249-4888-8f75-7fc38d9b2988"]}],"mendeley":{"formattedCitation":"[27]","plainTextFormattedCitation":"[27]","previouslyFormattedCitation":"[27]"},"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[27]</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64D878C5" w14:textId="5DE7F2C3" w:rsidR="00B469E9" w:rsidRPr="004F0A7F" w:rsidRDefault="00B50B8E" w:rsidP="004F0A7F">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Mass Spectrometry (MS)</w:t>
      </w:r>
    </w:p>
    <w:p w14:paraId="35236CD0" w14:textId="0B56E5D7" w:rsidR="00B50B8E" w:rsidRPr="004F0A7F"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Mass spectrometry is a technique that ionizes molecules and measures their mass-to-charge ratio. It helps determine the molecular weight, fragmentation pattern, and elemental composition of compounds in medicinal plants. Mass spectrometry can be coupled with various ionization techniques, such as electrospray ionization (ESI) or matrix-assisted laser desorption/ionization (MALDI), to generate ions that are detected and analyzed. MS analysis can identify known compounds based on their mass spectra and can also aid in the discovery of new or unknown compounds.</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These spectroscopic techniques provide complementary information for the structural elucidation and identification of compounds in medicinal plants. They enable researchers to determine the chemical composition, functional groups, connectivity, and stereochemistry of the compounds present. By comparing the spectral data obtained from these techniques with reference standards or spectral databases, specific compounds can be identified or confirmed in medicinal plant extracts or isolated fractions</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mendeley":{"formattedCitation":"[2]","plainTextFormattedCitation":"[2]","previouslyFormattedCitation":"[2]"},"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[2]</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654BABA1" w14:textId="3C396BFA" w:rsidR="00B50B8E" w:rsidRDefault="00B50B8E"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Furthermore, spectroscopic techniques can assist in the quality control and standardization of medicinal plants by quantifying the concentrations of active compounds and detecting the presence of any impurities or contaminants. They are indispensable tools in the analysis of complex mixtures and contribute to the understanding of the chemical constituents responsible for the therapeutic properties of medicinal plants.</w:t>
      </w:r>
    </w:p>
    <w:p w14:paraId="01F02181" w14:textId="5D029A1F" w:rsidR="00FF7432" w:rsidRPr="004F0A7F" w:rsidRDefault="00FF7432" w:rsidP="00DA4AA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several other approaches also that paly a significant role in quality evaluation of medicinal plants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{"citationItems":[{"id":"ITEM-1","itemData":{"DOI":"10.1063/5.0100675","ISBN":"9780735443785","ISSN":"15517616","abstract":"Food waste refers to wasted food nutrients of high quality intended for human consumption and it usually has a high nutritional value. As a result of the lower cost of food waste compared to conventional feeds, manufacturing expenses might be reduced. This present study is aimed to evaluate the potential of plant-based food waste such as soybean waste, pineapple waste, and coconut waste to be developed as animal feed. In this study, there were two main analyses conducted which are physicochemical and microbial analysis of the plant-based food waste. The physicochemical analysis conducted was total yield recovery, particle size, and moisture content followed by proximate quantification of fat, protein, crude fiber, and ash. For the microbial analysis, pH, Total Titratable Acidity, and Total Plate Count analysis were conducted. From the results, it was shown that coconut waste gave the highest reading of the total yield recovery which was 43.60%, followed by soybean waste 27.58% and pineapple waste 22.91%. For the particle size determination, it was revealed that all the samples size ranges from 600 μm – 850 μm. Moreover, it was found that all samples have a good moisture content below 10% which was suitable to be used as animal feed. Besides, it was revealed that coconut waste gave the highest fat content (39.17±0.58%) while soybean waste has the highest protein (7.27±0.67%) and fiber content (101.17±0.1%). For the microbial analysis, the soybean waste (soy dreg) was found to have the lowest pH (4.4±0.10) and highest Total Titratable Acidity (TTA) value (14.25±0.69). Meanwhile, for the Total Plate Count (TPC) analysis, it was revealed that the soybean waste has the least growth of the bacterial colony. From the findings, it was shown that the soybean waste has the potential to be used or formulated as animal feed to support the sustainable food waste management system in Malaysia.","author":[{"dropping-particle":"","family":"Wahab","given":"Nordalilah","non-dropping-particle":"","parse-names":false,"suffix":""},{"dropping-particle":"","family":"Hassan","given":"Husna Hawa Mohd","non-dropping-particle":"","parse-names":false,"suffix":""},{"dropping-particle":"","family":"Yusuf","given":"Wan Nur Suzilla Wan","non-dropping-particle":"","parse-names":false,"suffix":""},{"dropping-particle":"","family":"Jahwi","given":"Rabiatul Alawiyah","non-dropping-particle":"","parse-names":false,"suffix":""},{"dropping-particle":"","family":"Kasim","given":"Mohd Mukriz Mohd","non-dropping-particle":"","parse-names":false,"suffix":""},{"dropping-particle":"","family":"Rashid","given":"Mohd Ridzuan Abdul","non-dropping-particle":"","parse-names":false,"suffix":""}],"container-title":"AIP Conference Proceedings","id":"ITEM-1","issued":{"date-parts":[["2022"]]},"title":"Physicochemical and Microbial Analysis of Plant-Based Food Waste for Potential Used as an Animal Feed","type":"paper-conference"},"uris":["http://www.mendeley.com/documents/?uuid=ab9a467f-2b10-42ca-b280-2bab6e64d20b","http://www.mendeley.com/documents/?uuid=820c4334-5d8b-492d-a306-5ab13f7af333"]},{"id":"ITEM-2","itemData":{"DOI":"10.1016/j.isci.2022.104523","ISSN":"25890042","abstract":"Soil microbes play a central role in ecosystem element cycling. Yet a central question in microbial ecology remains unanswered: to what extent does the taxonomic composition of soil microbial communities mediate biogeochemical process rates? In this quantitative review, we explore the mechanisms that lead to variation in the strength of microbial community structure-function relationships over space and time. To evaluate these mechanisms, we conduct a meta-analysis of studies that have monitored the decomposition of sterilized plant litter inoculated with different microbial assemblages. We find that the influence of microbial community composition on litter decay is pervasive and strong, rivalling in magnitude the influence of litter chemistry on decomposition. However, no single environmental or experimental attribute was correlated with variation in the inoculum effect. These results emphasize the need to better understand ecological dynamics within microbial communities, particularly emergent features such as cross-feeding networks, to improve predictions of soil biogeochemical function.","author":[{"dropping-particle":"","family":"Waring","given":"Bonnie","non-dropping-particle":"","parse-names":false,"suffix":""},{"dropping-particle":"","family":"Gee","given":"Anna","non-dropping-particle":"","parse-names":false,"suffix":""},{"dropping-particle":"","family":"Liang","given":"Guopeng","non-dropping-particle":"","parse-names":false,"suffix":""},{"dropping-particle":"","family":"Adkins","given":"Savannah","non-dropping-particle":"","parse-names":false,"suffix":""}],"container-title":"iScience","id":"ITEM-2","issued":{"date-parts":[["2022"]]},"title":"A quantitative analysis of microbial community structure-function relationships in plant litter decay","type":"article"},"uris":["http://www.mendeley.com/documents/?uuid=0d89f94f-078e-45c1-8adc-bbe320063824","http://www.mendeley.com/documents/?uuid=efc14656-5532-4f9c-96fe-9b91e687b5ec"]}],"mendeley":{"formattedCitation":"[28,29]","plainTextFormattedCitation":"[28,29]","previouslyFormattedCitation":"[28,29]"},"prope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FF7432">
        <w:rPr>
          <w:rFonts w:ascii="Times New Roman" w:hAnsi="Times New Roman" w:cs="Times New Roman"/>
          <w:noProof/>
          <w:color w:val="000000" w:themeColor="text1"/>
          <w:sz w:val="24"/>
          <w:szCs w:val="24"/>
        </w:rPr>
        <w:t>[28,29]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The approaches are descried as </w:t>
      </w:r>
    </w:p>
    <w:p w14:paraId="1A0B52DB" w14:textId="4D73144D" w:rsidR="00574309" w:rsidRPr="004F0A7F" w:rsidRDefault="00574309"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Microbiological Analysis:</w:t>
      </w:r>
      <w:r w:rsidRPr="004F0A7F">
        <w:rPr>
          <w:rFonts w:ascii="Times New Roman" w:hAnsi="Times New Roman" w:cs="Times New Roman"/>
          <w:color w:val="000000" w:themeColor="text1"/>
          <w:sz w:val="24"/>
          <w:szCs w:val="24"/>
        </w:rPr>
        <w:t xml:space="preserve"> Microbial contamination is a concern for medicinal plant products. Microbiological analysis involves testing for the presence of microorganisms </w:t>
      </w:r>
      <w:r w:rsidRPr="004F0A7F">
        <w:rPr>
          <w:rFonts w:ascii="Times New Roman" w:hAnsi="Times New Roman" w:cs="Times New Roman"/>
          <w:color w:val="000000" w:themeColor="text1"/>
          <w:sz w:val="24"/>
          <w:szCs w:val="24"/>
        </w:rPr>
        <w:lastRenderedPageBreak/>
        <w:t>such as bacteria, fungi, and yeast, which can cause spoilage or contamination. Techniques like microbial culture, colony counting, and identification methods are used for microbiological evaluation.</w:t>
      </w:r>
    </w:p>
    <w:p w14:paraId="3B1BA2EA" w14:textId="68970DF5" w:rsidR="00574309" w:rsidRPr="004F0A7F" w:rsidRDefault="00574309"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Pesticide Residue Analysis:</w:t>
      </w:r>
      <w:r w:rsidRPr="004F0A7F">
        <w:rPr>
          <w:rFonts w:ascii="Times New Roman" w:hAnsi="Times New Roman" w:cs="Times New Roman"/>
          <w:color w:val="000000" w:themeColor="text1"/>
          <w:sz w:val="24"/>
          <w:szCs w:val="24"/>
        </w:rPr>
        <w:t xml:space="preserve"> Medicinal plants may be tested for pesticide residues to ensure compliance with safety standards. Analytical techniques like gas chromatography (GC) or liquid chromatography (LC) coupled with mass spectrometry (MS) are commonly employed for pesticide residue analysis</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{"citationItems":[{"id":"ITEM-1","itemData":{"DOI":"10.4103/jpbs.JPBS_46_19","ISSN":"09757406","abstract":"Objective: The main objective of the current study was to perform pharmacognostical, physiochemical analysis and in vitro antioxidant activity of Tamarindus indica Linn. (Family: Fabaceae) fruit. Materials and Methods: The present study deals with pharmacognostical characters as identification parameters of the fruit, which were subjected to macro- and microscopical studies. Physiochemical analysis was performed as per World Health Organization-recommended parameters. Toxicological parameters such as heavy metals, aflatoxins, and pesticide residue and presence of microbial count were analyzed. This study also deals with the thin layer chromatography/high performance thin layer chromatography fingerprinting and antioxidant activity. Results: The microscopy study revealed the presence of epidermis, vascular bundles, parenchyma cells, mucilage fiber, starch grain, and nonlignified fibers. Physiochemical parameters such as loss on drying, moisture content, ash value, and extractive value were also determined. Heavy metal, aflatoxin, total microbial load, and pesticide residues were found to be variable but under the permissible limits. Conclusion: It is critical to analyze these parameters in each crude herbal drug before further processing to ensure their safety and efficacy for better approval at the international podium. This study revealed precise identification for the meticulous crude drug which will be valuable in detection and manage to adulterations of the raw material.","author":[{"dropping-particle":"","family":"Amir","given":"Mohd","non-dropping-particle":"","parse-names":false,"suffix":""},{"dropping-particle":"","family":"Ahmad","given":"Niyaz","non-dropping-particle":"","parse-names":false,"suffix":""},{"dropping-particle":"","family":"Sarfaroz","given":"Md","non-dropping-particle":"","parse-names":false,"suffix":""},{"dropping-particle":"","family":"Ahmad","given":"Wasim","non-dropping-particle":"","parse-names":false,"suffix":""},{"dropping-particle":"","family":"Ahmad","given":"Sayeed","non-dropping-particle":"","parse-names":false,"suffix":""},{"dropping-particle":"","family":"Mujeeb","given":"Mohd","non-dropping-particle":"","parse-names":false,"suffix":""},{"dropping-particle":"","family":"Pottoo","given":"Faheem","non-dropping-particle":"","parse-names":false,"suffix":""}],"container-title":"Journal of Pharmacy and Bioallied Sciences","id":"ITEM-1","issued":{"date-parts":[["2019"]]},"title":"Tamarindus indica fruit: Pharmacognostical standardization, detection of contaminant, and in vitro antioxidant activity","type":"article-journal"},"uris":["http://www.mendeley.com/documents/?uuid=7a6700a5-0ca7-47b3-8a3d-490171cfaf4e"]}],"mendeley":{"formattedCitation":"[30]","plainTextFormattedCitation":"[30]","previouslyFormattedCitation":"[30]"},"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[30]</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08B1C136" w14:textId="362CD26B" w:rsidR="00574309" w:rsidRPr="004F0A7F" w:rsidRDefault="00574309"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Stability Testing:</w:t>
      </w:r>
      <w:r w:rsidRPr="004F0A7F">
        <w:rPr>
          <w:rFonts w:ascii="Times New Roman" w:hAnsi="Times New Roman" w:cs="Times New Roman"/>
          <w:color w:val="000000" w:themeColor="text1"/>
          <w:sz w:val="24"/>
          <w:szCs w:val="24"/>
        </w:rPr>
        <w:t xml:space="preserve"> Stability studies are conducted to assess the shelf life and storage conditions of medicinal plant products. These studies involve subjecting the products to various environmental conditions (temperature, humidity, light) over a specified period to evaluate changes in quality, potency, and degradation</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{"citationItems":[{"id":"ITEM-1","itemData":{"DOI":"10.1080/07391102.2020.1787226","ISSN":"15380254","PMID":"32627715","abstract":"In the present study, we explored phytochemical constituents of Tinospora cordifolia in terms of its binding affinity targeting the active site pocket of the main protease (3CL pro) of SARS-CoV-2 using molecular docking study and assessed the stability of top docking complex of tinosponone and 3CL pro using molecular dynamics simulations with GROMACS 2020.2 version. Out of 11 curated screened compounds, we found the significant docking score for tinosponone, xanosporic acid, cardiofolioside B, tembetarine and berberine in Tinospora cordifolia. Based on the findings of the docking study, it was confirmed that tinosponone is the potent inhibitor of main protease of SARS-CoV-2 with the best binding affinity of −7.7 kcal/mol. Further, ADME along with toxicity analysis was studied to predict the pharmacokinetics and drug-likeness properties of five top hits compounds. The molecular dynamics simulation analysis confirmed the stability of tinosponone and 3CL pro complex with a random mean square deviation (RMSD) value of 0.1 nm. The computer-aided drug design approach proved that the compound tinosponone from T. cordifolia is a potent inhibitor of 3CL main protease of SARS-CoV-2. Further, the in vitro and in vivo-based testing will be required to confirm its inhibitory effect on SARS-CoV-2. Communicated by Ramaswamy H. Sarma.","author":[{"dropping-particle":"","family":"Krupanidhi","given":"S.","non-dropping-particle":"","parse-names":false,"suffix":""},{"dropping-particle":"","family":"Abraham Peele","given":"K.","non-dropping-particle":"","parse-names":false,"suffix":""},{"dropping-particle":"","family":"Venkateswarulu","given":"T. C.","non-dropping-particle":"","parse-names":false,"suffix":""},{"dropping-particle":"","family":"Ayyagari","given":"Vijaya Sai","non-dropping-particle":"","parse-names":false,"suffix":""},{"dropping-particle":"","family":"Nazneen Bobby","given":"Md","non-dropping-particle":"","parse-names":false,"suffix":""},{"dropping-particle":"","family":"John Babu","given":"D.","non-dropping-particle":"","parse-names":false,"suffix":""},{"dropping-particle":"","family":"Venkata Narayana","given":"A.","non-dropping-particle":"","parse-names":false,"suffix":""},{"dropping-particle":"","family":"Aishwarya","given":"G.","non-dropping-particle":"","parse-names":false,"suffix":""}],"container-title":"Journal of Biomolecular Structure and Dynamics","id":"ITEM-1","issued":{"date-parts":[["2020"]]},"title":"Screening of phytochemical compounds of Tinospora cordifolia for their inhibitory activity on SARS-CoV-2: an in silico study","type":"article-journal"},"uris":["http://www.mendeley.com/documents/?uuid=e069fc9b-93c9-4d06-8fc6-d2ac306fc818"]}],"mendeley":{"formattedCitation":"[31]","plainTextFormattedCitation":"[31]","previouslyFormattedCitation":"[31]"},"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[31]</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1768BFE6" w14:textId="2A0B40F1" w:rsidR="00574309" w:rsidRPr="004F0A7F" w:rsidRDefault="00574309"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DNA Barcoding:</w:t>
      </w:r>
      <w:r w:rsidRPr="004F0A7F">
        <w:rPr>
          <w:rFonts w:ascii="Times New Roman" w:hAnsi="Times New Roman" w:cs="Times New Roman"/>
          <w:color w:val="000000" w:themeColor="text1"/>
          <w:sz w:val="24"/>
          <w:szCs w:val="24"/>
        </w:rPr>
        <w:t xml:space="preserve"> DNA barcoding is a molecular technique used to identify and authenticate medicinal plants. It involves sequencing specific regions of the plant's DNA and comparing them with a reference database to confirm the plant's identity and detect any potential adulteration or substitution</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{"citationItems":[{"id":"ITEM-1","itemData":{"DOI":"10.1016/j.jpba.2015.06.024","ISSN":"1873264X","abstract":"Focus of the study is to identify a safe alternate to Hormone Replacement Therapy by identifying the presence of β-sitosterol and stigmasterol in the hydroalcoholic extract of Bambusa bambos using HPTLC and RP-HPLC-PDA; by evaluating the estrogenic effects of extract containing β-sitosterol and stigmasterol on the growth of MCF-7 cells in vitro. Plant material was identified by DNA sequencing analysis. Presence of β-sitosterol and stigmasterol was confirmed by HPTLC and direct RP-HPLC-PDA. Peaks with retention time about 19.13 and 21.16. min were found to be stigmasterol and β-sitosterol in extract. Extract was not cytotoxic to MCF-7 cells in any of the dilutions. It induced cell proliferation and all the dilutions except &lt;500. μg/ml have significantly increased cell multiplication. 15.6, 31.2, 62.5 and 125. μg/ml of HEBB have shown influence on the proliferation rates similar to the standard 17β-estradiol. The results suggest that HEBB might be used as a safe alternative to estrogen replacement therapies.","author":[{"dropping-particle":"","family":"Sriraman","given":"Sandhiya","non-dropping-particle":"","parse-names":false,"suffix":""},{"dropping-particle":"","family":"Ramanujam","given":"Ganesh Munuswamy","non-dropping-particle":"","parse-names":false,"suffix":""},{"dropping-particle":"","family":"Ramasamy","given":"Mohan Kumar","non-dropping-particle":"","parse-names":false,"suffix":""},{"dropping-particle":"","family":"Dubey","given":"Govind Prasad","non-dropping-particle":"","parse-names":false,"suffix":""}],"container-title":"Journal of Pharmaceutical and Biomedical Analysis","id":"ITEM-1","issued":{"date-parts":[["2015"]]},"title":"Identification of beta-sitosterol and stigmasterol in Bambusa bambos (L.) Voss leaf extract using HPLC and its estrogenic effect in vitro","type":"article-journal"},"uris":["http://www.mendeley.com/documents/?uuid=770ea836-ff50-426e-8d24-443a4f1827c2"]}],"mendeley":{"formattedCitation":"[32]","plainTextFormattedCitation":"[32]","previouslyFormattedCitation":"[32]"},"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[32]</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366E5111" w14:textId="317EFB50" w:rsidR="00574309" w:rsidRPr="004F0A7F" w:rsidRDefault="00574309"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Bioassays:</w:t>
      </w:r>
      <w:r w:rsidRPr="004F0A7F">
        <w:rPr>
          <w:rFonts w:ascii="Times New Roman" w:hAnsi="Times New Roman" w:cs="Times New Roman"/>
          <w:color w:val="000000" w:themeColor="text1"/>
          <w:sz w:val="24"/>
          <w:szCs w:val="24"/>
        </w:rPr>
        <w:t xml:space="preserve"> Bioassays are biological tests conducted to evaluate the biological activity and potency of medicinal plants. These tests can involve assessing antimicrobial activity, antioxidant activity, anti-inflammatory properties, or other specific therapeutic effects. Bioassays help determine the quality and efficacy of medicinal plant extracts or preparations</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mendeley":{"formattedCitation":"[15]","plainTextFormattedCitation":"[15]","previouslyFormattedCitation":"[15]"},"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[15]</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535CD2D8" w14:textId="2D7AA15C" w:rsidR="00574309" w:rsidRPr="004F0A7F" w:rsidRDefault="00574309"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Residual Solvent Analysis:</w:t>
      </w:r>
      <w:r w:rsidRPr="004F0A7F">
        <w:rPr>
          <w:rFonts w:ascii="Times New Roman" w:hAnsi="Times New Roman" w:cs="Times New Roman"/>
          <w:color w:val="000000" w:themeColor="text1"/>
          <w:sz w:val="24"/>
          <w:szCs w:val="24"/>
        </w:rPr>
        <w:t xml:space="preserve"> Medicinal plant extracts are often prepared using solvents. Residual solvent analysis involves testing for the presence of residual solvents in the final product. Gas chromatography (GC) or other analytical techniques are used to ensure that the levels of residual solvents are within acceptable limits, as per regulatory guidelines</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9E57EB">
        <w:rPr>
          <w:rFonts w:ascii="Times New Roman" w:hAnsi="Times New Roman" w:cs="Times New Roman"/>
          <w:color w:val="000000" w:themeColor="text1"/>
          <w:sz w:val="24"/>
          <w:szCs w:val="24"/>
        </w:rPr>
        <w:instrText>ADDIN CSL_CITATION {"citationItems":[{"id":"ITEM-1","itemData":{"DOI":"10.4103/pm.pm_582_21","author":[{"dropping-particle":"","family":"Gaurav","given":"","non-dropping-particle":"","parse-names":false,"suffix":""}],"container-title":"Pharmacognosy Magazine","id":"ITEM-1","issue":"79","issued":{"date-parts":[["2022"]]},"page":"548-558","title":"GC–MS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mendeley":{"formattedCitation":"[1]","plainTextFormattedCitation":"[1]","previouslyFormattedCitation":"[1]"},"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[1]</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5AB53761" w14:textId="38303F8A" w:rsidR="00574309" w:rsidRPr="004F0A7F" w:rsidRDefault="00574309"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Foreign Matter Analysis:</w:t>
      </w:r>
      <w:r w:rsidRPr="004F0A7F">
        <w:rPr>
          <w:rFonts w:ascii="Times New Roman" w:hAnsi="Times New Roman" w:cs="Times New Roman"/>
          <w:color w:val="000000" w:themeColor="text1"/>
          <w:sz w:val="24"/>
          <w:szCs w:val="24"/>
        </w:rPr>
        <w:t xml:space="preserve"> Medicinal plant materials should be free from any extraneous matter or contaminants. Foreign matter analysis involves the visual inspection and microscopic examination of the plant material to detect the presence of any foreign particles, such as soil, insects, or other plant parts.</w:t>
      </w:r>
    </w:p>
    <w:p w14:paraId="0EC62062" w14:textId="2E0252D9" w:rsidR="00574309" w:rsidRPr="004F0A7F" w:rsidRDefault="00574309"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Allergen Testing:</w:t>
      </w:r>
      <w:r w:rsidRPr="004F0A7F">
        <w:rPr>
          <w:rFonts w:ascii="Times New Roman" w:hAnsi="Times New Roman" w:cs="Times New Roman"/>
          <w:color w:val="000000" w:themeColor="text1"/>
          <w:sz w:val="24"/>
          <w:szCs w:val="24"/>
        </w:rPr>
        <w:t xml:space="preserve"> Some medicinal plants may contain allergenic compounds that can trigger allergic reactions in sensitive individuals. Allergen testing involves screening for </w:t>
      </w:r>
      <w:r w:rsidRPr="004F0A7F">
        <w:rPr>
          <w:rFonts w:ascii="Times New Roman" w:hAnsi="Times New Roman" w:cs="Times New Roman"/>
          <w:color w:val="000000" w:themeColor="text1"/>
          <w:sz w:val="24"/>
          <w:szCs w:val="24"/>
        </w:rPr>
        <w:lastRenderedPageBreak/>
        <w:t>specific allergens associated with the plant material, ensuring that the product is safe for consumption or use by individuals with known allergies.</w:t>
      </w:r>
    </w:p>
    <w:p w14:paraId="09F247F3" w14:textId="350BBDBE" w:rsidR="00574309" w:rsidRDefault="00574309"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These quality control techniques collectively help ensure the safety, efficacy, and consistency of medicinal plants and their products. By employing these methods, manufacturers and regulatory authorities can uphold quality standards, protect consumer health, and support the reliable use of medicinal plants in healthcare.</w:t>
      </w:r>
    </w:p>
    <w:p w14:paraId="1E7B00E3" w14:textId="6FDDB64A" w:rsidR="009E57EB" w:rsidRDefault="009E57EB" w:rsidP="00DA4AA9">
      <w:pPr>
        <w:spacing w:line="360" w:lineRule="auto"/>
        <w:jc w:val="both"/>
        <w:rPr>
          <w:rFonts w:ascii="Times New Roman" w:hAnsi="Times New Roman" w:cs="Times New Roman"/>
          <w:color w:val="000000" w:themeColor="text1"/>
          <w:sz w:val="24"/>
          <w:szCs w:val="24"/>
        </w:rPr>
      </w:pPr>
    </w:p>
    <w:p w14:paraId="075A25FB" w14:textId="77777777" w:rsidR="009E57EB" w:rsidRDefault="009E57EB"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br w:type="column"/>
      </w:r>
      <w:r w:rsidRPr="009E57EB">
        <w:rPr>
          <w:rFonts w:ascii="Times New Roman" w:hAnsi="Times New Roman" w:cs="Times New Roman"/>
          <w:b/>
          <w:bCs/>
          <w:color w:val="000000" w:themeColor="text1"/>
          <w:sz w:val="24"/>
          <w:szCs w:val="24"/>
        </w:rPr>
        <w:lastRenderedPageBreak/>
        <w:t>References</w:t>
      </w:r>
    </w:p>
    <w:p w14:paraId="5495B70F" w14:textId="50CCDDF4"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fldChar w:fldCharType="begin" w:fldLock="1"/>
      </w:r>
      <w:r>
        <w:rPr>
          <w:rFonts w:ascii="Times New Roman" w:hAnsi="Times New Roman" w:cs="Times New Roman"/>
          <w:b/>
          <w:bCs/>
          <w:color w:val="000000" w:themeColor="text1"/>
          <w:sz w:val="24"/>
          <w:szCs w:val="24"/>
        </w:rPr>
        <w:instrText xml:space="preserve">ADDIN Mendeley Bibliography CSL_BIBLIOGRAPHY </w:instrText>
      </w:r>
      <w:r>
        <w:rPr>
          <w:rFonts w:ascii="Times New Roman" w:hAnsi="Times New Roman" w:cs="Times New Roman"/>
          <w:b/>
          <w:bCs/>
          <w:color w:val="000000" w:themeColor="text1"/>
          <w:sz w:val="24"/>
          <w:szCs w:val="24"/>
        </w:rPr>
        <w:fldChar w:fldCharType="separate"/>
      </w:r>
      <w:r w:rsidRPr="009E57EB">
        <w:rPr>
          <w:rFonts w:ascii="Times New Roman" w:hAnsi="Times New Roman" w:cs="Times New Roman"/>
          <w:noProof/>
          <w:sz w:val="24"/>
          <w:szCs w:val="24"/>
        </w:rPr>
        <w:t xml:space="preserve">1. </w:t>
      </w:r>
      <w:r w:rsidRPr="009E57EB">
        <w:rPr>
          <w:rFonts w:ascii="Times New Roman" w:hAnsi="Times New Roman" w:cs="Times New Roman"/>
          <w:noProof/>
          <w:sz w:val="24"/>
          <w:szCs w:val="24"/>
        </w:rPr>
        <w:tab/>
        <w:t xml:space="preserve">Gaurav GC–MS Metabolomics and Network Pharmacology-Based Investigation of Molecular Mechanism of Identified Metabolites from Tinospora Cordifolia (Willd.) Miers for the Treatment of Kidney Diseases. </w:t>
      </w:r>
      <w:r w:rsidRPr="009E57EB">
        <w:rPr>
          <w:rFonts w:ascii="Times New Roman" w:hAnsi="Times New Roman" w:cs="Times New Roman"/>
          <w:i/>
          <w:iCs/>
          <w:noProof/>
          <w:sz w:val="24"/>
          <w:szCs w:val="24"/>
        </w:rPr>
        <w:t>Pharmacogn. Mag.</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18</w:t>
      </w:r>
      <w:r w:rsidRPr="009E57EB">
        <w:rPr>
          <w:rFonts w:ascii="Times New Roman" w:hAnsi="Times New Roman" w:cs="Times New Roman"/>
          <w:noProof/>
          <w:sz w:val="24"/>
          <w:szCs w:val="24"/>
        </w:rPr>
        <w:t>, 548–558, doi:10.4103/pm.pm_582_21.</w:t>
      </w:r>
    </w:p>
    <w:p w14:paraId="0E9CA9CC"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 </w:t>
      </w:r>
      <w:r w:rsidRPr="009E57EB">
        <w:rPr>
          <w:rFonts w:ascii="Times New Roman" w:hAnsi="Times New Roman" w:cs="Times New Roman"/>
          <w:noProof/>
          <w:sz w:val="24"/>
          <w:szCs w:val="24"/>
        </w:rPr>
        <w:tab/>
        <w:t xml:space="preserve">Gautam, G.; Parveen, R.; Ahmad, S. LC-MS-Based Metabolomics of Medicinal Plants. In </w:t>
      </w:r>
      <w:r w:rsidRPr="009E57EB">
        <w:rPr>
          <w:rFonts w:ascii="Times New Roman" w:hAnsi="Times New Roman" w:cs="Times New Roman"/>
          <w:i/>
          <w:iCs/>
          <w:noProof/>
          <w:sz w:val="24"/>
          <w:szCs w:val="24"/>
        </w:rPr>
        <w:t>Omics Studies of Medicinal Plants</w:t>
      </w:r>
      <w:r w:rsidRPr="009E57EB">
        <w:rPr>
          <w:rFonts w:ascii="Times New Roman" w:hAnsi="Times New Roman" w:cs="Times New Roman"/>
          <w:noProof/>
          <w:sz w:val="24"/>
          <w:szCs w:val="24"/>
        </w:rPr>
        <w:t>; 2023.</w:t>
      </w:r>
    </w:p>
    <w:p w14:paraId="2B2AA771"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3. </w:t>
      </w:r>
      <w:r w:rsidRPr="009E57EB">
        <w:rPr>
          <w:rFonts w:ascii="Times New Roman" w:hAnsi="Times New Roman" w:cs="Times New Roman"/>
          <w:noProof/>
          <w:sz w:val="24"/>
          <w:szCs w:val="24"/>
        </w:rPr>
        <w:tab/>
        <w:t xml:space="preserve">Jiang, Y.; David, B.; Tu, P.; Barbin, Y. Recent Analytical Approaches in Quality Control of Traditional Chinese Medicines-A Review. </w:t>
      </w:r>
      <w:r w:rsidRPr="009E57EB">
        <w:rPr>
          <w:rFonts w:ascii="Times New Roman" w:hAnsi="Times New Roman" w:cs="Times New Roman"/>
          <w:i/>
          <w:iCs/>
          <w:noProof/>
          <w:sz w:val="24"/>
          <w:szCs w:val="24"/>
        </w:rPr>
        <w:t>Anal. Chim. Acta</w:t>
      </w:r>
      <w:r w:rsidRPr="009E57EB">
        <w:rPr>
          <w:rFonts w:ascii="Times New Roman" w:hAnsi="Times New Roman" w:cs="Times New Roman"/>
          <w:noProof/>
          <w:sz w:val="24"/>
          <w:szCs w:val="24"/>
        </w:rPr>
        <w:t xml:space="preserve"> 2010.</w:t>
      </w:r>
    </w:p>
    <w:p w14:paraId="1E665399"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4. </w:t>
      </w:r>
      <w:r w:rsidRPr="009E57EB">
        <w:rPr>
          <w:rFonts w:ascii="Times New Roman" w:hAnsi="Times New Roman" w:cs="Times New Roman"/>
          <w:noProof/>
          <w:sz w:val="24"/>
          <w:szCs w:val="24"/>
        </w:rPr>
        <w:tab/>
        <w:t xml:space="preserve">Arumugam, T.; Jayapriya, G.; Sekar, T. Molecular Fingerprinting of the Indian Medicinal Plant Strychnos Minor Dennst. </w:t>
      </w:r>
      <w:r w:rsidRPr="009E57EB">
        <w:rPr>
          <w:rFonts w:ascii="Times New Roman" w:hAnsi="Times New Roman" w:cs="Times New Roman"/>
          <w:i/>
          <w:iCs/>
          <w:noProof/>
          <w:sz w:val="24"/>
          <w:szCs w:val="24"/>
        </w:rPr>
        <w:t>Biotechnol. Reports</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2019</w:t>
      </w:r>
      <w:r w:rsidRPr="009E57EB">
        <w:rPr>
          <w:rFonts w:ascii="Times New Roman" w:hAnsi="Times New Roman" w:cs="Times New Roman"/>
          <w:noProof/>
          <w:sz w:val="24"/>
          <w:szCs w:val="24"/>
        </w:rPr>
        <w:t>, doi:10.1016/j.btre.2019.e00318.</w:t>
      </w:r>
    </w:p>
    <w:p w14:paraId="56A1DB3D"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5. </w:t>
      </w:r>
      <w:r w:rsidRPr="009E57EB">
        <w:rPr>
          <w:rFonts w:ascii="Times New Roman" w:hAnsi="Times New Roman" w:cs="Times New Roman"/>
          <w:noProof/>
          <w:sz w:val="24"/>
          <w:szCs w:val="24"/>
        </w:rPr>
        <w:tab/>
        <w:t xml:space="preserve">Ahmad, S.; Zahiruddin, S.; Parveen, B.; Basist, P.; Parveen, A.; Gaurav; Parveen, R.; Ahmad, M. Indian Medicinal Plants and Formulations and Their Potential Against COVID-19–Preclinical and Clinical Research. </w:t>
      </w:r>
      <w:r w:rsidRPr="009E57EB">
        <w:rPr>
          <w:rFonts w:ascii="Times New Roman" w:hAnsi="Times New Roman" w:cs="Times New Roman"/>
          <w:i/>
          <w:iCs/>
          <w:noProof/>
          <w:sz w:val="24"/>
          <w:szCs w:val="24"/>
        </w:rPr>
        <w:t>Front. Pharmacol.</w:t>
      </w:r>
      <w:r w:rsidRPr="009E57EB">
        <w:rPr>
          <w:rFonts w:ascii="Times New Roman" w:hAnsi="Times New Roman" w:cs="Times New Roman"/>
          <w:noProof/>
          <w:sz w:val="24"/>
          <w:szCs w:val="24"/>
        </w:rPr>
        <w:t xml:space="preserve"> 2021.</w:t>
      </w:r>
    </w:p>
    <w:p w14:paraId="1A649804"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6. </w:t>
      </w:r>
      <w:r w:rsidRPr="009E57EB">
        <w:rPr>
          <w:rFonts w:ascii="Times New Roman" w:hAnsi="Times New Roman" w:cs="Times New Roman"/>
          <w:noProof/>
          <w:sz w:val="24"/>
          <w:szCs w:val="24"/>
        </w:rPr>
        <w:tab/>
        <w:t xml:space="preserve">Parveen, R.; Khan, N.; Zahiruddin, S.; Ibrahim, M.; Anjum, V.; Parveen, B.; Khan, M.A. TLC-Bioautographic Evaluation for High-Throughput Screening and Identification of Free Radical Scavenging and Antidiabetic Compounds from Traditional Unani Medicinal Plant: Citrullus Colocynthis Schrad. </w:t>
      </w:r>
      <w:r w:rsidRPr="009E57EB">
        <w:rPr>
          <w:rFonts w:ascii="Times New Roman" w:hAnsi="Times New Roman" w:cs="Times New Roman"/>
          <w:i/>
          <w:iCs/>
          <w:noProof/>
          <w:sz w:val="24"/>
          <w:szCs w:val="24"/>
        </w:rPr>
        <w:t>J. AOAC Int.</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2020</w:t>
      </w:r>
      <w:r w:rsidRPr="009E57EB">
        <w:rPr>
          <w:rFonts w:ascii="Times New Roman" w:hAnsi="Times New Roman" w:cs="Times New Roman"/>
          <w:noProof/>
          <w:sz w:val="24"/>
          <w:szCs w:val="24"/>
        </w:rPr>
        <w:t>, doi:10.5740/jaoacint.19-0287.</w:t>
      </w:r>
    </w:p>
    <w:p w14:paraId="202897AA"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7. </w:t>
      </w:r>
      <w:r w:rsidRPr="009E57EB">
        <w:rPr>
          <w:rFonts w:ascii="Times New Roman" w:hAnsi="Times New Roman" w:cs="Times New Roman"/>
          <w:noProof/>
          <w:sz w:val="24"/>
          <w:szCs w:val="24"/>
        </w:rPr>
        <w:tab/>
        <w:t xml:space="preserve">Zahiruddin, S.; Parveen, A.; Khan, W.; Parveen, R.; Ahmad, S. TLC-Based Metabolite Profiling and Bioactivity-Based Scientific Validation for Use of Water Extracts in AYUSH Formulations. </w:t>
      </w:r>
      <w:r w:rsidRPr="009E57EB">
        <w:rPr>
          <w:rFonts w:ascii="Times New Roman" w:hAnsi="Times New Roman" w:cs="Times New Roman"/>
          <w:b/>
          <w:bCs/>
          <w:noProof/>
          <w:sz w:val="24"/>
          <w:szCs w:val="24"/>
        </w:rPr>
        <w:t>2021</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2021</w:t>
      </w:r>
      <w:r w:rsidRPr="009E57EB">
        <w:rPr>
          <w:rFonts w:ascii="Times New Roman" w:hAnsi="Times New Roman" w:cs="Times New Roman"/>
          <w:noProof/>
          <w:sz w:val="24"/>
          <w:szCs w:val="24"/>
        </w:rPr>
        <w:t>.</w:t>
      </w:r>
    </w:p>
    <w:p w14:paraId="504F0FCD"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8. </w:t>
      </w:r>
      <w:r w:rsidRPr="009E57EB">
        <w:rPr>
          <w:rFonts w:ascii="Times New Roman" w:hAnsi="Times New Roman" w:cs="Times New Roman"/>
          <w:noProof/>
          <w:sz w:val="24"/>
          <w:szCs w:val="24"/>
        </w:rPr>
        <w:tab/>
        <w:t xml:space="preserve">Zahiruddin, S.; Basist, P.; Parveen, A.; Parveen, R.; Khan, W.; Gaurav; Ahmad, S. Ashwagandha in Brain Disorders: A Review of Recent Developments. </w:t>
      </w:r>
      <w:r w:rsidRPr="009E57EB">
        <w:rPr>
          <w:rFonts w:ascii="Times New Roman" w:hAnsi="Times New Roman" w:cs="Times New Roman"/>
          <w:i/>
          <w:iCs/>
          <w:noProof/>
          <w:sz w:val="24"/>
          <w:szCs w:val="24"/>
        </w:rPr>
        <w:t>J. Ethnopharmacol.</w:t>
      </w:r>
      <w:r w:rsidRPr="009E57EB">
        <w:rPr>
          <w:rFonts w:ascii="Times New Roman" w:hAnsi="Times New Roman" w:cs="Times New Roman"/>
          <w:noProof/>
          <w:sz w:val="24"/>
          <w:szCs w:val="24"/>
        </w:rPr>
        <w:t xml:space="preserve"> 2020.</w:t>
      </w:r>
    </w:p>
    <w:p w14:paraId="041E0A69"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9. </w:t>
      </w:r>
      <w:r w:rsidRPr="009E57EB">
        <w:rPr>
          <w:rFonts w:ascii="Times New Roman" w:hAnsi="Times New Roman" w:cs="Times New Roman"/>
          <w:noProof/>
          <w:sz w:val="24"/>
          <w:szCs w:val="24"/>
        </w:rPr>
        <w:tab/>
        <w:t xml:space="preserve">Gaurav; Khan, M.U.; Basist, P.; Zahiruddin, S.; Ibrahim, M.; Parveen, R.; Krishnan, A.; Ahmad, S. Nephroprotective Potential of Boerhaavia Diffusa and Tinospora Cordifolia Herbal Combination against Diclofenac Induced Nephrotoxicity. </w:t>
      </w:r>
      <w:r w:rsidRPr="009E57EB">
        <w:rPr>
          <w:rFonts w:ascii="Times New Roman" w:hAnsi="Times New Roman" w:cs="Times New Roman"/>
          <w:i/>
          <w:iCs/>
          <w:noProof/>
          <w:sz w:val="24"/>
          <w:szCs w:val="24"/>
        </w:rPr>
        <w:t>South African J. Bot.</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000</w:t>
      </w:r>
      <w:r w:rsidRPr="009E57EB">
        <w:rPr>
          <w:rFonts w:ascii="Times New Roman" w:hAnsi="Times New Roman" w:cs="Times New Roman"/>
          <w:noProof/>
          <w:sz w:val="24"/>
          <w:szCs w:val="24"/>
        </w:rPr>
        <w:t>, doi:10.1016/j.sajb.2022.01.038.</w:t>
      </w:r>
    </w:p>
    <w:p w14:paraId="0F8216F2"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lastRenderedPageBreak/>
        <w:t xml:space="preserve">10. </w:t>
      </w:r>
      <w:r w:rsidRPr="009E57EB">
        <w:rPr>
          <w:rFonts w:ascii="Times New Roman" w:hAnsi="Times New Roman" w:cs="Times New Roman"/>
          <w:noProof/>
          <w:sz w:val="24"/>
          <w:szCs w:val="24"/>
        </w:rPr>
        <w:tab/>
        <w:t xml:space="preserve">Basist, P.; Parveen, B.; Zahiruddin, S.; Gautam, G.; Parveen, R.; Khan, M.A.; Krishnan, A.; Shahid, M.; Ahmad, S. Potential Nephroprotective Phytochemicals: Mechanism and Future Prospects. </w:t>
      </w:r>
      <w:r w:rsidRPr="009E57EB">
        <w:rPr>
          <w:rFonts w:ascii="Times New Roman" w:hAnsi="Times New Roman" w:cs="Times New Roman"/>
          <w:i/>
          <w:iCs/>
          <w:noProof/>
          <w:sz w:val="24"/>
          <w:szCs w:val="24"/>
        </w:rPr>
        <w:t>J. Ethnopharmacol.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doi:10.1016/j.jep.2021.114743.</w:t>
      </w:r>
    </w:p>
    <w:p w14:paraId="0CB6E941"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11. </w:t>
      </w:r>
      <w:r w:rsidRPr="009E57EB">
        <w:rPr>
          <w:rFonts w:ascii="Times New Roman" w:hAnsi="Times New Roman" w:cs="Times New Roman"/>
          <w:noProof/>
          <w:sz w:val="24"/>
          <w:szCs w:val="24"/>
        </w:rPr>
        <w:tab/>
        <w:t xml:space="preserve">Khan, M.U.; Gaurav; Zahiruddin, S.; Basist, P.; Krishnan, A.; Parveen, R.; Ahmad, S. Nephroprotective Potential of Sharbat-e-Bazoori Motadil (Sugar-Free) in HEK-293 Cells and Wistar Rats against Cisplatin Induced Nephrotoxicity. </w:t>
      </w:r>
      <w:r w:rsidRPr="009E57EB">
        <w:rPr>
          <w:rFonts w:ascii="Times New Roman" w:hAnsi="Times New Roman" w:cs="Times New Roman"/>
          <w:i/>
          <w:iCs/>
          <w:noProof/>
          <w:sz w:val="24"/>
          <w:szCs w:val="24"/>
        </w:rPr>
        <w:t>J. King Saud Univ. - Sci.</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34</w:t>
      </w:r>
      <w:r w:rsidRPr="009E57EB">
        <w:rPr>
          <w:rFonts w:ascii="Times New Roman" w:hAnsi="Times New Roman" w:cs="Times New Roman"/>
          <w:noProof/>
          <w:sz w:val="24"/>
          <w:szCs w:val="24"/>
        </w:rPr>
        <w:t>, 101839, doi:10.1016/j.jksus.2022.101839.</w:t>
      </w:r>
    </w:p>
    <w:p w14:paraId="601F23F3"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12. </w:t>
      </w:r>
      <w:r w:rsidRPr="009E57EB">
        <w:rPr>
          <w:rFonts w:ascii="Times New Roman" w:hAnsi="Times New Roman" w:cs="Times New Roman"/>
          <w:noProof/>
          <w:sz w:val="24"/>
          <w:szCs w:val="24"/>
        </w:rPr>
        <w:tab/>
        <w:t xml:space="preserve">Techen, N.; Crockett, S.; Khan, I.; Scheffler, B. Authentication of Medicinal Plants Using Molecular Biology Techniques to Compliment Conventional Methods. </w:t>
      </w:r>
      <w:r w:rsidRPr="009E57EB">
        <w:rPr>
          <w:rFonts w:ascii="Times New Roman" w:hAnsi="Times New Roman" w:cs="Times New Roman"/>
          <w:i/>
          <w:iCs/>
          <w:noProof/>
          <w:sz w:val="24"/>
          <w:szCs w:val="24"/>
        </w:rPr>
        <w:t>Curr. Med. Chem.</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2012</w:t>
      </w:r>
      <w:r w:rsidRPr="009E57EB">
        <w:rPr>
          <w:rFonts w:ascii="Times New Roman" w:hAnsi="Times New Roman" w:cs="Times New Roman"/>
          <w:noProof/>
          <w:sz w:val="24"/>
          <w:szCs w:val="24"/>
        </w:rPr>
        <w:t>, doi:10.2174/0929867043365206.</w:t>
      </w:r>
    </w:p>
    <w:p w14:paraId="25B30A1B"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13. </w:t>
      </w:r>
      <w:r w:rsidRPr="009E57EB">
        <w:rPr>
          <w:rFonts w:ascii="Times New Roman" w:hAnsi="Times New Roman" w:cs="Times New Roman"/>
          <w:noProof/>
          <w:sz w:val="24"/>
          <w:szCs w:val="24"/>
        </w:rPr>
        <w:tab/>
        <w:t xml:space="preserve">Chandler, R.F.; Hooper, S.N.; Harvey, M.J. Ethnobotany and Phytochemistry of Yarrow, Achillea Millefolium, Compositae. </w:t>
      </w:r>
      <w:r w:rsidRPr="009E57EB">
        <w:rPr>
          <w:rFonts w:ascii="Times New Roman" w:hAnsi="Times New Roman" w:cs="Times New Roman"/>
          <w:i/>
          <w:iCs/>
          <w:noProof/>
          <w:sz w:val="24"/>
          <w:szCs w:val="24"/>
        </w:rPr>
        <w:t>Econ. Bot.</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1982</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36</w:t>
      </w:r>
      <w:r w:rsidRPr="009E57EB">
        <w:rPr>
          <w:rFonts w:ascii="Times New Roman" w:hAnsi="Times New Roman" w:cs="Times New Roman"/>
          <w:noProof/>
          <w:sz w:val="24"/>
          <w:szCs w:val="24"/>
        </w:rPr>
        <w:t>, 203–223, doi:10.1007/BF02858720.</w:t>
      </w:r>
    </w:p>
    <w:p w14:paraId="609765B4"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14. </w:t>
      </w:r>
      <w:r w:rsidRPr="009E57EB">
        <w:rPr>
          <w:rFonts w:ascii="Times New Roman" w:hAnsi="Times New Roman" w:cs="Times New Roman"/>
          <w:noProof/>
          <w:sz w:val="24"/>
          <w:szCs w:val="24"/>
        </w:rPr>
        <w:tab/>
        <w:t xml:space="preserve">Khan, A.; Zahiruddin, S.; Ibrahim, M.; Basist, P.; Gaurav; Parveen, R.; Umar, S.; Ahmad, S. Thin Layer Chromatography-Mass Spectrometry Bioautographic Identification of Free Radical Scavenging Compounds and Metabolomic Profile of Carica Papaya Linn. Fruit and Seeds Using High-Performance Thin-Layer Chromatography, Gas Chromatography-Mass Spectro. </w:t>
      </w:r>
      <w:r w:rsidRPr="009E57EB">
        <w:rPr>
          <w:rFonts w:ascii="Times New Roman" w:hAnsi="Times New Roman" w:cs="Times New Roman"/>
          <w:i/>
          <w:iCs/>
          <w:noProof/>
          <w:sz w:val="24"/>
          <w:szCs w:val="24"/>
        </w:rPr>
        <w:t>Pharmacogn. Mag.</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2021</w:t>
      </w:r>
      <w:r w:rsidRPr="009E57EB">
        <w:rPr>
          <w:rFonts w:ascii="Times New Roman" w:hAnsi="Times New Roman" w:cs="Times New Roman"/>
          <w:noProof/>
          <w:sz w:val="24"/>
          <w:szCs w:val="24"/>
        </w:rPr>
        <w:t>, doi:10.4103/pm.pm_326_20.</w:t>
      </w:r>
    </w:p>
    <w:p w14:paraId="2B259790"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15. </w:t>
      </w:r>
      <w:r w:rsidRPr="009E57EB">
        <w:rPr>
          <w:rFonts w:ascii="Times New Roman" w:hAnsi="Times New Roman" w:cs="Times New Roman"/>
          <w:noProof/>
          <w:sz w:val="24"/>
          <w:szCs w:val="24"/>
        </w:rPr>
        <w:tab/>
        <w:t xml:space="preserve">Gaurav; Zahiruddin, S.; Parveen, B.; Ibrahim, M.; Sharma, I.; Sharma, S.; Sharma, A.K.; Parveen, R.; Ahmad, S. TLC-MS Bioautography-Based Identification of Free-Radical Scavenging, Α‑amylase, and Α‑glucosidase Inhibitor Compounds of Antidiabetic Tablet BGR-34. </w:t>
      </w:r>
      <w:r w:rsidRPr="009E57EB">
        <w:rPr>
          <w:rFonts w:ascii="Times New Roman" w:hAnsi="Times New Roman" w:cs="Times New Roman"/>
          <w:i/>
          <w:iCs/>
          <w:noProof/>
          <w:sz w:val="24"/>
          <w:szCs w:val="24"/>
        </w:rPr>
        <w:t>ACS Omega</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2020</w:t>
      </w:r>
      <w:r w:rsidRPr="009E57EB">
        <w:rPr>
          <w:rFonts w:ascii="Times New Roman" w:hAnsi="Times New Roman" w:cs="Times New Roman"/>
          <w:noProof/>
          <w:sz w:val="24"/>
          <w:szCs w:val="24"/>
        </w:rPr>
        <w:t>, doi:10.1021/acsomega.0c02995.</w:t>
      </w:r>
    </w:p>
    <w:p w14:paraId="5C343BBD"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16. </w:t>
      </w:r>
      <w:r w:rsidRPr="009E57EB">
        <w:rPr>
          <w:rFonts w:ascii="Times New Roman" w:hAnsi="Times New Roman" w:cs="Times New Roman"/>
          <w:noProof/>
          <w:sz w:val="24"/>
          <w:szCs w:val="24"/>
        </w:rPr>
        <w:tab/>
        <w:t xml:space="preserve">Gaurav; Sharma, I.; Khan, M.U.; Zahiruddin, S.; Basist, P.; Ahmad, S. Multi-Mechanistic and Therapeutic Exploration of Nephroprotective Effect of Traditional Ayurvedic Polyherbal Formulation Using In Silico, In Vitro and In Vivo Approaches. </w:t>
      </w:r>
      <w:r w:rsidRPr="009E57EB">
        <w:rPr>
          <w:rFonts w:ascii="Times New Roman" w:hAnsi="Times New Roman" w:cs="Times New Roman"/>
          <w:i/>
          <w:iCs/>
          <w:noProof/>
          <w:sz w:val="24"/>
          <w:szCs w:val="24"/>
        </w:rPr>
        <w:t>Biomedicines</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2023</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11</w:t>
      </w:r>
      <w:r w:rsidRPr="009E57EB">
        <w:rPr>
          <w:rFonts w:ascii="Times New Roman" w:hAnsi="Times New Roman" w:cs="Times New Roman"/>
          <w:noProof/>
          <w:sz w:val="24"/>
          <w:szCs w:val="24"/>
        </w:rPr>
        <w:t>, doi:10.3390/biomedicines11010168.</w:t>
      </w:r>
    </w:p>
    <w:p w14:paraId="5AE4A5FD"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17. </w:t>
      </w:r>
      <w:r w:rsidRPr="009E57EB">
        <w:rPr>
          <w:rFonts w:ascii="Times New Roman" w:hAnsi="Times New Roman" w:cs="Times New Roman"/>
          <w:noProof/>
          <w:sz w:val="24"/>
          <w:szCs w:val="24"/>
        </w:rPr>
        <w:tab/>
        <w:t xml:space="preserve">Gautam, G.; Parveen, B.; Umar Khan, M.; Sharma, I.; Kumar Sharma, A.; Parveen, R.; Ahmad, S. A Systematic Review on Nephron Protective AYUSH Drugs as Constituents of </w:t>
      </w:r>
      <w:r w:rsidRPr="009E57EB">
        <w:rPr>
          <w:rFonts w:ascii="Times New Roman" w:hAnsi="Times New Roman" w:cs="Times New Roman"/>
          <w:noProof/>
          <w:sz w:val="24"/>
          <w:szCs w:val="24"/>
        </w:rPr>
        <w:lastRenderedPageBreak/>
        <w:t xml:space="preserve">NEERI-KFT (A Traditional Indian Polyherbal Formulation) for the Management of Chronic Kidney Disease. </w:t>
      </w:r>
      <w:r w:rsidRPr="009E57EB">
        <w:rPr>
          <w:rFonts w:ascii="Times New Roman" w:hAnsi="Times New Roman" w:cs="Times New Roman"/>
          <w:i/>
          <w:iCs/>
          <w:noProof/>
          <w:sz w:val="24"/>
          <w:szCs w:val="24"/>
        </w:rPr>
        <w:t>Saudi J. Biol. Sci.</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2021</w:t>
      </w:r>
      <w:r w:rsidRPr="009E57EB">
        <w:rPr>
          <w:rFonts w:ascii="Times New Roman" w:hAnsi="Times New Roman" w:cs="Times New Roman"/>
          <w:noProof/>
          <w:sz w:val="24"/>
          <w:szCs w:val="24"/>
        </w:rPr>
        <w:t>, doi:10.1016/J.SJBS.2021.07.008.</w:t>
      </w:r>
    </w:p>
    <w:p w14:paraId="10C0BD12"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18. </w:t>
      </w:r>
      <w:r w:rsidRPr="009E57EB">
        <w:rPr>
          <w:rFonts w:ascii="Times New Roman" w:hAnsi="Times New Roman" w:cs="Times New Roman"/>
          <w:noProof/>
          <w:sz w:val="24"/>
          <w:szCs w:val="24"/>
        </w:rPr>
        <w:tab/>
        <w:t xml:space="preserve">Kagan, I.A.; Flythe, M.D. Thin-Layer Chromatographic (TLC) Separations and Bioassays of Plant Extracts to Identify Antimicrobial Compounds. </w:t>
      </w:r>
      <w:r w:rsidRPr="009E57EB">
        <w:rPr>
          <w:rFonts w:ascii="Times New Roman" w:hAnsi="Times New Roman" w:cs="Times New Roman"/>
          <w:i/>
          <w:iCs/>
          <w:noProof/>
          <w:sz w:val="24"/>
          <w:szCs w:val="24"/>
        </w:rPr>
        <w:t>J. Vis. Exp.</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2014</w:t>
      </w:r>
      <w:r w:rsidRPr="009E57EB">
        <w:rPr>
          <w:rFonts w:ascii="Times New Roman" w:hAnsi="Times New Roman" w:cs="Times New Roman"/>
          <w:noProof/>
          <w:sz w:val="24"/>
          <w:szCs w:val="24"/>
        </w:rPr>
        <w:t>, doi:10.3791/51411.</w:t>
      </w:r>
    </w:p>
    <w:p w14:paraId="4D220D11"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19. </w:t>
      </w:r>
      <w:r w:rsidRPr="009E57EB">
        <w:rPr>
          <w:rFonts w:ascii="Times New Roman" w:hAnsi="Times New Roman" w:cs="Times New Roman"/>
          <w:noProof/>
          <w:sz w:val="24"/>
          <w:szCs w:val="24"/>
        </w:rPr>
        <w:tab/>
        <w:t xml:space="preserve">Sharma, D.K.; Prof. B. tiwari, P.B. tiwari Identification of Secondary Metabolites Present in Carica Papaya L. Leaf Extract Found in Northern India by HPtLC &amp; Other Test Procedures, Its Significance and Role in Curing Dengue/DHF Disease. </w:t>
      </w:r>
      <w:r w:rsidRPr="009E57EB">
        <w:rPr>
          <w:rFonts w:ascii="Times New Roman" w:hAnsi="Times New Roman" w:cs="Times New Roman"/>
          <w:i/>
          <w:iCs/>
          <w:noProof/>
          <w:sz w:val="24"/>
          <w:szCs w:val="24"/>
        </w:rPr>
        <w:t>Glob. J. Res. Anal.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2012</w:t>
      </w:r>
      <w:r w:rsidRPr="009E57EB">
        <w:rPr>
          <w:rFonts w:ascii="Times New Roman" w:hAnsi="Times New Roman" w:cs="Times New Roman"/>
          <w:noProof/>
          <w:sz w:val="24"/>
          <w:szCs w:val="24"/>
        </w:rPr>
        <w:t>, doi:10.15373/22778160/apr2014/2.</w:t>
      </w:r>
    </w:p>
    <w:p w14:paraId="2E5C217D"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20. </w:t>
      </w:r>
      <w:r w:rsidRPr="009E57EB">
        <w:rPr>
          <w:rFonts w:ascii="Times New Roman" w:hAnsi="Times New Roman" w:cs="Times New Roman"/>
          <w:noProof/>
          <w:sz w:val="24"/>
          <w:szCs w:val="24"/>
        </w:rPr>
        <w:tab/>
        <w:t xml:space="preserve">Zahiruddin, S.; Khan, W.; Nehra, R.; Alam, M.J.; Mallick, M.N.; Parveen, R.; Ahmad, S. Pharmacokinetics and Comparative Metabolic Profiling of Iridoid Enriched Fraction of Picrorhiza Kurroa – An Ayurvedic Herb. </w:t>
      </w:r>
      <w:r w:rsidRPr="009E57EB">
        <w:rPr>
          <w:rFonts w:ascii="Times New Roman" w:hAnsi="Times New Roman" w:cs="Times New Roman"/>
          <w:i/>
          <w:iCs/>
          <w:noProof/>
          <w:sz w:val="24"/>
          <w:szCs w:val="24"/>
        </w:rPr>
        <w:t>J. Ethnopharmacol.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2017</w:t>
      </w:r>
      <w:r w:rsidRPr="009E57EB">
        <w:rPr>
          <w:rFonts w:ascii="Times New Roman" w:hAnsi="Times New Roman" w:cs="Times New Roman"/>
          <w:noProof/>
          <w:sz w:val="24"/>
          <w:szCs w:val="24"/>
        </w:rPr>
        <w:t>, doi:10.1016/j.jep.2016.07.072.</w:t>
      </w:r>
    </w:p>
    <w:p w14:paraId="1F7D89DC"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21. </w:t>
      </w:r>
      <w:r w:rsidRPr="009E57EB">
        <w:rPr>
          <w:rFonts w:ascii="Times New Roman" w:hAnsi="Times New Roman" w:cs="Times New Roman"/>
          <w:noProof/>
          <w:sz w:val="24"/>
          <w:szCs w:val="24"/>
        </w:rPr>
        <w:tab/>
        <w:t xml:space="preserve">Khan, W.; Parveen, R.; Chester, K.; Parveen, S.; Ahmad, S. Hypoglycemic Potential of Aqueous Extract of Moringa Oleifera Leaf and in Vivo GC-MS Metabolomics. </w:t>
      </w:r>
      <w:r w:rsidRPr="009E57EB">
        <w:rPr>
          <w:rFonts w:ascii="Times New Roman" w:hAnsi="Times New Roman" w:cs="Times New Roman"/>
          <w:i/>
          <w:iCs/>
          <w:noProof/>
          <w:sz w:val="24"/>
          <w:szCs w:val="24"/>
        </w:rPr>
        <w:t>Front. Pharmacol.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2017</w:t>
      </w:r>
      <w:r w:rsidRPr="009E57EB">
        <w:rPr>
          <w:rFonts w:ascii="Times New Roman" w:hAnsi="Times New Roman" w:cs="Times New Roman"/>
          <w:noProof/>
          <w:sz w:val="24"/>
          <w:szCs w:val="24"/>
        </w:rPr>
        <w:t>, doi:10.3389/fphar.2017.00577.</w:t>
      </w:r>
    </w:p>
    <w:p w14:paraId="2E1E8168"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22. </w:t>
      </w:r>
      <w:r w:rsidRPr="009E57EB">
        <w:rPr>
          <w:rFonts w:ascii="Times New Roman" w:hAnsi="Times New Roman" w:cs="Times New Roman"/>
          <w:noProof/>
          <w:sz w:val="24"/>
          <w:szCs w:val="24"/>
        </w:rPr>
        <w:tab/>
        <w:t xml:space="preserve">Dongare, V.; Kulkarni, C.; Kondawar, M.; Magdum, C.; Haldavnekar, V.; Arvindekar, A. Inhibition of Aldose Reductase and Anti-Cataract Action of Trans-Anethole Isolated from Foeniculum Vulgare Mill. Fruits. </w:t>
      </w:r>
      <w:r w:rsidRPr="009E57EB">
        <w:rPr>
          <w:rFonts w:ascii="Times New Roman" w:hAnsi="Times New Roman" w:cs="Times New Roman"/>
          <w:i/>
          <w:iCs/>
          <w:noProof/>
          <w:sz w:val="24"/>
          <w:szCs w:val="24"/>
        </w:rPr>
        <w:t>Food Chem.</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2012</w:t>
      </w:r>
      <w:r w:rsidRPr="009E57EB">
        <w:rPr>
          <w:rFonts w:ascii="Times New Roman" w:hAnsi="Times New Roman" w:cs="Times New Roman"/>
          <w:noProof/>
          <w:sz w:val="24"/>
          <w:szCs w:val="24"/>
        </w:rPr>
        <w:t>, doi:10.1016/j.foodchem.2011.11.005.</w:t>
      </w:r>
    </w:p>
    <w:p w14:paraId="63574D5E"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23. </w:t>
      </w:r>
      <w:r w:rsidRPr="009E57EB">
        <w:rPr>
          <w:rFonts w:ascii="Times New Roman" w:hAnsi="Times New Roman" w:cs="Times New Roman"/>
          <w:noProof/>
          <w:sz w:val="24"/>
          <w:szCs w:val="24"/>
        </w:rPr>
        <w:tab/>
        <w:t xml:space="preserve">Basha, S.C.; Alagusundaram, M. Phytochemical Investigation and Heavy Metal Analysis of a Miracle Plant Eryngium Foetidum Linn. </w:t>
      </w:r>
      <w:r w:rsidRPr="009E57EB">
        <w:rPr>
          <w:rFonts w:ascii="Times New Roman" w:hAnsi="Times New Roman" w:cs="Times New Roman"/>
          <w:i/>
          <w:iCs/>
          <w:noProof/>
          <w:sz w:val="24"/>
          <w:szCs w:val="24"/>
        </w:rPr>
        <w:t>Curr. Trends Biotechnol. Pharm.</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doi:10.5530/ctbp.2022.3s.57.</w:t>
      </w:r>
    </w:p>
    <w:p w14:paraId="27400024"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24. </w:t>
      </w:r>
      <w:r w:rsidRPr="009E57EB">
        <w:rPr>
          <w:rFonts w:ascii="Times New Roman" w:hAnsi="Times New Roman" w:cs="Times New Roman"/>
          <w:noProof/>
          <w:sz w:val="24"/>
          <w:szCs w:val="24"/>
        </w:rPr>
        <w:tab/>
        <w:t xml:space="preserve">Franco-Franklin, V.; Moreno-Riascos, S.; Ghneim-Herrera, T. Are Endophytic Bacteria an Option for Increasing Heavy Metal Tolerance of Plants? A Meta-Analysis of the Effect Size. </w:t>
      </w:r>
      <w:r w:rsidRPr="009E57EB">
        <w:rPr>
          <w:rFonts w:ascii="Times New Roman" w:hAnsi="Times New Roman" w:cs="Times New Roman"/>
          <w:i/>
          <w:iCs/>
          <w:noProof/>
          <w:sz w:val="24"/>
          <w:szCs w:val="24"/>
        </w:rPr>
        <w:t>Front. Environ. Sci.</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2021</w:t>
      </w:r>
      <w:r w:rsidRPr="009E57EB">
        <w:rPr>
          <w:rFonts w:ascii="Times New Roman" w:hAnsi="Times New Roman" w:cs="Times New Roman"/>
          <w:noProof/>
          <w:sz w:val="24"/>
          <w:szCs w:val="24"/>
        </w:rPr>
        <w:t>, doi:10.3389/fenvs.2020.603668.</w:t>
      </w:r>
    </w:p>
    <w:p w14:paraId="5D523B9E"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25. </w:t>
      </w:r>
      <w:r w:rsidRPr="009E57EB">
        <w:rPr>
          <w:rFonts w:ascii="Times New Roman" w:hAnsi="Times New Roman" w:cs="Times New Roman"/>
          <w:noProof/>
          <w:sz w:val="24"/>
          <w:szCs w:val="24"/>
        </w:rPr>
        <w:tab/>
        <w:t xml:space="preserve">Kumar, V.; Ain, S.; Kumar, B.; Ain, Q.; Gaurav Optimization and Evaluation of Topical Gel Containing Solid Lipid Nanoparticles Loaded with Luliconazole and Its Anti-Fungal </w:t>
      </w:r>
      <w:r w:rsidRPr="009E57EB">
        <w:rPr>
          <w:rFonts w:ascii="Times New Roman" w:hAnsi="Times New Roman" w:cs="Times New Roman"/>
          <w:noProof/>
          <w:sz w:val="24"/>
          <w:szCs w:val="24"/>
        </w:rPr>
        <w:lastRenderedPageBreak/>
        <w:t xml:space="preserve">Activity. </w:t>
      </w:r>
      <w:r w:rsidRPr="009E57EB">
        <w:rPr>
          <w:rFonts w:ascii="Times New Roman" w:hAnsi="Times New Roman" w:cs="Times New Roman"/>
          <w:i/>
          <w:iCs/>
          <w:noProof/>
          <w:sz w:val="24"/>
          <w:szCs w:val="24"/>
        </w:rPr>
        <w:t>Int. J. Pharm. Res.</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2020</w:t>
      </w:r>
      <w:r w:rsidRPr="009E57EB">
        <w:rPr>
          <w:rFonts w:ascii="Times New Roman" w:hAnsi="Times New Roman" w:cs="Times New Roman"/>
          <w:noProof/>
          <w:sz w:val="24"/>
          <w:szCs w:val="24"/>
        </w:rPr>
        <w:t>, doi:10.31838/ijpr/2020.SP2.169.</w:t>
      </w:r>
    </w:p>
    <w:p w14:paraId="36C614BC"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26. </w:t>
      </w:r>
      <w:r w:rsidRPr="009E57EB">
        <w:rPr>
          <w:rFonts w:ascii="Times New Roman" w:hAnsi="Times New Roman" w:cs="Times New Roman"/>
          <w:noProof/>
          <w:sz w:val="24"/>
          <w:szCs w:val="24"/>
        </w:rPr>
        <w:tab/>
        <w:t xml:space="preserve">Ekbbal, R.; Iqubal, A.; Ansari, M.; Ahmad, S.; Haque, S. Evaluation of Cardioprotective Potential of Isolated Swerchirin against the Isoproterenol-Induced Cardiotoxicity in Wistar Albino Rats. </w:t>
      </w:r>
      <w:r w:rsidRPr="009E57EB">
        <w:rPr>
          <w:rFonts w:ascii="Times New Roman" w:hAnsi="Times New Roman" w:cs="Times New Roman"/>
          <w:i/>
          <w:iCs/>
          <w:noProof/>
          <w:sz w:val="24"/>
          <w:szCs w:val="24"/>
        </w:rPr>
        <w:t>Pharmacogn. Mag.</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doi:10.4103/pm.pm_500_20.</w:t>
      </w:r>
    </w:p>
    <w:p w14:paraId="68163F32"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27. </w:t>
      </w:r>
      <w:r w:rsidRPr="009E57EB">
        <w:rPr>
          <w:rFonts w:ascii="Times New Roman" w:hAnsi="Times New Roman" w:cs="Times New Roman"/>
          <w:noProof/>
          <w:sz w:val="24"/>
          <w:szCs w:val="24"/>
        </w:rPr>
        <w:tab/>
        <w:t xml:space="preserve">Patel, K.; Patel, J.; Patel, M.; Rajput, G.; Patel, H. Introduction to Hyphenated Techniques and Their Applications in Pharmacy. </w:t>
      </w:r>
      <w:r w:rsidRPr="009E57EB">
        <w:rPr>
          <w:rFonts w:ascii="Times New Roman" w:hAnsi="Times New Roman" w:cs="Times New Roman"/>
          <w:i/>
          <w:iCs/>
          <w:noProof/>
          <w:sz w:val="24"/>
          <w:szCs w:val="24"/>
        </w:rPr>
        <w:t>Pharm. Methods</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2010</w:t>
      </w:r>
      <w:r w:rsidRPr="009E57EB">
        <w:rPr>
          <w:rFonts w:ascii="Times New Roman" w:hAnsi="Times New Roman" w:cs="Times New Roman"/>
          <w:noProof/>
          <w:sz w:val="24"/>
          <w:szCs w:val="24"/>
        </w:rPr>
        <w:t>, doi:10.4103/2229-4708.72222.</w:t>
      </w:r>
    </w:p>
    <w:p w14:paraId="38834545"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28. </w:t>
      </w:r>
      <w:r w:rsidRPr="009E57EB">
        <w:rPr>
          <w:rFonts w:ascii="Times New Roman" w:hAnsi="Times New Roman" w:cs="Times New Roman"/>
          <w:noProof/>
          <w:sz w:val="24"/>
          <w:szCs w:val="24"/>
        </w:rPr>
        <w:tab/>
        <w:t>Wahab, N.; Hassan, H.H.M.; Yusuf, W.N.S.W.; Jahwi, R.A.; Kasim, M.M.M.; Rashid, M.R.A. Physicochemical and Microbial Analysis of Plant-Based Food Waste for Potential Used as an Animal Feed. In Proceedings of the AIP Conference Proceedings; 2022.</w:t>
      </w:r>
    </w:p>
    <w:p w14:paraId="1F053552"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29. </w:t>
      </w:r>
      <w:r w:rsidRPr="009E57EB">
        <w:rPr>
          <w:rFonts w:ascii="Times New Roman" w:hAnsi="Times New Roman" w:cs="Times New Roman"/>
          <w:noProof/>
          <w:sz w:val="24"/>
          <w:szCs w:val="24"/>
        </w:rPr>
        <w:tab/>
        <w:t xml:space="preserve">Waring, B.; Gee, A.; Liang, G.; Adkins, S. A Quantitative Analysis of Microbial Community Structure-Function Relationships in Plant Litter Decay. </w:t>
      </w:r>
      <w:r w:rsidRPr="009E57EB">
        <w:rPr>
          <w:rFonts w:ascii="Times New Roman" w:hAnsi="Times New Roman" w:cs="Times New Roman"/>
          <w:i/>
          <w:iCs/>
          <w:noProof/>
          <w:sz w:val="24"/>
          <w:szCs w:val="24"/>
        </w:rPr>
        <w:t>iScience</w:t>
      </w:r>
      <w:r w:rsidRPr="009E57EB">
        <w:rPr>
          <w:rFonts w:ascii="Times New Roman" w:hAnsi="Times New Roman" w:cs="Times New Roman"/>
          <w:noProof/>
          <w:sz w:val="24"/>
          <w:szCs w:val="24"/>
        </w:rPr>
        <w:t xml:space="preserve"> 2022.</w:t>
      </w:r>
    </w:p>
    <w:p w14:paraId="25DB48AF"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30. </w:t>
      </w:r>
      <w:r w:rsidRPr="009E57EB">
        <w:rPr>
          <w:rFonts w:ascii="Times New Roman" w:hAnsi="Times New Roman" w:cs="Times New Roman"/>
          <w:noProof/>
          <w:sz w:val="24"/>
          <w:szCs w:val="24"/>
        </w:rPr>
        <w:tab/>
        <w:t xml:space="preserve">Amir, M.; Ahmad, N.; Sarfaroz, M.; Ahmad, W.; Ahmad, S.; Mujeeb, M.; Pottoo, F. Tamarindus Indica Fruit: Pharmacognostical Standardization, Detection of Contaminant, and in Vitro Antioxidant Activity. </w:t>
      </w:r>
      <w:r w:rsidRPr="009E57EB">
        <w:rPr>
          <w:rFonts w:ascii="Times New Roman" w:hAnsi="Times New Roman" w:cs="Times New Roman"/>
          <w:i/>
          <w:iCs/>
          <w:noProof/>
          <w:sz w:val="24"/>
          <w:szCs w:val="24"/>
        </w:rPr>
        <w:t>J. Pharm. Bioallied Sci.</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2019</w:t>
      </w:r>
      <w:r w:rsidRPr="009E57EB">
        <w:rPr>
          <w:rFonts w:ascii="Times New Roman" w:hAnsi="Times New Roman" w:cs="Times New Roman"/>
          <w:noProof/>
          <w:sz w:val="24"/>
          <w:szCs w:val="24"/>
        </w:rPr>
        <w:t>, doi:10.4103/jpbs.JPBS_46_19.</w:t>
      </w:r>
    </w:p>
    <w:p w14:paraId="68801666"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31. </w:t>
      </w:r>
      <w:r w:rsidRPr="009E57EB">
        <w:rPr>
          <w:rFonts w:ascii="Times New Roman" w:hAnsi="Times New Roman" w:cs="Times New Roman"/>
          <w:noProof/>
          <w:sz w:val="24"/>
          <w:szCs w:val="24"/>
        </w:rPr>
        <w:tab/>
        <w:t xml:space="preserve">Krupanidhi, S.; Abraham Peele, K.; Venkateswarulu, T.C.; Ayyagari, V.S.; Nazneen Bobby, M.; John Babu, D.; Venkata Narayana, A.; Aishwarya, G. Screening of Phytochemical Compounds of Tinospora Cordifolia for Their Inhibitory Activity on SARS-CoV-2: An in Silico Study. </w:t>
      </w:r>
      <w:r w:rsidRPr="009E57EB">
        <w:rPr>
          <w:rFonts w:ascii="Times New Roman" w:hAnsi="Times New Roman" w:cs="Times New Roman"/>
          <w:i/>
          <w:iCs/>
          <w:noProof/>
          <w:sz w:val="24"/>
          <w:szCs w:val="24"/>
        </w:rPr>
        <w:t>J. Biomol. Struct. Dyn.</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2020</w:t>
      </w:r>
      <w:r w:rsidRPr="009E57EB">
        <w:rPr>
          <w:rFonts w:ascii="Times New Roman" w:hAnsi="Times New Roman" w:cs="Times New Roman"/>
          <w:noProof/>
          <w:sz w:val="24"/>
          <w:szCs w:val="24"/>
        </w:rPr>
        <w:t>, doi:10.1080/07391102.2020.1787226.</w:t>
      </w:r>
    </w:p>
    <w:p w14:paraId="14E82312" w14:textId="77777777" w:rsidR="009E57EB" w:rsidRPr="009E57EB" w:rsidRDefault="009E57EB" w:rsidP="009E57EB">
      <w:pPr>
        <w:widowControl w:val="0"/>
        <w:autoSpaceDE w:val="0"/>
        <w:autoSpaceDN w:val="0"/>
        <w:adjustRightInd w:val="0"/>
        <w:spacing w:line="360" w:lineRule="auto"/>
        <w:ind w:left="640" w:hanging="640"/>
        <w:rPr>
          <w:rFonts w:ascii="Times New Roman" w:hAnsi="Times New Roman" w:cs="Times New Roman"/>
          <w:noProof/>
          <w:sz w:val="24"/>
        </w:rPr>
      </w:pPr>
      <w:r w:rsidRPr="009E57EB">
        <w:rPr>
          <w:rFonts w:ascii="Times New Roman" w:hAnsi="Times New Roman" w:cs="Times New Roman"/>
          <w:noProof/>
          <w:sz w:val="24"/>
          <w:szCs w:val="24"/>
        </w:rPr>
        <w:t xml:space="preserve">32. </w:t>
      </w:r>
      <w:r w:rsidRPr="009E57EB">
        <w:rPr>
          <w:rFonts w:ascii="Times New Roman" w:hAnsi="Times New Roman" w:cs="Times New Roman"/>
          <w:noProof/>
          <w:sz w:val="24"/>
          <w:szCs w:val="24"/>
        </w:rPr>
        <w:tab/>
        <w:t xml:space="preserve">Sriraman, S.; Ramanujam, G.M.; Ramasamy, M.K.; Dubey, G.P. Identification of Beta-Sitosterol and Stigmasterol in Bambusa Bambos (L.) Voss Leaf Extract Using HPLC and Its Estrogenic Effect in Vitro. </w:t>
      </w:r>
      <w:r w:rsidRPr="009E57EB">
        <w:rPr>
          <w:rFonts w:ascii="Times New Roman" w:hAnsi="Times New Roman" w:cs="Times New Roman"/>
          <w:i/>
          <w:iCs/>
          <w:noProof/>
          <w:sz w:val="24"/>
          <w:szCs w:val="24"/>
        </w:rPr>
        <w:t>J. Pharm. Biomed. Anal.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2015</w:t>
      </w:r>
      <w:r w:rsidRPr="009E57EB">
        <w:rPr>
          <w:rFonts w:ascii="Times New Roman" w:hAnsi="Times New Roman" w:cs="Times New Roman"/>
          <w:noProof/>
          <w:sz w:val="24"/>
          <w:szCs w:val="24"/>
        </w:rPr>
        <w:t>, doi:10.1016/j.jpba.2015.06.024.</w:t>
      </w:r>
    </w:p>
    <w:p w14:paraId="27A72D12" w14:textId="22347082" w:rsidR="009E57EB" w:rsidRPr="009E57EB" w:rsidRDefault="009E57EB"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end"/>
      </w:r>
    </w:p>
    <w:p w14:paraId="19036312" w14:textId="77777777" w:rsidR="0010755C" w:rsidRPr="004F0A7F" w:rsidRDefault="0010755C" w:rsidP="00DA4AA9">
      <w:pPr>
        <w:spacing w:line="360" w:lineRule="auto"/>
        <w:jc w:val="both"/>
        <w:rPr>
          <w:rFonts w:ascii="Times New Roman" w:hAnsi="Times New Roman" w:cs="Times New Roman"/>
          <w:color w:val="000000" w:themeColor="text1"/>
          <w:sz w:val="24"/>
          <w:szCs w:val="24"/>
        </w:rPr>
      </w:pPr>
    </w:p>
    <w:sectPr w:rsidR="0010755C" w:rsidRPr="004F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E29"/>
    <w:multiLevelType w:val="hybridMultilevel"/>
    <w:tmpl w:val="C116E7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D12F3"/>
    <w:multiLevelType w:val="hybridMultilevel"/>
    <w:tmpl w:val="2D8E2E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6ACC"/>
    <w:multiLevelType w:val="multilevel"/>
    <w:tmpl w:val="BB20532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007BFB"/>
    <w:multiLevelType w:val="multilevel"/>
    <w:tmpl w:val="5B58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B65C4B"/>
    <w:multiLevelType w:val="hybridMultilevel"/>
    <w:tmpl w:val="26DC2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45770"/>
    <w:multiLevelType w:val="hybridMultilevel"/>
    <w:tmpl w:val="58F054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D009E"/>
    <w:multiLevelType w:val="hybridMultilevel"/>
    <w:tmpl w:val="97A2B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E561A5"/>
    <w:multiLevelType w:val="multilevel"/>
    <w:tmpl w:val="881E5B6C"/>
    <w:lvl w:ilvl="0">
      <w:start w:val="2"/>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4B390CC4"/>
    <w:multiLevelType w:val="hybridMultilevel"/>
    <w:tmpl w:val="FFD05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F2146"/>
    <w:multiLevelType w:val="multilevel"/>
    <w:tmpl w:val="48EA9F9C"/>
    <w:lvl w:ilvl="0">
      <w:start w:val="2"/>
      <w:numFmt w:val="decimal"/>
      <w:lvlText w:val="%1."/>
      <w:lvlJc w:val="left"/>
      <w:pPr>
        <w:ind w:left="540" w:hanging="540"/>
      </w:pPr>
      <w:rPr>
        <w:rFonts w:hint="default"/>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15:restartNumberingAfterBreak="0">
    <w:nsid w:val="63271662"/>
    <w:multiLevelType w:val="multilevel"/>
    <w:tmpl w:val="405C588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
  </w:num>
  <w:num w:numId="2">
    <w:abstractNumId w:val="0"/>
  </w:num>
  <w:num w:numId="3">
    <w:abstractNumId w:val="5"/>
  </w:num>
  <w:num w:numId="4">
    <w:abstractNumId w:val="8"/>
  </w:num>
  <w:num w:numId="5">
    <w:abstractNumId w:val="10"/>
  </w:num>
  <w:num w:numId="6">
    <w:abstractNumId w:val="2"/>
  </w:num>
  <w:num w:numId="7">
    <w:abstractNumId w:val="7"/>
  </w:num>
  <w:num w:numId="8">
    <w:abstractNumId w:val="9"/>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18"/>
    <w:rsid w:val="0010755C"/>
    <w:rsid w:val="00394744"/>
    <w:rsid w:val="003C4065"/>
    <w:rsid w:val="003C52ED"/>
    <w:rsid w:val="003E1B16"/>
    <w:rsid w:val="0043765B"/>
    <w:rsid w:val="004B73EE"/>
    <w:rsid w:val="004F0A7F"/>
    <w:rsid w:val="00574309"/>
    <w:rsid w:val="005B5C3E"/>
    <w:rsid w:val="0078114B"/>
    <w:rsid w:val="007C774D"/>
    <w:rsid w:val="008540F0"/>
    <w:rsid w:val="0085503B"/>
    <w:rsid w:val="008F4B24"/>
    <w:rsid w:val="009511ED"/>
    <w:rsid w:val="009E57EB"/>
    <w:rsid w:val="00A109B3"/>
    <w:rsid w:val="00A819C5"/>
    <w:rsid w:val="00A87053"/>
    <w:rsid w:val="00A940A5"/>
    <w:rsid w:val="00AD104B"/>
    <w:rsid w:val="00AD10B6"/>
    <w:rsid w:val="00AD2A56"/>
    <w:rsid w:val="00B469E9"/>
    <w:rsid w:val="00B50B8E"/>
    <w:rsid w:val="00C17477"/>
    <w:rsid w:val="00C203C1"/>
    <w:rsid w:val="00C417C6"/>
    <w:rsid w:val="00CB2501"/>
    <w:rsid w:val="00D8624D"/>
    <w:rsid w:val="00DA4AA9"/>
    <w:rsid w:val="00DC4244"/>
    <w:rsid w:val="00E231AD"/>
    <w:rsid w:val="00E25B31"/>
    <w:rsid w:val="00E561E6"/>
    <w:rsid w:val="00EE5569"/>
    <w:rsid w:val="00EF3CDA"/>
    <w:rsid w:val="00F31DA8"/>
    <w:rsid w:val="00F31ED0"/>
    <w:rsid w:val="00F74B0F"/>
    <w:rsid w:val="00F83531"/>
    <w:rsid w:val="00FC3C18"/>
    <w:rsid w:val="00FC54AC"/>
    <w:rsid w:val="00FF74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4927"/>
  <w15:chartTrackingRefBased/>
  <w15:docId w15:val="{6E2BE864-F7E1-442C-AC74-7C0B7865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7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4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47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4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AD"/>
    <w:pPr>
      <w:ind w:left="720"/>
      <w:contextualSpacing/>
    </w:pPr>
  </w:style>
  <w:style w:type="character" w:customStyle="1" w:styleId="Heading1Char">
    <w:name w:val="Heading 1 Char"/>
    <w:basedOn w:val="DefaultParagraphFont"/>
    <w:link w:val="Heading1"/>
    <w:uiPriority w:val="9"/>
    <w:rsid w:val="003947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47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47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424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99947">
      <w:bodyDiv w:val="1"/>
      <w:marLeft w:val="0"/>
      <w:marRight w:val="0"/>
      <w:marTop w:val="0"/>
      <w:marBottom w:val="0"/>
      <w:divBdr>
        <w:top w:val="none" w:sz="0" w:space="0" w:color="auto"/>
        <w:left w:val="none" w:sz="0" w:space="0" w:color="auto"/>
        <w:bottom w:val="none" w:sz="0" w:space="0" w:color="auto"/>
        <w:right w:val="none" w:sz="0" w:space="0" w:color="auto"/>
      </w:divBdr>
    </w:div>
    <w:div w:id="473643390">
      <w:bodyDiv w:val="1"/>
      <w:marLeft w:val="0"/>
      <w:marRight w:val="0"/>
      <w:marTop w:val="0"/>
      <w:marBottom w:val="0"/>
      <w:divBdr>
        <w:top w:val="none" w:sz="0" w:space="0" w:color="auto"/>
        <w:left w:val="none" w:sz="0" w:space="0" w:color="auto"/>
        <w:bottom w:val="none" w:sz="0" w:space="0" w:color="auto"/>
        <w:right w:val="none" w:sz="0" w:space="0" w:color="auto"/>
      </w:divBdr>
      <w:divsChild>
        <w:div w:id="1316762455">
          <w:marLeft w:val="0"/>
          <w:marRight w:val="0"/>
          <w:marTop w:val="0"/>
          <w:marBottom w:val="0"/>
          <w:divBdr>
            <w:top w:val="single" w:sz="2" w:space="0" w:color="auto"/>
            <w:left w:val="single" w:sz="2" w:space="0" w:color="auto"/>
            <w:bottom w:val="single" w:sz="6" w:space="0" w:color="auto"/>
            <w:right w:val="single" w:sz="2" w:space="0" w:color="auto"/>
          </w:divBdr>
          <w:divsChild>
            <w:div w:id="1127427908">
              <w:marLeft w:val="0"/>
              <w:marRight w:val="0"/>
              <w:marTop w:val="100"/>
              <w:marBottom w:val="100"/>
              <w:divBdr>
                <w:top w:val="single" w:sz="2" w:space="0" w:color="D9D9E3"/>
                <w:left w:val="single" w:sz="2" w:space="0" w:color="D9D9E3"/>
                <w:bottom w:val="single" w:sz="2" w:space="0" w:color="D9D9E3"/>
                <w:right w:val="single" w:sz="2" w:space="0" w:color="D9D9E3"/>
              </w:divBdr>
              <w:divsChild>
                <w:div w:id="1925725140">
                  <w:marLeft w:val="0"/>
                  <w:marRight w:val="0"/>
                  <w:marTop w:val="0"/>
                  <w:marBottom w:val="0"/>
                  <w:divBdr>
                    <w:top w:val="single" w:sz="2" w:space="0" w:color="D9D9E3"/>
                    <w:left w:val="single" w:sz="2" w:space="0" w:color="D9D9E3"/>
                    <w:bottom w:val="single" w:sz="2" w:space="0" w:color="D9D9E3"/>
                    <w:right w:val="single" w:sz="2" w:space="0" w:color="D9D9E3"/>
                  </w:divBdr>
                  <w:divsChild>
                    <w:div w:id="341129973">
                      <w:marLeft w:val="0"/>
                      <w:marRight w:val="0"/>
                      <w:marTop w:val="0"/>
                      <w:marBottom w:val="0"/>
                      <w:divBdr>
                        <w:top w:val="single" w:sz="2" w:space="0" w:color="D9D9E3"/>
                        <w:left w:val="single" w:sz="2" w:space="0" w:color="D9D9E3"/>
                        <w:bottom w:val="single" w:sz="2" w:space="0" w:color="D9D9E3"/>
                        <w:right w:val="single" w:sz="2" w:space="0" w:color="D9D9E3"/>
                      </w:divBdr>
                      <w:divsChild>
                        <w:div w:id="1014765507">
                          <w:marLeft w:val="0"/>
                          <w:marRight w:val="0"/>
                          <w:marTop w:val="0"/>
                          <w:marBottom w:val="0"/>
                          <w:divBdr>
                            <w:top w:val="single" w:sz="2" w:space="0" w:color="D9D9E3"/>
                            <w:left w:val="single" w:sz="2" w:space="0" w:color="D9D9E3"/>
                            <w:bottom w:val="single" w:sz="2" w:space="0" w:color="D9D9E3"/>
                            <w:right w:val="single" w:sz="2" w:space="0" w:color="D9D9E3"/>
                          </w:divBdr>
                          <w:divsChild>
                            <w:div w:id="258829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0542452">
      <w:bodyDiv w:val="1"/>
      <w:marLeft w:val="0"/>
      <w:marRight w:val="0"/>
      <w:marTop w:val="0"/>
      <w:marBottom w:val="0"/>
      <w:divBdr>
        <w:top w:val="none" w:sz="0" w:space="0" w:color="auto"/>
        <w:left w:val="none" w:sz="0" w:space="0" w:color="auto"/>
        <w:bottom w:val="none" w:sz="0" w:space="0" w:color="auto"/>
        <w:right w:val="none" w:sz="0" w:space="0" w:color="auto"/>
      </w:divBdr>
    </w:div>
    <w:div w:id="942149765">
      <w:bodyDiv w:val="1"/>
      <w:marLeft w:val="0"/>
      <w:marRight w:val="0"/>
      <w:marTop w:val="0"/>
      <w:marBottom w:val="0"/>
      <w:divBdr>
        <w:top w:val="none" w:sz="0" w:space="0" w:color="auto"/>
        <w:left w:val="none" w:sz="0" w:space="0" w:color="auto"/>
        <w:bottom w:val="none" w:sz="0" w:space="0" w:color="auto"/>
        <w:right w:val="none" w:sz="0" w:space="0" w:color="auto"/>
      </w:divBdr>
    </w:div>
    <w:div w:id="1172643904">
      <w:bodyDiv w:val="1"/>
      <w:marLeft w:val="0"/>
      <w:marRight w:val="0"/>
      <w:marTop w:val="0"/>
      <w:marBottom w:val="0"/>
      <w:divBdr>
        <w:top w:val="none" w:sz="0" w:space="0" w:color="auto"/>
        <w:left w:val="none" w:sz="0" w:space="0" w:color="auto"/>
        <w:bottom w:val="none" w:sz="0" w:space="0" w:color="auto"/>
        <w:right w:val="none" w:sz="0" w:space="0" w:color="auto"/>
      </w:divBdr>
    </w:div>
    <w:div w:id="1715228587">
      <w:bodyDiv w:val="1"/>
      <w:marLeft w:val="0"/>
      <w:marRight w:val="0"/>
      <w:marTop w:val="0"/>
      <w:marBottom w:val="0"/>
      <w:divBdr>
        <w:top w:val="none" w:sz="0" w:space="0" w:color="auto"/>
        <w:left w:val="none" w:sz="0" w:space="0" w:color="auto"/>
        <w:bottom w:val="none" w:sz="0" w:space="0" w:color="auto"/>
        <w:right w:val="none" w:sz="0" w:space="0" w:color="auto"/>
      </w:divBdr>
    </w:div>
    <w:div w:id="195621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77ABE-F4EE-4C0B-828A-1C4F07BDE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17</Pages>
  <Words>19843</Words>
  <Characters>113106</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Gaurav</dc:creator>
  <cp:keywords/>
  <dc:description/>
  <cp:lastModifiedBy>Gautam Gaurav</cp:lastModifiedBy>
  <cp:revision>33</cp:revision>
  <dcterms:created xsi:type="dcterms:W3CDTF">2023-06-23T18:07:00Z</dcterms:created>
  <dcterms:modified xsi:type="dcterms:W3CDTF">2023-06-29T11:14:00Z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http://www.zotero.org/styles/evidence-based-complementary-and-alternative-medicine</vt:lpwstr>
  </property>
  <property fmtid="{D5CDD505-2E9C-101B-9397-08002B2CF9AE}" pid="3" name="Mendeley Recent Style Name 0_1">
    <vt:lpwstr>Evidence-Based Complementary and Alternative Medicine</vt:lpwstr>
  </property>
  <property fmtid="{D5CDD505-2E9C-101B-9397-08002B2CF9AE}" pid="4" name="Mendeley Recent Style Id 1_1">
    <vt:lpwstr>http://www.zotero.org/styles/fitoterapia</vt:lpwstr>
  </property>
  <property fmtid="{D5CDD505-2E9C-101B-9397-08002B2CF9AE}" pid="5" name="Mendeley Recent Style Name 1_1">
    <vt:lpwstr>Fitoterapia</vt:lpwstr>
  </property>
  <property fmtid="{D5CDD505-2E9C-101B-9397-08002B2CF9AE}" pid="6" name="Mendeley Recent Style Id 2_1">
    <vt:lpwstr>http://www.zotero.org/styles/journal-of-ayurveda-and-integrative-medicine</vt:lpwstr>
  </property>
  <property fmtid="{D5CDD505-2E9C-101B-9397-08002B2CF9AE}" pid="7" name="Mendeley Recent Style Name 2_1">
    <vt:lpwstr>Journal of Ayurveda and Integrative Medicine</vt:lpwstr>
  </property>
  <property fmtid="{D5CDD505-2E9C-101B-9397-08002B2CF9AE}" pid="8" name="Mendeley Recent Style Id 3_1">
    <vt:lpwstr>http://www.zotero.org/styles/journal-of-ethnopharmacology</vt:lpwstr>
  </property>
  <property fmtid="{D5CDD505-2E9C-101B-9397-08002B2CF9AE}" pid="9" name="Mendeley Recent Style Name 3_1">
    <vt:lpwstr>Journal of Ethnopharmacology</vt:lpwstr>
  </property>
  <property fmtid="{D5CDD505-2E9C-101B-9397-08002B2CF9AE}" pid="10" name="Mendeley Recent Style Id 4_1">
    <vt:lpwstr>http://www.zotero.org/styles/journal-of-food-and-drug-analysis</vt:lpwstr>
  </property>
  <property fmtid="{D5CDD505-2E9C-101B-9397-08002B2CF9AE}" pid="11" name="Mendeley Recent Style Name 4_1">
    <vt:lpwstr>Journal of Food and Drug Analysis</vt:lpwstr>
  </property>
  <property fmtid="{D5CDD505-2E9C-101B-9397-08002B2CF9AE}" pid="12" name="Mendeley Recent Style Id 5_1">
    <vt:lpwstr>http://www.zotero.org/styles/journal-of-herbal-medicine</vt:lpwstr>
  </property>
  <property fmtid="{D5CDD505-2E9C-101B-9397-08002B2CF9AE}" pid="13" name="Mendeley Recent Style Name 5_1">
    <vt:lpwstr>Journal of Herbal Medicine</vt:lpwstr>
  </property>
  <property fmtid="{D5CDD505-2E9C-101B-9397-08002B2CF9AE}" pid="14" name="Mendeley Recent Style Id 6_1">
    <vt:lpwstr>http://www.zotero.org/styles/journal-of-reproductive-immunology</vt:lpwstr>
  </property>
  <property fmtid="{D5CDD505-2E9C-101B-9397-08002B2CF9AE}" pid="15" name="Mendeley Recent Style Name 6_1">
    <vt:lpwstr>Journal of Reproductive Immunology</vt:lpwstr>
  </property>
  <property fmtid="{D5CDD505-2E9C-101B-9397-08002B2CF9AE}" pid="16" name="Mendeley Recent Style Id 7_1">
    <vt:lpwstr>http://www.zotero.org/styles/plants</vt:lpwstr>
  </property>
  <property fmtid="{D5CDD505-2E9C-101B-9397-08002B2CF9AE}" pid="17" name="Mendeley Recent Style Name 7_1">
    <vt:lpwstr>Plants</vt:lpwstr>
  </property>
  <property fmtid="{D5CDD505-2E9C-101B-9397-08002B2CF9AE}" pid="18" name="Mendeley Recent Style Id 8_1">
    <vt:lpwstr>http://www.zotero.org/styles/saudi-journal-of-biological-sciences</vt:lpwstr>
  </property>
  <property fmtid="{D5CDD505-2E9C-101B-9397-08002B2CF9AE}" pid="19" name="Mendeley Recent Style Name 8_1">
    <vt:lpwstr>Saudi Journal of Biological Sciences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9a6702b9-982b-3bc3-a0a6-d67b562ebad1</vt:lpwstr>
  </property>
  <property fmtid="{D5CDD505-2E9C-101B-9397-08002B2CF9AE}" pid="24" name="Mendeley Citation Style_1">
    <vt:lpwstr>http://www.zotero.org/styles/plants</vt:lpwstr>
  </property>
</Properties>
</file>