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1FD" w:rsidRPr="003F7437" w:rsidRDefault="003601FD" w:rsidP="003601FD">
      <w:pPr>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Planktons as Bio-indicators in </w:t>
      </w:r>
      <w:proofErr w:type="spellStart"/>
      <w:r w:rsidRPr="003F7437">
        <w:rPr>
          <w:rFonts w:ascii="Times New Roman" w:hAnsi="Times New Roman"/>
          <w:b/>
          <w:color w:val="000000" w:themeColor="text1"/>
          <w:sz w:val="24"/>
          <w:szCs w:val="24"/>
        </w:rPr>
        <w:t>Lotic</w:t>
      </w:r>
      <w:proofErr w:type="spellEnd"/>
      <w:r w:rsidRPr="003F7437">
        <w:rPr>
          <w:rFonts w:ascii="Times New Roman" w:hAnsi="Times New Roman"/>
          <w:b/>
          <w:color w:val="000000" w:themeColor="text1"/>
          <w:sz w:val="24"/>
          <w:szCs w:val="24"/>
        </w:rPr>
        <w:t xml:space="preserve"> Aquatic Ecosystem of Tungabhadra River near </w:t>
      </w:r>
      <w:proofErr w:type="spellStart"/>
      <w:r w:rsidRPr="003F7437">
        <w:rPr>
          <w:rFonts w:ascii="Times New Roman" w:hAnsi="Times New Roman"/>
          <w:b/>
          <w:color w:val="000000" w:themeColor="text1"/>
          <w:sz w:val="24"/>
          <w:szCs w:val="24"/>
        </w:rPr>
        <w:t>Harihar</w:t>
      </w:r>
      <w:proofErr w:type="spellEnd"/>
      <w:r w:rsidRPr="003F7437">
        <w:rPr>
          <w:rFonts w:ascii="Times New Roman" w:hAnsi="Times New Roman"/>
          <w:b/>
          <w:color w:val="000000" w:themeColor="text1"/>
          <w:sz w:val="24"/>
          <w:szCs w:val="24"/>
        </w:rPr>
        <w:t>, Karnataka State, India</w:t>
      </w:r>
    </w:p>
    <w:p w:rsidR="003601FD" w:rsidRPr="003F7437" w:rsidRDefault="003601FD" w:rsidP="003601FD">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Suresh B</w:t>
      </w:r>
    </w:p>
    <w:p w:rsidR="003601FD" w:rsidRPr="003601FD" w:rsidRDefault="003601FD" w:rsidP="003601FD">
      <w:pPr>
        <w:spacing w:after="0" w:line="240" w:lineRule="auto"/>
        <w:jc w:val="center"/>
        <w:rPr>
          <w:rFonts w:ascii="Times New Roman" w:hAnsi="Times New Roman"/>
          <w:color w:val="000000" w:themeColor="text1"/>
          <w:sz w:val="24"/>
          <w:szCs w:val="24"/>
        </w:rPr>
      </w:pPr>
      <w:r w:rsidRPr="00964B14">
        <w:rPr>
          <w:rFonts w:ascii="Times New Roman" w:hAnsi="Times New Roman"/>
          <w:color w:val="000000" w:themeColor="text1"/>
          <w:sz w:val="20"/>
          <w:szCs w:val="24"/>
        </w:rPr>
        <w:t xml:space="preserve">Department of Civil Engineering, </w:t>
      </w:r>
      <w:proofErr w:type="spellStart"/>
      <w:r w:rsidRPr="00964B14">
        <w:rPr>
          <w:rFonts w:ascii="Times New Roman" w:hAnsi="Times New Roman"/>
          <w:color w:val="000000" w:themeColor="text1"/>
          <w:sz w:val="20"/>
          <w:szCs w:val="24"/>
        </w:rPr>
        <w:t>Bapuji</w:t>
      </w:r>
      <w:proofErr w:type="spellEnd"/>
      <w:r w:rsidRPr="00964B14">
        <w:rPr>
          <w:rFonts w:ascii="Times New Roman" w:hAnsi="Times New Roman"/>
          <w:color w:val="000000" w:themeColor="text1"/>
          <w:sz w:val="20"/>
          <w:szCs w:val="24"/>
        </w:rPr>
        <w:t xml:space="preserve"> Institute of Engineering and Technology, </w:t>
      </w:r>
      <w:proofErr w:type="spellStart"/>
      <w:r w:rsidRPr="00964B14">
        <w:rPr>
          <w:rFonts w:ascii="Times New Roman" w:hAnsi="Times New Roman"/>
          <w:color w:val="000000" w:themeColor="text1"/>
          <w:sz w:val="20"/>
          <w:szCs w:val="24"/>
        </w:rPr>
        <w:t>Davangere</w:t>
      </w:r>
      <w:proofErr w:type="spellEnd"/>
      <w:r w:rsidRPr="00964B14">
        <w:rPr>
          <w:rFonts w:ascii="Times New Roman" w:hAnsi="Times New Roman"/>
          <w:color w:val="000000" w:themeColor="text1"/>
          <w:sz w:val="20"/>
          <w:szCs w:val="24"/>
        </w:rPr>
        <w:t xml:space="preserve"> – 577004, Karnataka, India</w:t>
      </w:r>
    </w:p>
    <w:p w:rsidR="00964B14" w:rsidRDefault="00964B14" w:rsidP="00964B14">
      <w:pPr>
        <w:spacing w:after="0" w:line="240" w:lineRule="auto"/>
        <w:jc w:val="center"/>
        <w:rPr>
          <w:rFonts w:ascii="Times New Roman" w:hAnsi="Times New Roman"/>
          <w:color w:val="000000" w:themeColor="text1"/>
          <w:sz w:val="24"/>
          <w:szCs w:val="24"/>
        </w:rPr>
      </w:pPr>
    </w:p>
    <w:p w:rsidR="00964B14" w:rsidRPr="00964B14" w:rsidRDefault="00964B14" w:rsidP="00964B14">
      <w:pPr>
        <w:spacing w:after="0" w:line="240" w:lineRule="auto"/>
        <w:jc w:val="center"/>
        <w:rPr>
          <w:rFonts w:ascii="Times New Roman" w:hAnsi="Times New Roman"/>
          <w:b/>
          <w:color w:val="000000" w:themeColor="text1"/>
          <w:sz w:val="24"/>
          <w:szCs w:val="24"/>
        </w:rPr>
      </w:pPr>
      <w:r w:rsidRPr="00964B14">
        <w:rPr>
          <w:rFonts w:ascii="Times New Roman" w:hAnsi="Times New Roman"/>
          <w:b/>
          <w:color w:val="000000" w:themeColor="text1"/>
          <w:sz w:val="24"/>
          <w:szCs w:val="24"/>
        </w:rPr>
        <w:t>Abstract</w:t>
      </w:r>
    </w:p>
    <w:p w:rsidR="00964B14" w:rsidRPr="00964B14" w:rsidRDefault="00964B14" w:rsidP="00964B14">
      <w:pPr>
        <w:spacing w:after="0" w:line="240" w:lineRule="auto"/>
        <w:jc w:val="both"/>
        <w:rPr>
          <w:rFonts w:ascii="Times New Roman" w:hAnsi="Times New Roman"/>
          <w:color w:val="000000" w:themeColor="text1"/>
          <w:sz w:val="20"/>
          <w:szCs w:val="24"/>
        </w:rPr>
      </w:pPr>
      <w:r w:rsidRPr="00964B14">
        <w:rPr>
          <w:rFonts w:ascii="Times New Roman" w:hAnsi="Times New Roman"/>
          <w:color w:val="000000" w:themeColor="text1"/>
          <w:sz w:val="20"/>
          <w:szCs w:val="24"/>
        </w:rPr>
        <w:t xml:space="preserve">Phytoplankton and zooplankton play a crucial role as </w:t>
      </w:r>
      <w:proofErr w:type="spellStart"/>
      <w:r w:rsidRPr="00964B14">
        <w:rPr>
          <w:rFonts w:ascii="Times New Roman" w:hAnsi="Times New Roman"/>
          <w:color w:val="000000" w:themeColor="text1"/>
          <w:sz w:val="20"/>
          <w:szCs w:val="24"/>
        </w:rPr>
        <w:t>bioindicators</w:t>
      </w:r>
      <w:proofErr w:type="spellEnd"/>
      <w:r w:rsidRPr="00964B14">
        <w:rPr>
          <w:rFonts w:ascii="Times New Roman" w:hAnsi="Times New Roman"/>
          <w:color w:val="000000" w:themeColor="text1"/>
          <w:sz w:val="20"/>
          <w:szCs w:val="24"/>
        </w:rPr>
        <w:t xml:space="preserve"> within </w:t>
      </w:r>
      <w:proofErr w:type="spellStart"/>
      <w:r w:rsidRPr="00964B14">
        <w:rPr>
          <w:rFonts w:ascii="Times New Roman" w:hAnsi="Times New Roman"/>
          <w:color w:val="000000" w:themeColor="text1"/>
          <w:sz w:val="20"/>
          <w:szCs w:val="24"/>
        </w:rPr>
        <w:t>lotic</w:t>
      </w:r>
      <w:proofErr w:type="spellEnd"/>
      <w:r w:rsidRPr="00964B14">
        <w:rPr>
          <w:rFonts w:ascii="Times New Roman" w:hAnsi="Times New Roman"/>
          <w:color w:val="000000" w:themeColor="text1"/>
          <w:sz w:val="20"/>
          <w:szCs w:val="24"/>
        </w:rPr>
        <w:t xml:space="preserve"> aquatic environments, contributing to the health of their respective food webs. The evaluation aimed to assess the presence and periodicity of these </w:t>
      </w:r>
      <w:proofErr w:type="spellStart"/>
      <w:r w:rsidRPr="00964B14">
        <w:rPr>
          <w:rFonts w:ascii="Times New Roman" w:hAnsi="Times New Roman"/>
          <w:color w:val="000000" w:themeColor="text1"/>
          <w:sz w:val="20"/>
          <w:szCs w:val="24"/>
        </w:rPr>
        <w:t>bioindicators</w:t>
      </w:r>
      <w:proofErr w:type="spellEnd"/>
      <w:r w:rsidRPr="00964B14">
        <w:rPr>
          <w:rFonts w:ascii="Times New Roman" w:hAnsi="Times New Roman"/>
          <w:color w:val="000000" w:themeColor="text1"/>
          <w:sz w:val="20"/>
          <w:szCs w:val="24"/>
        </w:rPr>
        <w:t xml:space="preserve"> in such ecosystems. The research was conducted along the Tungabhadra River near </w:t>
      </w:r>
      <w:proofErr w:type="spellStart"/>
      <w:r w:rsidRPr="00964B14">
        <w:rPr>
          <w:rFonts w:ascii="Times New Roman" w:hAnsi="Times New Roman"/>
          <w:color w:val="000000" w:themeColor="text1"/>
          <w:sz w:val="20"/>
          <w:szCs w:val="24"/>
        </w:rPr>
        <w:t>Harihar</w:t>
      </w:r>
      <w:proofErr w:type="spellEnd"/>
      <w:r w:rsidRPr="00964B14">
        <w:rPr>
          <w:rFonts w:ascii="Times New Roman" w:hAnsi="Times New Roman"/>
          <w:color w:val="000000" w:themeColor="text1"/>
          <w:sz w:val="20"/>
          <w:szCs w:val="24"/>
        </w:rPr>
        <w:t xml:space="preserve">, Karnataka State, India. Plankton samples were collected using specialized nets from chosen locations within the aquatic system. Over the span of a year, a total of 465 anuran specimens were gathered, with 357 from Station 1 and 2, and 108 from Station 3 and 4. The diversity of phytoplankton and zooplankton species was recorded and quantified. Abundance referred to the number of species within a cluster in relation to the total number across all clusters. Various biological indices including Simpson’s Dominance, </w:t>
      </w:r>
      <w:proofErr w:type="spellStart"/>
      <w:r w:rsidRPr="00964B14">
        <w:rPr>
          <w:rFonts w:ascii="Times New Roman" w:hAnsi="Times New Roman"/>
          <w:color w:val="000000" w:themeColor="text1"/>
          <w:sz w:val="20"/>
          <w:szCs w:val="24"/>
        </w:rPr>
        <w:t>Gini</w:t>
      </w:r>
      <w:proofErr w:type="spellEnd"/>
      <w:r w:rsidRPr="00964B14">
        <w:rPr>
          <w:rFonts w:ascii="Times New Roman" w:hAnsi="Times New Roman"/>
          <w:color w:val="000000" w:themeColor="text1"/>
          <w:sz w:val="20"/>
          <w:szCs w:val="24"/>
        </w:rPr>
        <w:t xml:space="preserve">-Simpson's, Shannon-Wiener, Berger-Parker, </w:t>
      </w:r>
      <w:proofErr w:type="spellStart"/>
      <w:r w:rsidRPr="00964B14">
        <w:rPr>
          <w:rFonts w:ascii="Times New Roman" w:hAnsi="Times New Roman"/>
          <w:color w:val="000000" w:themeColor="text1"/>
          <w:sz w:val="20"/>
          <w:szCs w:val="24"/>
        </w:rPr>
        <w:t>Margalef’s</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Menhinick’s</w:t>
      </w:r>
      <w:proofErr w:type="spellEnd"/>
      <w:r w:rsidRPr="00964B14">
        <w:rPr>
          <w:rFonts w:ascii="Times New Roman" w:hAnsi="Times New Roman"/>
          <w:color w:val="000000" w:themeColor="text1"/>
          <w:sz w:val="20"/>
          <w:szCs w:val="24"/>
        </w:rPr>
        <w:t xml:space="preserve">, Fisher alpha, Equitability, </w:t>
      </w:r>
      <w:proofErr w:type="spellStart"/>
      <w:r w:rsidRPr="00964B14">
        <w:rPr>
          <w:rFonts w:ascii="Times New Roman" w:hAnsi="Times New Roman"/>
          <w:color w:val="000000" w:themeColor="text1"/>
          <w:sz w:val="20"/>
          <w:szCs w:val="24"/>
        </w:rPr>
        <w:t>Brillouin</w:t>
      </w:r>
      <w:proofErr w:type="spellEnd"/>
      <w:r w:rsidRPr="00964B14">
        <w:rPr>
          <w:rFonts w:ascii="Times New Roman" w:hAnsi="Times New Roman"/>
          <w:color w:val="000000" w:themeColor="text1"/>
          <w:sz w:val="20"/>
          <w:szCs w:val="24"/>
        </w:rPr>
        <w:t xml:space="preserve">, and Chao were computed using established methods. The collected species data were statistically analyzed using tools like Statistical Package for Social Sciences (SPSS) version 20.0, PAST version 3.14, and Microsoft Office. The significance level was set at p &lt; 0.05. The identified </w:t>
      </w:r>
      <w:proofErr w:type="spellStart"/>
      <w:r w:rsidRPr="00964B14">
        <w:rPr>
          <w:rFonts w:ascii="Times New Roman" w:hAnsi="Times New Roman"/>
          <w:color w:val="000000" w:themeColor="text1"/>
          <w:sz w:val="20"/>
          <w:szCs w:val="24"/>
        </w:rPr>
        <w:t>bioindicators</w:t>
      </w:r>
      <w:proofErr w:type="spellEnd"/>
      <w:r w:rsidRPr="00964B14">
        <w:rPr>
          <w:rFonts w:ascii="Times New Roman" w:hAnsi="Times New Roman"/>
          <w:color w:val="000000" w:themeColor="text1"/>
          <w:sz w:val="20"/>
          <w:szCs w:val="24"/>
        </w:rPr>
        <w:t xml:space="preserve"> across all surveyed locations consisted of phytoplankton species such as </w:t>
      </w:r>
      <w:proofErr w:type="spellStart"/>
      <w:r w:rsidRPr="00964B14">
        <w:rPr>
          <w:rFonts w:ascii="Times New Roman" w:hAnsi="Times New Roman"/>
          <w:color w:val="000000" w:themeColor="text1"/>
          <w:sz w:val="20"/>
          <w:szCs w:val="24"/>
        </w:rPr>
        <w:t>Oscilatoria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Anabaenia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Anacystis</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Spirogyra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Oedogonium</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Savicular</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and Euglena spp. Zooplankton species included </w:t>
      </w:r>
      <w:proofErr w:type="spellStart"/>
      <w:r w:rsidRPr="00964B14">
        <w:rPr>
          <w:rFonts w:ascii="Times New Roman" w:hAnsi="Times New Roman"/>
          <w:color w:val="000000" w:themeColor="text1"/>
          <w:sz w:val="20"/>
          <w:szCs w:val="24"/>
        </w:rPr>
        <w:t>Epiphanes</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Philodina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Synchata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Poliathra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Holopedium</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Daphnia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Alona</w:t>
      </w:r>
      <w:proofErr w:type="spellEnd"/>
      <w:r w:rsidRPr="00964B14">
        <w:rPr>
          <w:rFonts w:ascii="Times New Roman" w:hAnsi="Times New Roman"/>
          <w:color w:val="000000" w:themeColor="text1"/>
          <w:sz w:val="20"/>
          <w:szCs w:val="24"/>
        </w:rPr>
        <w:t xml:space="preserve"> </w:t>
      </w:r>
      <w:proofErr w:type="spellStart"/>
      <w:r w:rsidRPr="00964B14">
        <w:rPr>
          <w:rFonts w:ascii="Times New Roman" w:hAnsi="Times New Roman"/>
          <w:color w:val="000000" w:themeColor="text1"/>
          <w:sz w:val="20"/>
          <w:szCs w:val="24"/>
        </w:rPr>
        <w:t>spp</w:t>
      </w:r>
      <w:proofErr w:type="spellEnd"/>
      <w:r w:rsidRPr="00964B14">
        <w:rPr>
          <w:rFonts w:ascii="Times New Roman" w:hAnsi="Times New Roman"/>
          <w:color w:val="000000" w:themeColor="text1"/>
          <w:sz w:val="20"/>
          <w:szCs w:val="24"/>
        </w:rPr>
        <w:t xml:space="preserve">, and </w:t>
      </w:r>
      <w:proofErr w:type="spellStart"/>
      <w:r w:rsidRPr="00964B14">
        <w:rPr>
          <w:rFonts w:ascii="Times New Roman" w:hAnsi="Times New Roman"/>
          <w:color w:val="000000" w:themeColor="text1"/>
          <w:sz w:val="20"/>
          <w:szCs w:val="24"/>
        </w:rPr>
        <w:t>Bosmina</w:t>
      </w:r>
      <w:proofErr w:type="spellEnd"/>
      <w:r w:rsidRPr="00964B14">
        <w:rPr>
          <w:rFonts w:ascii="Times New Roman" w:hAnsi="Times New Roman"/>
          <w:color w:val="000000" w:themeColor="text1"/>
          <w:sz w:val="20"/>
          <w:szCs w:val="24"/>
        </w:rPr>
        <w:t xml:space="preserve"> spp. The abundance and periodicity of these </w:t>
      </w:r>
      <w:proofErr w:type="spellStart"/>
      <w:r w:rsidRPr="00964B14">
        <w:rPr>
          <w:rFonts w:ascii="Times New Roman" w:hAnsi="Times New Roman"/>
          <w:color w:val="000000" w:themeColor="text1"/>
          <w:sz w:val="20"/>
          <w:szCs w:val="24"/>
        </w:rPr>
        <w:t>bioindicators</w:t>
      </w:r>
      <w:proofErr w:type="spellEnd"/>
      <w:r w:rsidRPr="00964B14">
        <w:rPr>
          <w:rFonts w:ascii="Times New Roman" w:hAnsi="Times New Roman"/>
          <w:color w:val="000000" w:themeColor="text1"/>
          <w:sz w:val="20"/>
          <w:szCs w:val="24"/>
        </w:rPr>
        <w:t xml:space="preserve"> within the selected </w:t>
      </w:r>
      <w:proofErr w:type="spellStart"/>
      <w:r w:rsidRPr="00964B14">
        <w:rPr>
          <w:rFonts w:ascii="Times New Roman" w:hAnsi="Times New Roman"/>
          <w:color w:val="000000" w:themeColor="text1"/>
          <w:sz w:val="20"/>
          <w:szCs w:val="24"/>
        </w:rPr>
        <w:t>lotic</w:t>
      </w:r>
      <w:proofErr w:type="spellEnd"/>
      <w:r w:rsidRPr="00964B14">
        <w:rPr>
          <w:rFonts w:ascii="Times New Roman" w:hAnsi="Times New Roman"/>
          <w:color w:val="000000" w:themeColor="text1"/>
          <w:sz w:val="20"/>
          <w:szCs w:val="24"/>
        </w:rPr>
        <w:t xml:space="preserve"> aquatic ecosystem revealed that species abundance was significantly influenced by variations in climate and weather conditions of the study area. Peak abundance was observed during the rainy period, whereas the dry period saw notably lower abundance levels.</w:t>
      </w:r>
    </w:p>
    <w:p w:rsidR="00964B14" w:rsidRDefault="00964B14" w:rsidP="00964B14">
      <w:pPr>
        <w:spacing w:after="0" w:line="240" w:lineRule="auto"/>
        <w:jc w:val="both"/>
        <w:rPr>
          <w:rFonts w:ascii="Times New Roman" w:hAnsi="Times New Roman"/>
          <w:color w:val="000000" w:themeColor="text1"/>
          <w:sz w:val="24"/>
          <w:szCs w:val="24"/>
        </w:rPr>
      </w:pPr>
    </w:p>
    <w:p w:rsidR="00964B14" w:rsidRPr="003F7437" w:rsidRDefault="00964B14" w:rsidP="00964B14">
      <w:pPr>
        <w:spacing w:after="0" w:line="312" w:lineRule="auto"/>
        <w:jc w:val="both"/>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Keywords: Abundance, </w:t>
      </w:r>
      <w:r>
        <w:rPr>
          <w:rFonts w:ascii="Times New Roman" w:hAnsi="Times New Roman"/>
          <w:b/>
          <w:color w:val="000000" w:themeColor="text1"/>
          <w:sz w:val="24"/>
          <w:szCs w:val="24"/>
        </w:rPr>
        <w:t>Periodically</w:t>
      </w:r>
      <w:r w:rsidRPr="003F7437">
        <w:rPr>
          <w:rFonts w:ascii="Times New Roman" w:hAnsi="Times New Roman"/>
          <w:b/>
          <w:color w:val="000000" w:themeColor="text1"/>
          <w:sz w:val="24"/>
          <w:szCs w:val="24"/>
        </w:rPr>
        <w:t xml:space="preserve">, bio-indicators, </w:t>
      </w:r>
      <w:proofErr w:type="spellStart"/>
      <w:r w:rsidRPr="003F7437">
        <w:rPr>
          <w:rFonts w:ascii="Times New Roman" w:hAnsi="Times New Roman"/>
          <w:b/>
          <w:color w:val="000000" w:themeColor="text1"/>
          <w:sz w:val="24"/>
          <w:szCs w:val="24"/>
        </w:rPr>
        <w:t>lotic</w:t>
      </w:r>
      <w:proofErr w:type="spellEnd"/>
      <w:r w:rsidRPr="003F7437">
        <w:rPr>
          <w:rFonts w:ascii="Times New Roman" w:hAnsi="Times New Roman"/>
          <w:b/>
          <w:color w:val="000000" w:themeColor="text1"/>
          <w:sz w:val="24"/>
          <w:szCs w:val="24"/>
        </w:rPr>
        <w:t xml:space="preserve">, aquatic, </w:t>
      </w:r>
      <w:proofErr w:type="spellStart"/>
      <w:r w:rsidRPr="003F7437">
        <w:rPr>
          <w:rFonts w:ascii="Times New Roman" w:hAnsi="Times New Roman"/>
          <w:b/>
          <w:color w:val="000000" w:themeColor="text1"/>
          <w:sz w:val="24"/>
          <w:szCs w:val="24"/>
        </w:rPr>
        <w:t>Harihar</w:t>
      </w:r>
      <w:proofErr w:type="spellEnd"/>
      <w:r w:rsidRPr="003F7437">
        <w:rPr>
          <w:rFonts w:ascii="Times New Roman" w:hAnsi="Times New Roman"/>
          <w:b/>
          <w:color w:val="000000" w:themeColor="text1"/>
          <w:sz w:val="24"/>
          <w:szCs w:val="24"/>
        </w:rPr>
        <w:t xml:space="preserve">, Karnataka State </w:t>
      </w:r>
    </w:p>
    <w:p w:rsidR="00964B14" w:rsidRPr="00964B14" w:rsidRDefault="00964B14" w:rsidP="00964B14">
      <w:pPr>
        <w:spacing w:after="0" w:line="240" w:lineRule="auto"/>
        <w:jc w:val="both"/>
        <w:rPr>
          <w:rFonts w:ascii="Times New Roman" w:hAnsi="Times New Roman"/>
          <w:color w:val="000000" w:themeColor="text1"/>
          <w:sz w:val="24"/>
          <w:szCs w:val="24"/>
        </w:rPr>
      </w:pPr>
    </w:p>
    <w:p w:rsidR="00964B14" w:rsidRPr="005F1911" w:rsidRDefault="00964B14" w:rsidP="00964B14">
      <w:pPr>
        <w:rPr>
          <w:b/>
          <w:sz w:val="24"/>
          <w:szCs w:val="24"/>
        </w:rPr>
      </w:pPr>
      <w:r w:rsidRPr="005F1911">
        <w:rPr>
          <w:b/>
          <w:sz w:val="24"/>
          <w:szCs w:val="24"/>
        </w:rPr>
        <w:t xml:space="preserve">Outline </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Preamble of the chapter</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Aim of the Chapter</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Methodology adopted in the chapter</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Role of </w:t>
      </w:r>
      <w:proofErr w:type="spellStart"/>
      <w:r>
        <w:rPr>
          <w:rFonts w:ascii="Times New Roman" w:hAnsi="Times New Roman"/>
          <w:color w:val="000000" w:themeColor="text1"/>
          <w:sz w:val="24"/>
          <w:szCs w:val="24"/>
        </w:rPr>
        <w:t>Bioindicators</w:t>
      </w:r>
      <w:proofErr w:type="spellEnd"/>
      <w:r w:rsidRPr="00964B14">
        <w:rPr>
          <w:rFonts w:ascii="Times New Roman" w:hAnsi="Times New Roman"/>
          <w:color w:val="000000" w:themeColor="text1"/>
          <w:sz w:val="24"/>
          <w:szCs w:val="24"/>
        </w:rPr>
        <w:t xml:space="preserve"> </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Pr>
          <w:rFonts w:ascii="Times New Roman" w:hAnsi="Times New Roman"/>
          <w:color w:val="000000" w:themeColor="text1"/>
          <w:sz w:val="24"/>
          <w:szCs w:val="24"/>
        </w:rPr>
        <w:t>Statistical Applications</w:t>
      </w:r>
    </w:p>
    <w:p w:rsidR="00964B14" w:rsidRPr="00964B14" w:rsidRDefault="00964B14" w:rsidP="00964B14">
      <w:pPr>
        <w:spacing w:after="0" w:line="240" w:lineRule="auto"/>
        <w:ind w:left="720"/>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Conclusion of the Chapter </w:t>
      </w:r>
    </w:p>
    <w:p w:rsidR="00964B14" w:rsidRDefault="00964B14" w:rsidP="00964B14">
      <w:pPr>
        <w:spacing w:after="0" w:line="240" w:lineRule="auto"/>
        <w:jc w:val="both"/>
        <w:rPr>
          <w:rFonts w:ascii="Times New Roman" w:hAnsi="Times New Roman"/>
          <w:color w:val="000000" w:themeColor="text1"/>
          <w:sz w:val="24"/>
          <w:szCs w:val="24"/>
        </w:rPr>
      </w:pPr>
    </w:p>
    <w:p w:rsidR="00964B14" w:rsidRPr="00964B14" w:rsidRDefault="00964B14" w:rsidP="00964B14">
      <w:pPr>
        <w:spacing w:after="0" w:line="240" w:lineRule="auto"/>
        <w:jc w:val="both"/>
        <w:rPr>
          <w:rFonts w:ascii="Times New Roman" w:hAnsi="Times New Roman"/>
          <w:b/>
          <w:color w:val="000000" w:themeColor="text1"/>
          <w:sz w:val="24"/>
          <w:szCs w:val="24"/>
        </w:rPr>
      </w:pPr>
      <w:r w:rsidRPr="00964B14">
        <w:rPr>
          <w:rFonts w:ascii="Times New Roman" w:hAnsi="Times New Roman"/>
          <w:b/>
          <w:color w:val="000000" w:themeColor="text1"/>
          <w:sz w:val="24"/>
          <w:szCs w:val="24"/>
        </w:rPr>
        <w:t>Introduction</w:t>
      </w: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Bio-indicators play a critical role within </w:t>
      </w:r>
      <w:proofErr w:type="spellStart"/>
      <w:r w:rsidRPr="00964B14">
        <w:rPr>
          <w:rFonts w:ascii="Times New Roman" w:hAnsi="Times New Roman"/>
          <w:color w:val="000000" w:themeColor="text1"/>
          <w:sz w:val="24"/>
          <w:szCs w:val="24"/>
        </w:rPr>
        <w:t>lotic</w:t>
      </w:r>
      <w:proofErr w:type="spellEnd"/>
      <w:r w:rsidRPr="00964B14">
        <w:rPr>
          <w:rFonts w:ascii="Times New Roman" w:hAnsi="Times New Roman"/>
          <w:color w:val="000000" w:themeColor="text1"/>
          <w:sz w:val="24"/>
          <w:szCs w:val="24"/>
        </w:rPr>
        <w:t xml:space="preserve"> aquatic ecosystems, forming integral components of their intricate food webs. The quality of these flowing water systems can be significantly impacted by intensive agricultural practices, population growth, and industrial activities, leading to alterations in water quality due to the discharge of wastewater into the ecosystem [1]. The primary contributors to variations in </w:t>
      </w:r>
      <w:proofErr w:type="spellStart"/>
      <w:r w:rsidRPr="00964B14">
        <w:rPr>
          <w:rFonts w:ascii="Times New Roman" w:hAnsi="Times New Roman"/>
          <w:color w:val="000000" w:themeColor="text1"/>
          <w:sz w:val="24"/>
          <w:szCs w:val="24"/>
        </w:rPr>
        <w:t>lotic</w:t>
      </w:r>
      <w:proofErr w:type="spellEnd"/>
      <w:r w:rsidRPr="00964B14">
        <w:rPr>
          <w:rFonts w:ascii="Times New Roman" w:hAnsi="Times New Roman"/>
          <w:color w:val="000000" w:themeColor="text1"/>
          <w:sz w:val="24"/>
          <w:szCs w:val="24"/>
        </w:rPr>
        <w:t xml:space="preserve"> water quality are human-made factors, encompassing changes in the physical, chemical, and biological attributes of water, as well as the unregulated utilization of water resources [2]. The extent of these changes is contingent upon the health of the species and ecological factors. Human activities, along with the influence of climate change, are likely to exert considerable influence on species populations. Particularly in </w:t>
      </w:r>
      <w:proofErr w:type="spellStart"/>
      <w:r w:rsidRPr="00964B14">
        <w:rPr>
          <w:rFonts w:ascii="Times New Roman" w:hAnsi="Times New Roman"/>
          <w:color w:val="000000" w:themeColor="text1"/>
          <w:sz w:val="24"/>
          <w:szCs w:val="24"/>
        </w:rPr>
        <w:t>lotic</w:t>
      </w:r>
      <w:proofErr w:type="spellEnd"/>
      <w:r w:rsidRPr="00964B14">
        <w:rPr>
          <w:rFonts w:ascii="Times New Roman" w:hAnsi="Times New Roman"/>
          <w:color w:val="000000" w:themeColor="text1"/>
          <w:sz w:val="24"/>
          <w:szCs w:val="24"/>
        </w:rPr>
        <w:t xml:space="preserve"> aquatic systems, phytoplankton stands as a pivotal species at the primary </w:t>
      </w:r>
      <w:proofErr w:type="spellStart"/>
      <w:r w:rsidRPr="00964B14">
        <w:rPr>
          <w:rFonts w:ascii="Times New Roman" w:hAnsi="Times New Roman"/>
          <w:color w:val="000000" w:themeColor="text1"/>
          <w:sz w:val="24"/>
          <w:szCs w:val="24"/>
        </w:rPr>
        <w:t>trophic</w:t>
      </w:r>
      <w:proofErr w:type="spellEnd"/>
      <w:r w:rsidRPr="00964B14">
        <w:rPr>
          <w:rFonts w:ascii="Times New Roman" w:hAnsi="Times New Roman"/>
          <w:color w:val="000000" w:themeColor="text1"/>
          <w:sz w:val="24"/>
          <w:szCs w:val="24"/>
        </w:rPr>
        <w:t xml:space="preserve"> level, assuming the role of the foundational link in the aquatic food chain. According to [5], optimal phytoplankton production occurs under conditions where </w:t>
      </w:r>
      <w:proofErr w:type="spellStart"/>
      <w:r w:rsidRPr="00964B14">
        <w:rPr>
          <w:rFonts w:ascii="Times New Roman" w:hAnsi="Times New Roman"/>
          <w:color w:val="000000" w:themeColor="text1"/>
          <w:sz w:val="24"/>
          <w:szCs w:val="24"/>
        </w:rPr>
        <w:t>physico</w:t>
      </w:r>
      <w:proofErr w:type="spellEnd"/>
      <w:r w:rsidRPr="00964B14">
        <w:rPr>
          <w:rFonts w:ascii="Times New Roman" w:hAnsi="Times New Roman"/>
          <w:color w:val="000000" w:themeColor="text1"/>
          <w:sz w:val="24"/>
          <w:szCs w:val="24"/>
        </w:rPr>
        <w:t xml:space="preserve">-chemical variables adhere to standard values. Among the significant indicators of water </w:t>
      </w:r>
      <w:r w:rsidRPr="00964B14">
        <w:rPr>
          <w:rFonts w:ascii="Times New Roman" w:hAnsi="Times New Roman"/>
          <w:color w:val="000000" w:themeColor="text1"/>
          <w:sz w:val="24"/>
          <w:szCs w:val="24"/>
        </w:rPr>
        <w:lastRenderedPageBreak/>
        <w:t xml:space="preserve">quality is the abundance of phytoplankton populations [6]. In the realm of aquatic environments, the three major families of algae are </w:t>
      </w:r>
      <w:proofErr w:type="spellStart"/>
      <w:r w:rsidRPr="00964B14">
        <w:rPr>
          <w:rFonts w:ascii="Times New Roman" w:hAnsi="Times New Roman"/>
          <w:color w:val="000000" w:themeColor="text1"/>
          <w:sz w:val="24"/>
          <w:szCs w:val="24"/>
        </w:rPr>
        <w:t>Chlorophyta</w:t>
      </w:r>
      <w:proofErr w:type="spellEnd"/>
      <w:r w:rsidRPr="00964B14">
        <w:rPr>
          <w:rFonts w:ascii="Times New Roman" w:hAnsi="Times New Roman"/>
          <w:color w:val="000000" w:themeColor="text1"/>
          <w:sz w:val="24"/>
          <w:szCs w:val="24"/>
        </w:rPr>
        <w:t xml:space="preserve">, </w:t>
      </w:r>
      <w:proofErr w:type="spellStart"/>
      <w:r w:rsidRPr="00964B14">
        <w:rPr>
          <w:rFonts w:ascii="Times New Roman" w:hAnsi="Times New Roman"/>
          <w:color w:val="000000" w:themeColor="text1"/>
          <w:sz w:val="24"/>
          <w:szCs w:val="24"/>
        </w:rPr>
        <w:t>Cyanophyta</w:t>
      </w:r>
      <w:proofErr w:type="spellEnd"/>
      <w:r w:rsidRPr="00964B14">
        <w:rPr>
          <w:rFonts w:ascii="Times New Roman" w:hAnsi="Times New Roman"/>
          <w:color w:val="000000" w:themeColor="text1"/>
          <w:sz w:val="24"/>
          <w:szCs w:val="24"/>
        </w:rPr>
        <w:t xml:space="preserve">, and </w:t>
      </w:r>
      <w:proofErr w:type="spellStart"/>
      <w:r w:rsidRPr="00964B14">
        <w:rPr>
          <w:rFonts w:ascii="Times New Roman" w:hAnsi="Times New Roman"/>
          <w:color w:val="000000" w:themeColor="text1"/>
          <w:sz w:val="24"/>
          <w:szCs w:val="24"/>
        </w:rPr>
        <w:t>Bacillariophyta</w:t>
      </w:r>
      <w:proofErr w:type="spellEnd"/>
      <w:r w:rsidRPr="00964B14">
        <w:rPr>
          <w:rFonts w:ascii="Times New Roman" w:hAnsi="Times New Roman"/>
          <w:color w:val="000000" w:themeColor="text1"/>
          <w:sz w:val="24"/>
          <w:szCs w:val="24"/>
        </w:rPr>
        <w:t xml:space="preserve">. Shifts in nutrient levels and water quality often coincide with changes in algal diversity [7, 8]. It is worth noting that some previous studies have identified mobile phytoplankton species as indicators for </w:t>
      </w:r>
      <w:proofErr w:type="spellStart"/>
      <w:r w:rsidRPr="00964B14">
        <w:rPr>
          <w:rFonts w:ascii="Times New Roman" w:hAnsi="Times New Roman"/>
          <w:color w:val="000000" w:themeColor="text1"/>
          <w:sz w:val="24"/>
          <w:szCs w:val="24"/>
        </w:rPr>
        <w:t>lentic</w:t>
      </w:r>
      <w:proofErr w:type="spellEnd"/>
      <w:r w:rsidRPr="00964B14">
        <w:rPr>
          <w:rFonts w:ascii="Times New Roman" w:hAnsi="Times New Roman"/>
          <w:color w:val="000000" w:themeColor="text1"/>
          <w:sz w:val="24"/>
          <w:szCs w:val="24"/>
        </w:rPr>
        <w:t xml:space="preserve"> aquatic systems as well [9 - 11]. This present study aims to assess the prevalence and periodicity of bio-indicators within a </w:t>
      </w:r>
      <w:proofErr w:type="spellStart"/>
      <w:r w:rsidRPr="00964B14">
        <w:rPr>
          <w:rFonts w:ascii="Times New Roman" w:hAnsi="Times New Roman"/>
          <w:color w:val="000000" w:themeColor="text1"/>
          <w:sz w:val="24"/>
          <w:szCs w:val="24"/>
        </w:rPr>
        <w:t>lotic</w:t>
      </w:r>
      <w:proofErr w:type="spellEnd"/>
      <w:r w:rsidRPr="00964B14">
        <w:rPr>
          <w:rFonts w:ascii="Times New Roman" w:hAnsi="Times New Roman"/>
          <w:color w:val="000000" w:themeColor="text1"/>
          <w:sz w:val="24"/>
          <w:szCs w:val="24"/>
        </w:rPr>
        <w:t xml:space="preserve"> aquatic ecosystem adjacent to </w:t>
      </w:r>
      <w:proofErr w:type="spellStart"/>
      <w:r w:rsidRPr="00964B14">
        <w:rPr>
          <w:rFonts w:ascii="Times New Roman" w:hAnsi="Times New Roman"/>
          <w:color w:val="000000" w:themeColor="text1"/>
          <w:sz w:val="24"/>
          <w:szCs w:val="24"/>
        </w:rPr>
        <w:t>Harihar</w:t>
      </w:r>
      <w:proofErr w:type="spellEnd"/>
      <w:r w:rsidRPr="00964B14">
        <w:rPr>
          <w:rFonts w:ascii="Times New Roman" w:hAnsi="Times New Roman"/>
          <w:color w:val="000000" w:themeColor="text1"/>
          <w:sz w:val="24"/>
          <w:szCs w:val="24"/>
        </w:rPr>
        <w:t xml:space="preserve"> in the Karnataka State of India.</w:t>
      </w:r>
    </w:p>
    <w:p w:rsidR="00964B14" w:rsidRDefault="00964B14" w:rsidP="00964B14">
      <w:pPr>
        <w:spacing w:after="0" w:line="240" w:lineRule="auto"/>
        <w:jc w:val="both"/>
        <w:rPr>
          <w:rFonts w:ascii="Times New Roman" w:hAnsi="Times New Roman"/>
          <w:color w:val="000000" w:themeColor="text1"/>
          <w:sz w:val="24"/>
          <w:szCs w:val="24"/>
        </w:rPr>
      </w:pPr>
    </w:p>
    <w:p w:rsidR="00964B14" w:rsidRPr="00964B14" w:rsidRDefault="00964B14" w:rsidP="00964B14">
      <w:pPr>
        <w:spacing w:after="0" w:line="240" w:lineRule="auto"/>
        <w:jc w:val="both"/>
        <w:rPr>
          <w:rFonts w:ascii="Times New Roman" w:hAnsi="Times New Roman"/>
          <w:b/>
          <w:color w:val="000000" w:themeColor="text1"/>
          <w:sz w:val="24"/>
          <w:szCs w:val="24"/>
        </w:rPr>
      </w:pPr>
      <w:r w:rsidRPr="00964B14">
        <w:rPr>
          <w:rFonts w:ascii="Times New Roman" w:hAnsi="Times New Roman"/>
          <w:b/>
          <w:color w:val="000000" w:themeColor="text1"/>
          <w:sz w:val="24"/>
          <w:szCs w:val="24"/>
        </w:rPr>
        <w:t>Materials and Method</w:t>
      </w: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Samples of water and algae are gathered at regular 15-16 day intervals across four designated locations spanning 365 days. In the latest assessment, these locations were chosen based on the criteria of algal prevalence and human activities.</w:t>
      </w:r>
    </w:p>
    <w:p w:rsidR="00964B14" w:rsidRDefault="00964B14" w:rsidP="00964B14">
      <w:pPr>
        <w:spacing w:after="0" w:line="240" w:lineRule="auto"/>
        <w:jc w:val="both"/>
        <w:rPr>
          <w:rFonts w:ascii="Times New Roman" w:hAnsi="Times New Roman"/>
          <w:b/>
          <w:color w:val="000000" w:themeColor="text1"/>
          <w:sz w:val="24"/>
          <w:szCs w:val="24"/>
        </w:rPr>
      </w:pPr>
    </w:p>
    <w:p w:rsidR="00964B14" w:rsidRPr="00964B14" w:rsidRDefault="00964B14" w:rsidP="00964B14">
      <w:pPr>
        <w:spacing w:after="0" w:line="240" w:lineRule="auto"/>
        <w:jc w:val="both"/>
        <w:rPr>
          <w:rFonts w:ascii="Times New Roman" w:hAnsi="Times New Roman"/>
          <w:b/>
          <w:color w:val="000000" w:themeColor="text1"/>
          <w:sz w:val="24"/>
          <w:szCs w:val="24"/>
        </w:rPr>
      </w:pPr>
      <w:r w:rsidRPr="00964B14">
        <w:rPr>
          <w:rFonts w:ascii="Times New Roman" w:hAnsi="Times New Roman"/>
          <w:b/>
          <w:color w:val="000000" w:themeColor="text1"/>
          <w:sz w:val="24"/>
          <w:szCs w:val="24"/>
        </w:rPr>
        <w:t>Study Area</w:t>
      </w:r>
    </w:p>
    <w:p w:rsidR="00964B14" w:rsidRPr="003F7437" w:rsidRDefault="00964B14" w:rsidP="00964B14">
      <w:pPr>
        <w:spacing w:after="0" w:line="240" w:lineRule="auto"/>
        <w:jc w:val="both"/>
        <w:rPr>
          <w:rFonts w:ascii="Times New Roman" w:hAnsi="Times New Roman"/>
          <w:color w:val="000000" w:themeColor="text1"/>
          <w:sz w:val="24"/>
          <w:szCs w:val="24"/>
        </w:rPr>
      </w:pPr>
      <w:r w:rsidRPr="003F7437">
        <w:rPr>
          <w:rFonts w:ascii="Times New Roman" w:hAnsi="Times New Roman"/>
          <w:color w:val="000000" w:themeColor="text1"/>
          <w:sz w:val="24"/>
          <w:szCs w:val="24"/>
        </w:rPr>
        <w:t xml:space="preserve">The </w:t>
      </w:r>
      <w:r>
        <w:rPr>
          <w:rFonts w:ascii="Times New Roman" w:hAnsi="Times New Roman"/>
          <w:color w:val="000000" w:themeColor="text1"/>
          <w:sz w:val="24"/>
          <w:szCs w:val="24"/>
        </w:rPr>
        <w:t xml:space="preserve">work </w:t>
      </w:r>
      <w:r w:rsidRPr="003F7437">
        <w:rPr>
          <w:rFonts w:ascii="Times New Roman" w:hAnsi="Times New Roman"/>
          <w:color w:val="000000" w:themeColor="text1"/>
          <w:sz w:val="24"/>
          <w:szCs w:val="24"/>
        </w:rPr>
        <w:t xml:space="preserve">was performed in Tungabhadra River near </w:t>
      </w:r>
      <w:proofErr w:type="spellStart"/>
      <w:r w:rsidRPr="003F7437">
        <w:rPr>
          <w:rFonts w:ascii="Times New Roman" w:hAnsi="Times New Roman"/>
          <w:color w:val="000000" w:themeColor="text1"/>
          <w:sz w:val="24"/>
          <w:szCs w:val="24"/>
        </w:rPr>
        <w:t>Harihar</w:t>
      </w:r>
      <w:proofErr w:type="spellEnd"/>
      <w:r w:rsidRPr="003F7437">
        <w:rPr>
          <w:rFonts w:ascii="Times New Roman" w:hAnsi="Times New Roman"/>
          <w:color w:val="000000" w:themeColor="text1"/>
          <w:sz w:val="24"/>
          <w:szCs w:val="24"/>
        </w:rPr>
        <w:t xml:space="preserve"> of Karnataka State. Tungabhadra River in Karnataka is a</w:t>
      </w:r>
      <w:r>
        <w:rPr>
          <w:rFonts w:ascii="Times New Roman" w:hAnsi="Times New Roman"/>
          <w:color w:val="000000" w:themeColor="text1"/>
          <w:sz w:val="24"/>
          <w:szCs w:val="24"/>
        </w:rPr>
        <w:t xml:space="preserve"> significance </w:t>
      </w:r>
      <w:r w:rsidRPr="003F7437">
        <w:rPr>
          <w:rFonts w:ascii="Times New Roman" w:hAnsi="Times New Roman"/>
          <w:color w:val="000000" w:themeColor="text1"/>
          <w:sz w:val="24"/>
          <w:szCs w:val="24"/>
        </w:rPr>
        <w:t xml:space="preserve">tributary of Krishna. It has a drainage </w:t>
      </w:r>
      <w:r>
        <w:rPr>
          <w:rFonts w:ascii="Times New Roman" w:hAnsi="Times New Roman"/>
          <w:color w:val="000000" w:themeColor="text1"/>
          <w:sz w:val="24"/>
          <w:szCs w:val="24"/>
        </w:rPr>
        <w:t>zone</w:t>
      </w:r>
      <w:r w:rsidRPr="003F7437">
        <w:rPr>
          <w:rFonts w:ascii="Times New Roman" w:hAnsi="Times New Roman"/>
          <w:color w:val="000000" w:themeColor="text1"/>
          <w:sz w:val="24"/>
          <w:szCs w:val="24"/>
        </w:rPr>
        <w:t xml:space="preserve"> </w:t>
      </w:r>
      <w:proofErr w:type="gramStart"/>
      <w:r w:rsidRPr="003F7437">
        <w:rPr>
          <w:rFonts w:ascii="Times New Roman" w:hAnsi="Times New Roman"/>
          <w:color w:val="000000" w:themeColor="text1"/>
          <w:sz w:val="24"/>
          <w:szCs w:val="24"/>
        </w:rPr>
        <w:t>of 71,4</w:t>
      </w:r>
      <w:r>
        <w:rPr>
          <w:rFonts w:ascii="Times New Roman" w:hAnsi="Times New Roman"/>
          <w:color w:val="000000" w:themeColor="text1"/>
          <w:sz w:val="24"/>
          <w:szCs w:val="24"/>
        </w:rPr>
        <w:t>20</w:t>
      </w:r>
      <w:r w:rsidRPr="003F7437">
        <w:rPr>
          <w:rFonts w:ascii="Times New Roman" w:hAnsi="Times New Roman"/>
          <w:color w:val="000000" w:themeColor="text1"/>
          <w:sz w:val="24"/>
          <w:szCs w:val="24"/>
        </w:rPr>
        <w:t xml:space="preserve"> sq.km out of 57,</w:t>
      </w:r>
      <w:r>
        <w:rPr>
          <w:rFonts w:ascii="Times New Roman" w:hAnsi="Times New Roman"/>
          <w:color w:val="000000" w:themeColor="text1"/>
          <w:sz w:val="24"/>
          <w:szCs w:val="24"/>
        </w:rPr>
        <w:t>542</w:t>
      </w:r>
      <w:r w:rsidRPr="003F7437">
        <w:rPr>
          <w:rFonts w:ascii="Times New Roman" w:hAnsi="Times New Roman"/>
          <w:color w:val="000000" w:themeColor="text1"/>
          <w:sz w:val="24"/>
          <w:szCs w:val="24"/>
        </w:rPr>
        <w:t xml:space="preserve"> sq.km lies</w:t>
      </w:r>
      <w:proofErr w:type="gramEnd"/>
      <w:r w:rsidRPr="003F7437">
        <w:rPr>
          <w:rFonts w:ascii="Times New Roman" w:hAnsi="Times New Roman"/>
          <w:color w:val="000000" w:themeColor="text1"/>
          <w:sz w:val="24"/>
          <w:szCs w:val="24"/>
        </w:rPr>
        <w:t xml:space="preserve"> in the </w:t>
      </w:r>
      <w:r>
        <w:rPr>
          <w:rFonts w:ascii="Times New Roman" w:hAnsi="Times New Roman"/>
          <w:color w:val="000000" w:themeColor="text1"/>
          <w:sz w:val="24"/>
          <w:szCs w:val="24"/>
        </w:rPr>
        <w:t xml:space="preserve">Karnataka </w:t>
      </w:r>
      <w:r w:rsidRPr="003F7437">
        <w:rPr>
          <w:rFonts w:ascii="Times New Roman" w:hAnsi="Times New Roman"/>
          <w:color w:val="000000" w:themeColor="text1"/>
          <w:sz w:val="24"/>
          <w:szCs w:val="24"/>
        </w:rPr>
        <w:t>state. It covers a distance of 29</w:t>
      </w:r>
      <w:r>
        <w:rPr>
          <w:rFonts w:ascii="Times New Roman" w:hAnsi="Times New Roman"/>
          <w:color w:val="000000" w:themeColor="text1"/>
          <w:sz w:val="24"/>
          <w:szCs w:val="24"/>
        </w:rPr>
        <w:t>2</w:t>
      </w:r>
      <w:r w:rsidRPr="003F7437">
        <w:rPr>
          <w:rFonts w:ascii="Times New Roman" w:hAnsi="Times New Roman"/>
          <w:color w:val="000000" w:themeColor="text1"/>
          <w:sz w:val="24"/>
          <w:szCs w:val="24"/>
        </w:rPr>
        <w:t xml:space="preserve"> km in the </w:t>
      </w:r>
      <w:r>
        <w:rPr>
          <w:rFonts w:ascii="Times New Roman" w:hAnsi="Times New Roman"/>
          <w:color w:val="000000" w:themeColor="text1"/>
          <w:sz w:val="24"/>
          <w:szCs w:val="24"/>
        </w:rPr>
        <w:t xml:space="preserve">Karnataka </w:t>
      </w:r>
      <w:r w:rsidRPr="003F7437">
        <w:rPr>
          <w:rFonts w:ascii="Times New Roman" w:hAnsi="Times New Roman"/>
          <w:color w:val="000000" w:themeColor="text1"/>
          <w:sz w:val="24"/>
          <w:szCs w:val="24"/>
        </w:rPr>
        <w:t xml:space="preserve">state and is getting </w:t>
      </w:r>
      <w:r>
        <w:rPr>
          <w:rFonts w:ascii="Times New Roman" w:hAnsi="Times New Roman"/>
          <w:color w:val="000000" w:themeColor="text1"/>
          <w:sz w:val="24"/>
          <w:szCs w:val="24"/>
        </w:rPr>
        <w:t>contaminated</w:t>
      </w:r>
      <w:r w:rsidRPr="003F7437">
        <w:rPr>
          <w:rFonts w:ascii="Times New Roman" w:hAnsi="Times New Roman"/>
          <w:color w:val="000000" w:themeColor="text1"/>
          <w:sz w:val="24"/>
          <w:szCs w:val="24"/>
        </w:rPr>
        <w:t xml:space="preserve"> due to rapid industrial </w:t>
      </w:r>
      <w:r>
        <w:rPr>
          <w:rFonts w:ascii="Times New Roman" w:hAnsi="Times New Roman"/>
          <w:color w:val="000000" w:themeColor="text1"/>
          <w:sz w:val="24"/>
          <w:szCs w:val="24"/>
        </w:rPr>
        <w:t>activities</w:t>
      </w:r>
      <w:r w:rsidRPr="003F7437">
        <w:rPr>
          <w:rFonts w:ascii="Times New Roman" w:hAnsi="Times New Roman"/>
          <w:color w:val="000000" w:themeColor="text1"/>
          <w:sz w:val="24"/>
          <w:szCs w:val="24"/>
        </w:rPr>
        <w:t xml:space="preserve">, domestic and agricultural </w:t>
      </w:r>
      <w:r>
        <w:rPr>
          <w:rFonts w:ascii="Times New Roman" w:hAnsi="Times New Roman"/>
          <w:color w:val="000000" w:themeColor="text1"/>
          <w:sz w:val="24"/>
          <w:szCs w:val="24"/>
        </w:rPr>
        <w:t>practices</w:t>
      </w:r>
      <w:r w:rsidRPr="003F7437">
        <w:rPr>
          <w:rFonts w:ascii="Times New Roman" w:hAnsi="Times New Roman"/>
          <w:color w:val="000000" w:themeColor="text1"/>
          <w:sz w:val="24"/>
          <w:szCs w:val="24"/>
        </w:rPr>
        <w:t xml:space="preserve"> in the </w:t>
      </w:r>
      <w:r>
        <w:rPr>
          <w:rFonts w:ascii="Times New Roman" w:hAnsi="Times New Roman"/>
          <w:color w:val="000000" w:themeColor="text1"/>
          <w:sz w:val="24"/>
          <w:szCs w:val="24"/>
        </w:rPr>
        <w:t>zone</w:t>
      </w:r>
      <w:r w:rsidRPr="003F743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Contamination </w:t>
      </w:r>
      <w:r w:rsidRPr="003F7437">
        <w:rPr>
          <w:rFonts w:ascii="Times New Roman" w:hAnsi="Times New Roman"/>
          <w:color w:val="000000" w:themeColor="text1"/>
          <w:sz w:val="24"/>
          <w:szCs w:val="24"/>
        </w:rPr>
        <w:t xml:space="preserve">is as old as </w:t>
      </w:r>
      <w:r>
        <w:rPr>
          <w:rFonts w:ascii="Times New Roman" w:hAnsi="Times New Roman"/>
          <w:color w:val="000000" w:themeColor="text1"/>
          <w:sz w:val="24"/>
          <w:szCs w:val="24"/>
        </w:rPr>
        <w:t xml:space="preserve">human beings </w:t>
      </w:r>
      <w:r w:rsidRPr="003F7437">
        <w:rPr>
          <w:rFonts w:ascii="Times New Roman" w:hAnsi="Times New Roman"/>
          <w:color w:val="000000" w:themeColor="text1"/>
          <w:sz w:val="24"/>
          <w:szCs w:val="24"/>
        </w:rPr>
        <w:t xml:space="preserve">himself, in prehistoric era the population was very </w:t>
      </w:r>
      <w:r>
        <w:rPr>
          <w:rFonts w:ascii="Times New Roman" w:hAnsi="Times New Roman"/>
          <w:color w:val="000000" w:themeColor="text1"/>
          <w:sz w:val="24"/>
          <w:szCs w:val="24"/>
        </w:rPr>
        <w:t>less</w:t>
      </w:r>
      <w:r w:rsidRPr="003F7437">
        <w:rPr>
          <w:rFonts w:ascii="Times New Roman" w:hAnsi="Times New Roman"/>
          <w:color w:val="000000" w:themeColor="text1"/>
          <w:sz w:val="24"/>
          <w:szCs w:val="24"/>
        </w:rPr>
        <w:t xml:space="preserve">, the man </w:t>
      </w:r>
      <w:r>
        <w:rPr>
          <w:rFonts w:ascii="Times New Roman" w:hAnsi="Times New Roman"/>
          <w:color w:val="000000" w:themeColor="text1"/>
          <w:sz w:val="24"/>
          <w:szCs w:val="24"/>
        </w:rPr>
        <w:t>adopted</w:t>
      </w:r>
      <w:r w:rsidRPr="003F7437">
        <w:rPr>
          <w:rFonts w:ascii="Times New Roman" w:hAnsi="Times New Roman"/>
          <w:color w:val="000000" w:themeColor="text1"/>
          <w:sz w:val="24"/>
          <w:szCs w:val="24"/>
        </w:rPr>
        <w:t xml:space="preserve"> to move from </w:t>
      </w:r>
      <w:r>
        <w:rPr>
          <w:rFonts w:ascii="Times New Roman" w:hAnsi="Times New Roman"/>
          <w:color w:val="000000" w:themeColor="text1"/>
          <w:sz w:val="24"/>
          <w:szCs w:val="24"/>
        </w:rPr>
        <w:t xml:space="preserve">location to location </w:t>
      </w:r>
      <w:r w:rsidRPr="003F7437">
        <w:rPr>
          <w:rFonts w:ascii="Times New Roman" w:hAnsi="Times New Roman"/>
          <w:color w:val="000000" w:themeColor="text1"/>
          <w:sz w:val="24"/>
          <w:szCs w:val="24"/>
        </w:rPr>
        <w:t xml:space="preserve">in search of food and better </w:t>
      </w:r>
      <w:r>
        <w:rPr>
          <w:rFonts w:ascii="Times New Roman" w:hAnsi="Times New Roman"/>
          <w:color w:val="000000" w:themeColor="text1"/>
          <w:sz w:val="24"/>
          <w:szCs w:val="24"/>
        </w:rPr>
        <w:t>life</w:t>
      </w:r>
      <w:r w:rsidRPr="003F7437">
        <w:rPr>
          <w:rFonts w:ascii="Times New Roman" w:hAnsi="Times New Roman"/>
          <w:color w:val="000000" w:themeColor="text1"/>
          <w:sz w:val="24"/>
          <w:szCs w:val="24"/>
        </w:rPr>
        <w:t xml:space="preserve">. The district </w:t>
      </w:r>
      <w:proofErr w:type="spellStart"/>
      <w:r w:rsidRPr="003F7437">
        <w:rPr>
          <w:rFonts w:ascii="Times New Roman" w:hAnsi="Times New Roman"/>
          <w:color w:val="000000" w:themeColor="text1"/>
          <w:sz w:val="24"/>
          <w:szCs w:val="24"/>
        </w:rPr>
        <w:t>Davangere</w:t>
      </w:r>
      <w:proofErr w:type="spellEnd"/>
      <w:r w:rsidRPr="003F7437">
        <w:rPr>
          <w:rFonts w:ascii="Times New Roman" w:hAnsi="Times New Roman"/>
          <w:color w:val="000000" w:themeColor="text1"/>
          <w:sz w:val="24"/>
          <w:szCs w:val="24"/>
        </w:rPr>
        <w:t xml:space="preserve"> is </w:t>
      </w:r>
      <w:r>
        <w:rPr>
          <w:rFonts w:ascii="Times New Roman" w:hAnsi="Times New Roman"/>
          <w:color w:val="000000" w:themeColor="text1"/>
          <w:sz w:val="24"/>
          <w:szCs w:val="24"/>
        </w:rPr>
        <w:t>situated</w:t>
      </w:r>
      <w:r w:rsidRPr="003F7437">
        <w:rPr>
          <w:rFonts w:ascii="Times New Roman" w:hAnsi="Times New Roman"/>
          <w:color w:val="000000" w:themeColor="text1"/>
          <w:sz w:val="24"/>
          <w:szCs w:val="24"/>
        </w:rPr>
        <w:t xml:space="preserve"> in the central part of Karnataka state (India) </w:t>
      </w:r>
      <w:r>
        <w:rPr>
          <w:rFonts w:ascii="Times New Roman" w:hAnsi="Times New Roman"/>
          <w:color w:val="000000" w:themeColor="text1"/>
          <w:sz w:val="24"/>
          <w:szCs w:val="24"/>
        </w:rPr>
        <w:t xml:space="preserve">located from </w:t>
      </w:r>
      <w:r w:rsidRPr="003F7437">
        <w:rPr>
          <w:rFonts w:ascii="Times New Roman" w:hAnsi="Times New Roman"/>
          <w:color w:val="000000" w:themeColor="text1"/>
          <w:sz w:val="24"/>
          <w:szCs w:val="24"/>
        </w:rPr>
        <w:t>latitude 14</w:t>
      </w:r>
      <w:r w:rsidRPr="00964B14">
        <w:rPr>
          <w:rFonts w:ascii="Times New Roman" w:hAnsi="Times New Roman"/>
          <w:color w:val="000000" w:themeColor="text1"/>
          <w:sz w:val="24"/>
          <w:szCs w:val="24"/>
        </w:rPr>
        <w:t>O</w:t>
      </w:r>
      <w:r w:rsidRPr="003F7437">
        <w:rPr>
          <w:rFonts w:ascii="Times New Roman" w:hAnsi="Times New Roman"/>
          <w:color w:val="000000" w:themeColor="text1"/>
          <w:sz w:val="24"/>
          <w:szCs w:val="24"/>
        </w:rPr>
        <w:t xml:space="preserve"> 17’ </w:t>
      </w:r>
      <w:r>
        <w:rPr>
          <w:rFonts w:ascii="Times New Roman" w:hAnsi="Times New Roman"/>
          <w:color w:val="000000" w:themeColor="text1"/>
          <w:sz w:val="24"/>
          <w:szCs w:val="24"/>
        </w:rPr>
        <w:t xml:space="preserve">and </w:t>
      </w:r>
      <w:r w:rsidRPr="003F7437">
        <w:rPr>
          <w:rFonts w:ascii="Times New Roman" w:hAnsi="Times New Roman"/>
          <w:color w:val="000000" w:themeColor="text1"/>
          <w:sz w:val="24"/>
          <w:szCs w:val="24"/>
        </w:rPr>
        <w:t>14</w:t>
      </w:r>
      <w:r w:rsidRPr="00964B14">
        <w:rPr>
          <w:rFonts w:ascii="Times New Roman" w:hAnsi="Times New Roman"/>
          <w:color w:val="000000" w:themeColor="text1"/>
          <w:sz w:val="24"/>
          <w:szCs w:val="24"/>
        </w:rPr>
        <w:t>O</w:t>
      </w:r>
      <w:r w:rsidRPr="003F7437">
        <w:rPr>
          <w:rFonts w:ascii="Times New Roman" w:hAnsi="Times New Roman"/>
          <w:color w:val="000000" w:themeColor="text1"/>
          <w:sz w:val="24"/>
          <w:szCs w:val="24"/>
        </w:rPr>
        <w:t xml:space="preserve"> 35’ N and longitude 75</w:t>
      </w:r>
      <w:r w:rsidRPr="00964B14">
        <w:rPr>
          <w:rFonts w:ascii="Times New Roman" w:hAnsi="Times New Roman"/>
          <w:color w:val="000000" w:themeColor="text1"/>
          <w:sz w:val="24"/>
          <w:szCs w:val="24"/>
        </w:rPr>
        <w:t>O</w:t>
      </w:r>
      <w:r w:rsidRPr="003F7437">
        <w:rPr>
          <w:rFonts w:ascii="Times New Roman" w:hAnsi="Times New Roman"/>
          <w:color w:val="000000" w:themeColor="text1"/>
          <w:sz w:val="24"/>
          <w:szCs w:val="24"/>
        </w:rPr>
        <w:t xml:space="preserve"> 50’ </w:t>
      </w:r>
      <w:r>
        <w:rPr>
          <w:rFonts w:ascii="Times New Roman" w:hAnsi="Times New Roman"/>
          <w:color w:val="000000" w:themeColor="text1"/>
          <w:sz w:val="24"/>
          <w:szCs w:val="24"/>
        </w:rPr>
        <w:t xml:space="preserve">and </w:t>
      </w:r>
      <w:r w:rsidRPr="003F7437">
        <w:rPr>
          <w:rFonts w:ascii="Times New Roman" w:hAnsi="Times New Roman"/>
          <w:color w:val="000000" w:themeColor="text1"/>
          <w:sz w:val="24"/>
          <w:szCs w:val="24"/>
        </w:rPr>
        <w:t>76</w:t>
      </w:r>
      <w:r w:rsidRPr="00964B14">
        <w:rPr>
          <w:rFonts w:ascii="Times New Roman" w:hAnsi="Times New Roman"/>
          <w:color w:val="000000" w:themeColor="text1"/>
          <w:sz w:val="24"/>
          <w:szCs w:val="24"/>
        </w:rPr>
        <w:t>O</w:t>
      </w:r>
      <w:r w:rsidRPr="003F7437">
        <w:rPr>
          <w:rFonts w:ascii="Times New Roman" w:hAnsi="Times New Roman"/>
          <w:color w:val="000000" w:themeColor="text1"/>
          <w:sz w:val="24"/>
          <w:szCs w:val="24"/>
        </w:rPr>
        <w:t xml:space="preserve"> 05’ E covering </w:t>
      </w:r>
      <w:proofErr w:type="gramStart"/>
      <w:r w:rsidRPr="003F7437">
        <w:rPr>
          <w:rFonts w:ascii="Times New Roman" w:hAnsi="Times New Roman"/>
          <w:color w:val="000000" w:themeColor="text1"/>
          <w:sz w:val="24"/>
          <w:szCs w:val="24"/>
        </w:rPr>
        <w:t>an</w:t>
      </w:r>
      <w:proofErr w:type="gramEnd"/>
      <w:r w:rsidRPr="003F7437">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zone </w:t>
      </w:r>
      <w:r w:rsidRPr="003F7437">
        <w:rPr>
          <w:rFonts w:ascii="Times New Roman" w:hAnsi="Times New Roman"/>
          <w:color w:val="000000" w:themeColor="text1"/>
          <w:sz w:val="24"/>
          <w:szCs w:val="24"/>
        </w:rPr>
        <w:t>of 65</w:t>
      </w:r>
      <w:r>
        <w:rPr>
          <w:rFonts w:ascii="Times New Roman" w:hAnsi="Times New Roman"/>
          <w:color w:val="000000" w:themeColor="text1"/>
          <w:sz w:val="24"/>
          <w:szCs w:val="24"/>
        </w:rPr>
        <w:t>30</w:t>
      </w:r>
      <w:r w:rsidRPr="003F7437">
        <w:rPr>
          <w:rFonts w:ascii="Times New Roman" w:hAnsi="Times New Roman"/>
          <w:color w:val="000000" w:themeColor="text1"/>
          <w:sz w:val="24"/>
          <w:szCs w:val="24"/>
        </w:rPr>
        <w:t xml:space="preserve"> sq. km at an average altitude of 540 m above </w:t>
      </w:r>
      <w:r>
        <w:rPr>
          <w:rFonts w:ascii="Times New Roman" w:hAnsi="Times New Roman"/>
          <w:color w:val="000000" w:themeColor="text1"/>
          <w:sz w:val="24"/>
          <w:szCs w:val="24"/>
        </w:rPr>
        <w:t>MSL</w:t>
      </w:r>
      <w:r w:rsidRPr="003F7437">
        <w:rPr>
          <w:rFonts w:ascii="Times New Roman" w:hAnsi="Times New Roman"/>
          <w:color w:val="000000" w:themeColor="text1"/>
          <w:sz w:val="24"/>
          <w:szCs w:val="24"/>
        </w:rPr>
        <w:t>.</w:t>
      </w:r>
    </w:p>
    <w:p w:rsidR="00964B14" w:rsidRDefault="00964B14" w:rsidP="00964B14">
      <w:pPr>
        <w:spacing w:after="0" w:line="240" w:lineRule="auto"/>
        <w:jc w:val="both"/>
        <w:rPr>
          <w:rFonts w:ascii="Times New Roman" w:hAnsi="Times New Roman"/>
          <w:color w:val="000000" w:themeColor="text1"/>
          <w:sz w:val="24"/>
          <w:szCs w:val="24"/>
        </w:rPr>
      </w:pP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The river Tungabhadra acts as a natural boundary, delineating the neighboring </w:t>
      </w:r>
      <w:proofErr w:type="spellStart"/>
      <w:r w:rsidRPr="00964B14">
        <w:rPr>
          <w:rFonts w:ascii="Times New Roman" w:hAnsi="Times New Roman"/>
          <w:color w:val="000000" w:themeColor="text1"/>
          <w:sz w:val="24"/>
          <w:szCs w:val="24"/>
        </w:rPr>
        <w:t>Haveri</w:t>
      </w:r>
      <w:proofErr w:type="spellEnd"/>
      <w:r w:rsidRPr="00964B14">
        <w:rPr>
          <w:rFonts w:ascii="Times New Roman" w:hAnsi="Times New Roman"/>
          <w:color w:val="000000" w:themeColor="text1"/>
          <w:sz w:val="24"/>
          <w:szCs w:val="24"/>
        </w:rPr>
        <w:t xml:space="preserve"> district. Four strategic sites have been pinpointed for conducting a comprehensive </w:t>
      </w:r>
      <w:proofErr w:type="spellStart"/>
      <w:r w:rsidRPr="00964B14">
        <w:rPr>
          <w:rFonts w:ascii="Times New Roman" w:hAnsi="Times New Roman"/>
          <w:color w:val="000000" w:themeColor="text1"/>
          <w:sz w:val="24"/>
          <w:szCs w:val="24"/>
        </w:rPr>
        <w:t>limnological</w:t>
      </w:r>
      <w:proofErr w:type="spellEnd"/>
      <w:r w:rsidRPr="00964B14">
        <w:rPr>
          <w:rFonts w:ascii="Times New Roman" w:hAnsi="Times New Roman"/>
          <w:color w:val="000000" w:themeColor="text1"/>
          <w:sz w:val="24"/>
          <w:szCs w:val="24"/>
        </w:rPr>
        <w:t xml:space="preserve"> investigation into the various algae present in distinct aquatic habitats within the flowing ecosystem of the river, which holds significant prominence within India. The research undertaken regarding the </w:t>
      </w:r>
      <w:proofErr w:type="spellStart"/>
      <w:r w:rsidRPr="00964B14">
        <w:rPr>
          <w:rFonts w:ascii="Times New Roman" w:hAnsi="Times New Roman"/>
          <w:color w:val="000000" w:themeColor="text1"/>
          <w:sz w:val="24"/>
          <w:szCs w:val="24"/>
        </w:rPr>
        <w:t>limnological</w:t>
      </w:r>
      <w:proofErr w:type="spellEnd"/>
      <w:r w:rsidRPr="00964B14">
        <w:rPr>
          <w:rFonts w:ascii="Times New Roman" w:hAnsi="Times New Roman"/>
          <w:color w:val="000000" w:themeColor="text1"/>
          <w:sz w:val="24"/>
          <w:szCs w:val="24"/>
        </w:rPr>
        <w:t xml:space="preserve"> facets assumes paramount importance in the sustainable exploitation of aquatic resources. Fluctuations occurring at regular intervals in biotic factors have a discernible impact on the distribution patterns and population densities of plant and animal species (</w:t>
      </w:r>
      <w:proofErr w:type="spellStart"/>
      <w:r w:rsidRPr="00964B14">
        <w:rPr>
          <w:rFonts w:ascii="Times New Roman" w:hAnsi="Times New Roman"/>
          <w:color w:val="000000" w:themeColor="text1"/>
          <w:sz w:val="24"/>
          <w:szCs w:val="24"/>
        </w:rPr>
        <w:t>Hassa</w:t>
      </w:r>
      <w:proofErr w:type="spellEnd"/>
      <w:r w:rsidRPr="00964B14">
        <w:rPr>
          <w:rFonts w:ascii="Times New Roman" w:hAnsi="Times New Roman"/>
          <w:color w:val="000000" w:themeColor="text1"/>
          <w:sz w:val="24"/>
          <w:szCs w:val="24"/>
        </w:rPr>
        <w:t xml:space="preserve"> 1998). The presence and distribution of phytoplankton and zooplankton in freshwater bodies are primarily governed by </w:t>
      </w:r>
      <w:proofErr w:type="spellStart"/>
      <w:r w:rsidRPr="00964B14">
        <w:rPr>
          <w:rFonts w:ascii="Times New Roman" w:hAnsi="Times New Roman"/>
          <w:color w:val="000000" w:themeColor="text1"/>
          <w:sz w:val="24"/>
          <w:szCs w:val="24"/>
        </w:rPr>
        <w:t>abiotic</w:t>
      </w:r>
      <w:proofErr w:type="spellEnd"/>
      <w:r w:rsidRPr="00964B14">
        <w:rPr>
          <w:rFonts w:ascii="Times New Roman" w:hAnsi="Times New Roman"/>
          <w:color w:val="000000" w:themeColor="text1"/>
          <w:sz w:val="24"/>
          <w:szCs w:val="24"/>
        </w:rPr>
        <w:t xml:space="preserve"> factors (</w:t>
      </w:r>
      <w:proofErr w:type="spellStart"/>
      <w:r w:rsidRPr="00964B14">
        <w:rPr>
          <w:rFonts w:ascii="Times New Roman" w:hAnsi="Times New Roman"/>
          <w:color w:val="000000" w:themeColor="text1"/>
          <w:sz w:val="24"/>
          <w:szCs w:val="24"/>
        </w:rPr>
        <w:t>Muhauser</w:t>
      </w:r>
      <w:proofErr w:type="spellEnd"/>
      <w:r w:rsidRPr="00964B14">
        <w:rPr>
          <w:rFonts w:ascii="Times New Roman" w:hAnsi="Times New Roman"/>
          <w:color w:val="000000" w:themeColor="text1"/>
          <w:sz w:val="24"/>
          <w:szCs w:val="24"/>
        </w:rPr>
        <w:t xml:space="preserve"> et al 1995). This ongoing study specifically aims to catalog the phytoplankton species thriving within the Tungabhadra River.</w:t>
      </w:r>
    </w:p>
    <w:p w:rsidR="00964B14" w:rsidRDefault="00964B14" w:rsidP="00964B14">
      <w:pPr>
        <w:spacing w:after="0" w:line="240" w:lineRule="auto"/>
        <w:jc w:val="both"/>
        <w:rPr>
          <w:rFonts w:ascii="Times New Roman" w:hAnsi="Times New Roman"/>
          <w:color w:val="000000" w:themeColor="text1"/>
          <w:sz w:val="24"/>
          <w:szCs w:val="24"/>
        </w:rPr>
      </w:pPr>
    </w:p>
    <w:p w:rsidR="00964B14" w:rsidRDefault="00964B14" w:rsidP="00964B14">
      <w:pPr>
        <w:spacing w:after="0" w:line="240" w:lineRule="auto"/>
        <w:jc w:val="both"/>
        <w:rPr>
          <w:rFonts w:ascii="Times New Roman" w:hAnsi="Times New Roman"/>
          <w:b/>
          <w:color w:val="000000" w:themeColor="text1"/>
          <w:sz w:val="24"/>
          <w:szCs w:val="24"/>
        </w:rPr>
      </w:pPr>
      <w:r w:rsidRPr="003F7437">
        <w:rPr>
          <w:rFonts w:ascii="Times New Roman" w:hAnsi="Times New Roman"/>
          <w:b/>
          <w:color w:val="000000" w:themeColor="text1"/>
          <w:sz w:val="24"/>
          <w:szCs w:val="24"/>
        </w:rPr>
        <w:t>Study Design and Sampling</w:t>
      </w:r>
    </w:p>
    <w:p w:rsidR="00964B14" w:rsidRP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Station (S1): The location of this habitat is situated at the upstream town before the river enters into town. </w:t>
      </w:r>
    </w:p>
    <w:p w:rsidR="00964B14" w:rsidRP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Station (S2): This location is situated on the main watercourse of river Tungabhadra in a place </w:t>
      </w:r>
      <w:proofErr w:type="gramStart"/>
      <w:r w:rsidRPr="00964B14">
        <w:rPr>
          <w:rFonts w:ascii="Times New Roman" w:hAnsi="Times New Roman"/>
          <w:color w:val="000000" w:themeColor="text1"/>
          <w:sz w:val="24"/>
          <w:szCs w:val="24"/>
        </w:rPr>
        <w:t>its</w:t>
      </w:r>
      <w:proofErr w:type="gramEnd"/>
      <w:r w:rsidRPr="00964B14">
        <w:rPr>
          <w:rFonts w:ascii="Times New Roman" w:hAnsi="Times New Roman"/>
          <w:color w:val="000000" w:themeColor="text1"/>
          <w:sz w:val="24"/>
          <w:szCs w:val="24"/>
        </w:rPr>
        <w:t xml:space="preserve"> near the confluence place of </w:t>
      </w:r>
      <w:proofErr w:type="spellStart"/>
      <w:r w:rsidRPr="00964B14">
        <w:rPr>
          <w:rFonts w:ascii="Times New Roman" w:hAnsi="Times New Roman"/>
          <w:color w:val="000000" w:themeColor="text1"/>
          <w:sz w:val="24"/>
          <w:szCs w:val="24"/>
        </w:rPr>
        <w:t>sulekere</w:t>
      </w:r>
      <w:proofErr w:type="spellEnd"/>
      <w:r w:rsidRPr="00964B14">
        <w:rPr>
          <w:rFonts w:ascii="Times New Roman" w:hAnsi="Times New Roman"/>
          <w:color w:val="000000" w:themeColor="text1"/>
          <w:sz w:val="24"/>
          <w:szCs w:val="24"/>
        </w:rPr>
        <w:t xml:space="preserve"> stream (Tributary) </w:t>
      </w:r>
    </w:p>
    <w:p w:rsidR="00964B14" w:rsidRP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Station (S3): This location is situated at the downstream of </w:t>
      </w:r>
      <w:proofErr w:type="spellStart"/>
      <w:r w:rsidRPr="00964B14">
        <w:rPr>
          <w:rFonts w:ascii="Times New Roman" w:hAnsi="Times New Roman"/>
          <w:color w:val="000000" w:themeColor="text1"/>
          <w:sz w:val="24"/>
          <w:szCs w:val="24"/>
        </w:rPr>
        <w:t>Harihar</w:t>
      </w:r>
      <w:proofErr w:type="spellEnd"/>
      <w:r w:rsidRPr="00964B14">
        <w:rPr>
          <w:rFonts w:ascii="Times New Roman" w:hAnsi="Times New Roman"/>
          <w:color w:val="000000" w:themeColor="text1"/>
          <w:sz w:val="24"/>
          <w:szCs w:val="24"/>
        </w:rPr>
        <w:t xml:space="preserve"> </w:t>
      </w:r>
      <w:proofErr w:type="spellStart"/>
      <w:r w:rsidRPr="00964B14">
        <w:rPr>
          <w:rFonts w:ascii="Times New Roman" w:hAnsi="Times New Roman"/>
          <w:color w:val="000000" w:themeColor="text1"/>
          <w:sz w:val="24"/>
          <w:szCs w:val="24"/>
        </w:rPr>
        <w:t>Polyfibers</w:t>
      </w:r>
      <w:proofErr w:type="spellEnd"/>
      <w:r w:rsidRPr="00964B14">
        <w:rPr>
          <w:rFonts w:ascii="Times New Roman" w:hAnsi="Times New Roman"/>
          <w:color w:val="000000" w:themeColor="text1"/>
          <w:sz w:val="24"/>
          <w:szCs w:val="24"/>
        </w:rPr>
        <w:t xml:space="preserve"> treated waste water discharge (near </w:t>
      </w:r>
      <w:proofErr w:type="spellStart"/>
      <w:r w:rsidRPr="00964B14">
        <w:rPr>
          <w:rFonts w:ascii="Times New Roman" w:hAnsi="Times New Roman"/>
          <w:color w:val="000000" w:themeColor="text1"/>
          <w:sz w:val="24"/>
          <w:szCs w:val="24"/>
        </w:rPr>
        <w:t>Harlapura</w:t>
      </w:r>
      <w:proofErr w:type="spellEnd"/>
      <w:r w:rsidRPr="00964B14">
        <w:rPr>
          <w:rFonts w:ascii="Times New Roman" w:hAnsi="Times New Roman"/>
          <w:color w:val="000000" w:themeColor="text1"/>
          <w:sz w:val="24"/>
          <w:szCs w:val="24"/>
        </w:rPr>
        <w:t xml:space="preserve">). </w:t>
      </w:r>
    </w:p>
    <w:p w:rsidR="00964B14" w:rsidRP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Station (S4): This sampling location is situated about 2 km for away from Location -S2.</w:t>
      </w:r>
    </w:p>
    <w:p w:rsidR="00964B14" w:rsidRDefault="00964B14" w:rsidP="00964B14">
      <w:pPr>
        <w:spacing w:after="0" w:line="240" w:lineRule="auto"/>
        <w:jc w:val="both"/>
        <w:rPr>
          <w:rFonts w:ascii="Times New Roman" w:hAnsi="Times New Roman"/>
          <w:color w:val="000000" w:themeColor="text1"/>
          <w:sz w:val="24"/>
          <w:szCs w:val="24"/>
        </w:rPr>
      </w:pP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 xml:space="preserve">Four sampling locations were chosen along a 30 km stretch of the Tungabhadra River to ensure comprehensive coverage. Water samples were collected for </w:t>
      </w:r>
      <w:proofErr w:type="spellStart"/>
      <w:r w:rsidRPr="00964B14">
        <w:rPr>
          <w:rFonts w:ascii="Times New Roman" w:hAnsi="Times New Roman"/>
          <w:color w:val="000000" w:themeColor="text1"/>
          <w:sz w:val="24"/>
          <w:szCs w:val="24"/>
        </w:rPr>
        <w:t>physico</w:t>
      </w:r>
      <w:proofErr w:type="spellEnd"/>
      <w:r w:rsidRPr="00964B14">
        <w:rPr>
          <w:rFonts w:ascii="Times New Roman" w:hAnsi="Times New Roman"/>
          <w:color w:val="000000" w:themeColor="text1"/>
          <w:sz w:val="24"/>
          <w:szCs w:val="24"/>
        </w:rPr>
        <w:t xml:space="preserve">-chemical analysis following the established methods outlined in APHA (1995) and </w:t>
      </w:r>
      <w:proofErr w:type="spellStart"/>
      <w:r w:rsidRPr="00964B14">
        <w:rPr>
          <w:rFonts w:ascii="Times New Roman" w:hAnsi="Times New Roman"/>
          <w:color w:val="000000" w:themeColor="text1"/>
          <w:sz w:val="24"/>
          <w:szCs w:val="24"/>
        </w:rPr>
        <w:t>Trivedy</w:t>
      </w:r>
      <w:proofErr w:type="spellEnd"/>
      <w:r w:rsidRPr="00964B14">
        <w:rPr>
          <w:rFonts w:ascii="Times New Roman" w:hAnsi="Times New Roman"/>
          <w:color w:val="000000" w:themeColor="text1"/>
          <w:sz w:val="24"/>
          <w:szCs w:val="24"/>
        </w:rPr>
        <w:t xml:space="preserve"> and </w:t>
      </w:r>
      <w:proofErr w:type="spellStart"/>
      <w:r w:rsidRPr="00964B14">
        <w:rPr>
          <w:rFonts w:ascii="Times New Roman" w:hAnsi="Times New Roman"/>
          <w:color w:val="000000" w:themeColor="text1"/>
          <w:sz w:val="24"/>
          <w:szCs w:val="24"/>
        </w:rPr>
        <w:t>Goel</w:t>
      </w:r>
      <w:proofErr w:type="spellEnd"/>
      <w:r w:rsidRPr="00964B14">
        <w:rPr>
          <w:rFonts w:ascii="Times New Roman" w:hAnsi="Times New Roman"/>
          <w:color w:val="000000" w:themeColor="text1"/>
          <w:sz w:val="24"/>
          <w:szCs w:val="24"/>
        </w:rPr>
        <w:t xml:space="preserve"> (1986) guidelines. Algae specimens were preserved in a 4% formaldehyde solution to facilitate </w:t>
      </w:r>
      <w:r w:rsidRPr="00964B14">
        <w:rPr>
          <w:rFonts w:ascii="Times New Roman" w:hAnsi="Times New Roman"/>
          <w:color w:val="000000" w:themeColor="text1"/>
          <w:sz w:val="24"/>
          <w:szCs w:val="24"/>
        </w:rPr>
        <w:lastRenderedPageBreak/>
        <w:t xml:space="preserve">identification. Identification of </w:t>
      </w:r>
      <w:proofErr w:type="spellStart"/>
      <w:r w:rsidRPr="00964B14">
        <w:rPr>
          <w:rFonts w:ascii="Times New Roman" w:hAnsi="Times New Roman"/>
          <w:color w:val="000000" w:themeColor="text1"/>
          <w:sz w:val="24"/>
          <w:szCs w:val="24"/>
        </w:rPr>
        <w:t>Chlorophyceae</w:t>
      </w:r>
      <w:proofErr w:type="spellEnd"/>
      <w:r w:rsidRPr="00964B14">
        <w:rPr>
          <w:rFonts w:ascii="Times New Roman" w:hAnsi="Times New Roman"/>
          <w:color w:val="000000" w:themeColor="text1"/>
          <w:sz w:val="24"/>
          <w:szCs w:val="24"/>
        </w:rPr>
        <w:t xml:space="preserve"> and </w:t>
      </w:r>
      <w:proofErr w:type="spellStart"/>
      <w:r w:rsidRPr="00964B14">
        <w:rPr>
          <w:rFonts w:ascii="Times New Roman" w:hAnsi="Times New Roman"/>
          <w:color w:val="000000" w:themeColor="text1"/>
          <w:sz w:val="24"/>
          <w:szCs w:val="24"/>
        </w:rPr>
        <w:t>Euglenophyceae</w:t>
      </w:r>
      <w:proofErr w:type="spellEnd"/>
      <w:r w:rsidRPr="00964B14">
        <w:rPr>
          <w:rFonts w:ascii="Times New Roman" w:hAnsi="Times New Roman"/>
          <w:color w:val="000000" w:themeColor="text1"/>
          <w:sz w:val="24"/>
          <w:szCs w:val="24"/>
        </w:rPr>
        <w:t xml:space="preserve"> utilized the key provided by Smith (1950) and Prescott (1978), while </w:t>
      </w:r>
      <w:proofErr w:type="spellStart"/>
      <w:r w:rsidRPr="00964B14">
        <w:rPr>
          <w:rFonts w:ascii="Times New Roman" w:hAnsi="Times New Roman"/>
          <w:color w:val="000000" w:themeColor="text1"/>
          <w:sz w:val="24"/>
          <w:szCs w:val="24"/>
        </w:rPr>
        <w:t>Cyanophyceae</w:t>
      </w:r>
      <w:proofErr w:type="spellEnd"/>
      <w:r w:rsidRPr="00964B14">
        <w:rPr>
          <w:rFonts w:ascii="Times New Roman" w:hAnsi="Times New Roman"/>
          <w:color w:val="000000" w:themeColor="text1"/>
          <w:sz w:val="24"/>
          <w:szCs w:val="24"/>
        </w:rPr>
        <w:t xml:space="preserve"> were identified using </w:t>
      </w:r>
      <w:proofErr w:type="spellStart"/>
      <w:r w:rsidRPr="00964B14">
        <w:rPr>
          <w:rFonts w:ascii="Times New Roman" w:hAnsi="Times New Roman"/>
          <w:color w:val="000000" w:themeColor="text1"/>
          <w:sz w:val="24"/>
          <w:szCs w:val="24"/>
        </w:rPr>
        <w:t>Desikachary's</w:t>
      </w:r>
      <w:proofErr w:type="spellEnd"/>
      <w:r w:rsidRPr="00964B14">
        <w:rPr>
          <w:rFonts w:ascii="Times New Roman" w:hAnsi="Times New Roman"/>
          <w:color w:val="000000" w:themeColor="text1"/>
          <w:sz w:val="24"/>
          <w:szCs w:val="24"/>
        </w:rPr>
        <w:t xml:space="preserve"> (1959) method, and </w:t>
      </w:r>
      <w:proofErr w:type="spellStart"/>
      <w:r w:rsidRPr="00964B14">
        <w:rPr>
          <w:rFonts w:ascii="Times New Roman" w:hAnsi="Times New Roman"/>
          <w:color w:val="000000" w:themeColor="text1"/>
          <w:sz w:val="24"/>
          <w:szCs w:val="24"/>
        </w:rPr>
        <w:t>Bacilleriophyceae</w:t>
      </w:r>
      <w:proofErr w:type="spellEnd"/>
      <w:r w:rsidRPr="00964B14">
        <w:rPr>
          <w:rFonts w:ascii="Times New Roman" w:hAnsi="Times New Roman"/>
          <w:color w:val="000000" w:themeColor="text1"/>
          <w:sz w:val="24"/>
          <w:szCs w:val="24"/>
        </w:rPr>
        <w:t xml:space="preserve"> were identified following </w:t>
      </w:r>
      <w:proofErr w:type="spellStart"/>
      <w:r w:rsidRPr="00964B14">
        <w:rPr>
          <w:rFonts w:ascii="Times New Roman" w:hAnsi="Times New Roman"/>
          <w:color w:val="000000" w:themeColor="text1"/>
          <w:sz w:val="24"/>
          <w:szCs w:val="24"/>
        </w:rPr>
        <w:t>Hendey's</w:t>
      </w:r>
      <w:proofErr w:type="spellEnd"/>
      <w:r w:rsidRPr="00964B14">
        <w:rPr>
          <w:rFonts w:ascii="Times New Roman" w:hAnsi="Times New Roman"/>
          <w:color w:val="000000" w:themeColor="text1"/>
          <w:sz w:val="24"/>
          <w:szCs w:val="24"/>
        </w:rPr>
        <w:t xml:space="preserve"> (1964) approach (see Table 6). The data analysis encompassed statistical computations, correlations, and inter-correlation matrices, which were separately applied to both </w:t>
      </w:r>
      <w:proofErr w:type="spellStart"/>
      <w:r w:rsidRPr="00964B14">
        <w:rPr>
          <w:rFonts w:ascii="Times New Roman" w:hAnsi="Times New Roman"/>
          <w:color w:val="000000" w:themeColor="text1"/>
          <w:sz w:val="24"/>
          <w:szCs w:val="24"/>
        </w:rPr>
        <w:t>physico</w:t>
      </w:r>
      <w:proofErr w:type="spellEnd"/>
      <w:r w:rsidRPr="00964B14">
        <w:rPr>
          <w:rFonts w:ascii="Times New Roman" w:hAnsi="Times New Roman"/>
          <w:color w:val="000000" w:themeColor="text1"/>
          <w:sz w:val="24"/>
          <w:szCs w:val="24"/>
        </w:rPr>
        <w:t>-chemical variables and phytoplankton data (see Table 6).</w:t>
      </w:r>
    </w:p>
    <w:p w:rsidR="00964B14" w:rsidRDefault="00964B14" w:rsidP="00964B14">
      <w:pPr>
        <w:spacing w:after="0" w:line="240" w:lineRule="auto"/>
        <w:jc w:val="both"/>
        <w:rPr>
          <w:rFonts w:ascii="Times New Roman" w:hAnsi="Times New Roman"/>
          <w:color w:val="000000" w:themeColor="text1"/>
          <w:sz w:val="24"/>
          <w:szCs w:val="24"/>
        </w:rPr>
      </w:pP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drawing>
          <wp:inline distT="0" distB="0" distL="0" distR="0">
            <wp:extent cx="5731510" cy="3747526"/>
            <wp:effectExtent l="1905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747526"/>
                    </a:xfrm>
                    <a:prstGeom prst="rect">
                      <a:avLst/>
                    </a:prstGeom>
                    <a:noFill/>
                    <a:ln>
                      <a:noFill/>
                    </a:ln>
                  </pic:spPr>
                </pic:pic>
              </a:graphicData>
            </a:graphic>
          </wp:inline>
        </w:drawing>
      </w:r>
    </w:p>
    <w:p w:rsidR="00964B14" w:rsidRDefault="00964B14" w:rsidP="00964B14">
      <w:pPr>
        <w:spacing w:after="0" w:line="240" w:lineRule="auto"/>
        <w:jc w:val="both"/>
        <w:rPr>
          <w:rFonts w:ascii="Times New Roman" w:hAnsi="Times New Roman"/>
          <w:color w:val="000000" w:themeColor="text1"/>
          <w:sz w:val="24"/>
          <w:szCs w:val="24"/>
        </w:rPr>
      </w:pPr>
    </w:p>
    <w:p w:rsidR="00964B14" w:rsidRDefault="00964B14" w:rsidP="00964B14">
      <w:pPr>
        <w:spacing w:after="0" w:line="240" w:lineRule="auto"/>
        <w:jc w:val="both"/>
        <w:rPr>
          <w:rFonts w:ascii="Times New Roman" w:hAnsi="Times New Roman"/>
          <w:color w:val="000000" w:themeColor="text1"/>
          <w:sz w:val="24"/>
          <w:szCs w:val="24"/>
        </w:rPr>
      </w:pPr>
      <w:r w:rsidRPr="00964B14">
        <w:rPr>
          <w:rFonts w:ascii="Times New Roman" w:hAnsi="Times New Roman"/>
          <w:color w:val="000000" w:themeColor="text1"/>
          <w:sz w:val="24"/>
          <w:szCs w:val="24"/>
        </w:rPr>
        <w:t>The enumeration of phytoplankton and zooplankton species' abundance took place. This involved quantifying the number of species within a cluster relative to the total number of species across all clusters under examination. The calculation of indices followed the methodology outlined in references [15] and [16]. To assess each species, metrics such as Brillion’s diversity index and Simpson’s index of dominance were employed. The equations utilized for these calculations were as follows:</w:t>
      </w:r>
    </w:p>
    <w:p w:rsidR="00964B14" w:rsidRPr="003F7437" w:rsidRDefault="00964B14" w:rsidP="00964B14">
      <w:pPr>
        <w:spacing w:before="100" w:beforeAutospacing="1" w:after="100" w:afterAutospacing="1" w:line="360" w:lineRule="auto"/>
        <w:jc w:val="both"/>
        <w:rPr>
          <w:rFonts w:ascii="Times New Roman" w:hAnsi="Times New Roman"/>
          <w:color w:val="000000" w:themeColor="text1"/>
          <w:sz w:val="24"/>
          <w:szCs w:val="24"/>
        </w:rPr>
      </w:pPr>
      <w:r w:rsidRPr="003F7437">
        <w:rPr>
          <w:rFonts w:ascii="Times New Roman" w:eastAsia="Times New Roman" w:hAnsi="Times New Roman"/>
          <w:color w:val="000000" w:themeColor="text1"/>
          <w:sz w:val="24"/>
          <w:szCs w:val="24"/>
          <w:lang w:eastAsia="en-GB"/>
        </w:rPr>
        <w:t xml:space="preserve">Simpson’s index, D = </w:t>
      </w:r>
      <w:proofErr w:type="spellStart"/>
      <w:r w:rsidRPr="003F7437">
        <w:rPr>
          <w:rFonts w:ascii="Times New Roman" w:eastAsia="Times New Roman" w:hAnsi="Times New Roman"/>
          <w:color w:val="000000" w:themeColor="text1"/>
          <w:sz w:val="24"/>
          <w:szCs w:val="24"/>
          <w:lang w:eastAsia="en-GB"/>
        </w:rPr>
        <w:t>i</w:t>
      </w:r>
      <w:proofErr w:type="spellEnd"/>
      <w:r w:rsidRPr="003F7437">
        <w:rPr>
          <w:rFonts w:ascii="Times New Roman" w:eastAsia="Times New Roman" w:hAnsi="Times New Roman"/>
          <w:color w:val="000000" w:themeColor="text1"/>
          <w:sz w:val="24"/>
          <w:szCs w:val="24"/>
          <w:lang w:eastAsia="en-GB"/>
        </w:rPr>
        <w:t>=</w:t>
      </w:r>
      <w:r w:rsidRPr="003F7437">
        <w:rPr>
          <w:rFonts w:ascii="Times New Roman" w:eastAsia="Times New Roman" w:hAnsi="Times New Roman"/>
          <w:color w:val="000000" w:themeColor="text1"/>
          <w:sz w:val="24"/>
          <w:szCs w:val="24"/>
          <w:lang w:eastAsia="en-GB"/>
        </w:rPr>
        <w:fldChar w:fldCharType="begin"/>
      </w:r>
      <w:r w:rsidRPr="003F7437">
        <w:rPr>
          <w:rFonts w:ascii="Times New Roman" w:eastAsia="Times New Roman" w:hAnsi="Times New Roman"/>
          <w:color w:val="000000" w:themeColor="text1"/>
          <w:sz w:val="24"/>
          <w:szCs w:val="24"/>
          <w:lang w:eastAsia="en-GB"/>
        </w:rPr>
        <w:instrText xml:space="preserve"> QUOTE </w:instrText>
      </w:r>
      <w:r w:rsidRPr="0001603A">
        <w:rPr>
          <w:rFonts w:ascii="Times New Roman" w:hAnsi="Times New Roman"/>
          <w:color w:val="000000" w:themeColor="text1"/>
          <w:position w:val="-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5pt;height:17.4pt" equationxml="&lt;">
            <v:imagedata r:id="rId6" o:title="" chromakey="white"/>
          </v:shape>
        </w:pict>
      </w:r>
      <w:r w:rsidRPr="003F7437">
        <w:rPr>
          <w:rFonts w:ascii="Times New Roman" w:eastAsia="Times New Roman" w:hAnsi="Times New Roman"/>
          <w:color w:val="000000" w:themeColor="text1"/>
          <w:sz w:val="24"/>
          <w:szCs w:val="24"/>
          <w:lang w:eastAsia="en-GB"/>
        </w:rPr>
        <w:instrText xml:space="preserve"> </w:instrText>
      </w:r>
      <w:r w:rsidRPr="003F7437">
        <w:rPr>
          <w:rFonts w:ascii="Times New Roman" w:eastAsia="Times New Roman" w:hAnsi="Times New Roman"/>
          <w:color w:val="000000" w:themeColor="text1"/>
          <w:sz w:val="24"/>
          <w:szCs w:val="24"/>
          <w:lang w:eastAsia="en-GB"/>
        </w:rPr>
        <w:fldChar w:fldCharType="separate"/>
      </w:r>
      <w:r w:rsidRPr="0001603A">
        <w:rPr>
          <w:rFonts w:ascii="Times New Roman" w:hAnsi="Times New Roman"/>
          <w:color w:val="000000" w:themeColor="text1"/>
          <w:position w:val="-8"/>
          <w:sz w:val="24"/>
          <w:szCs w:val="24"/>
        </w:rPr>
        <w:pict>
          <v:shape id="_x0000_i1026" type="#_x0000_t75" style="width:37.25pt;height:17.4pt" equationxml="&lt;">
            <v:imagedata r:id="rId6" o:title="" chromakey="white"/>
          </v:shape>
        </w:pict>
      </w:r>
      <w:r w:rsidRPr="003F7437">
        <w:rPr>
          <w:rFonts w:ascii="Times New Roman" w:eastAsia="Times New Roman" w:hAnsi="Times New Roman"/>
          <w:color w:val="000000" w:themeColor="text1"/>
          <w:sz w:val="24"/>
          <w:szCs w:val="24"/>
          <w:lang w:eastAsia="en-GB"/>
        </w:rPr>
        <w:fldChar w:fldCharType="end"/>
      </w:r>
    </w:p>
    <w:p w:rsidR="00964B14" w:rsidRPr="003F7437" w:rsidRDefault="00964B14" w:rsidP="00964B14">
      <w:pPr>
        <w:spacing w:before="100" w:beforeAutospacing="1" w:after="100" w:afterAutospacing="1" w:line="360" w:lineRule="auto"/>
        <w:jc w:val="both"/>
        <w:rPr>
          <w:rFonts w:ascii="Times New Roman" w:hAnsi="Times New Roman"/>
          <w:color w:val="000000" w:themeColor="text1"/>
          <w:sz w:val="24"/>
          <w:szCs w:val="24"/>
        </w:rPr>
      </w:pPr>
      <w:r w:rsidRPr="003F7437">
        <w:rPr>
          <w:rFonts w:ascii="Times New Roman" w:eastAsia="Times New Roman" w:hAnsi="Times New Roman"/>
          <w:i/>
          <w:iCs/>
          <w:color w:val="000000" w:themeColor="text1"/>
          <w:sz w:val="24"/>
          <w:szCs w:val="24"/>
          <w:lang w:eastAsia="en-GB"/>
        </w:rPr>
        <w:t xml:space="preserve">Where p is the proportional </w:t>
      </w:r>
      <w:r>
        <w:rPr>
          <w:rFonts w:ascii="Times New Roman" w:eastAsia="Times New Roman" w:hAnsi="Times New Roman"/>
          <w:i/>
          <w:iCs/>
          <w:color w:val="000000" w:themeColor="text1"/>
          <w:sz w:val="24"/>
          <w:szCs w:val="24"/>
          <w:lang w:eastAsia="en-GB"/>
        </w:rPr>
        <w:t>counts</w:t>
      </w:r>
      <w:r w:rsidRPr="003F7437">
        <w:rPr>
          <w:rFonts w:ascii="Times New Roman" w:eastAsia="Times New Roman" w:hAnsi="Times New Roman"/>
          <w:i/>
          <w:iCs/>
          <w:color w:val="000000" w:themeColor="text1"/>
          <w:sz w:val="24"/>
          <w:szCs w:val="24"/>
          <w:lang w:eastAsia="en-GB"/>
        </w:rPr>
        <w:t xml:space="preserve"> of </w:t>
      </w:r>
      <w:proofErr w:type="spellStart"/>
      <w:r w:rsidRPr="003F7437">
        <w:rPr>
          <w:rFonts w:ascii="Times New Roman" w:eastAsia="Times New Roman" w:hAnsi="Times New Roman"/>
          <w:i/>
          <w:iCs/>
          <w:color w:val="000000" w:themeColor="text1"/>
          <w:sz w:val="24"/>
          <w:szCs w:val="24"/>
          <w:lang w:eastAsia="en-GB"/>
        </w:rPr>
        <w:t>ith</w:t>
      </w:r>
      <w:proofErr w:type="spellEnd"/>
      <w:r w:rsidRPr="003F7437">
        <w:rPr>
          <w:rFonts w:ascii="Times New Roman" w:eastAsia="Times New Roman" w:hAnsi="Times New Roman"/>
          <w:i/>
          <w:iCs/>
          <w:color w:val="000000" w:themeColor="text1"/>
          <w:sz w:val="24"/>
          <w:szCs w:val="24"/>
          <w:lang w:eastAsia="en-GB"/>
        </w:rPr>
        <w:t xml:space="preserve"> species</w:t>
      </w:r>
    </w:p>
    <w:p w:rsidR="00964B14" w:rsidRPr="003F7437" w:rsidRDefault="00964B14" w:rsidP="00964B14">
      <w:pPr>
        <w:spacing w:before="100" w:beforeAutospacing="1" w:after="100" w:afterAutospacing="1" w:line="360" w:lineRule="auto"/>
        <w:rPr>
          <w:rFonts w:ascii="Times New Roman" w:eastAsia="Times New Roman" w:hAnsi="Times New Roman"/>
          <w:color w:val="000000" w:themeColor="text1"/>
          <w:sz w:val="24"/>
          <w:szCs w:val="24"/>
          <w:lang w:eastAsia="en-GB"/>
        </w:rPr>
      </w:pPr>
      <w:proofErr w:type="spellStart"/>
      <w:r w:rsidRPr="003F7437">
        <w:rPr>
          <w:rFonts w:ascii="Times New Roman" w:eastAsia="Times New Roman" w:hAnsi="Times New Roman"/>
          <w:color w:val="000000" w:themeColor="text1"/>
          <w:sz w:val="24"/>
          <w:szCs w:val="24"/>
          <w:lang w:eastAsia="en-GB"/>
        </w:rPr>
        <w:t>Gini</w:t>
      </w:r>
      <w:proofErr w:type="spellEnd"/>
      <w:r w:rsidRPr="003F7437">
        <w:rPr>
          <w:rFonts w:ascii="Times New Roman" w:eastAsia="Times New Roman" w:hAnsi="Times New Roman"/>
          <w:color w:val="000000" w:themeColor="text1"/>
          <w:sz w:val="24"/>
          <w:szCs w:val="24"/>
          <w:lang w:eastAsia="en-GB"/>
        </w:rPr>
        <w:t>-Simpson index = 1- D</w:t>
      </w:r>
    </w:p>
    <w:p w:rsidR="00964B14" w:rsidRPr="003F7437" w:rsidRDefault="00964B14" w:rsidP="00964B14">
      <w:pPr>
        <w:spacing w:before="100" w:beforeAutospacing="1" w:after="100" w:afterAutospacing="1" w:line="360" w:lineRule="auto"/>
        <w:rPr>
          <w:rFonts w:ascii="Times New Roman" w:eastAsia="Times New Roman" w:hAnsi="Times New Roman"/>
          <w:color w:val="000000" w:themeColor="text1"/>
          <w:sz w:val="24"/>
          <w:szCs w:val="24"/>
          <w:lang w:eastAsia="en-GB"/>
        </w:rPr>
      </w:pPr>
      <w:r w:rsidRPr="003F7437">
        <w:rPr>
          <w:rFonts w:ascii="Times New Roman" w:eastAsia="Times New Roman" w:hAnsi="Times New Roman"/>
          <w:color w:val="000000" w:themeColor="text1"/>
          <w:sz w:val="24"/>
          <w:szCs w:val="24"/>
          <w:lang w:eastAsia="en-GB"/>
        </w:rPr>
        <w:t>Shannon-</w:t>
      </w:r>
      <w:proofErr w:type="spellStart"/>
      <w:r w:rsidRPr="003F7437">
        <w:rPr>
          <w:rFonts w:ascii="Times New Roman" w:eastAsia="Times New Roman" w:hAnsi="Times New Roman"/>
          <w:color w:val="000000" w:themeColor="text1"/>
          <w:sz w:val="24"/>
          <w:szCs w:val="24"/>
          <w:lang w:eastAsia="en-GB"/>
        </w:rPr>
        <w:t>Wienner’s</w:t>
      </w:r>
      <w:proofErr w:type="spellEnd"/>
      <w:r w:rsidRPr="003F7437">
        <w:rPr>
          <w:rFonts w:ascii="Times New Roman" w:eastAsia="Times New Roman" w:hAnsi="Times New Roman"/>
          <w:color w:val="000000" w:themeColor="text1"/>
          <w:sz w:val="24"/>
          <w:szCs w:val="24"/>
          <w:lang w:eastAsia="en-GB"/>
        </w:rPr>
        <w:t xml:space="preserve"> index, H’ = </w:t>
      </w:r>
      <w:r w:rsidRPr="003F7437">
        <w:rPr>
          <w:rFonts w:ascii="Times New Roman" w:eastAsia="Times New Roman" w:hAnsi="Times New Roman"/>
          <w:color w:val="000000" w:themeColor="text1"/>
          <w:sz w:val="24"/>
          <w:szCs w:val="24"/>
          <w:lang w:eastAsia="en-GB"/>
        </w:rPr>
        <w:fldChar w:fldCharType="begin"/>
      </w:r>
      <w:r w:rsidRPr="003F7437">
        <w:rPr>
          <w:rFonts w:ascii="Times New Roman" w:eastAsia="Times New Roman" w:hAnsi="Times New Roman"/>
          <w:color w:val="000000" w:themeColor="text1"/>
          <w:sz w:val="24"/>
          <w:szCs w:val="24"/>
          <w:lang w:eastAsia="en-GB"/>
        </w:rPr>
        <w:instrText xml:space="preserve"> QUOTE </w:instrText>
      </w:r>
      <w:r w:rsidRPr="0001603A">
        <w:rPr>
          <w:rFonts w:ascii="Times New Roman" w:hAnsi="Times New Roman"/>
          <w:color w:val="000000" w:themeColor="text1"/>
          <w:position w:val="-8"/>
          <w:sz w:val="24"/>
          <w:szCs w:val="24"/>
        </w:rPr>
        <w:pict>
          <v:shape id="_x0000_i1027" type="#_x0000_t75" style="width:74.5pt;height:17.4pt" equationxml="&lt;">
            <v:imagedata r:id="rId7" o:title="" chromakey="white"/>
          </v:shape>
        </w:pict>
      </w:r>
      <w:r w:rsidRPr="003F7437">
        <w:rPr>
          <w:rFonts w:ascii="Times New Roman" w:eastAsia="Times New Roman" w:hAnsi="Times New Roman"/>
          <w:color w:val="000000" w:themeColor="text1"/>
          <w:sz w:val="24"/>
          <w:szCs w:val="24"/>
          <w:lang w:eastAsia="en-GB"/>
        </w:rPr>
        <w:instrText xml:space="preserve"> </w:instrText>
      </w:r>
      <w:r w:rsidRPr="003F7437">
        <w:rPr>
          <w:rFonts w:ascii="Times New Roman" w:eastAsia="Times New Roman" w:hAnsi="Times New Roman"/>
          <w:color w:val="000000" w:themeColor="text1"/>
          <w:sz w:val="24"/>
          <w:szCs w:val="24"/>
          <w:lang w:eastAsia="en-GB"/>
        </w:rPr>
        <w:fldChar w:fldCharType="separate"/>
      </w:r>
      <w:r w:rsidRPr="0001603A">
        <w:rPr>
          <w:rFonts w:ascii="Times New Roman" w:hAnsi="Times New Roman"/>
          <w:color w:val="000000" w:themeColor="text1"/>
          <w:position w:val="-8"/>
          <w:sz w:val="24"/>
          <w:szCs w:val="24"/>
        </w:rPr>
        <w:pict>
          <v:shape id="_x0000_i1028" type="#_x0000_t75" style="width:74.5pt;height:17.4pt" equationxml="&lt;">
            <v:imagedata r:id="rId7" o:title="" chromakey="white"/>
          </v:shape>
        </w:pict>
      </w:r>
      <w:r w:rsidRPr="003F7437">
        <w:rPr>
          <w:rFonts w:ascii="Times New Roman" w:eastAsia="Times New Roman" w:hAnsi="Times New Roman"/>
          <w:color w:val="000000" w:themeColor="text1"/>
          <w:sz w:val="24"/>
          <w:szCs w:val="24"/>
          <w:lang w:eastAsia="en-GB"/>
        </w:rPr>
        <w:fldChar w:fldCharType="end"/>
      </w:r>
    </w:p>
    <w:p w:rsidR="00964B14" w:rsidRPr="003F7437" w:rsidRDefault="00964B14" w:rsidP="00964B14">
      <w:pPr>
        <w:spacing w:before="100" w:beforeAutospacing="1" w:after="100" w:afterAutospacing="1" w:line="360" w:lineRule="auto"/>
        <w:rPr>
          <w:rFonts w:ascii="Times New Roman" w:eastAsia="Times New Roman" w:hAnsi="Times New Roman"/>
          <w:color w:val="000000" w:themeColor="text1"/>
          <w:sz w:val="24"/>
          <w:szCs w:val="24"/>
          <w:lang w:eastAsia="en-GB"/>
        </w:rPr>
      </w:pPr>
      <w:r w:rsidRPr="003F7437">
        <w:rPr>
          <w:rFonts w:ascii="Times New Roman" w:eastAsia="Times New Roman" w:hAnsi="Times New Roman"/>
          <w:i/>
          <w:iCs/>
          <w:color w:val="000000" w:themeColor="text1"/>
          <w:sz w:val="24"/>
          <w:szCs w:val="24"/>
          <w:lang w:eastAsia="en-GB"/>
        </w:rPr>
        <w:t xml:space="preserve">Where p is the proportional </w:t>
      </w:r>
      <w:r>
        <w:rPr>
          <w:rFonts w:ascii="Times New Roman" w:eastAsia="Times New Roman" w:hAnsi="Times New Roman"/>
          <w:i/>
          <w:iCs/>
          <w:color w:val="000000" w:themeColor="text1"/>
          <w:sz w:val="24"/>
          <w:szCs w:val="24"/>
          <w:lang w:eastAsia="en-GB"/>
        </w:rPr>
        <w:t xml:space="preserve">counts </w:t>
      </w:r>
      <w:r w:rsidRPr="003F7437">
        <w:rPr>
          <w:rFonts w:ascii="Times New Roman" w:eastAsia="Times New Roman" w:hAnsi="Times New Roman"/>
          <w:i/>
          <w:iCs/>
          <w:color w:val="000000" w:themeColor="text1"/>
          <w:sz w:val="24"/>
          <w:szCs w:val="24"/>
          <w:lang w:eastAsia="en-GB"/>
        </w:rPr>
        <w:t xml:space="preserve">of </w:t>
      </w:r>
      <w:proofErr w:type="spellStart"/>
      <w:r w:rsidRPr="003F7437">
        <w:rPr>
          <w:rFonts w:ascii="Times New Roman" w:eastAsia="Times New Roman" w:hAnsi="Times New Roman"/>
          <w:i/>
          <w:iCs/>
          <w:color w:val="000000" w:themeColor="text1"/>
          <w:sz w:val="24"/>
          <w:szCs w:val="24"/>
          <w:lang w:eastAsia="en-GB"/>
        </w:rPr>
        <w:t>ith</w:t>
      </w:r>
      <w:proofErr w:type="spellEnd"/>
      <w:r w:rsidRPr="003F7437">
        <w:rPr>
          <w:rFonts w:ascii="Times New Roman" w:eastAsia="Times New Roman" w:hAnsi="Times New Roman"/>
          <w:i/>
          <w:iCs/>
          <w:color w:val="000000" w:themeColor="text1"/>
          <w:sz w:val="24"/>
          <w:szCs w:val="24"/>
          <w:lang w:eastAsia="en-GB"/>
        </w:rPr>
        <w:t xml:space="preserve"> species</w:t>
      </w:r>
    </w:p>
    <w:p w:rsidR="00964B14" w:rsidRPr="003F7437" w:rsidRDefault="00964B14" w:rsidP="00964B14">
      <w:pPr>
        <w:spacing w:before="100" w:beforeAutospacing="1" w:after="100" w:afterAutospacing="1" w:line="360" w:lineRule="auto"/>
        <w:rPr>
          <w:rFonts w:ascii="Times New Roman" w:eastAsia="Times New Roman" w:hAnsi="Times New Roman"/>
          <w:color w:val="000000" w:themeColor="text1"/>
          <w:sz w:val="24"/>
          <w:szCs w:val="24"/>
          <w:lang w:eastAsia="en-GB"/>
        </w:rPr>
      </w:pPr>
      <w:r w:rsidRPr="003F7437">
        <w:rPr>
          <w:rFonts w:ascii="Times New Roman" w:eastAsia="Times New Roman" w:hAnsi="Times New Roman"/>
          <w:color w:val="000000" w:themeColor="text1"/>
          <w:sz w:val="24"/>
          <w:szCs w:val="24"/>
          <w:lang w:eastAsia="en-GB"/>
        </w:rPr>
        <w:t xml:space="preserve">Berger – parker index of Dominance, d = </w:t>
      </w:r>
      <w:proofErr w:type="spellStart"/>
      <w:r w:rsidRPr="003F7437">
        <w:rPr>
          <w:rFonts w:ascii="Times New Roman" w:eastAsia="Times New Roman" w:hAnsi="Times New Roman"/>
          <w:color w:val="000000" w:themeColor="text1"/>
          <w:sz w:val="24"/>
          <w:szCs w:val="24"/>
          <w:lang w:eastAsia="en-GB"/>
        </w:rPr>
        <w:t>NmaxN</w:t>
      </w:r>
      <w:proofErr w:type="spellEnd"/>
    </w:p>
    <w:p w:rsidR="00964B14" w:rsidRPr="003F7437" w:rsidRDefault="00964B14" w:rsidP="00964B14">
      <w:pPr>
        <w:spacing w:before="100" w:beforeAutospacing="1" w:after="100" w:afterAutospacing="1" w:line="360" w:lineRule="auto"/>
        <w:jc w:val="both"/>
        <w:rPr>
          <w:rFonts w:ascii="Times New Roman" w:hAnsi="Times New Roman"/>
          <w:color w:val="000000" w:themeColor="text1"/>
          <w:sz w:val="24"/>
          <w:szCs w:val="24"/>
        </w:rPr>
      </w:pPr>
      <w:r w:rsidRPr="003F7437">
        <w:rPr>
          <w:rFonts w:ascii="Times New Roman" w:eastAsia="Times New Roman" w:hAnsi="Times New Roman"/>
          <w:i/>
          <w:iCs/>
          <w:color w:val="000000" w:themeColor="text1"/>
          <w:sz w:val="24"/>
          <w:szCs w:val="24"/>
          <w:lang w:eastAsia="en-GB"/>
        </w:rPr>
        <w:lastRenderedPageBreak/>
        <w:t xml:space="preserve">N </w:t>
      </w:r>
      <w:r w:rsidRPr="003F7437">
        <w:rPr>
          <w:rFonts w:ascii="Times New Roman" w:eastAsia="Times New Roman" w:hAnsi="Times New Roman"/>
          <w:i/>
          <w:iCs/>
          <w:color w:val="000000" w:themeColor="text1"/>
          <w:sz w:val="24"/>
          <w:szCs w:val="24"/>
          <w:vertAlign w:val="subscript"/>
          <w:lang w:eastAsia="en-GB"/>
        </w:rPr>
        <w:t>max</w:t>
      </w:r>
      <w:r w:rsidRPr="003F7437">
        <w:rPr>
          <w:rFonts w:ascii="Times New Roman" w:eastAsia="Times New Roman" w:hAnsi="Times New Roman"/>
          <w:i/>
          <w:iCs/>
          <w:color w:val="000000" w:themeColor="text1"/>
          <w:sz w:val="24"/>
          <w:szCs w:val="24"/>
          <w:lang w:eastAsia="en-GB"/>
        </w:rPr>
        <w:t xml:space="preserve">= number of </w:t>
      </w:r>
      <w:r>
        <w:rPr>
          <w:rFonts w:ascii="Times New Roman" w:eastAsia="Times New Roman" w:hAnsi="Times New Roman"/>
          <w:i/>
          <w:iCs/>
          <w:color w:val="000000" w:themeColor="text1"/>
          <w:sz w:val="24"/>
          <w:szCs w:val="24"/>
          <w:lang w:eastAsia="en-GB"/>
        </w:rPr>
        <w:t>species</w:t>
      </w:r>
      <w:r w:rsidRPr="003F7437">
        <w:rPr>
          <w:rFonts w:ascii="Times New Roman" w:eastAsia="Times New Roman" w:hAnsi="Times New Roman"/>
          <w:i/>
          <w:iCs/>
          <w:color w:val="000000" w:themeColor="text1"/>
          <w:sz w:val="24"/>
          <w:szCs w:val="24"/>
          <w:lang w:eastAsia="en-GB"/>
        </w:rPr>
        <w:t xml:space="preserve"> in the most abundant species. N = total number of </w:t>
      </w:r>
      <w:r>
        <w:rPr>
          <w:rFonts w:ascii="Times New Roman" w:eastAsia="Times New Roman" w:hAnsi="Times New Roman"/>
          <w:i/>
          <w:iCs/>
          <w:color w:val="000000" w:themeColor="text1"/>
          <w:sz w:val="24"/>
          <w:szCs w:val="24"/>
          <w:lang w:eastAsia="en-GB"/>
        </w:rPr>
        <w:t>species</w:t>
      </w:r>
      <w:r w:rsidRPr="003F7437">
        <w:rPr>
          <w:rFonts w:ascii="Times New Roman" w:eastAsia="Times New Roman" w:hAnsi="Times New Roman"/>
          <w:i/>
          <w:iCs/>
          <w:color w:val="000000" w:themeColor="text1"/>
          <w:sz w:val="24"/>
          <w:szCs w:val="24"/>
          <w:lang w:eastAsia="en-GB"/>
        </w:rPr>
        <w:t xml:space="preserve"> in sample</w:t>
      </w:r>
    </w:p>
    <w:p w:rsidR="00DE1EF7" w:rsidRPr="003F7437" w:rsidRDefault="00DE1EF7" w:rsidP="00DE1EF7">
      <w:pPr>
        <w:spacing w:before="100" w:beforeAutospacing="1" w:after="100" w:afterAutospacing="1" w:line="360" w:lineRule="auto"/>
        <w:jc w:val="both"/>
        <w:rPr>
          <w:rFonts w:ascii="Times New Roman" w:hAnsi="Times New Roman"/>
          <w:b/>
          <w:color w:val="000000" w:themeColor="text1"/>
          <w:sz w:val="24"/>
          <w:szCs w:val="24"/>
        </w:rPr>
      </w:pPr>
      <w:r w:rsidRPr="003F7437">
        <w:rPr>
          <w:rFonts w:ascii="Times New Roman" w:hAnsi="Times New Roman"/>
          <w:b/>
          <w:color w:val="000000" w:themeColor="text1"/>
          <w:sz w:val="24"/>
          <w:szCs w:val="24"/>
        </w:rPr>
        <w:t>Plankton Collection</w:t>
      </w:r>
    </w:p>
    <w:p w:rsidR="00DE1EF7" w:rsidRPr="003F7437" w:rsidRDefault="00DE1EF7" w:rsidP="00DE1EF7">
      <w:pPr>
        <w:spacing w:before="100" w:beforeAutospacing="1" w:after="100" w:afterAutospacing="1" w:line="360" w:lineRule="auto"/>
        <w:jc w:val="both"/>
        <w:rPr>
          <w:rFonts w:ascii="Times New Roman" w:hAnsi="Times New Roman"/>
          <w:b/>
          <w:color w:val="000000" w:themeColor="text1"/>
          <w:sz w:val="24"/>
          <w:szCs w:val="24"/>
        </w:rPr>
      </w:pPr>
      <w:r w:rsidRPr="003F7437">
        <w:rPr>
          <w:rFonts w:ascii="Times New Roman" w:hAnsi="Times New Roman"/>
          <w:color w:val="000000" w:themeColor="text1"/>
          <w:sz w:val="24"/>
          <w:szCs w:val="24"/>
        </w:rPr>
        <w:t xml:space="preserve">Planktons were collected </w:t>
      </w:r>
      <w:r>
        <w:rPr>
          <w:rFonts w:ascii="Times New Roman" w:hAnsi="Times New Roman"/>
          <w:color w:val="000000" w:themeColor="text1"/>
          <w:sz w:val="24"/>
          <w:szCs w:val="24"/>
        </w:rPr>
        <w:t xml:space="preserve">using </w:t>
      </w:r>
      <w:r w:rsidRPr="003F7437">
        <w:rPr>
          <w:rFonts w:ascii="Times New Roman" w:hAnsi="Times New Roman"/>
          <w:color w:val="000000" w:themeColor="text1"/>
          <w:sz w:val="24"/>
          <w:szCs w:val="24"/>
        </w:rPr>
        <w:t xml:space="preserve">plankton net </w:t>
      </w:r>
      <w:r>
        <w:rPr>
          <w:rFonts w:ascii="Times New Roman" w:hAnsi="Times New Roman"/>
          <w:color w:val="000000" w:themeColor="text1"/>
          <w:sz w:val="24"/>
          <w:szCs w:val="24"/>
        </w:rPr>
        <w:t xml:space="preserve">in all </w:t>
      </w:r>
      <w:r w:rsidRPr="003F7437">
        <w:rPr>
          <w:rFonts w:ascii="Times New Roman" w:hAnsi="Times New Roman"/>
          <w:color w:val="000000" w:themeColor="text1"/>
          <w:sz w:val="24"/>
          <w:szCs w:val="24"/>
        </w:rPr>
        <w:t xml:space="preserve">the sample </w:t>
      </w:r>
      <w:r>
        <w:rPr>
          <w:rFonts w:ascii="Times New Roman" w:hAnsi="Times New Roman"/>
          <w:color w:val="000000" w:themeColor="text1"/>
          <w:sz w:val="24"/>
          <w:szCs w:val="24"/>
        </w:rPr>
        <w:t>location</w:t>
      </w:r>
      <w:r w:rsidRPr="003F7437">
        <w:rPr>
          <w:rFonts w:ascii="Times New Roman" w:hAnsi="Times New Roman"/>
          <w:color w:val="000000" w:themeColor="text1"/>
          <w:sz w:val="24"/>
          <w:szCs w:val="24"/>
        </w:rPr>
        <w:t xml:space="preserve"> and </w:t>
      </w:r>
      <w:r>
        <w:rPr>
          <w:rFonts w:ascii="Times New Roman" w:hAnsi="Times New Roman"/>
          <w:color w:val="000000" w:themeColor="text1"/>
          <w:sz w:val="24"/>
          <w:szCs w:val="24"/>
        </w:rPr>
        <w:t>carried</w:t>
      </w:r>
      <w:r w:rsidRPr="003F7437">
        <w:rPr>
          <w:rFonts w:ascii="Times New Roman" w:hAnsi="Times New Roman"/>
          <w:color w:val="000000" w:themeColor="text1"/>
          <w:sz w:val="24"/>
          <w:szCs w:val="24"/>
        </w:rPr>
        <w:t xml:space="preserve"> in sterile bottles to the laboratory for identification.</w:t>
      </w:r>
    </w:p>
    <w:p w:rsidR="00DE1EF7" w:rsidRPr="003F7437" w:rsidRDefault="00DE1EF7" w:rsidP="00DE1EF7">
      <w:pPr>
        <w:spacing w:before="100" w:beforeAutospacing="1" w:after="100" w:afterAutospacing="1" w:line="360" w:lineRule="auto"/>
        <w:jc w:val="both"/>
        <w:rPr>
          <w:rFonts w:ascii="Times New Roman" w:hAnsi="Times New Roman"/>
          <w:b/>
          <w:color w:val="000000" w:themeColor="text1"/>
          <w:sz w:val="24"/>
          <w:szCs w:val="24"/>
        </w:rPr>
      </w:pPr>
      <w:r w:rsidRPr="003F7437">
        <w:rPr>
          <w:rFonts w:ascii="Times New Roman" w:hAnsi="Times New Roman"/>
          <w:b/>
          <w:color w:val="000000" w:themeColor="text1"/>
          <w:sz w:val="24"/>
          <w:szCs w:val="24"/>
        </w:rPr>
        <w:t>2.5 Data A</w:t>
      </w:r>
      <w:r>
        <w:rPr>
          <w:rFonts w:ascii="Times New Roman" w:hAnsi="Times New Roman"/>
          <w:b/>
          <w:color w:val="000000" w:themeColor="text1"/>
          <w:sz w:val="24"/>
          <w:szCs w:val="24"/>
        </w:rPr>
        <w:t>ppraisal</w:t>
      </w:r>
    </w:p>
    <w:p w:rsidR="00DE1EF7" w:rsidRPr="003F7437" w:rsidRDefault="00DE1EF7" w:rsidP="00DE1EF7">
      <w:pPr>
        <w:spacing w:before="100" w:beforeAutospacing="1" w:after="100" w:afterAutospacing="1" w:line="360" w:lineRule="auto"/>
        <w:jc w:val="both"/>
        <w:rPr>
          <w:rFonts w:ascii="Times New Roman" w:hAnsi="Times New Roman"/>
          <w:b/>
          <w:color w:val="000000" w:themeColor="text1"/>
          <w:sz w:val="24"/>
          <w:szCs w:val="24"/>
        </w:rPr>
      </w:pPr>
      <w:r w:rsidRPr="003F7437">
        <w:rPr>
          <w:rFonts w:ascii="Times New Roman" w:hAnsi="Times New Roman"/>
          <w:color w:val="000000" w:themeColor="text1"/>
          <w:sz w:val="24"/>
          <w:szCs w:val="24"/>
        </w:rPr>
        <w:t xml:space="preserve">The data was </w:t>
      </w:r>
      <w:r>
        <w:rPr>
          <w:rFonts w:ascii="Times New Roman" w:hAnsi="Times New Roman"/>
          <w:color w:val="000000" w:themeColor="text1"/>
          <w:sz w:val="24"/>
          <w:szCs w:val="24"/>
        </w:rPr>
        <w:t>appraised adopting</w:t>
      </w:r>
      <w:r w:rsidRPr="003F7437">
        <w:rPr>
          <w:rFonts w:ascii="Times New Roman" w:hAnsi="Times New Roman"/>
          <w:color w:val="000000" w:themeColor="text1"/>
          <w:sz w:val="24"/>
          <w:szCs w:val="24"/>
        </w:rPr>
        <w:t xml:space="preserve"> the Statistical Packages for Social Sciences (SPSS) version 20.0, PAST (Paleontological Statistics) version 3.14 and M</w:t>
      </w:r>
      <w:r>
        <w:rPr>
          <w:rFonts w:ascii="Times New Roman" w:hAnsi="Times New Roman"/>
          <w:color w:val="000000" w:themeColor="text1"/>
          <w:sz w:val="24"/>
          <w:szCs w:val="24"/>
        </w:rPr>
        <w:t xml:space="preserve">S </w:t>
      </w:r>
      <w:r w:rsidRPr="003F7437">
        <w:rPr>
          <w:rFonts w:ascii="Times New Roman" w:hAnsi="Times New Roman"/>
          <w:color w:val="000000" w:themeColor="text1"/>
          <w:sz w:val="24"/>
          <w:szCs w:val="24"/>
        </w:rPr>
        <w:t xml:space="preserve">Office Excel. </w:t>
      </w:r>
    </w:p>
    <w:p w:rsidR="00DE1EF7" w:rsidRPr="003F7437" w:rsidRDefault="00DE1EF7" w:rsidP="00DE1EF7">
      <w:pPr>
        <w:spacing w:before="100" w:beforeAutospacing="1" w:after="100" w:afterAutospacing="1" w:line="360" w:lineRule="auto"/>
        <w:rPr>
          <w:rFonts w:ascii="Times New Roman" w:hAnsi="Times New Roman"/>
          <w:b/>
          <w:color w:val="000000" w:themeColor="text1"/>
          <w:sz w:val="24"/>
          <w:szCs w:val="24"/>
        </w:rPr>
      </w:pPr>
      <w:r w:rsidRPr="003F7437">
        <w:rPr>
          <w:rFonts w:ascii="Times New Roman" w:hAnsi="Times New Roman"/>
          <w:b/>
          <w:color w:val="000000" w:themeColor="text1"/>
          <w:sz w:val="24"/>
          <w:szCs w:val="24"/>
        </w:rPr>
        <w:t>RESULT AND DISCUSSION</w:t>
      </w:r>
    </w:p>
    <w:p w:rsidR="00DE1EF7" w:rsidRDefault="00DE1EF7" w:rsidP="00DE1EF7">
      <w:pPr>
        <w:spacing w:after="0" w:line="240" w:lineRule="auto"/>
        <w:jc w:val="both"/>
        <w:rPr>
          <w:rFonts w:ascii="Times New Roman" w:hAnsi="Times New Roman"/>
          <w:b/>
          <w:color w:val="000000" w:themeColor="text1"/>
          <w:sz w:val="24"/>
          <w:szCs w:val="24"/>
        </w:rPr>
      </w:pPr>
      <w:r w:rsidRPr="00DE1EF7">
        <w:rPr>
          <w:rFonts w:ascii="Times New Roman" w:hAnsi="Times New Roman"/>
          <w:b/>
          <w:color w:val="000000" w:themeColor="text1"/>
          <w:sz w:val="24"/>
          <w:szCs w:val="24"/>
        </w:rPr>
        <w:t xml:space="preserve">Relative abundance of phytoplankton and zooplankton </w:t>
      </w:r>
    </w:p>
    <w:p w:rsidR="00DE1EF7" w:rsidRPr="00DE1EF7" w:rsidRDefault="00DE1EF7" w:rsidP="00DE1EF7">
      <w:pPr>
        <w:spacing w:after="0" w:line="240" w:lineRule="auto"/>
        <w:jc w:val="both"/>
        <w:rPr>
          <w:rFonts w:ascii="Times New Roman" w:hAnsi="Times New Roman"/>
          <w:b/>
          <w:color w:val="000000" w:themeColor="text1"/>
          <w:sz w:val="24"/>
          <w:szCs w:val="24"/>
        </w:rPr>
      </w:pP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The tabulation in Table 1 outlines the collective count of species gathered from the sampling sites. At Station 1 and Station 4, an equivalent number of species were collected, each yielding three distinct species, along with 7 phytoplankton and 8 zooplankton species. Symmetry was maintained in species collection across both locations. Irrespective of the sampling approach, the most noteworthy presence was that of </w:t>
      </w:r>
      <w:proofErr w:type="spellStart"/>
      <w:r w:rsidRPr="00DE1EF7">
        <w:rPr>
          <w:rFonts w:ascii="Times New Roman" w:hAnsi="Times New Roman"/>
          <w:color w:val="000000" w:themeColor="text1"/>
          <w:sz w:val="24"/>
          <w:szCs w:val="24"/>
        </w:rPr>
        <w:t>Amietophrymus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regularis</w:t>
      </w:r>
      <w:proofErr w:type="spellEnd"/>
      <w:r w:rsidRPr="00DE1EF7">
        <w:rPr>
          <w:rFonts w:ascii="Times New Roman" w:hAnsi="Times New Roman"/>
          <w:color w:val="000000" w:themeColor="text1"/>
          <w:sz w:val="24"/>
          <w:szCs w:val="24"/>
        </w:rPr>
        <w:t xml:space="preserve">, constituting 28.32% and 37.23% at Station 1 and Station 2, and 19.32% and 14.21% at Station 3 and Station 4 respectively, followed by </w:t>
      </w:r>
      <w:proofErr w:type="spellStart"/>
      <w:r w:rsidRPr="00DE1EF7">
        <w:rPr>
          <w:rFonts w:ascii="Times New Roman" w:hAnsi="Times New Roman"/>
          <w:color w:val="000000" w:themeColor="text1"/>
          <w:sz w:val="24"/>
          <w:szCs w:val="24"/>
        </w:rPr>
        <w:t>Amietophrymus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maculatus</w:t>
      </w:r>
      <w:proofErr w:type="spellEnd"/>
      <w:r w:rsidRPr="00DE1EF7">
        <w:rPr>
          <w:rFonts w:ascii="Times New Roman" w:hAnsi="Times New Roman"/>
          <w:color w:val="000000" w:themeColor="text1"/>
          <w:sz w:val="24"/>
          <w:szCs w:val="24"/>
        </w:rPr>
        <w:t xml:space="preserve"> at 18.82% and 19.82%, and </w:t>
      </w:r>
      <w:proofErr w:type="spellStart"/>
      <w:r w:rsidRPr="00DE1EF7">
        <w:rPr>
          <w:rFonts w:ascii="Times New Roman" w:hAnsi="Times New Roman"/>
          <w:color w:val="000000" w:themeColor="text1"/>
          <w:sz w:val="24"/>
          <w:szCs w:val="24"/>
        </w:rPr>
        <w:t>Hoplobatracchus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occipitalis</w:t>
      </w:r>
      <w:proofErr w:type="spellEnd"/>
      <w:r w:rsidRPr="00DE1EF7">
        <w:rPr>
          <w:rFonts w:ascii="Times New Roman" w:hAnsi="Times New Roman"/>
          <w:color w:val="000000" w:themeColor="text1"/>
          <w:sz w:val="24"/>
          <w:szCs w:val="24"/>
        </w:rPr>
        <w:t xml:space="preserve"> at 19.32% and 14.21%. The relative abundances of phytoplankton species ranged between 1.5% and 3.5%, while for zooplankton species, the range was 1.0% to 3.0%. Across all sampling methods, anuran relative abundances exceeded 62% in each location, while both phytoplankton and zooplankton accounted for less than 20%, as depicted in Figure 1.</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Within the trio of annual species, A. </w:t>
      </w:r>
      <w:proofErr w:type="spellStart"/>
      <w:r w:rsidRPr="00DE1EF7">
        <w:rPr>
          <w:rFonts w:ascii="Times New Roman" w:hAnsi="Times New Roman"/>
          <w:color w:val="000000" w:themeColor="text1"/>
          <w:sz w:val="24"/>
          <w:szCs w:val="24"/>
        </w:rPr>
        <w:t>regularis</w:t>
      </w:r>
      <w:proofErr w:type="spellEnd"/>
      <w:r w:rsidRPr="00DE1EF7">
        <w:rPr>
          <w:rFonts w:ascii="Times New Roman" w:hAnsi="Times New Roman"/>
          <w:color w:val="000000" w:themeColor="text1"/>
          <w:sz w:val="24"/>
          <w:szCs w:val="24"/>
        </w:rPr>
        <w:t xml:space="preserve"> exhibited the highest prevalence, comprising 44% and 51% of the total annual species in Station 3 and Station 4 respectively, as illustrated in Figure 2. A. </w:t>
      </w:r>
      <w:proofErr w:type="spellStart"/>
      <w:r w:rsidRPr="00DE1EF7">
        <w:rPr>
          <w:rFonts w:ascii="Times New Roman" w:hAnsi="Times New Roman"/>
          <w:color w:val="000000" w:themeColor="text1"/>
          <w:sz w:val="24"/>
          <w:szCs w:val="24"/>
        </w:rPr>
        <w:t>maculatus</w:t>
      </w:r>
      <w:proofErr w:type="spellEnd"/>
      <w:r w:rsidRPr="00DE1EF7">
        <w:rPr>
          <w:rFonts w:ascii="Times New Roman" w:hAnsi="Times New Roman"/>
          <w:color w:val="000000" w:themeColor="text1"/>
          <w:sz w:val="24"/>
          <w:szCs w:val="24"/>
        </w:rPr>
        <w:t xml:space="preserve"> demonstrated uniform relative abundance of 28% across both stations in comparison to other anuran species. Relative to the two previously mentioned annual species, H. </w:t>
      </w:r>
      <w:proofErr w:type="spellStart"/>
      <w:r w:rsidRPr="00DE1EF7">
        <w:rPr>
          <w:rFonts w:ascii="Times New Roman" w:hAnsi="Times New Roman"/>
          <w:color w:val="000000" w:themeColor="text1"/>
          <w:sz w:val="24"/>
          <w:szCs w:val="24"/>
        </w:rPr>
        <w:t>occipitalis</w:t>
      </w:r>
      <w:proofErr w:type="spellEnd"/>
      <w:r w:rsidRPr="00DE1EF7">
        <w:rPr>
          <w:rFonts w:ascii="Times New Roman" w:hAnsi="Times New Roman"/>
          <w:color w:val="000000" w:themeColor="text1"/>
          <w:sz w:val="24"/>
          <w:szCs w:val="24"/>
        </w:rPr>
        <w:t xml:space="preserve"> constituted 29% and 20% of abundance in Station 3 and Station 4 respectively.</w:t>
      </w:r>
    </w:p>
    <w:p w:rsidR="00964B14" w:rsidRDefault="00964B14" w:rsidP="00964B14">
      <w:pPr>
        <w:spacing w:after="0" w:line="240" w:lineRule="auto"/>
        <w:jc w:val="both"/>
        <w:rPr>
          <w:rFonts w:ascii="Times New Roman" w:hAnsi="Times New Roman"/>
          <w:color w:val="000000" w:themeColor="text1"/>
          <w:sz w:val="24"/>
          <w:szCs w:val="24"/>
        </w:rPr>
      </w:pPr>
    </w:p>
    <w:p w:rsidR="00DE1EF7" w:rsidRPr="003F7437" w:rsidRDefault="00DE1EF7" w:rsidP="00DE1EF7">
      <w:pPr>
        <w:spacing w:before="100" w:beforeAutospacing="1" w:after="100" w:afterAutospacing="1" w:line="36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Table 1: Relative abundance of phytoplankton and zooplankton species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030"/>
        <w:gridCol w:w="1134"/>
        <w:gridCol w:w="1763"/>
        <w:gridCol w:w="1134"/>
        <w:gridCol w:w="1843"/>
      </w:tblGrid>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897" w:type="dxa"/>
            <w:gridSpan w:val="2"/>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b/>
                <w:bCs/>
                <w:color w:val="000000" w:themeColor="text1"/>
                <w:sz w:val="24"/>
                <w:szCs w:val="24"/>
              </w:rPr>
              <w:t>Location 1 and 2</w:t>
            </w:r>
          </w:p>
        </w:tc>
        <w:tc>
          <w:tcPr>
            <w:tcW w:w="2977" w:type="dxa"/>
            <w:gridSpan w:val="2"/>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b/>
                <w:color w:val="000000" w:themeColor="text1"/>
                <w:sz w:val="24"/>
                <w:szCs w:val="24"/>
              </w:rPr>
              <w:t>Location 3 and 4</w:t>
            </w:r>
          </w:p>
        </w:tc>
      </w:tr>
      <w:tr w:rsidR="00DE1EF7" w:rsidRPr="003F7437" w:rsidTr="00DE1EF7">
        <w:tc>
          <w:tcPr>
            <w:tcW w:w="1702"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color w:val="000000" w:themeColor="text1"/>
                <w:sz w:val="24"/>
                <w:szCs w:val="24"/>
              </w:rPr>
              <w:t>Groups</w:t>
            </w: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color w:val="000000" w:themeColor="text1"/>
                <w:sz w:val="24"/>
                <w:szCs w:val="24"/>
              </w:rPr>
              <w:t>Species</w:t>
            </w:r>
          </w:p>
        </w:tc>
        <w:tc>
          <w:tcPr>
            <w:tcW w:w="1134"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b/>
                <w:bCs/>
                <w:color w:val="000000" w:themeColor="text1"/>
                <w:sz w:val="24"/>
                <w:szCs w:val="24"/>
              </w:rPr>
            </w:pPr>
            <w:r w:rsidRPr="003F7437">
              <w:rPr>
                <w:rFonts w:ascii="Times New Roman" w:hAnsi="Times New Roman"/>
                <w:b/>
                <w:bCs/>
                <w:color w:val="000000" w:themeColor="text1"/>
                <w:sz w:val="24"/>
                <w:szCs w:val="24"/>
              </w:rPr>
              <w:t>TOTAL</w:t>
            </w:r>
          </w:p>
        </w:tc>
        <w:tc>
          <w:tcPr>
            <w:tcW w:w="1763"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color w:val="000000" w:themeColor="text1"/>
                <w:sz w:val="24"/>
                <w:szCs w:val="24"/>
              </w:rPr>
              <w:t>Relative Abundance (%)</w:t>
            </w:r>
          </w:p>
        </w:tc>
        <w:tc>
          <w:tcPr>
            <w:tcW w:w="1134"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b/>
                <w:bCs/>
                <w:color w:val="000000" w:themeColor="text1"/>
                <w:sz w:val="24"/>
                <w:szCs w:val="24"/>
              </w:rPr>
            </w:pPr>
            <w:r w:rsidRPr="003F7437">
              <w:rPr>
                <w:rFonts w:ascii="Times New Roman" w:hAnsi="Times New Roman"/>
                <w:b/>
                <w:bCs/>
                <w:color w:val="000000" w:themeColor="text1"/>
                <w:sz w:val="24"/>
                <w:szCs w:val="24"/>
              </w:rPr>
              <w:t>TOTAL</w:t>
            </w:r>
          </w:p>
        </w:tc>
        <w:tc>
          <w:tcPr>
            <w:tcW w:w="1843"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color w:val="000000" w:themeColor="text1"/>
                <w:sz w:val="24"/>
                <w:szCs w:val="24"/>
              </w:rPr>
              <w:t>Relative Abundance (%)</w:t>
            </w:r>
          </w:p>
        </w:tc>
      </w:tr>
      <w:tr w:rsidR="00DE1EF7" w:rsidRPr="003F7437" w:rsidTr="00DE1EF7">
        <w:tc>
          <w:tcPr>
            <w:tcW w:w="1702"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color w:val="000000" w:themeColor="text1"/>
                <w:sz w:val="24"/>
                <w:szCs w:val="24"/>
              </w:rPr>
              <w:t>Phytoplankton</w:t>
            </w: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Oscillatoria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30</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8.40</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13</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12.04</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Anabaenia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33</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9.24</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7</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6.48</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Analystis</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24</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6.72</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2.78</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Spirogyara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37</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10.36</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15</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13.89</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Oedogonium</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18</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5.04</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4.63</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Savicular</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34</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9.52</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7</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6.48</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i/>
                <w:color w:val="000000" w:themeColor="text1"/>
                <w:sz w:val="24"/>
                <w:szCs w:val="24"/>
              </w:rPr>
              <w:t>Euglena</w:t>
            </w:r>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24</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6.72</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8</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7.41</w:t>
            </w:r>
          </w:p>
        </w:tc>
      </w:tr>
      <w:tr w:rsidR="00DE1EF7" w:rsidRPr="003F7437" w:rsidTr="00DE1EF7">
        <w:tc>
          <w:tcPr>
            <w:tcW w:w="1702"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color w:val="000000" w:themeColor="text1"/>
                <w:sz w:val="24"/>
                <w:szCs w:val="24"/>
              </w:rPr>
              <w:t>Zooplankon</w:t>
            </w:r>
            <w:proofErr w:type="spellEnd"/>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Epiphanes</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22</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6.16</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7</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6.48</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Philodina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26</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7.28</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11</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10.19</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Synchata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32</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8.96</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4</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3.70</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Poliathra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18</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5.04</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4</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3.70</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Holopedium</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14</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3.92</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2</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1.85</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3F7437">
              <w:rPr>
                <w:rFonts w:ascii="Times New Roman" w:hAnsi="Times New Roman"/>
                <w:i/>
                <w:color w:val="000000" w:themeColor="text1"/>
                <w:sz w:val="24"/>
                <w:szCs w:val="24"/>
              </w:rPr>
              <w:t>Daphnia</w:t>
            </w:r>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16</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4.48</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11</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10.19</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Alona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18</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5.04</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6</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5.56</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roofErr w:type="spellStart"/>
            <w:r w:rsidRPr="003F7437">
              <w:rPr>
                <w:rFonts w:ascii="Times New Roman" w:hAnsi="Times New Roman"/>
                <w:i/>
                <w:color w:val="000000" w:themeColor="text1"/>
                <w:sz w:val="24"/>
                <w:szCs w:val="24"/>
              </w:rPr>
              <w:t>Bosmina</w:t>
            </w:r>
            <w:proofErr w:type="spellEnd"/>
            <w:r w:rsidRPr="003F7437">
              <w:rPr>
                <w:rFonts w:ascii="Times New Roman" w:hAnsi="Times New Roman"/>
                <w:color w:val="000000" w:themeColor="text1"/>
                <w:sz w:val="24"/>
                <w:szCs w:val="24"/>
              </w:rPr>
              <w:t xml:space="preserve"> spp.</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11</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3.08</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5</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4.63</w:t>
            </w:r>
          </w:p>
        </w:tc>
      </w:tr>
      <w:tr w:rsidR="00DE1EF7" w:rsidRPr="003F7437" w:rsidTr="00DE1EF7">
        <w:tc>
          <w:tcPr>
            <w:tcW w:w="1702" w:type="dxa"/>
            <w:vAlign w:val="center"/>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p>
        </w:tc>
        <w:tc>
          <w:tcPr>
            <w:tcW w:w="2030" w:type="dxa"/>
            <w:vAlign w:val="center"/>
            <w:hideMark/>
          </w:tcPr>
          <w:p w:rsidR="00DE1EF7" w:rsidRPr="003F7437" w:rsidRDefault="00DE1EF7" w:rsidP="00AC014B">
            <w:pPr>
              <w:tabs>
                <w:tab w:val="center" w:pos="4513"/>
                <w:tab w:val="right" w:pos="9026"/>
              </w:tabs>
              <w:spacing w:before="100" w:beforeAutospacing="1" w:after="100" w:afterAutospacing="1" w:line="360" w:lineRule="auto"/>
              <w:jc w:val="center"/>
              <w:rPr>
                <w:rFonts w:ascii="Times New Roman" w:hAnsi="Times New Roman"/>
                <w:b/>
                <w:bCs/>
                <w:color w:val="000000" w:themeColor="text1"/>
                <w:sz w:val="24"/>
                <w:szCs w:val="24"/>
              </w:rPr>
            </w:pPr>
            <w:r w:rsidRPr="003F7437">
              <w:rPr>
                <w:rFonts w:ascii="Times New Roman" w:hAnsi="Times New Roman"/>
                <w:b/>
                <w:bCs/>
                <w:color w:val="000000" w:themeColor="text1"/>
                <w:sz w:val="24"/>
                <w:szCs w:val="24"/>
              </w:rPr>
              <w:t>TOTAL</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357</w:t>
            </w:r>
          </w:p>
        </w:tc>
        <w:tc>
          <w:tcPr>
            <w:tcW w:w="176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100</w:t>
            </w:r>
          </w:p>
        </w:tc>
        <w:tc>
          <w:tcPr>
            <w:tcW w:w="1134"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108</w:t>
            </w:r>
          </w:p>
        </w:tc>
        <w:tc>
          <w:tcPr>
            <w:tcW w:w="1843" w:type="dxa"/>
            <w:vAlign w:val="bottom"/>
            <w:hideMark/>
          </w:tcPr>
          <w:p w:rsidR="00DE1EF7" w:rsidRPr="00EE1AB9" w:rsidRDefault="00DE1EF7" w:rsidP="00AC014B">
            <w:pPr>
              <w:tabs>
                <w:tab w:val="center" w:pos="4513"/>
                <w:tab w:val="right" w:pos="9026"/>
              </w:tabs>
              <w:spacing w:before="100" w:beforeAutospacing="1" w:after="100" w:afterAutospacing="1" w:line="360" w:lineRule="auto"/>
              <w:jc w:val="center"/>
              <w:rPr>
                <w:rFonts w:ascii="Times New Roman" w:hAnsi="Times New Roman"/>
                <w:color w:val="000000" w:themeColor="text1"/>
                <w:sz w:val="24"/>
                <w:szCs w:val="24"/>
              </w:rPr>
            </w:pPr>
            <w:r w:rsidRPr="00EE1AB9">
              <w:rPr>
                <w:rFonts w:ascii="Times New Roman" w:hAnsi="Times New Roman"/>
                <w:color w:val="000000" w:themeColor="text1"/>
                <w:sz w:val="24"/>
                <w:szCs w:val="24"/>
              </w:rPr>
              <w:t>100</w:t>
            </w:r>
          </w:p>
        </w:tc>
      </w:tr>
    </w:tbl>
    <w:p w:rsidR="00DE1EF7" w:rsidRPr="003F7437" w:rsidRDefault="00DE1EF7" w:rsidP="00DE1EF7">
      <w:pPr>
        <w:spacing w:line="360" w:lineRule="auto"/>
        <w:jc w:val="center"/>
        <w:rPr>
          <w:rFonts w:ascii="Times New Roman" w:hAnsi="Times New Roman"/>
          <w:color w:val="000000" w:themeColor="text1"/>
          <w:sz w:val="24"/>
          <w:szCs w:val="24"/>
        </w:rPr>
      </w:pPr>
      <w:r w:rsidRPr="003F7437">
        <w:rPr>
          <w:rFonts w:ascii="Times New Roman" w:hAnsi="Times New Roman"/>
          <w:noProof/>
          <w:color w:val="000000" w:themeColor="text1"/>
          <w:sz w:val="24"/>
          <w:szCs w:val="24"/>
        </w:rPr>
        <w:drawing>
          <wp:inline distT="0" distB="0" distL="0" distR="0">
            <wp:extent cx="4859079" cy="2711303"/>
            <wp:effectExtent l="0" t="0" r="0"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E1EF7" w:rsidRPr="003F7437" w:rsidRDefault="00DE1EF7" w:rsidP="00DE1EF7">
      <w:pPr>
        <w:spacing w:line="480" w:lineRule="auto"/>
        <w:ind w:left="1134" w:hanging="1134"/>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Figure 1: Relative abundance of phytoplankton and zooplankton species</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In Station 1 and Station 2, the most prevalent phytoplankton species was Spirogyra spp., constituting the majority at 10%, while Euglena spp. and Analyst spp. were the least abundant at 6%. The second-highest in richness was </w:t>
      </w:r>
      <w:proofErr w:type="spellStart"/>
      <w:r w:rsidRPr="00DE1EF7">
        <w:rPr>
          <w:rFonts w:ascii="Times New Roman" w:hAnsi="Times New Roman"/>
          <w:color w:val="000000" w:themeColor="text1"/>
          <w:sz w:val="24"/>
          <w:szCs w:val="24"/>
        </w:rPr>
        <w:t>Savicular</w:t>
      </w:r>
      <w:proofErr w:type="spellEnd"/>
      <w:r w:rsidRPr="00DE1EF7">
        <w:rPr>
          <w:rFonts w:ascii="Times New Roman" w:hAnsi="Times New Roman"/>
          <w:color w:val="000000" w:themeColor="text1"/>
          <w:sz w:val="24"/>
          <w:szCs w:val="24"/>
        </w:rPr>
        <w:t xml:space="preserve"> spp. at 9%. </w:t>
      </w:r>
      <w:proofErr w:type="spellStart"/>
      <w:r w:rsidRPr="00DE1EF7">
        <w:rPr>
          <w:rFonts w:ascii="Times New Roman" w:hAnsi="Times New Roman"/>
          <w:color w:val="000000" w:themeColor="text1"/>
          <w:sz w:val="24"/>
          <w:szCs w:val="24"/>
        </w:rPr>
        <w:t>Analystis</w:t>
      </w:r>
      <w:proofErr w:type="spellEnd"/>
      <w:r w:rsidRPr="00DE1EF7">
        <w:rPr>
          <w:rFonts w:ascii="Times New Roman" w:hAnsi="Times New Roman"/>
          <w:color w:val="000000" w:themeColor="text1"/>
          <w:sz w:val="24"/>
          <w:szCs w:val="24"/>
        </w:rPr>
        <w:t xml:space="preserve"> spp. and Euglena spp. accounted for 24% each (depicted in Figure 3A). Regarding the zooplankton, </w:t>
      </w:r>
      <w:proofErr w:type="spellStart"/>
      <w:r w:rsidRPr="00DE1EF7">
        <w:rPr>
          <w:rFonts w:ascii="Times New Roman" w:hAnsi="Times New Roman"/>
          <w:color w:val="000000" w:themeColor="text1"/>
          <w:sz w:val="24"/>
          <w:szCs w:val="24"/>
        </w:rPr>
        <w:t>Synchata</w:t>
      </w:r>
      <w:proofErr w:type="spellEnd"/>
      <w:r w:rsidRPr="00DE1EF7">
        <w:rPr>
          <w:rFonts w:ascii="Times New Roman" w:hAnsi="Times New Roman"/>
          <w:color w:val="000000" w:themeColor="text1"/>
          <w:sz w:val="24"/>
          <w:szCs w:val="24"/>
        </w:rPr>
        <w:t xml:space="preserve"> spp. took the lead with 8% abundance, closely pursued by </w:t>
      </w:r>
      <w:proofErr w:type="spellStart"/>
      <w:r w:rsidRPr="00DE1EF7">
        <w:rPr>
          <w:rFonts w:ascii="Times New Roman" w:hAnsi="Times New Roman"/>
          <w:color w:val="000000" w:themeColor="text1"/>
          <w:sz w:val="24"/>
          <w:szCs w:val="24"/>
        </w:rPr>
        <w:t>Philodina</w:t>
      </w:r>
      <w:proofErr w:type="spellEnd"/>
      <w:r w:rsidRPr="00DE1EF7">
        <w:rPr>
          <w:rFonts w:ascii="Times New Roman" w:hAnsi="Times New Roman"/>
          <w:color w:val="000000" w:themeColor="text1"/>
          <w:sz w:val="24"/>
          <w:szCs w:val="24"/>
        </w:rPr>
        <w:t xml:space="preserve"> spp. at 7%, and </w:t>
      </w:r>
      <w:proofErr w:type="spellStart"/>
      <w:r w:rsidRPr="00DE1EF7">
        <w:rPr>
          <w:rFonts w:ascii="Times New Roman" w:hAnsi="Times New Roman"/>
          <w:color w:val="000000" w:themeColor="text1"/>
          <w:sz w:val="24"/>
          <w:szCs w:val="24"/>
        </w:rPr>
        <w:t>Epiphanes</w:t>
      </w:r>
      <w:proofErr w:type="spellEnd"/>
      <w:r w:rsidRPr="00DE1EF7">
        <w:rPr>
          <w:rFonts w:ascii="Times New Roman" w:hAnsi="Times New Roman"/>
          <w:color w:val="000000" w:themeColor="text1"/>
          <w:sz w:val="24"/>
          <w:szCs w:val="24"/>
        </w:rPr>
        <w:t xml:space="preserve"> spp. at 6%. The scarcest zooplankton observed was </w:t>
      </w:r>
      <w:proofErr w:type="spellStart"/>
      <w:r w:rsidRPr="00DE1EF7">
        <w:rPr>
          <w:rFonts w:ascii="Times New Roman" w:hAnsi="Times New Roman"/>
          <w:color w:val="000000" w:themeColor="text1"/>
          <w:sz w:val="24"/>
          <w:szCs w:val="24"/>
        </w:rPr>
        <w:t>Bosmina</w:t>
      </w:r>
      <w:proofErr w:type="spellEnd"/>
      <w:r w:rsidRPr="00DE1EF7">
        <w:rPr>
          <w:rFonts w:ascii="Times New Roman" w:hAnsi="Times New Roman"/>
          <w:color w:val="000000" w:themeColor="text1"/>
          <w:sz w:val="24"/>
          <w:szCs w:val="24"/>
        </w:rPr>
        <w:t xml:space="preserve"> spp., comprising only 3% (shown in Figure 3B).</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lastRenderedPageBreak/>
        <w:t xml:space="preserve">Moving to Station 3 and Station 4, Spirogyra spp. dominated the phytoplankton composition with the highest abundance of 14%, trailed by </w:t>
      </w:r>
      <w:proofErr w:type="spellStart"/>
      <w:r w:rsidRPr="00DE1EF7">
        <w:rPr>
          <w:rFonts w:ascii="Times New Roman" w:hAnsi="Times New Roman"/>
          <w:color w:val="000000" w:themeColor="text1"/>
          <w:sz w:val="24"/>
          <w:szCs w:val="24"/>
        </w:rPr>
        <w:t>Oscillatoria</w:t>
      </w:r>
      <w:proofErr w:type="spellEnd"/>
      <w:r w:rsidRPr="00DE1EF7">
        <w:rPr>
          <w:rFonts w:ascii="Times New Roman" w:hAnsi="Times New Roman"/>
          <w:color w:val="000000" w:themeColor="text1"/>
          <w:sz w:val="24"/>
          <w:szCs w:val="24"/>
        </w:rPr>
        <w:t xml:space="preserve"> spp. at 12%. The least prevalent phytoplankton was </w:t>
      </w:r>
      <w:proofErr w:type="spellStart"/>
      <w:r w:rsidRPr="00DE1EF7">
        <w:rPr>
          <w:rFonts w:ascii="Times New Roman" w:hAnsi="Times New Roman"/>
          <w:color w:val="000000" w:themeColor="text1"/>
          <w:sz w:val="24"/>
          <w:szCs w:val="24"/>
        </w:rPr>
        <w:t>Analystis</w:t>
      </w:r>
      <w:proofErr w:type="spellEnd"/>
      <w:r w:rsidRPr="00DE1EF7">
        <w:rPr>
          <w:rFonts w:ascii="Times New Roman" w:hAnsi="Times New Roman"/>
          <w:color w:val="000000" w:themeColor="text1"/>
          <w:sz w:val="24"/>
          <w:szCs w:val="24"/>
        </w:rPr>
        <w:t xml:space="preserve"> spp., constituting a mere 2%. </w:t>
      </w:r>
      <w:proofErr w:type="spellStart"/>
      <w:r w:rsidRPr="00DE1EF7">
        <w:rPr>
          <w:rFonts w:ascii="Times New Roman" w:hAnsi="Times New Roman"/>
          <w:color w:val="000000" w:themeColor="text1"/>
          <w:sz w:val="24"/>
          <w:szCs w:val="24"/>
        </w:rPr>
        <w:t>Anabaenia</w:t>
      </w:r>
      <w:proofErr w:type="spellEnd"/>
      <w:r w:rsidRPr="00DE1EF7">
        <w:rPr>
          <w:rFonts w:ascii="Times New Roman" w:hAnsi="Times New Roman"/>
          <w:color w:val="000000" w:themeColor="text1"/>
          <w:sz w:val="24"/>
          <w:szCs w:val="24"/>
        </w:rPr>
        <w:t xml:space="preserve"> spp. and </w:t>
      </w:r>
      <w:proofErr w:type="spellStart"/>
      <w:r w:rsidRPr="00DE1EF7">
        <w:rPr>
          <w:rFonts w:ascii="Times New Roman" w:hAnsi="Times New Roman"/>
          <w:color w:val="000000" w:themeColor="text1"/>
          <w:sz w:val="24"/>
          <w:szCs w:val="24"/>
        </w:rPr>
        <w:t>Savicular</w:t>
      </w:r>
      <w:proofErr w:type="spellEnd"/>
      <w:r w:rsidRPr="00DE1EF7">
        <w:rPr>
          <w:rFonts w:ascii="Times New Roman" w:hAnsi="Times New Roman"/>
          <w:color w:val="000000" w:themeColor="text1"/>
          <w:sz w:val="24"/>
          <w:szCs w:val="24"/>
        </w:rPr>
        <w:t xml:space="preserve"> spp. had an equal presence of 6% (illustrated in Figure 4A). Among the zooplankton species in these stations, </w:t>
      </w:r>
      <w:proofErr w:type="spellStart"/>
      <w:r w:rsidRPr="00DE1EF7">
        <w:rPr>
          <w:rFonts w:ascii="Times New Roman" w:hAnsi="Times New Roman"/>
          <w:color w:val="000000" w:themeColor="text1"/>
          <w:sz w:val="24"/>
          <w:szCs w:val="24"/>
        </w:rPr>
        <w:t>Philodina</w:t>
      </w:r>
      <w:proofErr w:type="spellEnd"/>
      <w:r w:rsidRPr="00DE1EF7">
        <w:rPr>
          <w:rFonts w:ascii="Times New Roman" w:hAnsi="Times New Roman"/>
          <w:color w:val="000000" w:themeColor="text1"/>
          <w:sz w:val="24"/>
          <w:szCs w:val="24"/>
        </w:rPr>
        <w:t xml:space="preserve"> spp. and </w:t>
      </w:r>
      <w:proofErr w:type="spellStart"/>
      <w:r w:rsidRPr="00DE1EF7">
        <w:rPr>
          <w:rFonts w:ascii="Times New Roman" w:hAnsi="Times New Roman"/>
          <w:color w:val="000000" w:themeColor="text1"/>
          <w:sz w:val="24"/>
          <w:szCs w:val="24"/>
        </w:rPr>
        <w:t>Dapnia</w:t>
      </w:r>
      <w:proofErr w:type="spellEnd"/>
      <w:r w:rsidRPr="00DE1EF7">
        <w:rPr>
          <w:rFonts w:ascii="Times New Roman" w:hAnsi="Times New Roman"/>
          <w:color w:val="000000" w:themeColor="text1"/>
          <w:sz w:val="24"/>
          <w:szCs w:val="24"/>
        </w:rPr>
        <w:t xml:space="preserve"> spp. were the most abundant, each at 11%, followed by </w:t>
      </w:r>
      <w:proofErr w:type="spellStart"/>
      <w:r w:rsidRPr="00DE1EF7">
        <w:rPr>
          <w:rFonts w:ascii="Times New Roman" w:hAnsi="Times New Roman"/>
          <w:color w:val="000000" w:themeColor="text1"/>
          <w:sz w:val="24"/>
          <w:szCs w:val="24"/>
        </w:rPr>
        <w:t>Bosmina</w:t>
      </w:r>
      <w:proofErr w:type="spellEnd"/>
      <w:r w:rsidRPr="00DE1EF7">
        <w:rPr>
          <w:rFonts w:ascii="Times New Roman" w:hAnsi="Times New Roman"/>
          <w:color w:val="000000" w:themeColor="text1"/>
          <w:sz w:val="24"/>
          <w:szCs w:val="24"/>
        </w:rPr>
        <w:t xml:space="preserve"> spp. (5%) and </w:t>
      </w:r>
      <w:proofErr w:type="spellStart"/>
      <w:r w:rsidRPr="00DE1EF7">
        <w:rPr>
          <w:rFonts w:ascii="Times New Roman" w:hAnsi="Times New Roman"/>
          <w:color w:val="000000" w:themeColor="text1"/>
          <w:sz w:val="24"/>
          <w:szCs w:val="24"/>
        </w:rPr>
        <w:t>Alona</w:t>
      </w:r>
      <w:proofErr w:type="spellEnd"/>
      <w:r w:rsidRPr="00DE1EF7">
        <w:rPr>
          <w:rFonts w:ascii="Times New Roman" w:hAnsi="Times New Roman"/>
          <w:color w:val="000000" w:themeColor="text1"/>
          <w:sz w:val="24"/>
          <w:szCs w:val="24"/>
        </w:rPr>
        <w:t xml:space="preserve"> spp. (6%) at a slight distance. The scarcest zooplankton at these stations was </w:t>
      </w:r>
      <w:proofErr w:type="spellStart"/>
      <w:r w:rsidRPr="00DE1EF7">
        <w:rPr>
          <w:rFonts w:ascii="Times New Roman" w:hAnsi="Times New Roman"/>
          <w:color w:val="000000" w:themeColor="text1"/>
          <w:sz w:val="24"/>
          <w:szCs w:val="24"/>
        </w:rPr>
        <w:t>Holopedium</w:t>
      </w:r>
      <w:proofErr w:type="spellEnd"/>
      <w:r w:rsidRPr="00DE1EF7">
        <w:rPr>
          <w:rFonts w:ascii="Times New Roman" w:hAnsi="Times New Roman"/>
          <w:color w:val="000000" w:themeColor="text1"/>
          <w:sz w:val="24"/>
          <w:szCs w:val="24"/>
        </w:rPr>
        <w:t xml:space="preserve"> spp., accounting for only 2% (depicted in Figure 4B).</w:t>
      </w:r>
    </w:p>
    <w:p w:rsidR="00DE1EF7" w:rsidRDefault="00DE1EF7" w:rsidP="00964B14">
      <w:pPr>
        <w:spacing w:after="0" w:line="240" w:lineRule="auto"/>
        <w:jc w:val="both"/>
        <w:rPr>
          <w:rFonts w:ascii="Times New Roman" w:hAnsi="Times New Roman"/>
          <w:color w:val="000000" w:themeColor="text1"/>
          <w:sz w:val="24"/>
          <w:szCs w:val="24"/>
        </w:rPr>
      </w:pPr>
    </w:p>
    <w:p w:rsidR="00DE1EF7" w:rsidRDefault="00DE1EF7" w:rsidP="00964B14">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drawing>
          <wp:inline distT="0" distB="0" distL="0" distR="0">
            <wp:extent cx="5730624" cy="2743200"/>
            <wp:effectExtent l="19050" t="0" r="22476"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1EF7" w:rsidRDefault="00DE1EF7" w:rsidP="00964B14">
      <w:pPr>
        <w:spacing w:after="0" w:line="240" w:lineRule="auto"/>
        <w:jc w:val="both"/>
        <w:rPr>
          <w:rFonts w:ascii="Times New Roman" w:hAnsi="Times New Roman"/>
          <w:color w:val="000000" w:themeColor="text1"/>
          <w:sz w:val="24"/>
          <w:szCs w:val="24"/>
        </w:rPr>
      </w:pPr>
    </w:p>
    <w:p w:rsidR="00DE1EF7" w:rsidRDefault="00DE1EF7" w:rsidP="00DE1EF7">
      <w:pPr>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Figure 3A: Relative </w:t>
      </w:r>
      <w:r>
        <w:rPr>
          <w:rFonts w:ascii="Times New Roman" w:hAnsi="Times New Roman"/>
          <w:b/>
          <w:color w:val="000000" w:themeColor="text1"/>
          <w:sz w:val="24"/>
          <w:szCs w:val="24"/>
        </w:rPr>
        <w:t>occurrence</w:t>
      </w:r>
      <w:r w:rsidRPr="003F7437">
        <w:rPr>
          <w:rFonts w:ascii="Times New Roman" w:hAnsi="Times New Roman"/>
          <w:b/>
          <w:color w:val="000000" w:themeColor="text1"/>
          <w:sz w:val="24"/>
          <w:szCs w:val="24"/>
        </w:rPr>
        <w:t xml:space="preserve"> of species of </w:t>
      </w:r>
      <w:proofErr w:type="spellStart"/>
      <w:r w:rsidRPr="003F7437">
        <w:rPr>
          <w:rFonts w:ascii="Times New Roman" w:hAnsi="Times New Roman"/>
          <w:b/>
          <w:color w:val="000000" w:themeColor="text1"/>
          <w:sz w:val="24"/>
          <w:szCs w:val="24"/>
        </w:rPr>
        <w:t>phytoplanktons</w:t>
      </w:r>
      <w:proofErr w:type="spellEnd"/>
      <w:r w:rsidRPr="003F7437">
        <w:rPr>
          <w:rFonts w:ascii="Times New Roman" w:hAnsi="Times New Roman"/>
          <w:b/>
          <w:color w:val="000000" w:themeColor="text1"/>
          <w:sz w:val="24"/>
          <w:szCs w:val="24"/>
        </w:rPr>
        <w:t xml:space="preserve"> in </w:t>
      </w:r>
      <w:r>
        <w:rPr>
          <w:rFonts w:ascii="Times New Roman" w:hAnsi="Times New Roman"/>
          <w:b/>
          <w:color w:val="000000" w:themeColor="text1"/>
          <w:sz w:val="24"/>
          <w:szCs w:val="24"/>
        </w:rPr>
        <w:t xml:space="preserve">Location </w:t>
      </w:r>
      <w:r w:rsidRPr="003F7437">
        <w:rPr>
          <w:rFonts w:ascii="Times New Roman" w:hAnsi="Times New Roman"/>
          <w:b/>
          <w:color w:val="000000" w:themeColor="text1"/>
          <w:sz w:val="24"/>
          <w:szCs w:val="24"/>
        </w:rPr>
        <w:t>1 and 2</w:t>
      </w:r>
    </w:p>
    <w:p w:rsidR="00DE1EF7" w:rsidRPr="003F7437" w:rsidRDefault="00DE1EF7" w:rsidP="00DE1EF7">
      <w:pPr>
        <w:jc w:val="center"/>
        <w:rPr>
          <w:rFonts w:ascii="Times New Roman" w:hAnsi="Times New Roman"/>
          <w:b/>
          <w:noProof/>
          <w:color w:val="000000" w:themeColor="text1"/>
          <w:sz w:val="24"/>
          <w:szCs w:val="24"/>
          <w:lang w:eastAsia="en-GB"/>
        </w:rPr>
      </w:pPr>
      <w:r w:rsidRPr="00DE1EF7">
        <w:rPr>
          <w:rFonts w:ascii="Times New Roman" w:hAnsi="Times New Roman"/>
          <w:b/>
          <w:color w:val="000000" w:themeColor="text1"/>
          <w:sz w:val="24"/>
          <w:szCs w:val="24"/>
        </w:rPr>
        <w:drawing>
          <wp:inline distT="0" distB="0" distL="0" distR="0">
            <wp:extent cx="4754968" cy="2743200"/>
            <wp:effectExtent l="19050" t="0" r="26582"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1EF7" w:rsidRDefault="00DE1EF7" w:rsidP="00DE1EF7">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Figure 3B: Relative </w:t>
      </w:r>
      <w:r>
        <w:rPr>
          <w:rFonts w:ascii="Times New Roman" w:hAnsi="Times New Roman"/>
          <w:b/>
          <w:color w:val="000000" w:themeColor="text1"/>
          <w:sz w:val="24"/>
          <w:szCs w:val="24"/>
        </w:rPr>
        <w:t>occurrence</w:t>
      </w:r>
      <w:r w:rsidRPr="003F7437">
        <w:rPr>
          <w:rFonts w:ascii="Times New Roman" w:hAnsi="Times New Roman"/>
          <w:b/>
          <w:color w:val="000000" w:themeColor="text1"/>
          <w:sz w:val="24"/>
          <w:szCs w:val="24"/>
        </w:rPr>
        <w:t xml:space="preserve"> of species of </w:t>
      </w:r>
      <w:r>
        <w:rPr>
          <w:rFonts w:ascii="Times New Roman" w:hAnsi="Times New Roman"/>
          <w:b/>
          <w:color w:val="000000" w:themeColor="text1"/>
          <w:sz w:val="24"/>
          <w:szCs w:val="24"/>
        </w:rPr>
        <w:t>zooplankton</w:t>
      </w:r>
      <w:r w:rsidRPr="003F7437">
        <w:rPr>
          <w:rFonts w:ascii="Times New Roman" w:hAnsi="Times New Roman"/>
          <w:b/>
          <w:color w:val="000000" w:themeColor="text1"/>
          <w:sz w:val="24"/>
          <w:szCs w:val="24"/>
        </w:rPr>
        <w:t xml:space="preserve"> in </w:t>
      </w:r>
      <w:r>
        <w:rPr>
          <w:rFonts w:ascii="Times New Roman" w:hAnsi="Times New Roman"/>
          <w:b/>
          <w:color w:val="000000" w:themeColor="text1"/>
          <w:sz w:val="24"/>
          <w:szCs w:val="24"/>
        </w:rPr>
        <w:t xml:space="preserve">Location </w:t>
      </w:r>
      <w:r w:rsidRPr="003F7437">
        <w:rPr>
          <w:rFonts w:ascii="Times New Roman" w:hAnsi="Times New Roman"/>
          <w:b/>
          <w:color w:val="000000" w:themeColor="text1"/>
          <w:sz w:val="24"/>
          <w:szCs w:val="24"/>
        </w:rPr>
        <w:t>1 and 2</w:t>
      </w: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color w:val="000000" w:themeColor="text1"/>
          <w:sz w:val="24"/>
          <w:szCs w:val="24"/>
        </w:rPr>
      </w:pPr>
      <w:r w:rsidRPr="00DE1EF7">
        <w:rPr>
          <w:rFonts w:ascii="Times New Roman" w:hAnsi="Times New Roman"/>
          <w:b/>
          <w:color w:val="000000" w:themeColor="text1"/>
          <w:sz w:val="24"/>
          <w:szCs w:val="24"/>
        </w:rPr>
        <w:drawing>
          <wp:inline distT="0" distB="0" distL="0" distR="0">
            <wp:extent cx="5153025" cy="2743200"/>
            <wp:effectExtent l="19050" t="0" r="9525" b="0"/>
            <wp:docPr id="1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E1EF7" w:rsidRDefault="00DE1EF7" w:rsidP="00DE1EF7">
      <w:pPr>
        <w:spacing w:after="0" w:line="240" w:lineRule="auto"/>
        <w:jc w:val="center"/>
        <w:rPr>
          <w:rFonts w:ascii="Times New Roman" w:hAnsi="Times New Roman"/>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Figure 4A: Relative </w:t>
      </w:r>
      <w:r>
        <w:rPr>
          <w:rFonts w:ascii="Times New Roman" w:hAnsi="Times New Roman"/>
          <w:b/>
          <w:color w:val="000000" w:themeColor="text1"/>
          <w:sz w:val="24"/>
          <w:szCs w:val="24"/>
        </w:rPr>
        <w:t>occurrence</w:t>
      </w:r>
      <w:r w:rsidRPr="003F7437">
        <w:rPr>
          <w:rFonts w:ascii="Times New Roman" w:hAnsi="Times New Roman"/>
          <w:b/>
          <w:color w:val="000000" w:themeColor="text1"/>
          <w:sz w:val="24"/>
          <w:szCs w:val="24"/>
        </w:rPr>
        <w:t xml:space="preserve"> of species of </w:t>
      </w:r>
      <w:proofErr w:type="spellStart"/>
      <w:r w:rsidRPr="003F7437">
        <w:rPr>
          <w:rFonts w:ascii="Times New Roman" w:hAnsi="Times New Roman"/>
          <w:b/>
          <w:color w:val="000000" w:themeColor="text1"/>
          <w:sz w:val="24"/>
          <w:szCs w:val="24"/>
        </w:rPr>
        <w:t>phytoplanktons</w:t>
      </w:r>
      <w:proofErr w:type="spellEnd"/>
      <w:r w:rsidRPr="003F7437">
        <w:rPr>
          <w:rFonts w:ascii="Times New Roman" w:hAnsi="Times New Roman"/>
          <w:b/>
          <w:color w:val="000000" w:themeColor="text1"/>
          <w:sz w:val="24"/>
          <w:szCs w:val="24"/>
        </w:rPr>
        <w:t xml:space="preserve"> in </w:t>
      </w:r>
      <w:r>
        <w:rPr>
          <w:rFonts w:ascii="Times New Roman" w:hAnsi="Times New Roman"/>
          <w:b/>
          <w:color w:val="000000" w:themeColor="text1"/>
          <w:sz w:val="24"/>
          <w:szCs w:val="24"/>
        </w:rPr>
        <w:t>Location 3</w:t>
      </w:r>
      <w:r w:rsidRPr="003F7437">
        <w:rPr>
          <w:rFonts w:ascii="Times New Roman" w:hAnsi="Times New Roman"/>
          <w:b/>
          <w:color w:val="000000" w:themeColor="text1"/>
          <w:sz w:val="24"/>
          <w:szCs w:val="24"/>
        </w:rPr>
        <w:t xml:space="preserve"> and </w:t>
      </w:r>
      <w:r>
        <w:rPr>
          <w:rFonts w:ascii="Times New Roman" w:hAnsi="Times New Roman"/>
          <w:b/>
          <w:color w:val="000000" w:themeColor="text1"/>
          <w:sz w:val="24"/>
          <w:szCs w:val="24"/>
        </w:rPr>
        <w:t>4</w:t>
      </w: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color w:val="000000" w:themeColor="text1"/>
          <w:sz w:val="24"/>
          <w:szCs w:val="24"/>
        </w:rPr>
      </w:pPr>
      <w:r w:rsidRPr="00DE1EF7">
        <w:rPr>
          <w:rFonts w:ascii="Times New Roman" w:hAnsi="Times New Roman"/>
          <w:b/>
          <w:color w:val="000000" w:themeColor="text1"/>
          <w:sz w:val="24"/>
          <w:szCs w:val="24"/>
        </w:rPr>
        <w:drawing>
          <wp:inline distT="0" distB="0" distL="0" distR="0">
            <wp:extent cx="5153025" cy="2743200"/>
            <wp:effectExtent l="19050" t="0" r="9525" b="0"/>
            <wp:docPr id="14"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E1EF7" w:rsidRDefault="00DE1EF7" w:rsidP="00DE1EF7">
      <w:pPr>
        <w:spacing w:after="0" w:line="240" w:lineRule="auto"/>
        <w:jc w:val="center"/>
        <w:rPr>
          <w:rFonts w:ascii="Times New Roman" w:hAnsi="Times New Roman"/>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 xml:space="preserve">Figure 4B: Relative </w:t>
      </w:r>
      <w:r>
        <w:rPr>
          <w:rFonts w:ascii="Times New Roman" w:hAnsi="Times New Roman"/>
          <w:b/>
          <w:color w:val="000000" w:themeColor="text1"/>
          <w:sz w:val="24"/>
          <w:szCs w:val="24"/>
        </w:rPr>
        <w:t>occurrence</w:t>
      </w:r>
      <w:r w:rsidRPr="003F7437">
        <w:rPr>
          <w:rFonts w:ascii="Times New Roman" w:hAnsi="Times New Roman"/>
          <w:b/>
          <w:color w:val="000000" w:themeColor="text1"/>
          <w:sz w:val="24"/>
          <w:szCs w:val="24"/>
        </w:rPr>
        <w:t xml:space="preserve"> of species of </w:t>
      </w:r>
      <w:r>
        <w:rPr>
          <w:rFonts w:ascii="Times New Roman" w:hAnsi="Times New Roman"/>
          <w:b/>
          <w:color w:val="000000" w:themeColor="text1"/>
          <w:sz w:val="24"/>
          <w:szCs w:val="24"/>
        </w:rPr>
        <w:t>zooplankton</w:t>
      </w:r>
      <w:r w:rsidRPr="003F7437">
        <w:rPr>
          <w:rFonts w:ascii="Times New Roman" w:hAnsi="Times New Roman"/>
          <w:b/>
          <w:color w:val="000000" w:themeColor="text1"/>
          <w:sz w:val="24"/>
          <w:szCs w:val="24"/>
        </w:rPr>
        <w:t xml:space="preserve"> in </w:t>
      </w:r>
      <w:r>
        <w:rPr>
          <w:rFonts w:ascii="Times New Roman" w:hAnsi="Times New Roman"/>
          <w:b/>
          <w:color w:val="000000" w:themeColor="text1"/>
          <w:sz w:val="24"/>
          <w:szCs w:val="24"/>
        </w:rPr>
        <w:t>Location 3</w:t>
      </w:r>
      <w:r w:rsidRPr="003F7437">
        <w:rPr>
          <w:rFonts w:ascii="Times New Roman" w:hAnsi="Times New Roman"/>
          <w:b/>
          <w:color w:val="000000" w:themeColor="text1"/>
          <w:sz w:val="24"/>
          <w:szCs w:val="24"/>
        </w:rPr>
        <w:t xml:space="preserve"> and </w:t>
      </w:r>
      <w:r>
        <w:rPr>
          <w:rFonts w:ascii="Times New Roman" w:hAnsi="Times New Roman"/>
          <w:b/>
          <w:color w:val="000000" w:themeColor="text1"/>
          <w:sz w:val="24"/>
          <w:szCs w:val="24"/>
        </w:rPr>
        <w:t>4</w:t>
      </w: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rPr>
          <w:rFonts w:ascii="Times New Roman" w:hAnsi="Times New Roman"/>
          <w:b/>
          <w:color w:val="000000" w:themeColor="text1"/>
          <w:sz w:val="24"/>
          <w:szCs w:val="24"/>
        </w:rPr>
      </w:pPr>
      <w:r w:rsidRPr="003F7437">
        <w:rPr>
          <w:rFonts w:ascii="Times New Roman" w:hAnsi="Times New Roman"/>
          <w:b/>
          <w:color w:val="000000" w:themeColor="text1"/>
          <w:sz w:val="24"/>
          <w:szCs w:val="24"/>
        </w:rPr>
        <w:t>Overall Monthly Abundance of Species in Selected Locations</w:t>
      </w:r>
    </w:p>
    <w:p w:rsidR="00DE1EF7" w:rsidRDefault="00DE1EF7" w:rsidP="00DE1EF7">
      <w:pPr>
        <w:spacing w:after="0" w:line="240" w:lineRule="auto"/>
        <w:rPr>
          <w:rFonts w:ascii="Times New Roman" w:hAnsi="Times New Roman"/>
          <w:b/>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The period from July to November exhibited a substantial abundance of both phytoplankton and zooplankton in the sampled areas. During the dry months of December, January, February, and March, there was generally lower species richness. However, it's important to note that no samples were collected in January and February at locations 3 and 4 (refer to Figure 5A, B).</w:t>
      </w: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lastRenderedPageBreak/>
        <w:drawing>
          <wp:inline distT="0" distB="0" distL="0" distR="0">
            <wp:extent cx="5700156" cy="2861953"/>
            <wp:effectExtent l="19050" t="0" r="14844" b="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E1EF7" w:rsidRDefault="00DE1EF7" w:rsidP="00DE1EF7">
      <w:pPr>
        <w:spacing w:after="0" w:line="240" w:lineRule="auto"/>
        <w:jc w:val="both"/>
        <w:rPr>
          <w:rFonts w:ascii="Times New Roman" w:hAnsi="Times New Roman"/>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Figure 5A: Monthly relative abundance of phytoplankton and zooplankton in selected locations from January 2021 to June 2022 in Station 1 and Station 2</w:t>
      </w: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jc w:val="center"/>
        <w:rPr>
          <w:rFonts w:ascii="Times New Roman" w:hAnsi="Times New Roman"/>
          <w:color w:val="000000" w:themeColor="text1"/>
          <w:sz w:val="24"/>
          <w:szCs w:val="24"/>
        </w:rPr>
      </w:pPr>
      <w:r w:rsidRPr="00DE1EF7">
        <w:rPr>
          <w:rFonts w:ascii="Times New Roman" w:hAnsi="Times New Roman"/>
          <w:b/>
          <w:color w:val="000000" w:themeColor="text1"/>
          <w:sz w:val="24"/>
          <w:szCs w:val="24"/>
        </w:rPr>
        <w:drawing>
          <wp:inline distT="0" distB="0" distL="0" distR="0">
            <wp:extent cx="5723906" cy="2826327"/>
            <wp:effectExtent l="0" t="0" r="10160" b="12700"/>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DE1EF7" w:rsidRDefault="00DE1EF7" w:rsidP="00DE1EF7">
      <w:pPr>
        <w:spacing w:after="0" w:line="240" w:lineRule="auto"/>
        <w:jc w:val="center"/>
        <w:rPr>
          <w:rFonts w:ascii="Times New Roman" w:hAnsi="Times New Roman"/>
          <w:color w:val="000000" w:themeColor="text1"/>
          <w:sz w:val="24"/>
          <w:szCs w:val="24"/>
        </w:rPr>
      </w:pPr>
    </w:p>
    <w:p w:rsidR="00DE1EF7" w:rsidRDefault="00DE1EF7" w:rsidP="00DE1EF7">
      <w:pPr>
        <w:spacing w:after="0" w:line="240" w:lineRule="auto"/>
        <w:jc w:val="center"/>
        <w:rPr>
          <w:rFonts w:ascii="Times New Roman" w:hAnsi="Times New Roman"/>
          <w:b/>
          <w:color w:val="000000" w:themeColor="text1"/>
          <w:sz w:val="24"/>
          <w:szCs w:val="24"/>
        </w:rPr>
      </w:pPr>
      <w:r w:rsidRPr="003F7437">
        <w:rPr>
          <w:rFonts w:ascii="Times New Roman" w:hAnsi="Times New Roman"/>
          <w:b/>
          <w:color w:val="000000" w:themeColor="text1"/>
          <w:sz w:val="24"/>
          <w:szCs w:val="24"/>
        </w:rPr>
        <w:t>Figure 5B: Monthly relative abundance of phytoplankton and zooplankton in selected locations from January 2021 to June 2022 in Station 3 and Station 4</w:t>
      </w:r>
    </w:p>
    <w:p w:rsidR="00DE1EF7" w:rsidRDefault="00DE1EF7" w:rsidP="00DE1EF7">
      <w:pPr>
        <w:spacing w:after="0" w:line="240" w:lineRule="auto"/>
        <w:jc w:val="center"/>
        <w:rPr>
          <w:rFonts w:ascii="Times New Roman" w:hAnsi="Times New Roman"/>
          <w:b/>
          <w:color w:val="000000" w:themeColor="text1"/>
          <w:sz w:val="24"/>
          <w:szCs w:val="24"/>
        </w:rPr>
      </w:pPr>
    </w:p>
    <w:p w:rsidR="00DE1EF7" w:rsidRDefault="00DE1EF7" w:rsidP="00DE1EF7">
      <w:pPr>
        <w:spacing w:after="0" w:line="240" w:lineRule="auto"/>
        <w:rPr>
          <w:rFonts w:ascii="Times New Roman" w:hAnsi="Times New Roman"/>
          <w:b/>
          <w:color w:val="000000" w:themeColor="text1"/>
          <w:sz w:val="24"/>
          <w:szCs w:val="24"/>
        </w:rPr>
      </w:pPr>
      <w:r w:rsidRPr="003F7437">
        <w:rPr>
          <w:rFonts w:ascii="Times New Roman" w:hAnsi="Times New Roman"/>
          <w:b/>
          <w:color w:val="000000" w:themeColor="text1"/>
          <w:sz w:val="24"/>
          <w:szCs w:val="24"/>
        </w:rPr>
        <w:t>DISCUSSION</w:t>
      </w:r>
    </w:p>
    <w:p w:rsidR="00DE1EF7" w:rsidRDefault="00DE1EF7" w:rsidP="00DE1EF7">
      <w:pPr>
        <w:spacing w:after="0" w:line="240" w:lineRule="auto"/>
        <w:rPr>
          <w:rFonts w:ascii="Times New Roman" w:hAnsi="Times New Roman"/>
          <w:b/>
          <w:color w:val="000000" w:themeColor="text1"/>
          <w:sz w:val="24"/>
          <w:szCs w:val="24"/>
        </w:rPr>
      </w:pP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From the obtained analytical data, the richest species among the studied organisms were phytoplankton, comprising 24% and 38% of the composition at Station 1 and Station 2 respectively. For </w:t>
      </w:r>
      <w:proofErr w:type="spellStart"/>
      <w:r w:rsidRPr="00DE1EF7">
        <w:rPr>
          <w:rFonts w:ascii="Times New Roman" w:hAnsi="Times New Roman"/>
          <w:color w:val="000000" w:themeColor="text1"/>
          <w:sz w:val="24"/>
          <w:szCs w:val="24"/>
        </w:rPr>
        <w:t>Amietophrynus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regularis</w:t>
      </w:r>
      <w:proofErr w:type="spellEnd"/>
      <w:r w:rsidRPr="00DE1EF7">
        <w:rPr>
          <w:rFonts w:ascii="Times New Roman" w:hAnsi="Times New Roman"/>
          <w:color w:val="000000" w:themeColor="text1"/>
          <w:sz w:val="24"/>
          <w:szCs w:val="24"/>
        </w:rPr>
        <w:t xml:space="preserve">, the values were 18.9% and 19.6%, and for </w:t>
      </w:r>
      <w:proofErr w:type="spellStart"/>
      <w:r w:rsidRPr="00DE1EF7">
        <w:rPr>
          <w:rFonts w:ascii="Times New Roman" w:hAnsi="Times New Roman"/>
          <w:color w:val="000000" w:themeColor="text1"/>
          <w:sz w:val="24"/>
          <w:szCs w:val="24"/>
        </w:rPr>
        <w:t>Amietophrynus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maculata</w:t>
      </w:r>
      <w:proofErr w:type="spellEnd"/>
      <w:r w:rsidRPr="00DE1EF7">
        <w:rPr>
          <w:rFonts w:ascii="Times New Roman" w:hAnsi="Times New Roman"/>
          <w:color w:val="000000" w:themeColor="text1"/>
          <w:sz w:val="24"/>
          <w:szCs w:val="24"/>
        </w:rPr>
        <w:t xml:space="preserve">, they were 19.3% and 14.2% at Station 3 and Station 4 respectively. Similarly, </w:t>
      </w:r>
      <w:proofErr w:type="spellStart"/>
      <w:r w:rsidRPr="00DE1EF7">
        <w:rPr>
          <w:rFonts w:ascii="Times New Roman" w:hAnsi="Times New Roman"/>
          <w:color w:val="000000" w:themeColor="text1"/>
          <w:sz w:val="24"/>
          <w:szCs w:val="24"/>
        </w:rPr>
        <w:t>Hoplobatracchus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ocipitalis</w:t>
      </w:r>
      <w:proofErr w:type="spellEnd"/>
      <w:r w:rsidRPr="00DE1EF7">
        <w:rPr>
          <w:rFonts w:ascii="Times New Roman" w:hAnsi="Times New Roman"/>
          <w:color w:val="000000" w:themeColor="text1"/>
          <w:sz w:val="24"/>
          <w:szCs w:val="24"/>
        </w:rPr>
        <w:t xml:space="preserve"> accounted for 19.3% and 14.2% at the same respective stations. These findings align with previous reports by [17] indicating that the order species constitute the majority (86%) of amphibian species. The analytical results also revealed that the relative species richness at each sampling location exceeded 62%.</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lastRenderedPageBreak/>
        <w:t xml:space="preserve">Among the six zooplankton species, one species stood out as the most abundant, representing 43% and 52% of the total anuran species count at Station 1 and Station 2, and Station 3 and Station 4 respectively. The discrepancies in abundance could be attributed to variations in water quality [18]. Notably, A. </w:t>
      </w:r>
      <w:proofErr w:type="spellStart"/>
      <w:r w:rsidRPr="00DE1EF7">
        <w:rPr>
          <w:rFonts w:ascii="Times New Roman" w:hAnsi="Times New Roman"/>
          <w:color w:val="000000" w:themeColor="text1"/>
          <w:sz w:val="24"/>
          <w:szCs w:val="24"/>
        </w:rPr>
        <w:t>maculatus</w:t>
      </w:r>
      <w:proofErr w:type="spellEnd"/>
      <w:r w:rsidRPr="00DE1EF7">
        <w:rPr>
          <w:rFonts w:ascii="Times New Roman" w:hAnsi="Times New Roman"/>
          <w:color w:val="000000" w:themeColor="text1"/>
          <w:sz w:val="24"/>
          <w:szCs w:val="24"/>
        </w:rPr>
        <w:t xml:space="preserve"> demonstrated equal abundance of 28% across both study stations, while H. </w:t>
      </w:r>
      <w:proofErr w:type="spellStart"/>
      <w:r w:rsidRPr="00DE1EF7">
        <w:rPr>
          <w:rFonts w:ascii="Times New Roman" w:hAnsi="Times New Roman"/>
          <w:color w:val="000000" w:themeColor="text1"/>
          <w:sz w:val="24"/>
          <w:szCs w:val="24"/>
        </w:rPr>
        <w:t>occipitalis</w:t>
      </w:r>
      <w:proofErr w:type="spellEnd"/>
      <w:r w:rsidRPr="00DE1EF7">
        <w:rPr>
          <w:rFonts w:ascii="Times New Roman" w:hAnsi="Times New Roman"/>
          <w:color w:val="000000" w:themeColor="text1"/>
          <w:sz w:val="24"/>
          <w:szCs w:val="24"/>
        </w:rPr>
        <w:t xml:space="preserve"> exhibited 29% and 20% abundance at Station 1 and Station 2, and Station 3 and Station 4 respectively.</w:t>
      </w:r>
    </w:p>
    <w:p w:rsid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The anuran species found across all four stations were </w:t>
      </w:r>
      <w:proofErr w:type="spellStart"/>
      <w:r w:rsidRPr="00DE1EF7">
        <w:rPr>
          <w:rFonts w:ascii="Times New Roman" w:hAnsi="Times New Roman"/>
          <w:color w:val="000000" w:themeColor="text1"/>
          <w:sz w:val="24"/>
          <w:szCs w:val="24"/>
        </w:rPr>
        <w:t>Amietophrymus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regularis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Amietophrymus</w:t>
      </w:r>
      <w:proofErr w:type="spellEnd"/>
      <w:r w:rsidRPr="00DE1EF7">
        <w:rPr>
          <w:rFonts w:ascii="Times New Roman" w:hAnsi="Times New Roman"/>
          <w:color w:val="000000" w:themeColor="text1"/>
          <w:sz w:val="24"/>
          <w:szCs w:val="24"/>
        </w:rPr>
        <w:t xml:space="preserve"> maculate, and </w:t>
      </w:r>
      <w:proofErr w:type="spellStart"/>
      <w:r w:rsidRPr="00DE1EF7">
        <w:rPr>
          <w:rFonts w:ascii="Times New Roman" w:hAnsi="Times New Roman"/>
          <w:color w:val="000000" w:themeColor="text1"/>
          <w:sz w:val="24"/>
          <w:szCs w:val="24"/>
        </w:rPr>
        <w:t>Hoplobatocchus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occipitalis</w:t>
      </w:r>
      <w:proofErr w:type="spellEnd"/>
      <w:r w:rsidRPr="00DE1EF7">
        <w:rPr>
          <w:rFonts w:ascii="Times New Roman" w:hAnsi="Times New Roman"/>
          <w:color w:val="000000" w:themeColor="text1"/>
          <w:sz w:val="24"/>
          <w:szCs w:val="24"/>
        </w:rPr>
        <w:t xml:space="preserve">. This contrasts with the findings of [19], which focused solely on </w:t>
      </w:r>
      <w:proofErr w:type="spellStart"/>
      <w:r w:rsidRPr="00DE1EF7">
        <w:rPr>
          <w:rFonts w:ascii="Times New Roman" w:hAnsi="Times New Roman"/>
          <w:color w:val="000000" w:themeColor="text1"/>
          <w:sz w:val="24"/>
          <w:szCs w:val="24"/>
        </w:rPr>
        <w:t>Amietophrymus</w:t>
      </w:r>
      <w:proofErr w:type="spellEnd"/>
      <w:r w:rsidRPr="00DE1EF7">
        <w:rPr>
          <w:rFonts w:ascii="Times New Roman" w:hAnsi="Times New Roman"/>
          <w:color w:val="000000" w:themeColor="text1"/>
          <w:sz w:val="24"/>
          <w:szCs w:val="24"/>
        </w:rPr>
        <w:t xml:space="preserve"> </w:t>
      </w:r>
      <w:proofErr w:type="spellStart"/>
      <w:r w:rsidRPr="00DE1EF7">
        <w:rPr>
          <w:rFonts w:ascii="Times New Roman" w:hAnsi="Times New Roman"/>
          <w:color w:val="000000" w:themeColor="text1"/>
          <w:sz w:val="24"/>
          <w:szCs w:val="24"/>
        </w:rPr>
        <w:t>regularis</w:t>
      </w:r>
      <w:proofErr w:type="spellEnd"/>
      <w:r w:rsidRPr="00DE1EF7">
        <w:rPr>
          <w:rFonts w:ascii="Times New Roman" w:hAnsi="Times New Roman"/>
          <w:color w:val="000000" w:themeColor="text1"/>
          <w:sz w:val="24"/>
          <w:szCs w:val="24"/>
        </w:rPr>
        <w:t>. The divergence in results was due to their study being conducted in a different community compared to our research station. These three species share the commonality of being toads, differentiated by size, coloration, and unique disc-shaped structures on their toe tips, an adaptation aiding vertical movement [20]. The discrepancies in phytoplankton abundance between Abuja, Station 3, and Station 4 likely stem from variations in water quality, river water duration, and surrounding vegetation [18].</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Considering seasonal conditions, observations revealed that frogs thrived under higher rainfall and more humid environments. Wet months saw a surge in frog populations, with September exhibiting a peak coinciding with metamorphic cycles. This trend corroborates [17]'s report. Conversely, dry seasons hindered these conditions, leading to a significant decrease in frog numbers. Similar patterns were observed in the forest swamp of the river Niger delta in southeastern Nigeria [21]. During dry spells, frogs migrated from drying temporary pools to larger, permanent water bodies. Some hibernated under forest floor leaves or in riverbed substrates. Monthly trends in phytoplankton and zooplankton abundance mirrored those of anuran species, with peak levels in the rainy season, particularly in September. Station 3 and Station 4 displayed no species during the dry months of January and February 2016, and February and March 2017, due to inadequate pond water. This aligns with [22]'s observations of species abundance and its correlation with seasonal bimodal rainfall patterns and environmental factors.</w:t>
      </w:r>
    </w:p>
    <w:p w:rsidR="00DE1EF7" w:rsidRP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These species thrive extensively in tropical regions, including savannas, mountains, grasslands, and forests. They contribute to nutrient cycles and serve as environmental indicators. Toads, after metamorphosis, transfer nutrients from aquatic to terrestrial ecosystems. Tadpoles, the aquatic larvae of toads and frogs hatched from fertilized eggs, serve as crucial food sources for aquatic organisms, including fish.</w:t>
      </w:r>
    </w:p>
    <w:p w:rsidR="00DE1EF7" w:rsidRDefault="00DE1EF7" w:rsidP="00DE1EF7">
      <w:pPr>
        <w:spacing w:after="0" w:line="240" w:lineRule="auto"/>
        <w:rPr>
          <w:rFonts w:ascii="Times New Roman" w:hAnsi="Times New Roman"/>
          <w:color w:val="000000" w:themeColor="text1"/>
          <w:sz w:val="24"/>
          <w:szCs w:val="24"/>
        </w:rPr>
      </w:pPr>
    </w:p>
    <w:p w:rsidR="00DE1EF7" w:rsidRDefault="00DE1EF7" w:rsidP="00DE1EF7">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Conclusion</w:t>
      </w:r>
    </w:p>
    <w:p w:rsidR="00DE1EF7" w:rsidRDefault="00DE1EF7" w:rsidP="00DE1EF7">
      <w:pPr>
        <w:spacing w:after="0" w:line="240" w:lineRule="auto"/>
        <w:jc w:val="both"/>
        <w:rPr>
          <w:rFonts w:ascii="Times New Roman" w:hAnsi="Times New Roman"/>
          <w:color w:val="000000" w:themeColor="text1"/>
          <w:sz w:val="24"/>
          <w:szCs w:val="24"/>
        </w:rPr>
      </w:pPr>
      <w:r w:rsidRPr="00DE1EF7">
        <w:rPr>
          <w:rFonts w:ascii="Times New Roman" w:hAnsi="Times New Roman"/>
          <w:color w:val="000000" w:themeColor="text1"/>
          <w:sz w:val="24"/>
          <w:szCs w:val="24"/>
        </w:rPr>
        <w:t xml:space="preserve">The population levels and seasonal patterns of anurans, phytoplankton, and zooplankton were investigated in various chosen river sites within Karnataka state. The Tungabhadra </w:t>
      </w:r>
      <w:proofErr w:type="gramStart"/>
      <w:r w:rsidRPr="00DE1EF7">
        <w:rPr>
          <w:rFonts w:ascii="Times New Roman" w:hAnsi="Times New Roman"/>
          <w:color w:val="000000" w:themeColor="text1"/>
          <w:sz w:val="24"/>
          <w:szCs w:val="24"/>
        </w:rPr>
        <w:t>river</w:t>
      </w:r>
      <w:proofErr w:type="gramEnd"/>
      <w:r w:rsidRPr="00DE1EF7">
        <w:rPr>
          <w:rFonts w:ascii="Times New Roman" w:hAnsi="Times New Roman"/>
          <w:color w:val="000000" w:themeColor="text1"/>
          <w:sz w:val="24"/>
          <w:szCs w:val="24"/>
        </w:rPr>
        <w:t>, in particular, revealed a distinct trend where the abundance of these organisms is greatly impacted by the changing seasons in Karnataka. The zenith of their abundance is observed during the rainy season, whereas their numbers sharply decline during the dry season.</w:t>
      </w:r>
    </w:p>
    <w:p w:rsidR="00A525C6" w:rsidRDefault="00A525C6" w:rsidP="00DE1EF7">
      <w:pPr>
        <w:spacing w:after="0" w:line="240" w:lineRule="auto"/>
        <w:jc w:val="both"/>
        <w:rPr>
          <w:rFonts w:ascii="Times New Roman" w:hAnsi="Times New Roman"/>
          <w:color w:val="000000" w:themeColor="text1"/>
          <w:sz w:val="24"/>
          <w:szCs w:val="24"/>
        </w:rPr>
      </w:pPr>
    </w:p>
    <w:p w:rsidR="00A525C6" w:rsidRPr="003F7437" w:rsidRDefault="00A525C6" w:rsidP="00A525C6">
      <w:pPr>
        <w:spacing w:before="100" w:beforeAutospacing="1" w:after="100" w:afterAutospacing="1" w:line="360" w:lineRule="auto"/>
        <w:jc w:val="both"/>
        <w:rPr>
          <w:rFonts w:ascii="Times New Roman" w:hAnsi="Times New Roman"/>
          <w:b/>
          <w:color w:val="000000" w:themeColor="text1"/>
          <w:sz w:val="24"/>
          <w:szCs w:val="24"/>
        </w:rPr>
      </w:pPr>
      <w:r w:rsidRPr="003F7437">
        <w:rPr>
          <w:rFonts w:ascii="Times New Roman" w:hAnsi="Times New Roman"/>
          <w:b/>
          <w:color w:val="000000" w:themeColor="text1"/>
          <w:sz w:val="24"/>
          <w:szCs w:val="24"/>
        </w:rPr>
        <w:t>REFERENCES</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bCs/>
          <w:color w:val="000000" w:themeColor="text1"/>
          <w:sz w:val="24"/>
          <w:szCs w:val="24"/>
        </w:rPr>
        <w:t>Fonge</w:t>
      </w:r>
      <w:proofErr w:type="spellEnd"/>
      <w:r w:rsidRPr="00A525C6">
        <w:rPr>
          <w:rFonts w:ascii="Times New Roman" w:hAnsi="Times New Roman"/>
          <w:bCs/>
          <w:color w:val="000000" w:themeColor="text1"/>
          <w:sz w:val="24"/>
          <w:szCs w:val="24"/>
        </w:rPr>
        <w:t xml:space="preserve"> BA, </w:t>
      </w:r>
      <w:proofErr w:type="spellStart"/>
      <w:r w:rsidRPr="00A525C6">
        <w:rPr>
          <w:rFonts w:ascii="Times New Roman" w:hAnsi="Times New Roman"/>
          <w:bCs/>
          <w:color w:val="000000" w:themeColor="text1"/>
          <w:sz w:val="24"/>
          <w:szCs w:val="24"/>
        </w:rPr>
        <w:t>Tening</w:t>
      </w:r>
      <w:proofErr w:type="spellEnd"/>
      <w:r w:rsidRPr="00A525C6">
        <w:rPr>
          <w:rFonts w:ascii="Times New Roman" w:hAnsi="Times New Roman"/>
          <w:bCs/>
          <w:color w:val="000000" w:themeColor="text1"/>
          <w:sz w:val="24"/>
          <w:szCs w:val="24"/>
        </w:rPr>
        <w:t xml:space="preserve"> AS, </w:t>
      </w:r>
      <w:proofErr w:type="spellStart"/>
      <w:r w:rsidRPr="00A525C6">
        <w:rPr>
          <w:rFonts w:ascii="Times New Roman" w:hAnsi="Times New Roman"/>
          <w:bCs/>
          <w:color w:val="000000" w:themeColor="text1"/>
          <w:sz w:val="24"/>
          <w:szCs w:val="24"/>
        </w:rPr>
        <w:t>Egbe</w:t>
      </w:r>
      <w:proofErr w:type="spellEnd"/>
      <w:r w:rsidRPr="00A525C6">
        <w:rPr>
          <w:rFonts w:ascii="Times New Roman" w:hAnsi="Times New Roman"/>
          <w:bCs/>
          <w:color w:val="000000" w:themeColor="text1"/>
          <w:sz w:val="24"/>
          <w:szCs w:val="24"/>
        </w:rPr>
        <w:t xml:space="preserve"> EA, </w:t>
      </w:r>
      <w:proofErr w:type="spellStart"/>
      <w:r w:rsidRPr="00A525C6">
        <w:rPr>
          <w:rFonts w:ascii="Times New Roman" w:hAnsi="Times New Roman"/>
          <w:bCs/>
          <w:color w:val="000000" w:themeColor="text1"/>
          <w:sz w:val="24"/>
          <w:szCs w:val="24"/>
        </w:rPr>
        <w:t>Yinda</w:t>
      </w:r>
      <w:proofErr w:type="spellEnd"/>
      <w:r w:rsidRPr="00A525C6">
        <w:rPr>
          <w:rFonts w:ascii="Times New Roman" w:hAnsi="Times New Roman"/>
          <w:bCs/>
          <w:color w:val="000000" w:themeColor="text1"/>
          <w:sz w:val="24"/>
          <w:szCs w:val="24"/>
        </w:rPr>
        <w:t xml:space="preserve"> GS, </w:t>
      </w:r>
      <w:proofErr w:type="spellStart"/>
      <w:r w:rsidRPr="00A525C6">
        <w:rPr>
          <w:rFonts w:ascii="Times New Roman" w:hAnsi="Times New Roman"/>
          <w:bCs/>
          <w:color w:val="000000" w:themeColor="text1"/>
          <w:sz w:val="24"/>
          <w:szCs w:val="24"/>
        </w:rPr>
        <w:t>Fongod</w:t>
      </w:r>
      <w:proofErr w:type="spellEnd"/>
      <w:r w:rsidRPr="00A525C6">
        <w:rPr>
          <w:rFonts w:ascii="Times New Roman" w:hAnsi="Times New Roman"/>
          <w:bCs/>
          <w:color w:val="000000" w:themeColor="text1"/>
          <w:sz w:val="24"/>
          <w:szCs w:val="24"/>
        </w:rPr>
        <w:t xml:space="preserve"> AN</w:t>
      </w:r>
      <w:proofErr w:type="gramStart"/>
      <w:r w:rsidRPr="00A525C6">
        <w:rPr>
          <w:rFonts w:ascii="Times New Roman" w:hAnsi="Times New Roman"/>
          <w:bCs/>
          <w:color w:val="000000" w:themeColor="text1"/>
          <w:sz w:val="24"/>
          <w:szCs w:val="24"/>
        </w:rPr>
        <w:t xml:space="preserve">,  </w:t>
      </w:r>
      <w:proofErr w:type="spellStart"/>
      <w:r w:rsidRPr="00A525C6">
        <w:rPr>
          <w:rFonts w:ascii="Times New Roman" w:hAnsi="Times New Roman"/>
          <w:bCs/>
          <w:color w:val="000000" w:themeColor="text1"/>
          <w:sz w:val="24"/>
          <w:szCs w:val="24"/>
        </w:rPr>
        <w:t>Achu</w:t>
      </w:r>
      <w:proofErr w:type="spellEnd"/>
      <w:proofErr w:type="gramEnd"/>
      <w:r w:rsidRPr="00A525C6">
        <w:rPr>
          <w:rFonts w:ascii="Times New Roman" w:hAnsi="Times New Roman"/>
          <w:bCs/>
          <w:color w:val="000000" w:themeColor="text1"/>
          <w:sz w:val="24"/>
          <w:szCs w:val="24"/>
        </w:rPr>
        <w:t xml:space="preserve">, R. M. Phytoplankton diversity and abundance in </w:t>
      </w:r>
      <w:proofErr w:type="spellStart"/>
      <w:r w:rsidRPr="00A525C6">
        <w:rPr>
          <w:rFonts w:ascii="Times New Roman" w:hAnsi="Times New Roman"/>
          <w:bCs/>
          <w:color w:val="000000" w:themeColor="text1"/>
          <w:sz w:val="24"/>
          <w:szCs w:val="24"/>
        </w:rPr>
        <w:t>Ndop</w:t>
      </w:r>
      <w:proofErr w:type="spellEnd"/>
      <w:r w:rsidRPr="00A525C6">
        <w:rPr>
          <w:rFonts w:ascii="Times New Roman" w:hAnsi="Times New Roman"/>
          <w:bCs/>
          <w:color w:val="000000" w:themeColor="text1"/>
          <w:sz w:val="24"/>
          <w:szCs w:val="24"/>
        </w:rPr>
        <w:t xml:space="preserve"> wetland plain, Cameroon.</w:t>
      </w:r>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African Journal of Environmental Science and Technology</w:t>
      </w:r>
      <w:r w:rsidRPr="00A525C6">
        <w:rPr>
          <w:rFonts w:ascii="Times New Roman" w:hAnsi="Times New Roman"/>
          <w:color w:val="000000" w:themeColor="text1"/>
          <w:sz w:val="24"/>
          <w:szCs w:val="24"/>
        </w:rPr>
        <w:t>. 2012</w:t>
      </w:r>
      <w:proofErr w:type="gramStart"/>
      <w:r w:rsidRPr="00A525C6">
        <w:rPr>
          <w:rFonts w:ascii="Times New Roman" w:hAnsi="Times New Roman"/>
          <w:color w:val="000000" w:themeColor="text1"/>
          <w:sz w:val="24"/>
          <w:szCs w:val="24"/>
        </w:rPr>
        <w:t>;  6</w:t>
      </w:r>
      <w:proofErr w:type="gramEnd"/>
      <w:r w:rsidRPr="00A525C6">
        <w:rPr>
          <w:rFonts w:ascii="Times New Roman" w:hAnsi="Times New Roman"/>
          <w:color w:val="000000" w:themeColor="text1"/>
          <w:sz w:val="24"/>
          <w:szCs w:val="24"/>
        </w:rPr>
        <w:t>(6): 247 - 257.</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lastRenderedPageBreak/>
        <w:t>Piyankarage</w:t>
      </w:r>
      <w:proofErr w:type="spellEnd"/>
      <w:r w:rsidRPr="00A525C6">
        <w:rPr>
          <w:rFonts w:ascii="Times New Roman" w:hAnsi="Times New Roman"/>
          <w:color w:val="000000" w:themeColor="text1"/>
          <w:sz w:val="24"/>
          <w:szCs w:val="24"/>
        </w:rPr>
        <w:t xml:space="preserve"> SC, </w:t>
      </w:r>
      <w:proofErr w:type="spellStart"/>
      <w:r w:rsidRPr="00A525C6">
        <w:rPr>
          <w:rFonts w:ascii="Times New Roman" w:hAnsi="Times New Roman"/>
          <w:color w:val="000000" w:themeColor="text1"/>
          <w:sz w:val="24"/>
          <w:szCs w:val="24"/>
        </w:rPr>
        <w:t>Mallawatantri</w:t>
      </w:r>
      <w:proofErr w:type="spellEnd"/>
      <w:r w:rsidRPr="00A525C6">
        <w:rPr>
          <w:rFonts w:ascii="Times New Roman" w:hAnsi="Times New Roman"/>
          <w:color w:val="000000" w:themeColor="text1"/>
          <w:sz w:val="24"/>
          <w:szCs w:val="24"/>
        </w:rPr>
        <w:t xml:space="preserve"> AP, </w:t>
      </w:r>
      <w:proofErr w:type="spellStart"/>
      <w:r w:rsidRPr="00A525C6">
        <w:rPr>
          <w:rFonts w:ascii="Times New Roman" w:hAnsi="Times New Roman"/>
          <w:color w:val="000000" w:themeColor="text1"/>
          <w:sz w:val="24"/>
          <w:szCs w:val="24"/>
        </w:rPr>
        <w:t>Matsuno</w:t>
      </w:r>
      <w:proofErr w:type="spellEnd"/>
      <w:r w:rsidRPr="00A525C6">
        <w:rPr>
          <w:rFonts w:ascii="Times New Roman" w:hAnsi="Times New Roman"/>
          <w:color w:val="000000" w:themeColor="text1"/>
          <w:sz w:val="24"/>
          <w:szCs w:val="24"/>
        </w:rPr>
        <w:t xml:space="preserve"> Y, </w:t>
      </w:r>
      <w:proofErr w:type="spellStart"/>
      <w:r w:rsidRPr="00A525C6">
        <w:rPr>
          <w:rFonts w:ascii="Times New Roman" w:hAnsi="Times New Roman"/>
          <w:color w:val="000000" w:themeColor="text1"/>
          <w:sz w:val="24"/>
          <w:szCs w:val="24"/>
        </w:rPr>
        <w:t>Pathiratne</w:t>
      </w:r>
      <w:proofErr w:type="spellEnd"/>
      <w:r w:rsidRPr="00A525C6">
        <w:rPr>
          <w:rFonts w:ascii="Times New Roman" w:hAnsi="Times New Roman"/>
          <w:color w:val="000000" w:themeColor="text1"/>
          <w:sz w:val="24"/>
          <w:szCs w:val="24"/>
        </w:rPr>
        <w:t xml:space="preserve"> KAS. </w:t>
      </w:r>
      <w:proofErr w:type="gramStart"/>
      <w:r w:rsidRPr="00A525C6">
        <w:rPr>
          <w:rFonts w:ascii="Times New Roman" w:hAnsi="Times New Roman"/>
          <w:color w:val="000000" w:themeColor="text1"/>
          <w:sz w:val="24"/>
          <w:szCs w:val="24"/>
        </w:rPr>
        <w:t xml:space="preserve">Human impacts and the status of water quality in the </w:t>
      </w:r>
      <w:proofErr w:type="spellStart"/>
      <w:r w:rsidRPr="00A525C6">
        <w:rPr>
          <w:rFonts w:ascii="Times New Roman" w:hAnsi="Times New Roman"/>
          <w:color w:val="000000" w:themeColor="text1"/>
          <w:sz w:val="24"/>
          <w:szCs w:val="24"/>
        </w:rPr>
        <w:t>Bundala</w:t>
      </w:r>
      <w:proofErr w:type="spellEnd"/>
      <w:r w:rsidRPr="00A525C6">
        <w:rPr>
          <w:rFonts w:ascii="Times New Roman" w:hAnsi="Times New Roman"/>
          <w:color w:val="000000" w:themeColor="text1"/>
          <w:sz w:val="24"/>
          <w:szCs w:val="24"/>
        </w:rPr>
        <w:t xml:space="preserve"> RAMSAR wetland lagoon system in Southern Sri-Lanka, Wetlands Ecol. </w:t>
      </w:r>
      <w:proofErr w:type="spellStart"/>
      <w:r w:rsidRPr="00A525C6">
        <w:rPr>
          <w:rFonts w:ascii="Times New Roman" w:hAnsi="Times New Roman"/>
          <w:color w:val="000000" w:themeColor="text1"/>
          <w:sz w:val="24"/>
          <w:szCs w:val="24"/>
        </w:rPr>
        <w:t>Manag</w:t>
      </w:r>
      <w:proofErr w:type="spellEnd"/>
      <w:r w:rsidRPr="00A525C6">
        <w:rPr>
          <w:rFonts w:ascii="Times New Roman" w:hAnsi="Times New Roman"/>
          <w:color w:val="000000" w:themeColor="text1"/>
          <w:sz w:val="24"/>
          <w:szCs w:val="24"/>
        </w:rPr>
        <w:t>.</w:t>
      </w:r>
      <w:proofErr w:type="gramEnd"/>
      <w:r w:rsidRPr="00A525C6">
        <w:rPr>
          <w:rFonts w:ascii="Times New Roman" w:hAnsi="Times New Roman"/>
          <w:color w:val="000000" w:themeColor="text1"/>
          <w:sz w:val="24"/>
          <w:szCs w:val="24"/>
        </w:rPr>
        <w:t xml:space="preserve"> 2004; 12(5): 473 - 482.</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Relyea</w:t>
      </w:r>
      <w:proofErr w:type="spellEnd"/>
      <w:r w:rsidRPr="00A525C6">
        <w:rPr>
          <w:rFonts w:ascii="Times New Roman" w:hAnsi="Times New Roman"/>
          <w:color w:val="000000" w:themeColor="text1"/>
          <w:sz w:val="24"/>
          <w:szCs w:val="24"/>
        </w:rPr>
        <w:t xml:space="preserve"> RA. </w:t>
      </w:r>
      <w:proofErr w:type="gramStart"/>
      <w:r w:rsidRPr="00A525C6">
        <w:rPr>
          <w:rFonts w:ascii="Times New Roman" w:hAnsi="Times New Roman"/>
          <w:color w:val="000000" w:themeColor="text1"/>
          <w:sz w:val="24"/>
          <w:szCs w:val="24"/>
        </w:rPr>
        <w:t>The lethal impact of roundup on aquatic and terrestrial amphibians</w:t>
      </w:r>
      <w:r w:rsidRPr="00A525C6">
        <w:rPr>
          <w:rFonts w:ascii="Times New Roman" w:hAnsi="Times New Roman"/>
          <w:i/>
          <w:color w:val="000000" w:themeColor="text1"/>
          <w:sz w:val="24"/>
          <w:szCs w:val="24"/>
        </w:rPr>
        <w:t>.</w:t>
      </w:r>
      <w:proofErr w:type="gramEnd"/>
      <w:r w:rsidRPr="00A525C6">
        <w:rPr>
          <w:rFonts w:ascii="Times New Roman" w:hAnsi="Times New Roman"/>
          <w:i/>
          <w:color w:val="000000" w:themeColor="text1"/>
          <w:sz w:val="24"/>
          <w:szCs w:val="24"/>
        </w:rPr>
        <w:t xml:space="preserve"> </w:t>
      </w:r>
      <w:proofErr w:type="gramStart"/>
      <w:r w:rsidRPr="00A525C6">
        <w:rPr>
          <w:rFonts w:ascii="Times New Roman" w:hAnsi="Times New Roman"/>
          <w:i/>
          <w:color w:val="000000" w:themeColor="text1"/>
          <w:sz w:val="24"/>
          <w:szCs w:val="24"/>
        </w:rPr>
        <w:t>Ecological Implications</w:t>
      </w:r>
      <w:r w:rsidRPr="00A525C6">
        <w:rPr>
          <w:rFonts w:ascii="Times New Roman" w:hAnsi="Times New Roman"/>
          <w:color w:val="000000" w:themeColor="text1"/>
          <w:sz w:val="24"/>
          <w:szCs w:val="24"/>
        </w:rPr>
        <w:t>.</w:t>
      </w:r>
      <w:proofErr w:type="gramEnd"/>
      <w:r w:rsidRPr="00A525C6">
        <w:rPr>
          <w:rFonts w:ascii="Times New Roman" w:hAnsi="Times New Roman"/>
          <w:color w:val="000000" w:themeColor="text1"/>
          <w:sz w:val="24"/>
          <w:szCs w:val="24"/>
        </w:rPr>
        <w:t xml:space="preserve"> 2005;</w:t>
      </w:r>
      <w:r w:rsidRPr="00A525C6">
        <w:rPr>
          <w:rFonts w:ascii="Times New Roman" w:hAnsi="Times New Roman"/>
          <w:i/>
          <w:color w:val="000000" w:themeColor="text1"/>
          <w:sz w:val="24"/>
          <w:szCs w:val="24"/>
        </w:rPr>
        <w:t xml:space="preserve"> </w:t>
      </w:r>
      <w:r w:rsidRPr="00A525C6">
        <w:rPr>
          <w:rFonts w:ascii="Times New Roman" w:hAnsi="Times New Roman"/>
          <w:b/>
          <w:color w:val="000000" w:themeColor="text1"/>
          <w:sz w:val="24"/>
          <w:szCs w:val="24"/>
        </w:rPr>
        <w:t>15</w:t>
      </w:r>
      <w:r w:rsidRPr="00A525C6">
        <w:rPr>
          <w:rFonts w:ascii="Times New Roman" w:hAnsi="Times New Roman"/>
          <w:color w:val="000000" w:themeColor="text1"/>
          <w:sz w:val="24"/>
          <w:szCs w:val="24"/>
        </w:rPr>
        <w:t>(4): 1118 – 1124.</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Belden IK, </w:t>
      </w:r>
      <w:proofErr w:type="spellStart"/>
      <w:r w:rsidRPr="00A525C6">
        <w:rPr>
          <w:rFonts w:ascii="Times New Roman" w:hAnsi="Times New Roman"/>
          <w:color w:val="000000" w:themeColor="text1"/>
          <w:sz w:val="24"/>
          <w:szCs w:val="24"/>
        </w:rPr>
        <w:t>Blaustein</w:t>
      </w:r>
      <w:proofErr w:type="spellEnd"/>
      <w:r w:rsidRPr="00A525C6">
        <w:rPr>
          <w:rFonts w:ascii="Times New Roman" w:hAnsi="Times New Roman"/>
          <w:color w:val="000000" w:themeColor="text1"/>
          <w:sz w:val="24"/>
          <w:szCs w:val="24"/>
        </w:rPr>
        <w:t xml:space="preserve"> AR, Andrew R. Population differences in sensitivity to UV-B radiation for larval long-toed salamanders. </w:t>
      </w:r>
      <w:r w:rsidRPr="00A525C6">
        <w:rPr>
          <w:rFonts w:ascii="Times New Roman" w:hAnsi="Times New Roman"/>
          <w:i/>
          <w:color w:val="000000" w:themeColor="text1"/>
          <w:sz w:val="24"/>
          <w:szCs w:val="24"/>
        </w:rPr>
        <w:t>Ecology</w:t>
      </w:r>
      <w:proofErr w:type="gramStart"/>
      <w:r w:rsidRPr="00A525C6">
        <w:rPr>
          <w:rFonts w:ascii="Times New Roman" w:hAnsi="Times New Roman"/>
          <w:color w:val="000000" w:themeColor="text1"/>
          <w:sz w:val="24"/>
          <w:szCs w:val="24"/>
        </w:rPr>
        <w:t>,2002</w:t>
      </w:r>
      <w:proofErr w:type="gramEnd"/>
      <w:r w:rsidRPr="00A525C6">
        <w:rPr>
          <w:rFonts w:ascii="Times New Roman" w:hAnsi="Times New Roman"/>
          <w:color w:val="000000" w:themeColor="text1"/>
          <w:sz w:val="24"/>
          <w:szCs w:val="24"/>
        </w:rPr>
        <w:t>;</w:t>
      </w:r>
      <w:r w:rsidRPr="00A525C6">
        <w:rPr>
          <w:rFonts w:ascii="Times New Roman" w:hAnsi="Times New Roman"/>
          <w:i/>
          <w:color w:val="000000" w:themeColor="text1"/>
          <w:sz w:val="24"/>
          <w:szCs w:val="24"/>
        </w:rPr>
        <w:t xml:space="preserve"> </w:t>
      </w:r>
      <w:r w:rsidRPr="00A525C6">
        <w:rPr>
          <w:rFonts w:ascii="Times New Roman" w:hAnsi="Times New Roman"/>
          <w:b/>
          <w:color w:val="000000" w:themeColor="text1"/>
          <w:sz w:val="24"/>
          <w:szCs w:val="24"/>
        </w:rPr>
        <w:t>6</w:t>
      </w:r>
      <w:r w:rsidRPr="00A525C6">
        <w:rPr>
          <w:rFonts w:ascii="Times New Roman" w:hAnsi="Times New Roman"/>
          <w:color w:val="000000" w:themeColor="text1"/>
          <w:sz w:val="24"/>
          <w:szCs w:val="24"/>
        </w:rPr>
        <w:t>:</w:t>
      </w:r>
      <w:r w:rsidRPr="00A525C6">
        <w:rPr>
          <w:rFonts w:ascii="Times New Roman" w:hAnsi="Times New Roman"/>
          <w:i/>
          <w:color w:val="000000" w:themeColor="text1"/>
          <w:sz w:val="24"/>
          <w:szCs w:val="24"/>
        </w:rPr>
        <w:t xml:space="preserve"> </w:t>
      </w:r>
      <w:r w:rsidRPr="00A525C6">
        <w:rPr>
          <w:rFonts w:ascii="Times New Roman" w:hAnsi="Times New Roman"/>
          <w:color w:val="000000" w:themeColor="text1"/>
          <w:sz w:val="24"/>
          <w:szCs w:val="24"/>
        </w:rPr>
        <w:t xml:space="preserve">1586 </w:t>
      </w:r>
      <w:r w:rsidRPr="00A525C6">
        <w:rPr>
          <w:rFonts w:ascii="Times New Roman" w:hAnsi="Times New Roman"/>
          <w:i/>
          <w:color w:val="000000" w:themeColor="text1"/>
          <w:sz w:val="24"/>
          <w:szCs w:val="24"/>
        </w:rPr>
        <w:t xml:space="preserve">– </w:t>
      </w:r>
      <w:r w:rsidRPr="00A525C6">
        <w:rPr>
          <w:rFonts w:ascii="Times New Roman" w:hAnsi="Times New Roman"/>
          <w:color w:val="000000" w:themeColor="text1"/>
          <w:sz w:val="24"/>
          <w:szCs w:val="24"/>
        </w:rPr>
        <w:t>1590.</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Muhammad A, </w:t>
      </w:r>
      <w:proofErr w:type="spellStart"/>
      <w:r w:rsidRPr="00A525C6">
        <w:rPr>
          <w:rFonts w:ascii="Times New Roman" w:hAnsi="Times New Roman"/>
          <w:color w:val="000000" w:themeColor="text1"/>
          <w:sz w:val="24"/>
          <w:szCs w:val="24"/>
        </w:rPr>
        <w:t>Abdus</w:t>
      </w:r>
      <w:proofErr w:type="spellEnd"/>
      <w:r w:rsidRPr="00A525C6">
        <w:rPr>
          <w:rFonts w:ascii="Times New Roman" w:hAnsi="Times New Roman"/>
          <w:color w:val="000000" w:themeColor="text1"/>
          <w:sz w:val="24"/>
          <w:szCs w:val="24"/>
        </w:rPr>
        <w:t xml:space="preserve"> S, </w:t>
      </w:r>
      <w:proofErr w:type="spellStart"/>
      <w:r w:rsidRPr="00A525C6">
        <w:rPr>
          <w:rFonts w:ascii="Times New Roman" w:hAnsi="Times New Roman"/>
          <w:color w:val="000000" w:themeColor="text1"/>
          <w:sz w:val="24"/>
          <w:szCs w:val="24"/>
        </w:rPr>
        <w:t>Sumayya</w:t>
      </w:r>
      <w:proofErr w:type="spellEnd"/>
      <w:r w:rsidRPr="00A525C6">
        <w:rPr>
          <w:rFonts w:ascii="Times New Roman" w:hAnsi="Times New Roman"/>
          <w:color w:val="000000" w:themeColor="text1"/>
          <w:sz w:val="24"/>
          <w:szCs w:val="24"/>
        </w:rPr>
        <w:t xml:space="preserve"> I, </w:t>
      </w:r>
      <w:proofErr w:type="spellStart"/>
      <w:r w:rsidRPr="00A525C6">
        <w:rPr>
          <w:rFonts w:ascii="Times New Roman" w:hAnsi="Times New Roman"/>
          <w:color w:val="000000" w:themeColor="text1"/>
          <w:sz w:val="24"/>
          <w:szCs w:val="24"/>
        </w:rPr>
        <w:t>Tasveer</w:t>
      </w:r>
      <w:proofErr w:type="spellEnd"/>
      <w:r w:rsidRPr="00A525C6">
        <w:rPr>
          <w:rFonts w:ascii="Times New Roman" w:hAnsi="Times New Roman"/>
          <w:color w:val="000000" w:themeColor="text1"/>
          <w:sz w:val="24"/>
          <w:szCs w:val="24"/>
        </w:rPr>
        <w:t xml:space="preserve"> ZB, </w:t>
      </w:r>
      <w:proofErr w:type="spellStart"/>
      <w:r w:rsidRPr="00A525C6">
        <w:rPr>
          <w:rFonts w:ascii="Times New Roman" w:hAnsi="Times New Roman"/>
          <w:color w:val="000000" w:themeColor="text1"/>
          <w:sz w:val="24"/>
          <w:szCs w:val="24"/>
        </w:rPr>
        <w:t>Kamran</w:t>
      </w:r>
      <w:proofErr w:type="spellEnd"/>
      <w:r w:rsidRPr="00A525C6">
        <w:rPr>
          <w:rFonts w:ascii="Times New Roman" w:hAnsi="Times New Roman"/>
          <w:color w:val="000000" w:themeColor="text1"/>
          <w:sz w:val="24"/>
          <w:szCs w:val="24"/>
        </w:rPr>
        <w:t xml:space="preserve"> AQ. Studies on monthly variations in biological and </w:t>
      </w:r>
      <w:proofErr w:type="spellStart"/>
      <w:r w:rsidRPr="00A525C6">
        <w:rPr>
          <w:rFonts w:ascii="Times New Roman" w:hAnsi="Times New Roman"/>
          <w:color w:val="000000" w:themeColor="text1"/>
          <w:sz w:val="24"/>
          <w:szCs w:val="24"/>
        </w:rPr>
        <w:t>physico</w:t>
      </w:r>
      <w:proofErr w:type="spellEnd"/>
      <w:r w:rsidRPr="00A525C6">
        <w:rPr>
          <w:rFonts w:ascii="Times New Roman" w:hAnsi="Times New Roman"/>
          <w:color w:val="000000" w:themeColor="text1"/>
          <w:sz w:val="24"/>
          <w:szCs w:val="24"/>
        </w:rPr>
        <w:t xml:space="preserve">-chemical parameters of brackish water fish Pond, </w:t>
      </w:r>
      <w:proofErr w:type="spellStart"/>
      <w:r w:rsidRPr="00A525C6">
        <w:rPr>
          <w:rFonts w:ascii="Times New Roman" w:hAnsi="Times New Roman"/>
          <w:color w:val="000000" w:themeColor="text1"/>
          <w:sz w:val="24"/>
          <w:szCs w:val="24"/>
        </w:rPr>
        <w:t>Muzaffar</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Garh</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Bahauddin</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Zakariya</w:t>
      </w:r>
      <w:proofErr w:type="spellEnd"/>
      <w:r w:rsidRPr="00A525C6">
        <w:rPr>
          <w:rFonts w:ascii="Times New Roman" w:hAnsi="Times New Roman"/>
          <w:color w:val="000000" w:themeColor="text1"/>
          <w:sz w:val="24"/>
          <w:szCs w:val="24"/>
        </w:rPr>
        <w:t xml:space="preserve"> University, Multan, Pakistan. Pak. J. Res. Sci.</w:t>
      </w:r>
      <w:proofErr w:type="gramStart"/>
      <w:r w:rsidRPr="00A525C6">
        <w:rPr>
          <w:rFonts w:ascii="Times New Roman" w:hAnsi="Times New Roman"/>
          <w:color w:val="000000" w:themeColor="text1"/>
          <w:sz w:val="24"/>
          <w:szCs w:val="24"/>
        </w:rPr>
        <w:t>,2005</w:t>
      </w:r>
      <w:proofErr w:type="gramEnd"/>
      <w:r w:rsidRPr="00A525C6">
        <w:rPr>
          <w:rFonts w:ascii="Times New Roman" w:hAnsi="Times New Roman"/>
          <w:color w:val="000000" w:themeColor="text1"/>
          <w:sz w:val="24"/>
          <w:szCs w:val="24"/>
        </w:rPr>
        <w:t>; 16(1): 27-38.</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Peerapornpisal</w:t>
      </w:r>
      <w:proofErr w:type="spellEnd"/>
      <w:r w:rsidRPr="00A525C6">
        <w:rPr>
          <w:rFonts w:ascii="Times New Roman" w:hAnsi="Times New Roman"/>
          <w:color w:val="000000" w:themeColor="text1"/>
          <w:sz w:val="24"/>
          <w:szCs w:val="24"/>
        </w:rPr>
        <w:t xml:space="preserve"> Y, </w:t>
      </w:r>
      <w:proofErr w:type="spellStart"/>
      <w:r w:rsidRPr="00A525C6">
        <w:rPr>
          <w:rFonts w:ascii="Times New Roman" w:hAnsi="Times New Roman"/>
          <w:color w:val="000000" w:themeColor="text1"/>
          <w:sz w:val="24"/>
          <w:szCs w:val="24"/>
        </w:rPr>
        <w:t>Chaiubol</w:t>
      </w:r>
      <w:proofErr w:type="spellEnd"/>
      <w:r w:rsidRPr="00A525C6">
        <w:rPr>
          <w:rFonts w:ascii="Times New Roman" w:hAnsi="Times New Roman"/>
          <w:color w:val="000000" w:themeColor="text1"/>
          <w:sz w:val="24"/>
          <w:szCs w:val="24"/>
        </w:rPr>
        <w:t xml:space="preserve"> C, </w:t>
      </w:r>
      <w:proofErr w:type="spellStart"/>
      <w:r w:rsidRPr="00A525C6">
        <w:rPr>
          <w:rFonts w:ascii="Times New Roman" w:hAnsi="Times New Roman"/>
          <w:color w:val="000000" w:themeColor="text1"/>
          <w:sz w:val="24"/>
          <w:szCs w:val="24"/>
        </w:rPr>
        <w:t>Pekko</w:t>
      </w:r>
      <w:proofErr w:type="spellEnd"/>
      <w:r w:rsidRPr="00A525C6">
        <w:rPr>
          <w:rFonts w:ascii="Times New Roman" w:hAnsi="Times New Roman"/>
          <w:color w:val="000000" w:themeColor="text1"/>
          <w:sz w:val="24"/>
          <w:szCs w:val="24"/>
        </w:rPr>
        <w:t xml:space="preserve"> J, </w:t>
      </w:r>
      <w:proofErr w:type="spellStart"/>
      <w:r w:rsidRPr="00A525C6">
        <w:rPr>
          <w:rFonts w:ascii="Times New Roman" w:hAnsi="Times New Roman"/>
          <w:color w:val="000000" w:themeColor="text1"/>
          <w:sz w:val="24"/>
          <w:szCs w:val="24"/>
        </w:rPr>
        <w:t>Kraibut</w:t>
      </w:r>
      <w:proofErr w:type="spellEnd"/>
      <w:r w:rsidRPr="00A525C6">
        <w:rPr>
          <w:rFonts w:ascii="Times New Roman" w:hAnsi="Times New Roman"/>
          <w:color w:val="000000" w:themeColor="text1"/>
          <w:sz w:val="24"/>
          <w:szCs w:val="24"/>
        </w:rPr>
        <w:t xml:space="preserve"> H, </w:t>
      </w:r>
      <w:proofErr w:type="spellStart"/>
      <w:r w:rsidRPr="00A525C6">
        <w:rPr>
          <w:rFonts w:ascii="Times New Roman" w:hAnsi="Times New Roman"/>
          <w:color w:val="000000" w:themeColor="text1"/>
          <w:sz w:val="24"/>
          <w:szCs w:val="24"/>
        </w:rPr>
        <w:t>Chorum</w:t>
      </w:r>
      <w:proofErr w:type="spellEnd"/>
      <w:r w:rsidRPr="00A525C6">
        <w:rPr>
          <w:rFonts w:ascii="Times New Roman" w:hAnsi="Times New Roman"/>
          <w:color w:val="000000" w:themeColor="text1"/>
          <w:sz w:val="24"/>
          <w:szCs w:val="24"/>
        </w:rPr>
        <w:t xml:space="preserve"> M, </w:t>
      </w:r>
      <w:proofErr w:type="spellStart"/>
      <w:r w:rsidRPr="00A525C6">
        <w:rPr>
          <w:rFonts w:ascii="Times New Roman" w:hAnsi="Times New Roman"/>
          <w:color w:val="000000" w:themeColor="text1"/>
          <w:sz w:val="24"/>
          <w:szCs w:val="24"/>
        </w:rPr>
        <w:t>Wannathong</w:t>
      </w:r>
      <w:proofErr w:type="spellEnd"/>
      <w:r w:rsidRPr="00A525C6">
        <w:rPr>
          <w:rFonts w:ascii="Times New Roman" w:hAnsi="Times New Roman"/>
          <w:color w:val="000000" w:themeColor="text1"/>
          <w:sz w:val="24"/>
          <w:szCs w:val="24"/>
        </w:rPr>
        <w:t xml:space="preserve"> P, </w:t>
      </w:r>
      <w:proofErr w:type="spellStart"/>
      <w:r w:rsidRPr="00A525C6">
        <w:rPr>
          <w:rFonts w:ascii="Times New Roman" w:hAnsi="Times New Roman"/>
          <w:color w:val="000000" w:themeColor="text1"/>
          <w:sz w:val="24"/>
          <w:szCs w:val="24"/>
        </w:rPr>
        <w:t>Ngearnpat</w:t>
      </w:r>
      <w:proofErr w:type="spellEnd"/>
      <w:r w:rsidRPr="00A525C6">
        <w:rPr>
          <w:rFonts w:ascii="Times New Roman" w:hAnsi="Times New Roman"/>
          <w:color w:val="000000" w:themeColor="text1"/>
          <w:sz w:val="24"/>
          <w:szCs w:val="24"/>
        </w:rPr>
        <w:t xml:space="preserve"> N, </w:t>
      </w:r>
      <w:proofErr w:type="spellStart"/>
      <w:r w:rsidRPr="00A525C6">
        <w:rPr>
          <w:rFonts w:ascii="Times New Roman" w:hAnsi="Times New Roman"/>
          <w:color w:val="000000" w:themeColor="text1"/>
          <w:sz w:val="24"/>
          <w:szCs w:val="24"/>
        </w:rPr>
        <w:t>Jusakul</w:t>
      </w:r>
      <w:proofErr w:type="spellEnd"/>
      <w:r w:rsidRPr="00A525C6">
        <w:rPr>
          <w:rFonts w:ascii="Times New Roman" w:hAnsi="Times New Roman"/>
          <w:color w:val="000000" w:themeColor="text1"/>
          <w:sz w:val="24"/>
          <w:szCs w:val="24"/>
        </w:rPr>
        <w:t xml:space="preserve"> K, </w:t>
      </w:r>
      <w:proofErr w:type="spellStart"/>
      <w:r w:rsidRPr="00A525C6">
        <w:rPr>
          <w:rFonts w:ascii="Times New Roman" w:hAnsi="Times New Roman"/>
          <w:color w:val="000000" w:themeColor="text1"/>
          <w:sz w:val="24"/>
          <w:szCs w:val="24"/>
        </w:rPr>
        <w:t>Thammathiwat</w:t>
      </w:r>
      <w:proofErr w:type="spellEnd"/>
      <w:r w:rsidRPr="00A525C6">
        <w:rPr>
          <w:rFonts w:ascii="Times New Roman" w:hAnsi="Times New Roman"/>
          <w:color w:val="000000" w:themeColor="text1"/>
          <w:sz w:val="24"/>
          <w:szCs w:val="24"/>
        </w:rPr>
        <w:t xml:space="preserve"> A, </w:t>
      </w:r>
      <w:proofErr w:type="spellStart"/>
      <w:r w:rsidRPr="00A525C6">
        <w:rPr>
          <w:rFonts w:ascii="Times New Roman" w:hAnsi="Times New Roman"/>
          <w:color w:val="000000" w:themeColor="text1"/>
          <w:sz w:val="24"/>
          <w:szCs w:val="24"/>
        </w:rPr>
        <w:t>Chuanunta</w:t>
      </w:r>
      <w:proofErr w:type="spellEnd"/>
      <w:r w:rsidRPr="00A525C6">
        <w:rPr>
          <w:rFonts w:ascii="Times New Roman" w:hAnsi="Times New Roman"/>
          <w:color w:val="000000" w:themeColor="text1"/>
          <w:sz w:val="24"/>
          <w:szCs w:val="24"/>
        </w:rPr>
        <w:t xml:space="preserve"> J, </w:t>
      </w:r>
      <w:proofErr w:type="spellStart"/>
      <w:r w:rsidRPr="00A525C6">
        <w:rPr>
          <w:rFonts w:ascii="Times New Roman" w:hAnsi="Times New Roman"/>
          <w:color w:val="000000" w:themeColor="text1"/>
          <w:sz w:val="24"/>
          <w:szCs w:val="24"/>
        </w:rPr>
        <w:t>Inthasotti</w:t>
      </w:r>
      <w:proofErr w:type="spellEnd"/>
      <w:r w:rsidRPr="00A525C6">
        <w:rPr>
          <w:rFonts w:ascii="Times New Roman" w:hAnsi="Times New Roman"/>
          <w:color w:val="000000" w:themeColor="text1"/>
          <w:sz w:val="24"/>
          <w:szCs w:val="24"/>
        </w:rPr>
        <w:t xml:space="preserve"> T. Monitoring of Water Quality in </w:t>
      </w:r>
      <w:proofErr w:type="spellStart"/>
      <w:r w:rsidRPr="00A525C6">
        <w:rPr>
          <w:rFonts w:ascii="Times New Roman" w:hAnsi="Times New Roman"/>
          <w:color w:val="000000" w:themeColor="text1"/>
          <w:sz w:val="24"/>
          <w:szCs w:val="24"/>
        </w:rPr>
        <w:t>Ang</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Kaew</w:t>
      </w:r>
      <w:proofErr w:type="spellEnd"/>
      <w:r w:rsidRPr="00A525C6">
        <w:rPr>
          <w:rFonts w:ascii="Times New Roman" w:hAnsi="Times New Roman"/>
          <w:color w:val="000000" w:themeColor="text1"/>
          <w:sz w:val="24"/>
          <w:szCs w:val="24"/>
        </w:rPr>
        <w:t xml:space="preserve"> Reservoir of Chiang Mai University Using Phytoplankton as </w:t>
      </w:r>
      <w:proofErr w:type="spellStart"/>
      <w:r w:rsidRPr="00A525C6">
        <w:rPr>
          <w:rFonts w:ascii="Times New Roman" w:hAnsi="Times New Roman"/>
          <w:color w:val="000000" w:themeColor="text1"/>
          <w:sz w:val="24"/>
          <w:szCs w:val="24"/>
        </w:rPr>
        <w:t>Bioindicator</w:t>
      </w:r>
      <w:proofErr w:type="spellEnd"/>
      <w:r w:rsidRPr="00A525C6">
        <w:rPr>
          <w:rFonts w:ascii="Times New Roman" w:hAnsi="Times New Roman"/>
          <w:color w:val="000000" w:themeColor="text1"/>
          <w:sz w:val="24"/>
          <w:szCs w:val="24"/>
        </w:rPr>
        <w:t xml:space="preserve"> from 1995-2002. </w:t>
      </w:r>
      <w:r w:rsidRPr="00A525C6">
        <w:rPr>
          <w:rFonts w:ascii="Times New Roman" w:hAnsi="Times New Roman"/>
          <w:i/>
          <w:color w:val="000000" w:themeColor="text1"/>
          <w:sz w:val="24"/>
          <w:szCs w:val="24"/>
        </w:rPr>
        <w:t>Chiang Mai. J. Sci</w:t>
      </w:r>
      <w:r w:rsidRPr="00A525C6">
        <w:rPr>
          <w:rFonts w:ascii="Times New Roman" w:hAnsi="Times New Roman"/>
          <w:color w:val="000000" w:themeColor="text1"/>
          <w:sz w:val="24"/>
          <w:szCs w:val="24"/>
        </w:rPr>
        <w:t>.</w:t>
      </w:r>
      <w:proofErr w:type="gramStart"/>
      <w:r w:rsidRPr="00A525C6">
        <w:rPr>
          <w:rFonts w:ascii="Times New Roman" w:hAnsi="Times New Roman"/>
          <w:color w:val="000000" w:themeColor="text1"/>
          <w:sz w:val="24"/>
          <w:szCs w:val="24"/>
        </w:rPr>
        <w:t>,2004</w:t>
      </w:r>
      <w:proofErr w:type="gramEnd"/>
      <w:r w:rsidRPr="00A525C6">
        <w:rPr>
          <w:rFonts w:ascii="Times New Roman" w:hAnsi="Times New Roman"/>
          <w:color w:val="000000" w:themeColor="text1"/>
          <w:sz w:val="24"/>
          <w:szCs w:val="24"/>
        </w:rPr>
        <w:t xml:space="preserve">;  31(1): 85 - 94. </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Moss B. Ecology of fresh waters, man and medium. </w:t>
      </w:r>
      <w:proofErr w:type="gramStart"/>
      <w:r w:rsidRPr="00A525C6">
        <w:rPr>
          <w:rFonts w:ascii="Times New Roman" w:hAnsi="Times New Roman"/>
          <w:color w:val="000000" w:themeColor="text1"/>
          <w:sz w:val="24"/>
          <w:szCs w:val="24"/>
        </w:rPr>
        <w:t>Second Edition.</w:t>
      </w:r>
      <w:proofErr w:type="gramEnd"/>
      <w:r w:rsidRPr="00A525C6">
        <w:rPr>
          <w:rFonts w:ascii="Times New Roman" w:hAnsi="Times New Roman"/>
          <w:color w:val="000000" w:themeColor="text1"/>
          <w:sz w:val="24"/>
          <w:szCs w:val="24"/>
        </w:rPr>
        <w:t xml:space="preserve"> Blackwell. Sci., 1995; P. 333.</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Kelly MG. Use of the </w:t>
      </w:r>
      <w:proofErr w:type="spellStart"/>
      <w:r w:rsidRPr="00A525C6">
        <w:rPr>
          <w:rFonts w:ascii="Times New Roman" w:hAnsi="Times New Roman"/>
          <w:color w:val="000000" w:themeColor="text1"/>
          <w:sz w:val="24"/>
          <w:szCs w:val="24"/>
        </w:rPr>
        <w:t>trophic</w:t>
      </w:r>
      <w:proofErr w:type="spellEnd"/>
      <w:r w:rsidRPr="00A525C6">
        <w:rPr>
          <w:rFonts w:ascii="Times New Roman" w:hAnsi="Times New Roman"/>
          <w:color w:val="000000" w:themeColor="text1"/>
          <w:sz w:val="24"/>
          <w:szCs w:val="24"/>
        </w:rPr>
        <w:t xml:space="preserve"> diatom index to monitor </w:t>
      </w:r>
      <w:proofErr w:type="spellStart"/>
      <w:r w:rsidRPr="00A525C6">
        <w:rPr>
          <w:rFonts w:ascii="Times New Roman" w:hAnsi="Times New Roman"/>
          <w:color w:val="000000" w:themeColor="text1"/>
          <w:sz w:val="24"/>
          <w:szCs w:val="24"/>
        </w:rPr>
        <w:t>eutrophication</w:t>
      </w:r>
      <w:proofErr w:type="spellEnd"/>
      <w:r w:rsidRPr="00A525C6">
        <w:rPr>
          <w:rFonts w:ascii="Times New Roman" w:hAnsi="Times New Roman"/>
          <w:color w:val="000000" w:themeColor="text1"/>
          <w:sz w:val="24"/>
          <w:szCs w:val="24"/>
        </w:rPr>
        <w:t xml:space="preserve"> in rivers. </w:t>
      </w:r>
      <w:r w:rsidRPr="00A525C6">
        <w:rPr>
          <w:rFonts w:ascii="Times New Roman" w:hAnsi="Times New Roman"/>
          <w:i/>
          <w:color w:val="000000" w:themeColor="text1"/>
          <w:sz w:val="24"/>
          <w:szCs w:val="24"/>
        </w:rPr>
        <w:t>Water Resour</w:t>
      </w:r>
      <w:r w:rsidRPr="00A525C6">
        <w:rPr>
          <w:rFonts w:ascii="Times New Roman" w:hAnsi="Times New Roman"/>
          <w:color w:val="000000" w:themeColor="text1"/>
          <w:sz w:val="24"/>
          <w:szCs w:val="24"/>
        </w:rPr>
        <w:t>.</w:t>
      </w:r>
      <w:proofErr w:type="gramStart"/>
      <w:r w:rsidRPr="00A525C6">
        <w:rPr>
          <w:rFonts w:ascii="Times New Roman" w:hAnsi="Times New Roman"/>
          <w:color w:val="000000" w:themeColor="text1"/>
          <w:sz w:val="24"/>
          <w:szCs w:val="24"/>
        </w:rPr>
        <w:t>,1998</w:t>
      </w:r>
      <w:proofErr w:type="gramEnd"/>
      <w:r w:rsidRPr="00A525C6">
        <w:rPr>
          <w:rFonts w:ascii="Times New Roman" w:hAnsi="Times New Roman"/>
          <w:color w:val="000000" w:themeColor="text1"/>
          <w:sz w:val="24"/>
          <w:szCs w:val="24"/>
        </w:rPr>
        <w:t>; 32: 236-242.</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Wu JT. Phytoplankton as </w:t>
      </w:r>
      <w:proofErr w:type="spellStart"/>
      <w:r w:rsidRPr="00A525C6">
        <w:rPr>
          <w:rFonts w:ascii="Times New Roman" w:hAnsi="Times New Roman"/>
          <w:color w:val="000000" w:themeColor="text1"/>
          <w:sz w:val="24"/>
          <w:szCs w:val="24"/>
        </w:rPr>
        <w:t>bioindicator</w:t>
      </w:r>
      <w:proofErr w:type="spellEnd"/>
      <w:r w:rsidRPr="00A525C6">
        <w:rPr>
          <w:rFonts w:ascii="Times New Roman" w:hAnsi="Times New Roman"/>
          <w:color w:val="000000" w:themeColor="text1"/>
          <w:sz w:val="24"/>
          <w:szCs w:val="24"/>
        </w:rPr>
        <w:t xml:space="preserve"> for water quality in Taipei Botany. </w:t>
      </w:r>
      <w:r w:rsidRPr="00A525C6">
        <w:rPr>
          <w:rFonts w:ascii="Times New Roman" w:hAnsi="Times New Roman"/>
          <w:i/>
          <w:color w:val="000000" w:themeColor="text1"/>
          <w:sz w:val="24"/>
          <w:szCs w:val="24"/>
        </w:rPr>
        <w:t xml:space="preserve">Bull. Acad. </w:t>
      </w:r>
      <w:proofErr w:type="spellStart"/>
      <w:r w:rsidRPr="00A525C6">
        <w:rPr>
          <w:rFonts w:ascii="Times New Roman" w:hAnsi="Times New Roman"/>
          <w:i/>
          <w:color w:val="000000" w:themeColor="text1"/>
          <w:sz w:val="24"/>
          <w:szCs w:val="24"/>
        </w:rPr>
        <w:t>Sinia</w:t>
      </w:r>
      <w:proofErr w:type="spellEnd"/>
      <w:r w:rsidRPr="00A525C6">
        <w:rPr>
          <w:rFonts w:ascii="Times New Roman" w:hAnsi="Times New Roman"/>
          <w:color w:val="000000" w:themeColor="text1"/>
          <w:sz w:val="24"/>
          <w:szCs w:val="24"/>
        </w:rPr>
        <w:t>, 1993</w:t>
      </w:r>
      <w:proofErr w:type="gramStart"/>
      <w:r w:rsidRPr="00A525C6">
        <w:rPr>
          <w:rFonts w:ascii="Times New Roman" w:hAnsi="Times New Roman"/>
          <w:color w:val="000000" w:themeColor="text1"/>
          <w:sz w:val="24"/>
          <w:szCs w:val="24"/>
        </w:rPr>
        <w:t>;  25</w:t>
      </w:r>
      <w:proofErr w:type="gramEnd"/>
      <w:r w:rsidRPr="00A525C6">
        <w:rPr>
          <w:rFonts w:ascii="Times New Roman" w:hAnsi="Times New Roman"/>
          <w:color w:val="000000" w:themeColor="text1"/>
          <w:sz w:val="24"/>
          <w:szCs w:val="24"/>
        </w:rPr>
        <w:t>: 205-214.</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Michael </w:t>
      </w:r>
      <w:proofErr w:type="gramStart"/>
      <w:r w:rsidRPr="00A525C6">
        <w:rPr>
          <w:rFonts w:ascii="Times New Roman" w:hAnsi="Times New Roman"/>
          <w:color w:val="000000" w:themeColor="text1"/>
          <w:sz w:val="24"/>
          <w:szCs w:val="24"/>
        </w:rPr>
        <w:t>AM</w:t>
      </w:r>
      <w:proofErr w:type="gram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Paerl</w:t>
      </w:r>
      <w:proofErr w:type="spellEnd"/>
      <w:r w:rsidRPr="00A525C6">
        <w:rPr>
          <w:rFonts w:ascii="Times New Roman" w:hAnsi="Times New Roman"/>
          <w:color w:val="000000" w:themeColor="text1"/>
          <w:sz w:val="24"/>
          <w:szCs w:val="24"/>
        </w:rPr>
        <w:t xml:space="preserve"> HW. </w:t>
      </w:r>
      <w:proofErr w:type="spellStart"/>
      <w:r w:rsidRPr="00A525C6">
        <w:rPr>
          <w:rFonts w:ascii="Times New Roman" w:hAnsi="Times New Roman"/>
          <w:color w:val="000000" w:themeColor="text1"/>
          <w:sz w:val="24"/>
          <w:szCs w:val="24"/>
        </w:rPr>
        <w:t>Planktonic</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trophic</w:t>
      </w:r>
      <w:proofErr w:type="spellEnd"/>
      <w:r w:rsidRPr="00A525C6">
        <w:rPr>
          <w:rFonts w:ascii="Times New Roman" w:hAnsi="Times New Roman"/>
          <w:color w:val="000000" w:themeColor="text1"/>
          <w:sz w:val="24"/>
          <w:szCs w:val="24"/>
        </w:rPr>
        <w:t xml:space="preserve"> transfer in an estuary: Seasonal, </w:t>
      </w:r>
      <w:proofErr w:type="spellStart"/>
      <w:r w:rsidRPr="00A525C6">
        <w:rPr>
          <w:rFonts w:ascii="Times New Roman" w:hAnsi="Times New Roman"/>
          <w:color w:val="000000" w:themeColor="text1"/>
          <w:sz w:val="24"/>
          <w:szCs w:val="24"/>
        </w:rPr>
        <w:t>diel</w:t>
      </w:r>
      <w:proofErr w:type="spellEnd"/>
      <w:r w:rsidRPr="00A525C6">
        <w:rPr>
          <w:rFonts w:ascii="Times New Roman" w:hAnsi="Times New Roman"/>
          <w:color w:val="000000" w:themeColor="text1"/>
          <w:sz w:val="24"/>
          <w:szCs w:val="24"/>
        </w:rPr>
        <w:t>, and community structure effects. 1994; Ecology, 75(8): 2168-2184.</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Chang FH, </w:t>
      </w:r>
      <w:proofErr w:type="spellStart"/>
      <w:r w:rsidRPr="00A525C6">
        <w:rPr>
          <w:rFonts w:ascii="Times New Roman" w:hAnsi="Times New Roman"/>
          <w:color w:val="000000" w:themeColor="text1"/>
          <w:sz w:val="24"/>
          <w:szCs w:val="24"/>
        </w:rPr>
        <w:t>MacKenzie</w:t>
      </w:r>
      <w:proofErr w:type="spellEnd"/>
      <w:r w:rsidRPr="00A525C6">
        <w:rPr>
          <w:rFonts w:ascii="Times New Roman" w:hAnsi="Times New Roman"/>
          <w:color w:val="000000" w:themeColor="text1"/>
          <w:sz w:val="24"/>
          <w:szCs w:val="24"/>
        </w:rPr>
        <w:t xml:space="preserve"> L, Till D, Hannah D, Rhodes L. The first toxic shellfish outbreaks and the associated phytoplankton blooms in early 1993, in New Zealand.1995; In </w:t>
      </w:r>
      <w:proofErr w:type="spellStart"/>
      <w:r w:rsidRPr="00A525C6">
        <w:rPr>
          <w:rFonts w:ascii="Times New Roman" w:hAnsi="Times New Roman"/>
          <w:color w:val="000000" w:themeColor="text1"/>
          <w:sz w:val="24"/>
          <w:szCs w:val="24"/>
        </w:rPr>
        <w:t>Lassus</w:t>
      </w:r>
      <w:proofErr w:type="spellEnd"/>
      <w:r w:rsidRPr="00A525C6">
        <w:rPr>
          <w:rFonts w:ascii="Times New Roman" w:hAnsi="Times New Roman"/>
          <w:color w:val="000000" w:themeColor="text1"/>
          <w:sz w:val="24"/>
          <w:szCs w:val="24"/>
        </w:rPr>
        <w:t xml:space="preserve"> P, Arul G, </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Verma</w:t>
      </w:r>
      <w:proofErr w:type="spellEnd"/>
      <w:r w:rsidRPr="00A525C6">
        <w:rPr>
          <w:rFonts w:ascii="Times New Roman" w:hAnsi="Times New Roman"/>
          <w:color w:val="000000" w:themeColor="text1"/>
          <w:sz w:val="24"/>
          <w:szCs w:val="24"/>
        </w:rPr>
        <w:t xml:space="preserve"> AK, Singh GA. A Quantitative Analysis of Gastrointestinal </w:t>
      </w:r>
      <w:proofErr w:type="spellStart"/>
      <w:r w:rsidRPr="00A525C6">
        <w:rPr>
          <w:rFonts w:ascii="Times New Roman" w:hAnsi="Times New Roman"/>
          <w:color w:val="000000" w:themeColor="text1"/>
          <w:sz w:val="24"/>
          <w:szCs w:val="24"/>
        </w:rPr>
        <w:t>Helminths</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Trematode</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Digenea</w:t>
      </w:r>
      <w:proofErr w:type="spellEnd"/>
      <w:r w:rsidRPr="00A525C6">
        <w:rPr>
          <w:rFonts w:ascii="Times New Roman" w:hAnsi="Times New Roman"/>
          <w:color w:val="000000" w:themeColor="text1"/>
          <w:sz w:val="24"/>
          <w:szCs w:val="24"/>
        </w:rPr>
        <w:t xml:space="preserve">) Infection in </w:t>
      </w:r>
      <w:proofErr w:type="spellStart"/>
      <w:r w:rsidRPr="00A525C6">
        <w:rPr>
          <w:rFonts w:ascii="Times New Roman" w:hAnsi="Times New Roman"/>
          <w:color w:val="000000" w:themeColor="text1"/>
          <w:sz w:val="24"/>
          <w:szCs w:val="24"/>
        </w:rPr>
        <w:t>Ranid</w:t>
      </w:r>
      <w:proofErr w:type="spellEnd"/>
      <w:r w:rsidRPr="00A525C6">
        <w:rPr>
          <w:rFonts w:ascii="Times New Roman" w:hAnsi="Times New Roman"/>
          <w:color w:val="000000" w:themeColor="text1"/>
          <w:sz w:val="24"/>
          <w:szCs w:val="24"/>
        </w:rPr>
        <w:t xml:space="preserve"> Frogs in Jammu. </w:t>
      </w:r>
      <w:proofErr w:type="gramStart"/>
      <w:r w:rsidRPr="00A525C6">
        <w:rPr>
          <w:rFonts w:ascii="Times New Roman" w:hAnsi="Times New Roman"/>
          <w:i/>
          <w:color w:val="000000" w:themeColor="text1"/>
          <w:sz w:val="24"/>
          <w:szCs w:val="24"/>
        </w:rPr>
        <w:t>Zoos Print.</w:t>
      </w:r>
      <w:proofErr w:type="gramEnd"/>
      <w:r w:rsidRPr="00A525C6">
        <w:rPr>
          <w:rFonts w:ascii="Times New Roman" w:hAnsi="Times New Roman"/>
          <w:i/>
          <w:color w:val="000000" w:themeColor="text1"/>
          <w:sz w:val="24"/>
          <w:szCs w:val="24"/>
        </w:rPr>
        <w:t xml:space="preserve"> Journal</w:t>
      </w:r>
      <w:proofErr w:type="gramStart"/>
      <w:r w:rsidRPr="00A525C6">
        <w:rPr>
          <w:rFonts w:ascii="Times New Roman" w:hAnsi="Times New Roman"/>
          <w:color w:val="000000" w:themeColor="text1"/>
          <w:sz w:val="24"/>
          <w:szCs w:val="24"/>
        </w:rPr>
        <w:t>,2000</w:t>
      </w:r>
      <w:proofErr w:type="gramEnd"/>
      <w:r w:rsidRPr="00A525C6">
        <w:rPr>
          <w:rFonts w:ascii="Times New Roman" w:hAnsi="Times New Roman"/>
          <w:color w:val="000000" w:themeColor="text1"/>
          <w:sz w:val="24"/>
          <w:szCs w:val="24"/>
        </w:rPr>
        <w:t xml:space="preserve">; </w:t>
      </w:r>
      <w:r w:rsidRPr="00A525C6">
        <w:rPr>
          <w:rFonts w:ascii="Times New Roman" w:hAnsi="Times New Roman"/>
          <w:b/>
          <w:color w:val="000000" w:themeColor="text1"/>
          <w:sz w:val="24"/>
          <w:szCs w:val="24"/>
        </w:rPr>
        <w:t>15</w:t>
      </w:r>
      <w:r w:rsidRPr="00A525C6">
        <w:rPr>
          <w:rFonts w:ascii="Times New Roman" w:hAnsi="Times New Roman"/>
          <w:color w:val="000000" w:themeColor="text1"/>
          <w:sz w:val="24"/>
          <w:szCs w:val="24"/>
        </w:rPr>
        <w:t>:233-238.</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Bolek</w:t>
      </w:r>
      <w:proofErr w:type="spellEnd"/>
      <w:r w:rsidRPr="00A525C6">
        <w:rPr>
          <w:rFonts w:ascii="Times New Roman" w:hAnsi="Times New Roman"/>
          <w:color w:val="000000" w:themeColor="text1"/>
          <w:sz w:val="24"/>
          <w:szCs w:val="24"/>
        </w:rPr>
        <w:t xml:space="preserve"> MG, </w:t>
      </w:r>
      <w:proofErr w:type="spellStart"/>
      <w:r w:rsidRPr="00A525C6">
        <w:rPr>
          <w:rFonts w:ascii="Times New Roman" w:hAnsi="Times New Roman"/>
          <w:color w:val="000000" w:themeColor="text1"/>
          <w:sz w:val="24"/>
          <w:szCs w:val="24"/>
        </w:rPr>
        <w:t>Coggins</w:t>
      </w:r>
      <w:proofErr w:type="spellEnd"/>
      <w:r w:rsidRPr="00A525C6">
        <w:rPr>
          <w:rFonts w:ascii="Times New Roman" w:hAnsi="Times New Roman"/>
          <w:color w:val="000000" w:themeColor="text1"/>
          <w:sz w:val="24"/>
          <w:szCs w:val="24"/>
        </w:rPr>
        <w:t xml:space="preserve"> JR. Seasonal Occurrence and Community Structure of </w:t>
      </w:r>
      <w:proofErr w:type="spellStart"/>
      <w:r w:rsidRPr="00A525C6">
        <w:rPr>
          <w:rFonts w:ascii="Times New Roman" w:hAnsi="Times New Roman"/>
          <w:color w:val="000000" w:themeColor="text1"/>
          <w:sz w:val="24"/>
          <w:szCs w:val="24"/>
        </w:rPr>
        <w:t>Helminths</w:t>
      </w:r>
      <w:proofErr w:type="spellEnd"/>
      <w:r w:rsidRPr="00A525C6">
        <w:rPr>
          <w:rFonts w:ascii="Times New Roman" w:hAnsi="Times New Roman"/>
          <w:color w:val="000000" w:themeColor="text1"/>
          <w:sz w:val="24"/>
          <w:szCs w:val="24"/>
        </w:rPr>
        <w:t xml:space="preserve"> Parasites in Green Frogs, </w:t>
      </w:r>
      <w:proofErr w:type="spellStart"/>
      <w:r w:rsidRPr="00A525C6">
        <w:rPr>
          <w:rFonts w:ascii="Times New Roman" w:hAnsi="Times New Roman"/>
          <w:i/>
          <w:color w:val="000000" w:themeColor="text1"/>
          <w:sz w:val="24"/>
          <w:szCs w:val="24"/>
        </w:rPr>
        <w:t>Rana</w:t>
      </w:r>
      <w:proofErr w:type="spellEnd"/>
      <w:r w:rsidRPr="00A525C6">
        <w:rPr>
          <w:rFonts w:ascii="Times New Roman" w:hAnsi="Times New Roman"/>
          <w:i/>
          <w:color w:val="000000" w:themeColor="text1"/>
          <w:sz w:val="24"/>
          <w:szCs w:val="24"/>
        </w:rPr>
        <w:t xml:space="preserve"> </w:t>
      </w:r>
      <w:proofErr w:type="spellStart"/>
      <w:r w:rsidRPr="00A525C6">
        <w:rPr>
          <w:rFonts w:ascii="Times New Roman" w:hAnsi="Times New Roman"/>
          <w:i/>
          <w:color w:val="000000" w:themeColor="text1"/>
          <w:sz w:val="24"/>
          <w:szCs w:val="24"/>
        </w:rPr>
        <w:t>clamitans</w:t>
      </w:r>
      <w:proofErr w:type="spellEnd"/>
      <w:r w:rsidRPr="00A525C6">
        <w:rPr>
          <w:rFonts w:ascii="Times New Roman" w:hAnsi="Times New Roman"/>
          <w:i/>
          <w:color w:val="000000" w:themeColor="text1"/>
          <w:sz w:val="24"/>
          <w:szCs w:val="24"/>
        </w:rPr>
        <w:t xml:space="preserve"> </w:t>
      </w:r>
      <w:proofErr w:type="spellStart"/>
      <w:r w:rsidRPr="00A525C6">
        <w:rPr>
          <w:rFonts w:ascii="Times New Roman" w:hAnsi="Times New Roman"/>
          <w:i/>
          <w:color w:val="000000" w:themeColor="text1"/>
          <w:sz w:val="24"/>
          <w:szCs w:val="24"/>
        </w:rPr>
        <w:t>melanata</w:t>
      </w:r>
      <w:proofErr w:type="spellEnd"/>
      <w:r w:rsidRPr="00A525C6">
        <w:rPr>
          <w:rFonts w:ascii="Times New Roman" w:hAnsi="Times New Roman"/>
          <w:i/>
          <w:color w:val="000000" w:themeColor="text1"/>
          <w:sz w:val="24"/>
          <w:szCs w:val="24"/>
        </w:rPr>
        <w:t>,</w:t>
      </w:r>
      <w:r w:rsidRPr="00A525C6">
        <w:rPr>
          <w:rFonts w:ascii="Times New Roman" w:hAnsi="Times New Roman"/>
          <w:color w:val="000000" w:themeColor="text1"/>
          <w:sz w:val="24"/>
          <w:szCs w:val="24"/>
        </w:rPr>
        <w:t xml:space="preserve"> from South western Wisconsin, U. S. A. </w:t>
      </w:r>
      <w:r w:rsidRPr="00A525C6">
        <w:rPr>
          <w:rFonts w:ascii="Times New Roman" w:hAnsi="Times New Roman"/>
          <w:i/>
          <w:color w:val="000000" w:themeColor="text1"/>
          <w:sz w:val="24"/>
          <w:szCs w:val="24"/>
        </w:rPr>
        <w:t>Comparative Parasitology.</w:t>
      </w:r>
      <w:r w:rsidRPr="00A525C6">
        <w:rPr>
          <w:rFonts w:ascii="Times New Roman" w:hAnsi="Times New Roman"/>
          <w:color w:val="000000" w:themeColor="text1"/>
          <w:sz w:val="24"/>
          <w:szCs w:val="24"/>
        </w:rPr>
        <w:t>2001;</w:t>
      </w:r>
      <w:r w:rsidRPr="00A525C6">
        <w:rPr>
          <w:rFonts w:ascii="Times New Roman" w:hAnsi="Times New Roman"/>
          <w:i/>
          <w:color w:val="000000" w:themeColor="text1"/>
          <w:sz w:val="24"/>
          <w:szCs w:val="24"/>
        </w:rPr>
        <w:t xml:space="preserve"> </w:t>
      </w:r>
      <w:r w:rsidRPr="00A525C6">
        <w:rPr>
          <w:rFonts w:ascii="Times New Roman" w:hAnsi="Times New Roman"/>
          <w:color w:val="000000" w:themeColor="text1"/>
          <w:sz w:val="24"/>
          <w:szCs w:val="24"/>
        </w:rPr>
        <w:t xml:space="preserve"> </w:t>
      </w:r>
      <w:r w:rsidRPr="00A525C6">
        <w:rPr>
          <w:rFonts w:ascii="Times New Roman" w:hAnsi="Times New Roman"/>
          <w:b/>
          <w:color w:val="000000" w:themeColor="text1"/>
          <w:sz w:val="24"/>
          <w:szCs w:val="24"/>
        </w:rPr>
        <w:t>68</w:t>
      </w:r>
      <w:r w:rsidRPr="00A525C6">
        <w:rPr>
          <w:rFonts w:ascii="Times New Roman" w:hAnsi="Times New Roman"/>
          <w:color w:val="000000" w:themeColor="text1"/>
          <w:sz w:val="24"/>
          <w:szCs w:val="24"/>
        </w:rPr>
        <w:t>: 164 -172.</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Anderson RC. </w:t>
      </w:r>
      <w:r w:rsidRPr="00A525C6">
        <w:rPr>
          <w:rFonts w:ascii="Times New Roman" w:hAnsi="Times New Roman"/>
          <w:i/>
          <w:color w:val="000000" w:themeColor="text1"/>
          <w:sz w:val="24"/>
          <w:szCs w:val="24"/>
        </w:rPr>
        <w:t xml:space="preserve">Nematode Parasites of Vertebrates: Their Development and Transmission. </w:t>
      </w:r>
      <w:r w:rsidRPr="00A525C6">
        <w:rPr>
          <w:rFonts w:ascii="Times New Roman" w:hAnsi="Times New Roman"/>
          <w:color w:val="000000" w:themeColor="text1"/>
          <w:sz w:val="24"/>
          <w:szCs w:val="24"/>
        </w:rPr>
        <w:t>2</w:t>
      </w:r>
      <w:r w:rsidRPr="00A525C6">
        <w:rPr>
          <w:rFonts w:ascii="Times New Roman" w:hAnsi="Times New Roman"/>
          <w:color w:val="000000" w:themeColor="text1"/>
          <w:sz w:val="24"/>
          <w:szCs w:val="24"/>
          <w:vertAlign w:val="superscript"/>
        </w:rPr>
        <w:t>nd</w:t>
      </w:r>
      <w:r w:rsidRPr="00A525C6">
        <w:rPr>
          <w:rFonts w:ascii="Times New Roman" w:hAnsi="Times New Roman"/>
          <w:color w:val="000000" w:themeColor="text1"/>
          <w:sz w:val="24"/>
          <w:szCs w:val="24"/>
        </w:rPr>
        <w:t xml:space="preserve"> Edition, CAB International, Wallingford Oxon </w:t>
      </w:r>
      <w:proofErr w:type="spellStart"/>
      <w:proofErr w:type="gramStart"/>
      <w:r w:rsidRPr="00A525C6">
        <w:rPr>
          <w:rFonts w:ascii="Times New Roman" w:hAnsi="Times New Roman"/>
          <w:color w:val="000000" w:themeColor="text1"/>
          <w:sz w:val="24"/>
          <w:szCs w:val="24"/>
        </w:rPr>
        <w:t>Uk</w:t>
      </w:r>
      <w:proofErr w:type="spellEnd"/>
      <w:proofErr w:type="gramEnd"/>
      <w:r w:rsidRPr="00A525C6">
        <w:rPr>
          <w:rFonts w:ascii="Times New Roman" w:hAnsi="Times New Roman"/>
          <w:color w:val="000000" w:themeColor="text1"/>
          <w:sz w:val="24"/>
          <w:szCs w:val="24"/>
        </w:rPr>
        <w:t xml:space="preserve">. 650. Anonymous </w:t>
      </w:r>
      <w:r w:rsidRPr="00A525C6">
        <w:rPr>
          <w:rFonts w:ascii="Times New Roman" w:hAnsi="Times New Roman"/>
          <w:color w:val="000000" w:themeColor="text1"/>
          <w:sz w:val="24"/>
          <w:szCs w:val="24"/>
        </w:rPr>
        <w:lastRenderedPageBreak/>
        <w:t>Guidelines for Euthanasia of Nondomestic Animals. American Association of Zoologists and Veterinarians, 2006; New York.</w:t>
      </w:r>
    </w:p>
    <w:p w:rsidR="00A525C6" w:rsidRP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eastAsia="Times New Roman" w:hAnsi="Times New Roman"/>
          <w:color w:val="000000" w:themeColor="text1"/>
          <w:sz w:val="24"/>
          <w:szCs w:val="24"/>
          <w:lang w:eastAsia="en-GB"/>
        </w:rPr>
        <w:t xml:space="preserve">Ludwig JA, Reynolds JF. </w:t>
      </w:r>
      <w:r w:rsidRPr="00A525C6">
        <w:rPr>
          <w:rFonts w:ascii="Times New Roman" w:eastAsia="Times New Roman" w:hAnsi="Times New Roman"/>
          <w:i/>
          <w:iCs/>
          <w:color w:val="000000" w:themeColor="text1"/>
          <w:sz w:val="24"/>
          <w:szCs w:val="24"/>
          <w:lang w:eastAsia="en-GB"/>
        </w:rPr>
        <w:t>Statistical Ecology, a Primer on Methods and Computing</w:t>
      </w:r>
      <w:r w:rsidRPr="00A525C6">
        <w:rPr>
          <w:rFonts w:ascii="Times New Roman" w:eastAsia="Times New Roman" w:hAnsi="Times New Roman"/>
          <w:color w:val="000000" w:themeColor="text1"/>
          <w:sz w:val="24"/>
          <w:szCs w:val="24"/>
          <w:lang w:eastAsia="en-GB"/>
        </w:rPr>
        <w:t>. John Wiley and Sons, New York. 1988; Pp. 71 – 103.</w:t>
      </w:r>
    </w:p>
    <w:p w:rsidR="00A525C6" w:rsidRP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eastAsia="Times New Roman" w:hAnsi="Times New Roman"/>
          <w:color w:val="000000" w:themeColor="text1"/>
          <w:sz w:val="24"/>
          <w:szCs w:val="24"/>
          <w:lang w:eastAsia="en-GB"/>
        </w:rPr>
        <w:t xml:space="preserve">Krebs CJ. </w:t>
      </w:r>
      <w:r w:rsidRPr="00A525C6">
        <w:rPr>
          <w:rFonts w:ascii="Times New Roman" w:eastAsia="Times New Roman" w:hAnsi="Times New Roman"/>
          <w:i/>
          <w:iCs/>
          <w:color w:val="000000" w:themeColor="text1"/>
          <w:sz w:val="24"/>
          <w:szCs w:val="24"/>
          <w:lang w:eastAsia="en-GB"/>
        </w:rPr>
        <w:t>Ecological Methodology</w:t>
      </w:r>
      <w:r w:rsidRPr="00A525C6">
        <w:rPr>
          <w:rFonts w:ascii="Times New Roman" w:eastAsia="Times New Roman" w:hAnsi="Times New Roman"/>
          <w:color w:val="000000" w:themeColor="text1"/>
          <w:sz w:val="24"/>
          <w:szCs w:val="24"/>
          <w:lang w:eastAsia="en-GB"/>
        </w:rPr>
        <w:t>, 3</w:t>
      </w:r>
      <w:r w:rsidRPr="00A525C6">
        <w:rPr>
          <w:rFonts w:ascii="Times New Roman" w:eastAsia="Times New Roman" w:hAnsi="Times New Roman"/>
          <w:color w:val="000000" w:themeColor="text1"/>
          <w:sz w:val="24"/>
          <w:szCs w:val="24"/>
          <w:vertAlign w:val="superscript"/>
          <w:lang w:eastAsia="en-GB"/>
        </w:rPr>
        <w:t>rd</w:t>
      </w:r>
      <w:r w:rsidRPr="00A525C6">
        <w:rPr>
          <w:rFonts w:ascii="Times New Roman" w:eastAsia="Times New Roman" w:hAnsi="Times New Roman"/>
          <w:color w:val="000000" w:themeColor="text1"/>
          <w:sz w:val="24"/>
          <w:szCs w:val="24"/>
          <w:lang w:eastAsia="en-GB"/>
        </w:rPr>
        <w:t xml:space="preserve"> edition. 2014; Pearson Plc. London.</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Ajibola</w:t>
      </w:r>
      <w:proofErr w:type="spellEnd"/>
      <w:r w:rsidRPr="00A525C6">
        <w:rPr>
          <w:rFonts w:ascii="Times New Roman" w:hAnsi="Times New Roman"/>
          <w:color w:val="000000" w:themeColor="text1"/>
          <w:sz w:val="24"/>
          <w:szCs w:val="24"/>
        </w:rPr>
        <w:t xml:space="preserve"> ME, </w:t>
      </w:r>
      <w:proofErr w:type="spellStart"/>
      <w:r w:rsidRPr="00A525C6">
        <w:rPr>
          <w:rFonts w:ascii="Times New Roman" w:hAnsi="Times New Roman"/>
          <w:color w:val="000000" w:themeColor="text1"/>
          <w:sz w:val="24"/>
          <w:szCs w:val="24"/>
        </w:rPr>
        <w:t>Akinpelu</w:t>
      </w:r>
      <w:proofErr w:type="spellEnd"/>
      <w:r w:rsidRPr="00A525C6">
        <w:rPr>
          <w:rFonts w:ascii="Times New Roman" w:hAnsi="Times New Roman"/>
          <w:color w:val="000000" w:themeColor="text1"/>
          <w:sz w:val="24"/>
          <w:szCs w:val="24"/>
        </w:rPr>
        <w:t xml:space="preserve"> AI, </w:t>
      </w:r>
      <w:proofErr w:type="spellStart"/>
      <w:r w:rsidRPr="00A525C6">
        <w:rPr>
          <w:rFonts w:ascii="Times New Roman" w:hAnsi="Times New Roman"/>
          <w:color w:val="000000" w:themeColor="text1"/>
          <w:sz w:val="24"/>
          <w:szCs w:val="24"/>
        </w:rPr>
        <w:t>Imeh</w:t>
      </w:r>
      <w:proofErr w:type="spellEnd"/>
      <w:r w:rsidRPr="00A525C6">
        <w:rPr>
          <w:rFonts w:ascii="Times New Roman" w:hAnsi="Times New Roman"/>
          <w:color w:val="000000" w:themeColor="text1"/>
          <w:sz w:val="24"/>
          <w:szCs w:val="24"/>
        </w:rPr>
        <w:t xml:space="preserve"> NA. </w:t>
      </w:r>
      <w:proofErr w:type="gramStart"/>
      <w:r w:rsidRPr="00A525C6">
        <w:rPr>
          <w:rFonts w:ascii="Times New Roman" w:hAnsi="Times New Roman"/>
          <w:color w:val="000000" w:themeColor="text1"/>
          <w:sz w:val="24"/>
          <w:szCs w:val="24"/>
        </w:rPr>
        <w:t xml:space="preserve">Seasonal distribution of true frogs (Family </w:t>
      </w:r>
      <w:proofErr w:type="spellStart"/>
      <w:r w:rsidRPr="00A525C6">
        <w:rPr>
          <w:rFonts w:ascii="Times New Roman" w:hAnsi="Times New Roman"/>
          <w:color w:val="000000" w:themeColor="text1"/>
          <w:sz w:val="24"/>
          <w:szCs w:val="24"/>
        </w:rPr>
        <w:t>Ranidae</w:t>
      </w:r>
      <w:proofErr w:type="spellEnd"/>
      <w:r w:rsidRPr="00A525C6">
        <w:rPr>
          <w:rFonts w:ascii="Times New Roman" w:hAnsi="Times New Roman"/>
          <w:color w:val="000000" w:themeColor="text1"/>
          <w:sz w:val="24"/>
          <w:szCs w:val="24"/>
        </w:rPr>
        <w:t>) in tropical rain forest of southwestern Nigeria.</w:t>
      </w:r>
      <w:proofErr w:type="gramEnd"/>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 xml:space="preserve">Journal of Biodiversity, </w:t>
      </w:r>
      <w:proofErr w:type="spellStart"/>
      <w:r w:rsidRPr="00A525C6">
        <w:rPr>
          <w:rFonts w:ascii="Times New Roman" w:hAnsi="Times New Roman"/>
          <w:i/>
          <w:color w:val="000000" w:themeColor="text1"/>
          <w:sz w:val="24"/>
          <w:szCs w:val="24"/>
        </w:rPr>
        <w:t>Bioprotection</w:t>
      </w:r>
      <w:proofErr w:type="spellEnd"/>
      <w:r w:rsidRPr="00A525C6">
        <w:rPr>
          <w:rFonts w:ascii="Times New Roman" w:hAnsi="Times New Roman"/>
          <w:i/>
          <w:color w:val="000000" w:themeColor="text1"/>
          <w:sz w:val="24"/>
          <w:szCs w:val="24"/>
        </w:rPr>
        <w:t xml:space="preserve"> and Development</w:t>
      </w:r>
      <w:r w:rsidRPr="00A525C6">
        <w:rPr>
          <w:rFonts w:ascii="Times New Roman" w:hAnsi="Times New Roman"/>
          <w:color w:val="000000" w:themeColor="text1"/>
          <w:sz w:val="24"/>
          <w:szCs w:val="24"/>
        </w:rPr>
        <w:t xml:space="preserve">, 2014; </w:t>
      </w:r>
      <w:r w:rsidRPr="00A525C6">
        <w:rPr>
          <w:rFonts w:ascii="Times New Roman" w:hAnsi="Times New Roman"/>
          <w:b/>
          <w:color w:val="000000" w:themeColor="text1"/>
          <w:sz w:val="24"/>
          <w:szCs w:val="24"/>
        </w:rPr>
        <w:t>2</w:t>
      </w:r>
      <w:r w:rsidRPr="00A525C6">
        <w:rPr>
          <w:rFonts w:ascii="Times New Roman" w:hAnsi="Times New Roman"/>
          <w:color w:val="000000" w:themeColor="text1"/>
          <w:sz w:val="24"/>
          <w:szCs w:val="24"/>
        </w:rPr>
        <w:t>: 139.</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Tanimu</w:t>
      </w:r>
      <w:proofErr w:type="spellEnd"/>
      <w:r w:rsidRPr="00A525C6">
        <w:rPr>
          <w:rFonts w:ascii="Times New Roman" w:hAnsi="Times New Roman"/>
          <w:color w:val="000000" w:themeColor="text1"/>
          <w:sz w:val="24"/>
          <w:szCs w:val="24"/>
        </w:rPr>
        <w:t xml:space="preserve"> Y, </w:t>
      </w:r>
      <w:proofErr w:type="spellStart"/>
      <w:r w:rsidRPr="00A525C6">
        <w:rPr>
          <w:rFonts w:ascii="Times New Roman" w:hAnsi="Times New Roman"/>
          <w:color w:val="000000" w:themeColor="text1"/>
          <w:sz w:val="24"/>
          <w:szCs w:val="24"/>
        </w:rPr>
        <w:t>Tiseer</w:t>
      </w:r>
      <w:proofErr w:type="spellEnd"/>
      <w:r w:rsidRPr="00A525C6">
        <w:rPr>
          <w:rFonts w:ascii="Times New Roman" w:hAnsi="Times New Roman"/>
          <w:color w:val="000000" w:themeColor="text1"/>
          <w:sz w:val="24"/>
          <w:szCs w:val="24"/>
        </w:rPr>
        <w:t xml:space="preserve"> FA, Ali OF, </w:t>
      </w:r>
      <w:proofErr w:type="spellStart"/>
      <w:r w:rsidRPr="00A525C6">
        <w:rPr>
          <w:rFonts w:ascii="Times New Roman" w:hAnsi="Times New Roman"/>
          <w:color w:val="000000" w:themeColor="text1"/>
          <w:sz w:val="24"/>
          <w:szCs w:val="24"/>
        </w:rPr>
        <w:t>Ezealor</w:t>
      </w:r>
      <w:proofErr w:type="spellEnd"/>
      <w:r w:rsidRPr="00A525C6">
        <w:rPr>
          <w:rFonts w:ascii="Times New Roman" w:hAnsi="Times New Roman"/>
          <w:color w:val="000000" w:themeColor="text1"/>
          <w:sz w:val="24"/>
          <w:szCs w:val="24"/>
        </w:rPr>
        <w:t xml:space="preserve"> AU. (2012). </w:t>
      </w:r>
      <w:proofErr w:type="spellStart"/>
      <w:r w:rsidRPr="00A525C6">
        <w:rPr>
          <w:rFonts w:ascii="Times New Roman" w:hAnsi="Times New Roman"/>
          <w:i/>
          <w:color w:val="000000" w:themeColor="text1"/>
          <w:sz w:val="24"/>
          <w:szCs w:val="24"/>
        </w:rPr>
        <w:t>Ecologia</w:t>
      </w:r>
      <w:proofErr w:type="spellEnd"/>
      <w:r w:rsidRPr="00A525C6">
        <w:rPr>
          <w:rFonts w:ascii="Times New Roman" w:hAnsi="Times New Roman"/>
          <w:color w:val="000000" w:themeColor="text1"/>
          <w:sz w:val="24"/>
          <w:szCs w:val="24"/>
        </w:rPr>
        <w:t xml:space="preserve">, </w:t>
      </w:r>
      <w:r w:rsidRPr="00A525C6">
        <w:rPr>
          <w:rFonts w:ascii="Times New Roman" w:hAnsi="Times New Roman"/>
          <w:b/>
          <w:color w:val="000000" w:themeColor="text1"/>
          <w:sz w:val="24"/>
          <w:szCs w:val="24"/>
        </w:rPr>
        <w:t>2</w:t>
      </w:r>
      <w:r w:rsidRPr="00A525C6">
        <w:rPr>
          <w:rFonts w:ascii="Times New Roman" w:hAnsi="Times New Roman"/>
          <w:color w:val="000000" w:themeColor="text1"/>
          <w:sz w:val="24"/>
          <w:szCs w:val="24"/>
        </w:rPr>
        <w:t>(4) 114-122.</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Iyaji</w:t>
      </w:r>
      <w:proofErr w:type="spellEnd"/>
      <w:r w:rsidRPr="00A525C6">
        <w:rPr>
          <w:rFonts w:ascii="Times New Roman" w:hAnsi="Times New Roman"/>
          <w:color w:val="000000" w:themeColor="text1"/>
          <w:sz w:val="24"/>
          <w:szCs w:val="24"/>
        </w:rPr>
        <w:t xml:space="preserve"> FO, </w:t>
      </w:r>
      <w:proofErr w:type="spellStart"/>
      <w:r w:rsidRPr="00A525C6">
        <w:rPr>
          <w:rFonts w:ascii="Times New Roman" w:hAnsi="Times New Roman"/>
          <w:color w:val="000000" w:themeColor="text1"/>
          <w:sz w:val="24"/>
          <w:szCs w:val="24"/>
        </w:rPr>
        <w:t>Medayedupin</w:t>
      </w:r>
      <w:proofErr w:type="spellEnd"/>
      <w:r w:rsidRPr="00A525C6">
        <w:rPr>
          <w:rFonts w:ascii="Times New Roman" w:hAnsi="Times New Roman"/>
          <w:color w:val="000000" w:themeColor="text1"/>
          <w:sz w:val="24"/>
          <w:szCs w:val="24"/>
        </w:rPr>
        <w:t xml:space="preserve"> IT, </w:t>
      </w:r>
      <w:proofErr w:type="spellStart"/>
      <w:r w:rsidRPr="00A525C6">
        <w:rPr>
          <w:rFonts w:ascii="Times New Roman" w:hAnsi="Times New Roman"/>
          <w:color w:val="000000" w:themeColor="text1"/>
          <w:sz w:val="24"/>
          <w:szCs w:val="24"/>
        </w:rPr>
        <w:t>Echi</w:t>
      </w:r>
      <w:proofErr w:type="spellEnd"/>
      <w:r w:rsidRPr="00A525C6">
        <w:rPr>
          <w:rFonts w:ascii="Times New Roman" w:hAnsi="Times New Roman"/>
          <w:color w:val="000000" w:themeColor="text1"/>
          <w:sz w:val="24"/>
          <w:szCs w:val="24"/>
        </w:rPr>
        <w:t xml:space="preserve"> PC, </w:t>
      </w:r>
      <w:proofErr w:type="spellStart"/>
      <w:r w:rsidRPr="00A525C6">
        <w:rPr>
          <w:rFonts w:ascii="Times New Roman" w:hAnsi="Times New Roman"/>
          <w:color w:val="000000" w:themeColor="text1"/>
          <w:sz w:val="24"/>
          <w:szCs w:val="24"/>
        </w:rPr>
        <w:t>Falola</w:t>
      </w:r>
      <w:proofErr w:type="spellEnd"/>
      <w:r w:rsidRPr="00A525C6">
        <w:rPr>
          <w:rFonts w:ascii="Times New Roman" w:hAnsi="Times New Roman"/>
          <w:color w:val="000000" w:themeColor="text1"/>
          <w:sz w:val="24"/>
          <w:szCs w:val="24"/>
        </w:rPr>
        <w:t xml:space="preserve"> OO, </w:t>
      </w:r>
      <w:proofErr w:type="spellStart"/>
      <w:r w:rsidRPr="00A525C6">
        <w:rPr>
          <w:rFonts w:ascii="Times New Roman" w:hAnsi="Times New Roman"/>
          <w:color w:val="000000" w:themeColor="text1"/>
          <w:sz w:val="24"/>
          <w:szCs w:val="24"/>
        </w:rPr>
        <w:t>Omowaye</w:t>
      </w:r>
      <w:proofErr w:type="spellEnd"/>
      <w:r w:rsidRPr="00A525C6">
        <w:rPr>
          <w:rFonts w:ascii="Times New Roman" w:hAnsi="Times New Roman"/>
          <w:color w:val="000000" w:themeColor="text1"/>
          <w:sz w:val="24"/>
          <w:szCs w:val="24"/>
        </w:rPr>
        <w:t xml:space="preserve"> OS. </w:t>
      </w:r>
      <w:proofErr w:type="spellStart"/>
      <w:proofErr w:type="gramStart"/>
      <w:r w:rsidRPr="00A525C6">
        <w:rPr>
          <w:rFonts w:ascii="Times New Roman" w:hAnsi="Times New Roman"/>
          <w:color w:val="000000" w:themeColor="text1"/>
          <w:sz w:val="24"/>
          <w:szCs w:val="24"/>
        </w:rPr>
        <w:t>Helminths</w:t>
      </w:r>
      <w:proofErr w:type="spellEnd"/>
      <w:r w:rsidRPr="00A525C6">
        <w:rPr>
          <w:rFonts w:ascii="Times New Roman" w:hAnsi="Times New Roman"/>
          <w:color w:val="000000" w:themeColor="text1"/>
          <w:sz w:val="24"/>
          <w:szCs w:val="24"/>
        </w:rPr>
        <w:t xml:space="preserve"> Parasites of </w:t>
      </w:r>
      <w:proofErr w:type="spellStart"/>
      <w:r w:rsidRPr="00A525C6">
        <w:rPr>
          <w:rFonts w:ascii="Times New Roman" w:hAnsi="Times New Roman"/>
          <w:color w:val="000000" w:themeColor="text1"/>
          <w:sz w:val="24"/>
          <w:szCs w:val="24"/>
        </w:rPr>
        <w:t>Amietophrymus</w:t>
      </w:r>
      <w:proofErr w:type="spellEnd"/>
      <w:r w:rsidRPr="00A525C6">
        <w:rPr>
          <w:rFonts w:ascii="Times New Roman" w:hAnsi="Times New Roman"/>
          <w:color w:val="000000" w:themeColor="text1"/>
          <w:sz w:val="24"/>
          <w:szCs w:val="24"/>
        </w:rPr>
        <w:t xml:space="preserve"> </w:t>
      </w:r>
      <w:proofErr w:type="spellStart"/>
      <w:r w:rsidRPr="00A525C6">
        <w:rPr>
          <w:rFonts w:ascii="Times New Roman" w:hAnsi="Times New Roman"/>
          <w:color w:val="000000" w:themeColor="text1"/>
          <w:sz w:val="24"/>
          <w:szCs w:val="24"/>
        </w:rPr>
        <w:t>regularis</w:t>
      </w:r>
      <w:proofErr w:type="spellEnd"/>
      <w:r w:rsidRPr="00A525C6">
        <w:rPr>
          <w:rFonts w:ascii="Times New Roman" w:hAnsi="Times New Roman"/>
          <w:color w:val="000000" w:themeColor="text1"/>
          <w:sz w:val="24"/>
          <w:szCs w:val="24"/>
        </w:rPr>
        <w:t xml:space="preserve"> (African Common Toad) in </w:t>
      </w:r>
      <w:proofErr w:type="spellStart"/>
      <w:r w:rsidRPr="00A525C6">
        <w:rPr>
          <w:rFonts w:ascii="Times New Roman" w:hAnsi="Times New Roman"/>
          <w:color w:val="000000" w:themeColor="text1"/>
          <w:sz w:val="24"/>
          <w:szCs w:val="24"/>
        </w:rPr>
        <w:t>Anyigba</w:t>
      </w:r>
      <w:proofErr w:type="spellEnd"/>
      <w:r w:rsidRPr="00A525C6">
        <w:rPr>
          <w:rFonts w:ascii="Times New Roman" w:hAnsi="Times New Roman"/>
          <w:color w:val="000000" w:themeColor="text1"/>
          <w:sz w:val="24"/>
          <w:szCs w:val="24"/>
        </w:rPr>
        <w:t xml:space="preserve"> community, </w:t>
      </w:r>
      <w:proofErr w:type="spellStart"/>
      <w:r w:rsidRPr="00A525C6">
        <w:rPr>
          <w:rFonts w:ascii="Times New Roman" w:hAnsi="Times New Roman"/>
          <w:color w:val="000000" w:themeColor="text1"/>
          <w:sz w:val="24"/>
          <w:szCs w:val="24"/>
        </w:rPr>
        <w:t>Kogi</w:t>
      </w:r>
      <w:proofErr w:type="spellEnd"/>
      <w:r w:rsidRPr="00A525C6">
        <w:rPr>
          <w:rFonts w:ascii="Times New Roman" w:hAnsi="Times New Roman"/>
          <w:color w:val="000000" w:themeColor="text1"/>
          <w:sz w:val="24"/>
          <w:szCs w:val="24"/>
        </w:rPr>
        <w:t xml:space="preserve"> State, Nigeria.</w:t>
      </w:r>
      <w:proofErr w:type="gramEnd"/>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Animal</w:t>
      </w:r>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Research</w:t>
      </w:r>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International</w:t>
      </w:r>
      <w:r w:rsidRPr="00A525C6">
        <w:rPr>
          <w:rFonts w:ascii="Times New Roman" w:hAnsi="Times New Roman"/>
          <w:color w:val="000000" w:themeColor="text1"/>
          <w:sz w:val="24"/>
          <w:szCs w:val="24"/>
        </w:rPr>
        <w:t xml:space="preserve">, 2015; </w:t>
      </w:r>
      <w:r w:rsidRPr="00A525C6">
        <w:rPr>
          <w:rFonts w:ascii="Times New Roman" w:hAnsi="Times New Roman"/>
          <w:b/>
          <w:color w:val="000000" w:themeColor="text1"/>
          <w:sz w:val="24"/>
          <w:szCs w:val="24"/>
        </w:rPr>
        <w:t>12</w:t>
      </w:r>
      <w:r w:rsidRPr="00A525C6">
        <w:rPr>
          <w:rFonts w:ascii="Times New Roman" w:hAnsi="Times New Roman"/>
          <w:color w:val="000000" w:themeColor="text1"/>
          <w:sz w:val="24"/>
          <w:szCs w:val="24"/>
        </w:rPr>
        <w:t>(2).</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Harding JH. </w:t>
      </w:r>
      <w:proofErr w:type="gramStart"/>
      <w:r w:rsidRPr="00A525C6">
        <w:rPr>
          <w:rFonts w:ascii="Times New Roman" w:hAnsi="Times New Roman"/>
          <w:color w:val="000000" w:themeColor="text1"/>
          <w:sz w:val="24"/>
          <w:szCs w:val="24"/>
        </w:rPr>
        <w:t>Amphibians and reptiles of the great lakes region.</w:t>
      </w:r>
      <w:proofErr w:type="gramEnd"/>
      <w:r w:rsidRPr="00A525C6">
        <w:rPr>
          <w:rFonts w:ascii="Times New Roman" w:hAnsi="Times New Roman"/>
          <w:color w:val="000000" w:themeColor="text1"/>
          <w:sz w:val="24"/>
          <w:szCs w:val="24"/>
        </w:rPr>
        <w:t xml:space="preserve"> </w:t>
      </w:r>
      <w:proofErr w:type="gramStart"/>
      <w:r w:rsidRPr="00A525C6">
        <w:rPr>
          <w:rFonts w:ascii="Times New Roman" w:hAnsi="Times New Roman"/>
          <w:color w:val="000000" w:themeColor="text1"/>
          <w:sz w:val="24"/>
          <w:szCs w:val="24"/>
        </w:rPr>
        <w:t>The university of Michigan press, USA.</w:t>
      </w:r>
      <w:proofErr w:type="gramEnd"/>
      <w:r w:rsidRPr="00A525C6">
        <w:rPr>
          <w:rFonts w:ascii="Times New Roman" w:hAnsi="Times New Roman"/>
          <w:color w:val="000000" w:themeColor="text1"/>
          <w:sz w:val="24"/>
          <w:szCs w:val="24"/>
        </w:rPr>
        <w:t xml:space="preserve"> 1997; 378P</w:t>
      </w:r>
    </w:p>
    <w:p w:rsid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proofErr w:type="spellStart"/>
      <w:r w:rsidRPr="00A525C6">
        <w:rPr>
          <w:rFonts w:ascii="Times New Roman" w:hAnsi="Times New Roman"/>
          <w:color w:val="000000" w:themeColor="text1"/>
          <w:sz w:val="24"/>
          <w:szCs w:val="24"/>
        </w:rPr>
        <w:t>Akani</w:t>
      </w:r>
      <w:proofErr w:type="spellEnd"/>
      <w:r w:rsidRPr="00A525C6">
        <w:rPr>
          <w:rFonts w:ascii="Times New Roman" w:hAnsi="Times New Roman"/>
          <w:color w:val="000000" w:themeColor="text1"/>
          <w:sz w:val="24"/>
          <w:szCs w:val="24"/>
        </w:rPr>
        <w:t xml:space="preserve"> GC, </w:t>
      </w:r>
      <w:proofErr w:type="spellStart"/>
      <w:r w:rsidRPr="00A525C6">
        <w:rPr>
          <w:rFonts w:ascii="Times New Roman" w:hAnsi="Times New Roman"/>
          <w:color w:val="000000" w:themeColor="text1"/>
          <w:sz w:val="24"/>
          <w:szCs w:val="24"/>
        </w:rPr>
        <w:t>Politano</w:t>
      </w:r>
      <w:proofErr w:type="spellEnd"/>
      <w:r w:rsidRPr="00A525C6">
        <w:rPr>
          <w:rFonts w:ascii="Times New Roman" w:hAnsi="Times New Roman"/>
          <w:color w:val="000000" w:themeColor="text1"/>
          <w:sz w:val="24"/>
          <w:szCs w:val="24"/>
        </w:rPr>
        <w:t xml:space="preserve"> E, </w:t>
      </w:r>
      <w:proofErr w:type="spellStart"/>
      <w:r w:rsidRPr="00A525C6">
        <w:rPr>
          <w:rFonts w:ascii="Times New Roman" w:hAnsi="Times New Roman"/>
          <w:color w:val="000000" w:themeColor="text1"/>
          <w:sz w:val="24"/>
          <w:szCs w:val="24"/>
        </w:rPr>
        <w:t>Luiselli</w:t>
      </w:r>
      <w:proofErr w:type="spellEnd"/>
      <w:r w:rsidRPr="00A525C6">
        <w:rPr>
          <w:rFonts w:ascii="Times New Roman" w:hAnsi="Times New Roman"/>
          <w:color w:val="000000" w:themeColor="text1"/>
          <w:sz w:val="24"/>
          <w:szCs w:val="24"/>
        </w:rPr>
        <w:t xml:space="preserve"> L. Amphibians recorded in forest swamp areas of the River Niger Delta (Southeastern Nigeria). 2003; </w:t>
      </w:r>
      <w:r w:rsidRPr="00A525C6">
        <w:rPr>
          <w:rFonts w:ascii="Times New Roman" w:hAnsi="Times New Roman"/>
          <w:i/>
          <w:color w:val="000000" w:themeColor="text1"/>
          <w:sz w:val="24"/>
          <w:szCs w:val="24"/>
        </w:rPr>
        <w:t>Applied</w:t>
      </w:r>
      <w:r w:rsidRPr="00A525C6">
        <w:rPr>
          <w:rFonts w:ascii="Times New Roman" w:hAnsi="Times New Roman"/>
          <w:color w:val="000000" w:themeColor="text1"/>
          <w:sz w:val="24"/>
          <w:szCs w:val="24"/>
        </w:rPr>
        <w:t xml:space="preserve"> </w:t>
      </w:r>
      <w:r w:rsidRPr="00A525C6">
        <w:rPr>
          <w:rFonts w:ascii="Times New Roman" w:hAnsi="Times New Roman"/>
          <w:i/>
          <w:color w:val="000000" w:themeColor="text1"/>
          <w:sz w:val="24"/>
          <w:szCs w:val="24"/>
        </w:rPr>
        <w:t>Herpetology</w:t>
      </w:r>
      <w:r w:rsidRPr="00A525C6">
        <w:rPr>
          <w:rFonts w:ascii="Times New Roman" w:hAnsi="Times New Roman"/>
          <w:color w:val="000000" w:themeColor="text1"/>
          <w:sz w:val="24"/>
          <w:szCs w:val="24"/>
        </w:rPr>
        <w:t xml:space="preserve">, </w:t>
      </w:r>
      <w:r w:rsidRPr="00A525C6">
        <w:rPr>
          <w:rFonts w:ascii="Times New Roman" w:hAnsi="Times New Roman"/>
          <w:b/>
          <w:color w:val="000000" w:themeColor="text1"/>
          <w:sz w:val="24"/>
          <w:szCs w:val="24"/>
        </w:rPr>
        <w:t>2</w:t>
      </w:r>
      <w:r w:rsidRPr="00A525C6">
        <w:rPr>
          <w:rFonts w:ascii="Times New Roman" w:hAnsi="Times New Roman"/>
          <w:color w:val="000000" w:themeColor="text1"/>
          <w:sz w:val="24"/>
          <w:szCs w:val="24"/>
        </w:rPr>
        <w:t>: 1 - 22.</w:t>
      </w:r>
    </w:p>
    <w:p w:rsidR="00A525C6" w:rsidRPr="00A525C6" w:rsidRDefault="00A525C6" w:rsidP="00A525C6">
      <w:pPr>
        <w:pStyle w:val="ListParagraph"/>
        <w:numPr>
          <w:ilvl w:val="0"/>
          <w:numId w:val="2"/>
        </w:numPr>
        <w:spacing w:before="100" w:beforeAutospacing="1" w:after="100" w:afterAutospacing="1" w:line="360" w:lineRule="auto"/>
        <w:ind w:left="567" w:hanging="567"/>
        <w:jc w:val="both"/>
        <w:rPr>
          <w:rFonts w:ascii="Times New Roman" w:hAnsi="Times New Roman"/>
          <w:color w:val="000000" w:themeColor="text1"/>
          <w:sz w:val="24"/>
          <w:szCs w:val="24"/>
        </w:rPr>
      </w:pPr>
      <w:r w:rsidRPr="00A525C6">
        <w:rPr>
          <w:rFonts w:ascii="Times New Roman" w:hAnsi="Times New Roman"/>
          <w:color w:val="000000" w:themeColor="text1"/>
          <w:sz w:val="24"/>
          <w:szCs w:val="24"/>
        </w:rPr>
        <w:t xml:space="preserve">Onyema IC. </w:t>
      </w:r>
      <w:proofErr w:type="gramStart"/>
      <w:r w:rsidRPr="00A525C6">
        <w:rPr>
          <w:rFonts w:ascii="Times New Roman" w:hAnsi="Times New Roman"/>
          <w:color w:val="000000" w:themeColor="text1"/>
          <w:sz w:val="24"/>
          <w:szCs w:val="24"/>
        </w:rPr>
        <w:t>Mudflat microalgae of tropical bay in Lagos, Nigeria.</w:t>
      </w:r>
      <w:proofErr w:type="gramEnd"/>
      <w:r w:rsidRPr="00A525C6">
        <w:rPr>
          <w:rFonts w:ascii="Times New Roman" w:hAnsi="Times New Roman"/>
          <w:i/>
          <w:color w:val="000000" w:themeColor="text1"/>
          <w:sz w:val="24"/>
          <w:szCs w:val="24"/>
        </w:rPr>
        <w:t xml:space="preserve"> Asian Journal of Microbiology, Biotechnology and Environmental Sciences</w:t>
      </w:r>
      <w:r w:rsidRPr="00A525C6">
        <w:rPr>
          <w:rFonts w:ascii="Times New Roman" w:hAnsi="Times New Roman"/>
          <w:color w:val="000000" w:themeColor="text1"/>
          <w:sz w:val="24"/>
          <w:szCs w:val="24"/>
        </w:rPr>
        <w:t>, 2007</w:t>
      </w:r>
      <w:proofErr w:type="gramStart"/>
      <w:r w:rsidRPr="00A525C6">
        <w:rPr>
          <w:rFonts w:ascii="Times New Roman" w:hAnsi="Times New Roman"/>
          <w:color w:val="000000" w:themeColor="text1"/>
          <w:sz w:val="24"/>
          <w:szCs w:val="24"/>
        </w:rPr>
        <w:t xml:space="preserve">;  </w:t>
      </w:r>
      <w:r w:rsidRPr="00A525C6">
        <w:rPr>
          <w:rFonts w:ascii="Times New Roman" w:hAnsi="Times New Roman"/>
          <w:b/>
          <w:color w:val="000000" w:themeColor="text1"/>
          <w:sz w:val="24"/>
          <w:szCs w:val="24"/>
        </w:rPr>
        <w:t>9</w:t>
      </w:r>
      <w:proofErr w:type="gramEnd"/>
      <w:r w:rsidRPr="00A525C6">
        <w:rPr>
          <w:rFonts w:ascii="Times New Roman" w:hAnsi="Times New Roman"/>
          <w:color w:val="000000" w:themeColor="text1"/>
          <w:sz w:val="24"/>
          <w:szCs w:val="24"/>
        </w:rPr>
        <w:t>(4): 877 - 883.</w:t>
      </w:r>
    </w:p>
    <w:p w:rsidR="00A525C6" w:rsidRPr="00964B14" w:rsidRDefault="00A525C6" w:rsidP="00DE1EF7">
      <w:pPr>
        <w:spacing w:after="0" w:line="240" w:lineRule="auto"/>
        <w:jc w:val="both"/>
        <w:rPr>
          <w:rFonts w:ascii="Times New Roman" w:hAnsi="Times New Roman"/>
          <w:color w:val="000000" w:themeColor="text1"/>
          <w:sz w:val="24"/>
          <w:szCs w:val="24"/>
        </w:rPr>
      </w:pPr>
    </w:p>
    <w:sectPr w:rsidR="00A525C6" w:rsidRPr="00964B14" w:rsidSect="009D2A1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89603E"/>
    <w:multiLevelType w:val="multilevel"/>
    <w:tmpl w:val="E5AA2FD6"/>
    <w:lvl w:ilvl="0">
      <w:start w:val="1"/>
      <w:numFmt w:val="upperRoman"/>
      <w:pStyle w:val="Heading1"/>
      <w:lvlText w:val="%1."/>
      <w:lvlJc w:val="center"/>
      <w:pPr>
        <w:tabs>
          <w:tab w:val="num" w:pos="378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pStyle w:val="Heading2"/>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B7346EF"/>
    <w:multiLevelType w:val="hybridMultilevel"/>
    <w:tmpl w:val="978E8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compat/>
  <w:rsids>
    <w:rsidRoot w:val="003601FD"/>
    <w:rsid w:val="00044F3E"/>
    <w:rsid w:val="001C2F65"/>
    <w:rsid w:val="003601FD"/>
    <w:rsid w:val="003A3DA8"/>
    <w:rsid w:val="00704C95"/>
    <w:rsid w:val="009420A3"/>
    <w:rsid w:val="00964B14"/>
    <w:rsid w:val="009D2A14"/>
    <w:rsid w:val="00A525C6"/>
    <w:rsid w:val="00BD240D"/>
    <w:rsid w:val="00DE1EF7"/>
    <w:rsid w:val="00F25C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1FD"/>
    <w:rPr>
      <w:rFonts w:ascii="Calibri" w:eastAsia="Calibri" w:hAnsi="Calibri" w:cs="Times New Roman"/>
      <w:lang w:val="en-US"/>
    </w:rPr>
  </w:style>
  <w:style w:type="paragraph" w:styleId="Heading1">
    <w:name w:val="heading 1"/>
    <w:basedOn w:val="Normal"/>
    <w:next w:val="Normal"/>
    <w:link w:val="Heading1Char"/>
    <w:uiPriority w:val="9"/>
    <w:qFormat/>
    <w:rsid w:val="00964B14"/>
    <w:pPr>
      <w:keepNext/>
      <w:keepLines/>
      <w:numPr>
        <w:numId w:val="1"/>
      </w:numPr>
      <w:tabs>
        <w:tab w:val="left" w:pos="216"/>
      </w:tabs>
      <w:spacing w:before="160" w:after="80" w:line="240" w:lineRule="auto"/>
      <w:jc w:val="center"/>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9"/>
    <w:qFormat/>
    <w:rsid w:val="00964B14"/>
    <w:pPr>
      <w:keepNext/>
      <w:keepLines/>
      <w:numPr>
        <w:ilvl w:val="1"/>
        <w:numId w:val="1"/>
      </w:numPr>
      <w:spacing w:before="120" w:after="60" w:line="240" w:lineRule="auto"/>
      <w:outlineLvl w:val="1"/>
    </w:pPr>
    <w:rPr>
      <w:rFonts w:ascii="Times New Roman" w:eastAsia="MS Mincho" w:hAnsi="Times New Roman"/>
      <w:i/>
      <w:iCs/>
      <w:noProof/>
      <w:sz w:val="20"/>
      <w:szCs w:val="20"/>
    </w:rPr>
  </w:style>
  <w:style w:type="paragraph" w:styleId="Heading3">
    <w:name w:val="heading 3"/>
    <w:basedOn w:val="Normal"/>
    <w:next w:val="Normal"/>
    <w:link w:val="Heading3Char"/>
    <w:uiPriority w:val="99"/>
    <w:qFormat/>
    <w:rsid w:val="00964B14"/>
    <w:pPr>
      <w:numPr>
        <w:ilvl w:val="2"/>
        <w:numId w:val="1"/>
      </w:numPr>
      <w:spacing w:after="0" w:line="240" w:lineRule="exact"/>
      <w:jc w:val="both"/>
      <w:outlineLvl w:val="2"/>
    </w:pPr>
    <w:rPr>
      <w:rFonts w:ascii="Times New Roman" w:eastAsia="MS Mincho" w:hAnsi="Times New Roman"/>
      <w:i/>
      <w:iCs/>
      <w:noProof/>
      <w:sz w:val="20"/>
      <w:szCs w:val="20"/>
    </w:rPr>
  </w:style>
  <w:style w:type="paragraph" w:styleId="Heading4">
    <w:name w:val="heading 4"/>
    <w:basedOn w:val="Normal"/>
    <w:next w:val="Normal"/>
    <w:link w:val="Heading4Char"/>
    <w:uiPriority w:val="99"/>
    <w:qFormat/>
    <w:rsid w:val="00964B14"/>
    <w:pPr>
      <w:numPr>
        <w:ilvl w:val="3"/>
        <w:numId w:val="1"/>
      </w:numPr>
      <w:tabs>
        <w:tab w:val="left" w:pos="821"/>
      </w:tabs>
      <w:spacing w:before="40" w:after="40" w:line="240" w:lineRule="auto"/>
      <w:jc w:val="both"/>
      <w:outlineLvl w:val="3"/>
    </w:pPr>
    <w:rPr>
      <w:rFonts w:ascii="Times New Roman" w:eastAsia="MS Mincho" w:hAnsi="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64B14"/>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964B14"/>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964B14"/>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964B14"/>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964B14"/>
    <w:rPr>
      <w:rFonts w:ascii="Times New Roman" w:eastAsia="MS Mincho" w:hAnsi="Times New Roman" w:cs="Times New Roman"/>
      <w:i/>
      <w:iCs/>
      <w:noProof/>
      <w:sz w:val="20"/>
      <w:szCs w:val="20"/>
      <w:lang w:val="en-US"/>
    </w:rPr>
  </w:style>
  <w:style w:type="paragraph" w:customStyle="1" w:styleId="Default">
    <w:name w:val="Default"/>
    <w:rsid w:val="00964B14"/>
    <w:pPr>
      <w:autoSpaceDE w:val="0"/>
      <w:autoSpaceDN w:val="0"/>
      <w:adjustRightInd w:val="0"/>
      <w:spacing w:after="0" w:line="240" w:lineRule="auto"/>
    </w:pPr>
    <w:rPr>
      <w:rFonts w:ascii="Arial" w:eastAsia="Calibri" w:hAnsi="Arial" w:cs="Arial"/>
      <w:color w:val="000000"/>
      <w:sz w:val="24"/>
      <w:szCs w:val="24"/>
      <w:lang w:val="en-US"/>
    </w:rPr>
  </w:style>
  <w:style w:type="paragraph" w:styleId="BalloonText">
    <w:name w:val="Balloon Text"/>
    <w:basedOn w:val="Normal"/>
    <w:link w:val="BalloonTextChar"/>
    <w:uiPriority w:val="99"/>
    <w:semiHidden/>
    <w:unhideWhenUsed/>
    <w:rsid w:val="00964B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B14"/>
    <w:rPr>
      <w:rFonts w:ascii="Tahoma" w:eastAsia="Calibri" w:hAnsi="Tahoma" w:cs="Tahoma"/>
      <w:sz w:val="16"/>
      <w:szCs w:val="16"/>
      <w:lang w:val="en-US"/>
    </w:rPr>
  </w:style>
  <w:style w:type="paragraph" w:styleId="ListParagraph">
    <w:name w:val="List Paragraph"/>
    <w:basedOn w:val="Normal"/>
    <w:uiPriority w:val="34"/>
    <w:qFormat/>
    <w:rsid w:val="00A525C6"/>
    <w:pPr>
      <w:ind w:left="720"/>
      <w:contextualSpacing/>
    </w:pPr>
  </w:style>
</w:styles>
</file>

<file path=word/webSettings.xml><?xml version="1.0" encoding="utf-8"?>
<w:webSettings xmlns:r="http://schemas.openxmlformats.org/officeDocument/2006/relationships" xmlns:w="http://schemas.openxmlformats.org/wordprocessingml/2006/main">
  <w:divs>
    <w:div w:id="623728752">
      <w:bodyDiv w:val="1"/>
      <w:marLeft w:val="0"/>
      <w:marRight w:val="0"/>
      <w:marTop w:val="0"/>
      <w:marBottom w:val="0"/>
      <w:divBdr>
        <w:top w:val="none" w:sz="0" w:space="0" w:color="auto"/>
        <w:left w:val="none" w:sz="0" w:space="0" w:color="auto"/>
        <w:bottom w:val="none" w:sz="0" w:space="0" w:color="auto"/>
        <w:right w:val="none" w:sz="0" w:space="0" w:color="auto"/>
      </w:divBdr>
    </w:div>
    <w:div w:id="910697946">
      <w:bodyDiv w:val="1"/>
      <w:marLeft w:val="0"/>
      <w:marRight w:val="0"/>
      <w:marTop w:val="0"/>
      <w:marBottom w:val="0"/>
      <w:divBdr>
        <w:top w:val="none" w:sz="0" w:space="0" w:color="auto"/>
        <w:left w:val="none" w:sz="0" w:space="0" w:color="auto"/>
        <w:bottom w:val="none" w:sz="0" w:space="0" w:color="auto"/>
        <w:right w:val="none" w:sz="0" w:space="0" w:color="auto"/>
      </w:divBdr>
    </w:div>
    <w:div w:id="1173912549">
      <w:bodyDiv w:val="1"/>
      <w:marLeft w:val="0"/>
      <w:marRight w:val="0"/>
      <w:marTop w:val="0"/>
      <w:marBottom w:val="0"/>
      <w:divBdr>
        <w:top w:val="none" w:sz="0" w:space="0" w:color="auto"/>
        <w:left w:val="none" w:sz="0" w:space="0" w:color="auto"/>
        <w:bottom w:val="none" w:sz="0" w:space="0" w:color="auto"/>
        <w:right w:val="none" w:sz="0" w:space="0" w:color="auto"/>
      </w:divBdr>
    </w:div>
    <w:div w:id="153218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Media\Desktop\Pg%20Analys\Mr%20Amana%20Gabriel\Mr%20Amana%20Gabriel\Abundan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Chapters%20for%20Book\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Chapters%20for%20Book\New%20Microsoft%20Office%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Chapters%20for%20Book\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Chapters%20for%20Book\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edia\Desktop\Pg%20Analys\Mr%20Amana%20Gabriel\Mr%20Amana%20Gabriel\Abundance.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edia\Desktop\Pg%20Analys\Mr%20Amana%20Gabriel\Mr%20Amana%20Gabriel\Abundan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barChart>
        <c:barDir val="col"/>
        <c:grouping val="clustered"/>
        <c:varyColors val="1"/>
        <c:ser>
          <c:idx val="0"/>
          <c:order val="0"/>
          <c:tx>
            <c:strRef>
              <c:f>Abuja!$AA$33</c:f>
              <c:strCache>
                <c:ptCount val="1"/>
                <c:pt idx="0">
                  <c:v>Phytoplankton</c:v>
                </c:pt>
              </c:strCache>
            </c:strRef>
          </c:tx>
          <c:spPr>
            <a:noFill/>
            <a:ln>
              <a:solidFill>
                <a:schemeClr val="tx1"/>
              </a:solidFill>
            </a:ln>
            <a:effectLst/>
          </c:spPr>
          <c:invertIfNegative val="1"/>
          <c:cat>
            <c:strRef>
              <c:f>Abuja!$AB$32:$AC$32</c:f>
              <c:strCache>
                <c:ptCount val="2"/>
                <c:pt idx="0">
                  <c:v>Abuja</c:v>
                </c:pt>
                <c:pt idx="1">
                  <c:v>Egwubi</c:v>
                </c:pt>
              </c:strCache>
            </c:strRef>
          </c:cat>
          <c:val>
            <c:numRef>
              <c:f>Abuja!$AB$33:$AC$33</c:f>
              <c:numCache>
                <c:formatCode>General</c:formatCode>
                <c:ptCount val="2"/>
                <c:pt idx="0">
                  <c:v>17.566016073478711</c:v>
                </c:pt>
                <c:pt idx="1">
                  <c:v>15.508021390374306</c:v>
                </c:pt>
              </c:numCache>
            </c:numRef>
          </c:val>
        </c:ser>
        <c:ser>
          <c:idx val="1"/>
          <c:order val="1"/>
          <c:tx>
            <c:strRef>
              <c:f>Abuja!$AA$34</c:f>
              <c:strCache>
                <c:ptCount val="1"/>
                <c:pt idx="0">
                  <c:v>Zooplankon </c:v>
                </c:pt>
              </c:strCache>
            </c:strRef>
          </c:tx>
          <c:spPr>
            <a:solidFill>
              <a:srgbClr val="BFBFBF"/>
            </a:solidFill>
            <a:ln>
              <a:solidFill>
                <a:schemeClr val="tx1"/>
              </a:solidFill>
            </a:ln>
            <a:effectLst/>
          </c:spPr>
          <c:invertIfNegative val="1"/>
          <c:cat>
            <c:strRef>
              <c:f>Abuja!$AB$32:$AC$32</c:f>
              <c:strCache>
                <c:ptCount val="2"/>
                <c:pt idx="0">
                  <c:v>Abuja</c:v>
                </c:pt>
                <c:pt idx="1">
                  <c:v>Egwubi</c:v>
                </c:pt>
              </c:strCache>
            </c:strRef>
          </c:cat>
          <c:val>
            <c:numRef>
              <c:f>Abuja!$AB$34:$AC$34</c:f>
              <c:numCache>
                <c:formatCode>General</c:formatCode>
                <c:ptCount val="2"/>
                <c:pt idx="0">
                  <c:v>16.07347876004593</c:v>
                </c:pt>
                <c:pt idx="1">
                  <c:v>13.368983957219275</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a:effectLst/>
                </c14:spPr>
              </c14:invertSolidFillFmt>
            </c:ext>
          </c:extLst>
        </c:ser>
        <c:ser>
          <c:idx val="2"/>
          <c:order val="2"/>
          <c:tx>
            <c:strRef>
              <c:f>Abuja!$AA$35</c:f>
              <c:strCache>
                <c:ptCount val="1"/>
                <c:pt idx="0">
                  <c:v>Anuran Species </c:v>
                </c:pt>
              </c:strCache>
            </c:strRef>
          </c:tx>
          <c:spPr>
            <a:solidFill>
              <a:srgbClr val="000000"/>
            </a:solidFill>
            <a:ln>
              <a:solidFill>
                <a:schemeClr val="tx1"/>
              </a:solidFill>
            </a:ln>
            <a:effectLst/>
          </c:spPr>
          <c:invertIfNegative val="1"/>
          <c:cat>
            <c:strRef>
              <c:f>Abuja!$AB$32:$AC$32</c:f>
              <c:strCache>
                <c:ptCount val="2"/>
                <c:pt idx="0">
                  <c:v>Abuja</c:v>
                </c:pt>
                <c:pt idx="1">
                  <c:v>Egwubi</c:v>
                </c:pt>
              </c:strCache>
            </c:strRef>
          </c:cat>
          <c:val>
            <c:numRef>
              <c:f>Abuja!$AB$35:$AC$35</c:f>
              <c:numCache>
                <c:formatCode>General</c:formatCode>
                <c:ptCount val="2"/>
                <c:pt idx="0">
                  <c:v>66.360505166475278</c:v>
                </c:pt>
                <c:pt idx="1">
                  <c:v>71.122994652406106</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a:effectLst/>
                </c14:spPr>
              </c14:invertSolidFillFmt>
            </c:ext>
          </c:extLst>
        </c:ser>
        <c:gapWidth val="219"/>
        <c:overlap val="-27"/>
        <c:axId val="83543168"/>
        <c:axId val="83544704"/>
      </c:barChart>
      <c:catAx>
        <c:axId val="83543168"/>
        <c:scaling>
          <c:orientation val="minMax"/>
        </c:scaling>
        <c:delete val="1"/>
        <c:axPos val="b"/>
        <c:numFmt formatCode="General" sourceLinked="1"/>
        <c:majorTickMark val="none"/>
        <c:minorTickMark val="cross"/>
        <c:tickLblPos val="none"/>
        <c:crossAx val="83544704"/>
        <c:crosses val="autoZero"/>
        <c:auto val="1"/>
        <c:lblAlgn val="ctr"/>
        <c:lblOffset val="100"/>
        <c:noMultiLvlLbl val="1"/>
      </c:catAx>
      <c:valAx>
        <c:axId val="83544704"/>
        <c:scaling>
          <c:orientation val="minMax"/>
        </c:scaling>
        <c:delete val="1"/>
        <c:axPos val="l"/>
        <c:title>
          <c:tx>
            <c:rich>
              <a:bodyPr rot="-540000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r>
                  <a:rPr lang="en-US" sz="1200">
                    <a:solidFill>
                      <a:sysClr val="windowText" lastClr="000000"/>
                    </a:solidFill>
                  </a:rPr>
                  <a:t>Relative Abundance (%)</a:t>
                </a:r>
              </a:p>
            </c:rich>
          </c:tx>
          <c:overlay val="1"/>
          <c:spPr>
            <a:noFill/>
            <a:ln>
              <a:noFill/>
            </a:ln>
            <a:effectLst/>
          </c:spPr>
        </c:title>
        <c:numFmt formatCode="General" sourceLinked="1"/>
        <c:majorTickMark val="cross"/>
        <c:minorTickMark val="out"/>
        <c:tickLblPos val="none"/>
        <c:crossAx val="83543168"/>
        <c:crosses val="autoZero"/>
        <c:crossBetween val="between"/>
      </c:valAx>
      <c:spPr>
        <a:noFill/>
        <a:ln>
          <a:noFill/>
        </a:ln>
        <a:effectLst/>
      </c:spPr>
    </c:plotArea>
    <c:legend>
      <c:legendPos val="r"/>
      <c:layout>
        <c:manualLayout>
          <c:xMode val="edge"/>
          <c:yMode val="edge"/>
          <c:x val="0.47805668632769616"/>
          <c:y val="0.2294199345953159"/>
          <c:w val="0.25273264979357979"/>
          <c:h val="0.28817348288245465"/>
        </c:manualLayout>
      </c:layout>
      <c:overlay val="1"/>
      <c:spPr>
        <a:noFill/>
        <a:ln>
          <a:noFill/>
        </a:ln>
        <a:effectLst/>
      </c:spPr>
      <c:txPr>
        <a:bodyPr rot="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endParaRPr lang="en-US"/>
        </a:p>
      </c:txPr>
    </c:legend>
    <c:plotVisOnly val="1"/>
    <c:dispBlanksAs val="gap"/>
    <c:showDLblsOverMax val="1"/>
  </c:chart>
  <c:spPr>
    <a:solidFill>
      <a:schemeClr val="bg1"/>
    </a:solidFill>
    <a:ln w="9525" cap="flat" cmpd="sng" algn="ctr">
      <a:no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latin typeface="Times New Roman" pitchFamily="18" charset="0"/>
                <a:cs typeface="Times New Roman" pitchFamily="18" charset="0"/>
              </a:defRPr>
            </a:pPr>
            <a:r>
              <a:rPr lang="en-US" sz="1600" b="1" i="0" u="none" strike="noStrike" baseline="0">
                <a:latin typeface="Times New Roman" pitchFamily="18" charset="0"/>
                <a:cs typeface="Times New Roman" pitchFamily="18" charset="0"/>
              </a:rPr>
              <a:t>Phytoplankton at 1 andf 2 Location</a:t>
            </a:r>
            <a:endParaRPr lang="en-US" sz="1600">
              <a:latin typeface="Times New Roman" pitchFamily="18" charset="0"/>
              <a:cs typeface="Times New Roman" pitchFamily="18" charset="0"/>
            </a:endParaRPr>
          </a:p>
        </c:rich>
      </c:tx>
      <c:layout>
        <c:manualLayout>
          <c:xMode val="edge"/>
          <c:yMode val="edge"/>
          <c:x val="0.17019444444444473"/>
          <c:y val="1.3888888888888919E-2"/>
        </c:manualLayout>
      </c:layout>
    </c:title>
    <c:plotArea>
      <c:layout>
        <c:manualLayout>
          <c:layoutTarget val="inner"/>
          <c:xMode val="edge"/>
          <c:yMode val="edge"/>
          <c:x val="7.3629921259842523E-2"/>
          <c:y val="0.12037037037037036"/>
          <c:w val="0.51638035870516086"/>
          <c:h val="0.86063393117526976"/>
        </c:manualLayout>
      </c:layout>
      <c:pieChart>
        <c:varyColors val="1"/>
        <c:ser>
          <c:idx val="0"/>
          <c:order val="0"/>
          <c:dLbls>
            <c:showPercent val="1"/>
            <c:showLeaderLines val="1"/>
          </c:dLbls>
          <c:cat>
            <c:strRef>
              <c:f>Sheet1!$B$22:$H$22</c:f>
              <c:strCache>
                <c:ptCount val="7"/>
                <c:pt idx="0">
                  <c:v>Oscillatoria spp.</c:v>
                </c:pt>
                <c:pt idx="1">
                  <c:v>Anabaenia spp.</c:v>
                </c:pt>
                <c:pt idx="2">
                  <c:v>Analystis spp.</c:v>
                </c:pt>
                <c:pt idx="3">
                  <c:v>Spirogyara spp.</c:v>
                </c:pt>
                <c:pt idx="4">
                  <c:v>Oedogonium spp.</c:v>
                </c:pt>
                <c:pt idx="5">
                  <c:v>Savicular spp.</c:v>
                </c:pt>
                <c:pt idx="6">
                  <c:v>Euglena spp.</c:v>
                </c:pt>
              </c:strCache>
            </c:strRef>
          </c:cat>
          <c:val>
            <c:numRef>
              <c:f>Sheet1!$B$23:$H$23</c:f>
              <c:numCache>
                <c:formatCode>General</c:formatCode>
                <c:ptCount val="7"/>
                <c:pt idx="0">
                  <c:v>30</c:v>
                </c:pt>
                <c:pt idx="1">
                  <c:v>33</c:v>
                </c:pt>
                <c:pt idx="2">
                  <c:v>24</c:v>
                </c:pt>
                <c:pt idx="3">
                  <c:v>37</c:v>
                </c:pt>
                <c:pt idx="4">
                  <c:v>18</c:v>
                </c:pt>
                <c:pt idx="5">
                  <c:v>34</c:v>
                </c:pt>
                <c:pt idx="6">
                  <c:v>24</c:v>
                </c:pt>
              </c:numCache>
            </c:numRef>
          </c:val>
        </c:ser>
        <c:dLbls>
          <c:showPercent val="1"/>
        </c:dLbls>
        <c:firstSliceAng val="0"/>
      </c:pieChart>
    </c:plotArea>
    <c:legend>
      <c:legendPos val="r"/>
      <c:layout>
        <c:manualLayout>
          <c:xMode val="edge"/>
          <c:yMode val="edge"/>
          <c:x val="0.66919575678040422"/>
          <c:y val="0.25091353164187807"/>
          <c:w val="0.27307134884001572"/>
          <c:h val="0.58602034120734758"/>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600">
                <a:latin typeface="Times New Roman" pitchFamily="18" charset="0"/>
                <a:cs typeface="Times New Roman" pitchFamily="18" charset="0"/>
              </a:defRPr>
            </a:pPr>
            <a:r>
              <a:rPr lang="en-US" sz="1600" b="1" i="0" u="none" strike="noStrike" baseline="0">
                <a:latin typeface="Times New Roman" pitchFamily="18" charset="0"/>
                <a:cs typeface="Times New Roman" pitchFamily="18" charset="0"/>
              </a:rPr>
              <a:t>Zooplankton at 1 andf 2 Location</a:t>
            </a:r>
            <a:endParaRPr lang="en-US" sz="1600">
              <a:latin typeface="Times New Roman" pitchFamily="18" charset="0"/>
              <a:cs typeface="Times New Roman" pitchFamily="18" charset="0"/>
            </a:endParaRPr>
          </a:p>
        </c:rich>
      </c:tx>
      <c:layout>
        <c:manualLayout>
          <c:xMode val="edge"/>
          <c:yMode val="edge"/>
          <c:x val="0.17019444444444479"/>
          <c:y val="1.3888888888888926E-2"/>
        </c:manualLayout>
      </c:layout>
    </c:title>
    <c:plotArea>
      <c:layout>
        <c:manualLayout>
          <c:layoutTarget val="inner"/>
          <c:xMode val="edge"/>
          <c:yMode val="edge"/>
          <c:x val="7.3629921259842523E-2"/>
          <c:y val="0.12037037037037036"/>
          <c:w val="0.51638035870516052"/>
          <c:h val="0.86063393117526976"/>
        </c:manualLayout>
      </c:layout>
      <c:pieChart>
        <c:varyColors val="1"/>
        <c:ser>
          <c:idx val="0"/>
          <c:order val="0"/>
          <c:dLbls>
            <c:showPercent val="1"/>
            <c:showLeaderLines val="1"/>
          </c:dLbls>
          <c:cat>
            <c:strRef>
              <c:f>Sheet1!$J$22:$P$22</c:f>
              <c:strCache>
                <c:ptCount val="7"/>
                <c:pt idx="0">
                  <c:v>Philodina spp.</c:v>
                </c:pt>
                <c:pt idx="1">
                  <c:v>Synchata spp.</c:v>
                </c:pt>
                <c:pt idx="2">
                  <c:v>Poliathra spp.</c:v>
                </c:pt>
                <c:pt idx="3">
                  <c:v>Holopedium spp.</c:v>
                </c:pt>
                <c:pt idx="4">
                  <c:v>Daphnia  spp.</c:v>
                </c:pt>
                <c:pt idx="5">
                  <c:v>Alona  spp.</c:v>
                </c:pt>
                <c:pt idx="6">
                  <c:v>Bosmina spp.</c:v>
                </c:pt>
              </c:strCache>
            </c:strRef>
          </c:cat>
          <c:val>
            <c:numRef>
              <c:f>Sheet1!$J$23:$P$23</c:f>
              <c:numCache>
                <c:formatCode>General</c:formatCode>
                <c:ptCount val="7"/>
                <c:pt idx="0">
                  <c:v>26</c:v>
                </c:pt>
                <c:pt idx="1">
                  <c:v>32</c:v>
                </c:pt>
                <c:pt idx="2">
                  <c:v>18</c:v>
                </c:pt>
                <c:pt idx="3">
                  <c:v>14</c:v>
                </c:pt>
                <c:pt idx="4">
                  <c:v>16</c:v>
                </c:pt>
                <c:pt idx="5">
                  <c:v>18</c:v>
                </c:pt>
                <c:pt idx="6">
                  <c:v>11</c:v>
                </c:pt>
              </c:numCache>
            </c:numRef>
          </c:val>
        </c:ser>
        <c:dLbls>
          <c:showPercent val="1"/>
        </c:dLbls>
        <c:firstSliceAng val="0"/>
      </c:pieChart>
    </c:plotArea>
    <c:legend>
      <c:legendPos val="r"/>
      <c:layout>
        <c:manualLayout>
          <c:xMode val="edge"/>
          <c:yMode val="edge"/>
          <c:x val="0.66919575678040466"/>
          <c:y val="0.25091353164187807"/>
          <c:w val="0.27307134884001572"/>
          <c:h val="0.58602034120734736"/>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Relative Abundence % of Phytoplankton</a:t>
            </a:r>
          </a:p>
        </c:rich>
      </c:tx>
    </c:title>
    <c:plotArea>
      <c:layout/>
      <c:barChart>
        <c:barDir val="col"/>
        <c:grouping val="clustered"/>
        <c:ser>
          <c:idx val="0"/>
          <c:order val="0"/>
          <c:tx>
            <c:strRef>
              <c:f>Sheet1!$A$34</c:f>
              <c:strCache>
                <c:ptCount val="1"/>
                <c:pt idx="0">
                  <c:v>Relative Abundence %</c:v>
                </c:pt>
              </c:strCache>
            </c:strRef>
          </c:tx>
          <c:cat>
            <c:strRef>
              <c:f>Sheet1!$B$33:$I$33</c:f>
              <c:strCache>
                <c:ptCount val="8"/>
                <c:pt idx="0">
                  <c:v>Oscillatoria spp.</c:v>
                </c:pt>
                <c:pt idx="1">
                  <c:v>Anabaenia spp.</c:v>
                </c:pt>
                <c:pt idx="2">
                  <c:v>Analystis spp.</c:v>
                </c:pt>
                <c:pt idx="3">
                  <c:v>Spirogyara spp.</c:v>
                </c:pt>
                <c:pt idx="4">
                  <c:v>Oedogonium spp.</c:v>
                </c:pt>
                <c:pt idx="5">
                  <c:v>Savicular spp.</c:v>
                </c:pt>
                <c:pt idx="6">
                  <c:v>Euglena spp.</c:v>
                </c:pt>
                <c:pt idx="7">
                  <c:v>Epiphanes spp.</c:v>
                </c:pt>
              </c:strCache>
            </c:strRef>
          </c:cat>
          <c:val>
            <c:numRef>
              <c:f>Sheet1!$B$34:$I$34</c:f>
              <c:numCache>
                <c:formatCode>General</c:formatCode>
                <c:ptCount val="8"/>
                <c:pt idx="0">
                  <c:v>13</c:v>
                </c:pt>
                <c:pt idx="1">
                  <c:v>7</c:v>
                </c:pt>
                <c:pt idx="2">
                  <c:v>3</c:v>
                </c:pt>
                <c:pt idx="3">
                  <c:v>15</c:v>
                </c:pt>
                <c:pt idx="4">
                  <c:v>5</c:v>
                </c:pt>
                <c:pt idx="5">
                  <c:v>7</c:v>
                </c:pt>
                <c:pt idx="6">
                  <c:v>8</c:v>
                </c:pt>
                <c:pt idx="7">
                  <c:v>7</c:v>
                </c:pt>
              </c:numCache>
            </c:numRef>
          </c:val>
        </c:ser>
        <c:axId val="83597184"/>
        <c:axId val="83598720"/>
      </c:barChart>
      <c:catAx>
        <c:axId val="83597184"/>
        <c:scaling>
          <c:orientation val="minMax"/>
        </c:scaling>
        <c:axPos val="b"/>
        <c:tickLblPos val="nextTo"/>
        <c:crossAx val="83598720"/>
        <c:crosses val="autoZero"/>
        <c:auto val="1"/>
        <c:lblAlgn val="ctr"/>
        <c:lblOffset val="100"/>
      </c:catAx>
      <c:valAx>
        <c:axId val="83598720"/>
        <c:scaling>
          <c:orientation val="minMax"/>
        </c:scaling>
        <c:axPos val="l"/>
        <c:majorGridlines/>
        <c:numFmt formatCode="General" sourceLinked="1"/>
        <c:tickLblPos val="nextTo"/>
        <c:crossAx val="83597184"/>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Relative Abundence % of Zooplankton</a:t>
            </a:r>
          </a:p>
        </c:rich>
      </c:tx>
    </c:title>
    <c:plotArea>
      <c:layout/>
      <c:barChart>
        <c:barDir val="col"/>
        <c:grouping val="clustered"/>
        <c:ser>
          <c:idx val="0"/>
          <c:order val="0"/>
          <c:tx>
            <c:strRef>
              <c:f>Sheet1!$A$34</c:f>
              <c:strCache>
                <c:ptCount val="1"/>
                <c:pt idx="0">
                  <c:v>Relative Abundence %</c:v>
                </c:pt>
              </c:strCache>
            </c:strRef>
          </c:tx>
          <c:cat>
            <c:strRef>
              <c:f>Sheet1!$I$33:$P$33</c:f>
              <c:strCache>
                <c:ptCount val="8"/>
                <c:pt idx="0">
                  <c:v>Epiphanes spp.</c:v>
                </c:pt>
                <c:pt idx="1">
                  <c:v>Philodina spp.</c:v>
                </c:pt>
                <c:pt idx="2">
                  <c:v>Synchata spp.</c:v>
                </c:pt>
                <c:pt idx="3">
                  <c:v>Poliathra spp.</c:v>
                </c:pt>
                <c:pt idx="4">
                  <c:v>Holopedium spp.</c:v>
                </c:pt>
                <c:pt idx="5">
                  <c:v>Daphnia  spp.</c:v>
                </c:pt>
                <c:pt idx="6">
                  <c:v>Alona  spp.</c:v>
                </c:pt>
                <c:pt idx="7">
                  <c:v>Bosmina spp.</c:v>
                </c:pt>
              </c:strCache>
            </c:strRef>
          </c:cat>
          <c:val>
            <c:numRef>
              <c:f>Sheet1!$I$34:$P$34</c:f>
              <c:numCache>
                <c:formatCode>General</c:formatCode>
                <c:ptCount val="8"/>
                <c:pt idx="0">
                  <c:v>7</c:v>
                </c:pt>
                <c:pt idx="1">
                  <c:v>11</c:v>
                </c:pt>
                <c:pt idx="2">
                  <c:v>4</c:v>
                </c:pt>
                <c:pt idx="3">
                  <c:v>4</c:v>
                </c:pt>
                <c:pt idx="4">
                  <c:v>2</c:v>
                </c:pt>
                <c:pt idx="5">
                  <c:v>11</c:v>
                </c:pt>
                <c:pt idx="6">
                  <c:v>6</c:v>
                </c:pt>
                <c:pt idx="7">
                  <c:v>5</c:v>
                </c:pt>
              </c:numCache>
            </c:numRef>
          </c:val>
        </c:ser>
        <c:axId val="83643008"/>
        <c:axId val="83644800"/>
      </c:barChart>
      <c:catAx>
        <c:axId val="83643008"/>
        <c:scaling>
          <c:orientation val="minMax"/>
        </c:scaling>
        <c:axPos val="b"/>
        <c:tickLblPos val="nextTo"/>
        <c:crossAx val="83644800"/>
        <c:crosses val="autoZero"/>
        <c:auto val="1"/>
        <c:lblAlgn val="ctr"/>
        <c:lblOffset val="100"/>
      </c:catAx>
      <c:valAx>
        <c:axId val="83644800"/>
        <c:scaling>
          <c:orientation val="minMax"/>
        </c:scaling>
        <c:axPos val="l"/>
        <c:majorGridlines/>
        <c:numFmt formatCode="General" sourceLinked="1"/>
        <c:tickLblPos val="nextTo"/>
        <c:crossAx val="83643008"/>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barChart>
        <c:barDir val="col"/>
        <c:grouping val="clustered"/>
        <c:varyColors val="1"/>
        <c:ser>
          <c:idx val="0"/>
          <c:order val="0"/>
          <c:spPr>
            <a:solidFill>
              <a:srgbClr val="000000"/>
            </a:solidFill>
            <a:ln>
              <a:solidFill>
                <a:schemeClr val="tx1"/>
              </a:solidFill>
            </a:ln>
            <a:effectLst/>
          </c:spPr>
          <c:invertIfNegative val="1"/>
          <c:cat>
            <c:strRef>
              <c:f>Abuja!$C$23:$T$23</c:f>
              <c:strCache>
                <c:ptCount val="18"/>
                <c:pt idx="0">
                  <c:v>January</c:v>
                </c:pt>
                <c:pt idx="1">
                  <c:v>February</c:v>
                </c:pt>
                <c:pt idx="2">
                  <c:v>March</c:v>
                </c:pt>
                <c:pt idx="3">
                  <c:v>April  </c:v>
                </c:pt>
                <c:pt idx="4">
                  <c:v>May </c:v>
                </c:pt>
                <c:pt idx="5">
                  <c:v>June</c:v>
                </c:pt>
                <c:pt idx="6">
                  <c:v>July </c:v>
                </c:pt>
                <c:pt idx="7">
                  <c:v>August</c:v>
                </c:pt>
                <c:pt idx="8">
                  <c:v>September</c:v>
                </c:pt>
                <c:pt idx="9">
                  <c:v>October</c:v>
                </c:pt>
                <c:pt idx="10">
                  <c:v>November</c:v>
                </c:pt>
                <c:pt idx="11">
                  <c:v>December</c:v>
                </c:pt>
                <c:pt idx="12">
                  <c:v>January</c:v>
                </c:pt>
                <c:pt idx="13">
                  <c:v>February</c:v>
                </c:pt>
                <c:pt idx="14">
                  <c:v>March </c:v>
                </c:pt>
                <c:pt idx="15">
                  <c:v>April</c:v>
                </c:pt>
                <c:pt idx="16">
                  <c:v>May </c:v>
                </c:pt>
                <c:pt idx="17">
                  <c:v>June </c:v>
                </c:pt>
              </c:strCache>
            </c:strRef>
          </c:cat>
          <c:val>
            <c:numRef>
              <c:f>Abuja!$C$24:$T$24</c:f>
              <c:numCache>
                <c:formatCode>General</c:formatCode>
                <c:ptCount val="18"/>
                <c:pt idx="0">
                  <c:v>3.214695752009185</c:v>
                </c:pt>
                <c:pt idx="1">
                  <c:v>2.5258323765786437</c:v>
                </c:pt>
                <c:pt idx="2">
                  <c:v>4.7072330654420345</c:v>
                </c:pt>
                <c:pt idx="3">
                  <c:v>5.5109070034443164</c:v>
                </c:pt>
                <c:pt idx="4">
                  <c:v>6.0849598163030851</c:v>
                </c:pt>
                <c:pt idx="5">
                  <c:v>5.7405281285878313</c:v>
                </c:pt>
                <c:pt idx="6">
                  <c:v>7.8071182548794296</c:v>
                </c:pt>
                <c:pt idx="7">
                  <c:v>7.4626865671641776</c:v>
                </c:pt>
                <c:pt idx="8">
                  <c:v>8.6107921928817461</c:v>
                </c:pt>
                <c:pt idx="9">
                  <c:v>8.0367393800229667</c:v>
                </c:pt>
                <c:pt idx="10">
                  <c:v>7.2330654420206839</c:v>
                </c:pt>
                <c:pt idx="11">
                  <c:v>4.0183696900114834</c:v>
                </c:pt>
                <c:pt idx="12">
                  <c:v>2.4110218140068826</c:v>
                </c:pt>
                <c:pt idx="13">
                  <c:v>3.444316877152704</c:v>
                </c:pt>
                <c:pt idx="14">
                  <c:v>4.5924225028702654</c:v>
                </c:pt>
                <c:pt idx="15">
                  <c:v>5.6257175660160428</c:v>
                </c:pt>
                <c:pt idx="16">
                  <c:v>6.1997703788748568</c:v>
                </c:pt>
                <c:pt idx="17">
                  <c:v>6.7738231917336718</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a:effectLst/>
                </c14:spPr>
              </c14:invertSolidFillFmt>
            </c:ext>
          </c:extLst>
        </c:ser>
        <c:gapWidth val="219"/>
        <c:overlap val="-27"/>
        <c:axId val="83669760"/>
        <c:axId val="83671296"/>
      </c:barChart>
      <c:catAx>
        <c:axId val="83669760"/>
        <c:scaling>
          <c:orientation val="minMax"/>
        </c:scaling>
        <c:delete val="1"/>
        <c:axPos val="b"/>
        <c:numFmt formatCode="General" sourceLinked="1"/>
        <c:majorTickMark val="none"/>
        <c:minorTickMark val="cross"/>
        <c:tickLblPos val="none"/>
        <c:crossAx val="83671296"/>
        <c:crosses val="autoZero"/>
        <c:auto val="1"/>
        <c:lblAlgn val="ctr"/>
        <c:lblOffset val="100"/>
        <c:noMultiLvlLbl val="1"/>
      </c:catAx>
      <c:valAx>
        <c:axId val="83671296"/>
        <c:scaling>
          <c:orientation val="minMax"/>
        </c:scaling>
        <c:delete val="1"/>
        <c:axPos val="l"/>
        <c:title>
          <c:tx>
            <c:rich>
              <a:bodyPr rot="-5400000" spcFirstLastPara="1" vertOverflow="ellipsis" vert="horz" wrap="square" anchor="ctr" anchorCtr="1"/>
              <a:lstStyle/>
              <a:p>
                <a:pPr>
                  <a:defRPr lang="en-US" sz="1100" b="0" i="0" u="none" strike="noStrike" kern="1200" baseline="0">
                    <a:solidFill>
                      <a:sysClr val="windowText" lastClr="000000"/>
                    </a:solidFill>
                    <a:latin typeface="+mn-lt"/>
                    <a:ea typeface="+mn-ea"/>
                    <a:cs typeface="+mn-cs"/>
                  </a:defRPr>
                </a:pPr>
                <a:r>
                  <a:rPr lang="en-US" sz="1100">
                    <a:solidFill>
                      <a:sysClr val="windowText" lastClr="000000"/>
                    </a:solidFill>
                  </a:rPr>
                  <a:t>Relative Abundance (%)</a:t>
                </a:r>
              </a:p>
            </c:rich>
          </c:tx>
          <c:layout>
            <c:manualLayout>
              <c:xMode val="edge"/>
              <c:yMode val="edge"/>
              <c:x val="1.3368055190068499E-2"/>
              <c:y val="0.26022894156542781"/>
            </c:manualLayout>
          </c:layout>
          <c:overlay val="1"/>
          <c:spPr>
            <a:noFill/>
            <a:ln>
              <a:noFill/>
            </a:ln>
            <a:effectLst/>
          </c:spPr>
        </c:title>
        <c:numFmt formatCode="General" sourceLinked="1"/>
        <c:majorTickMark val="cross"/>
        <c:minorTickMark val="cross"/>
        <c:tickLblPos val="none"/>
        <c:crossAx val="83669760"/>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barChart>
        <c:barDir val="col"/>
        <c:grouping val="clustered"/>
        <c:varyColors val="1"/>
        <c:ser>
          <c:idx val="0"/>
          <c:order val="0"/>
          <c:spPr>
            <a:solidFill>
              <a:srgbClr val="4F81BD"/>
            </a:solidFill>
            <a:ln>
              <a:solidFill>
                <a:schemeClr val="tx1"/>
              </a:solidFill>
            </a:ln>
            <a:effectLst/>
          </c:spPr>
          <c:invertIfNegative val="1"/>
          <c:cat>
            <c:strRef>
              <c:f>Egwubi!$C$23:$T$23</c:f>
              <c:strCache>
                <c:ptCount val="18"/>
                <c:pt idx="0">
                  <c:v>January</c:v>
                </c:pt>
                <c:pt idx="1">
                  <c:v>February</c:v>
                </c:pt>
                <c:pt idx="2">
                  <c:v>March</c:v>
                </c:pt>
                <c:pt idx="3">
                  <c:v>April  </c:v>
                </c:pt>
                <c:pt idx="4">
                  <c:v>May </c:v>
                </c:pt>
                <c:pt idx="5">
                  <c:v>June</c:v>
                </c:pt>
                <c:pt idx="6">
                  <c:v>July </c:v>
                </c:pt>
                <c:pt idx="7">
                  <c:v>August</c:v>
                </c:pt>
                <c:pt idx="8">
                  <c:v>September</c:v>
                </c:pt>
                <c:pt idx="9">
                  <c:v>October</c:v>
                </c:pt>
                <c:pt idx="10">
                  <c:v>November</c:v>
                </c:pt>
                <c:pt idx="11">
                  <c:v>December</c:v>
                </c:pt>
                <c:pt idx="12">
                  <c:v>January</c:v>
                </c:pt>
                <c:pt idx="13">
                  <c:v>February</c:v>
                </c:pt>
                <c:pt idx="14">
                  <c:v>March </c:v>
                </c:pt>
                <c:pt idx="15">
                  <c:v>April</c:v>
                </c:pt>
                <c:pt idx="16">
                  <c:v>May </c:v>
                </c:pt>
                <c:pt idx="17">
                  <c:v>June </c:v>
                </c:pt>
              </c:strCache>
            </c:strRef>
          </c:cat>
          <c:val>
            <c:numRef>
              <c:f>Egwubi!$C$24:$T$24</c:f>
              <c:numCache>
                <c:formatCode>General</c:formatCode>
                <c:ptCount val="18"/>
                <c:pt idx="0">
                  <c:v>0.80213903743315729</c:v>
                </c:pt>
                <c:pt idx="1">
                  <c:v>0</c:v>
                </c:pt>
                <c:pt idx="2">
                  <c:v>0</c:v>
                </c:pt>
                <c:pt idx="3">
                  <c:v>4.0106951871657754</c:v>
                </c:pt>
                <c:pt idx="4">
                  <c:v>7.7540106951871683</c:v>
                </c:pt>
                <c:pt idx="5">
                  <c:v>8.8235294117647065</c:v>
                </c:pt>
                <c:pt idx="6">
                  <c:v>11.497326203208557</c:v>
                </c:pt>
                <c:pt idx="7">
                  <c:v>12.299465240641712</c:v>
                </c:pt>
                <c:pt idx="8">
                  <c:v>13.101604278074866</c:v>
                </c:pt>
                <c:pt idx="9">
                  <c:v>11.497326203208557</c:v>
                </c:pt>
                <c:pt idx="10">
                  <c:v>7.7540106951871683</c:v>
                </c:pt>
                <c:pt idx="11">
                  <c:v>4.2780748663101482</c:v>
                </c:pt>
                <c:pt idx="12">
                  <c:v>0</c:v>
                </c:pt>
                <c:pt idx="13">
                  <c:v>0</c:v>
                </c:pt>
                <c:pt idx="14">
                  <c:v>1.0695187165775399</c:v>
                </c:pt>
                <c:pt idx="15">
                  <c:v>2.9411764705882337</c:v>
                </c:pt>
                <c:pt idx="16">
                  <c:v>5.6149732620320716</c:v>
                </c:pt>
                <c:pt idx="17">
                  <c:v>8.5561497326203266</c:v>
                </c:pt>
              </c:numCache>
            </c:numRef>
          </c:val>
          <c:extLst>
            <c:ext xmlns:c14="http://schemas.microsoft.com/office/drawing/2007/8/2/chart" uri="{6F2FDCE9-48DA-4B69-8628-5D25D57E5C99}">
              <c14:invertSolidFillFmt>
                <c14:spPr xmlns:c14="http://schemas.microsoft.com/office/drawing/2007/8/2/chart">
                  <a:solidFill>
                    <a:srgbClr val="FFFFFF"/>
                  </a:solidFill>
                  <a:ln>
                    <a:solidFill>
                      <a:schemeClr val="tx1"/>
                    </a:solidFill>
                  </a:ln>
                  <a:effectLst/>
                </c14:spPr>
              </c14:invertSolidFillFmt>
            </c:ext>
          </c:extLst>
        </c:ser>
        <c:gapWidth val="219"/>
        <c:overlap val="-27"/>
        <c:axId val="89785856"/>
        <c:axId val="89787392"/>
      </c:barChart>
      <c:catAx>
        <c:axId val="89785856"/>
        <c:scaling>
          <c:orientation val="minMax"/>
        </c:scaling>
        <c:delete val="1"/>
        <c:axPos val="b"/>
        <c:numFmt formatCode="General" sourceLinked="1"/>
        <c:majorTickMark val="none"/>
        <c:minorTickMark val="cross"/>
        <c:tickLblPos val="none"/>
        <c:crossAx val="89787392"/>
        <c:crosses val="autoZero"/>
        <c:auto val="1"/>
        <c:lblAlgn val="ctr"/>
        <c:lblOffset val="100"/>
        <c:noMultiLvlLbl val="1"/>
      </c:catAx>
      <c:valAx>
        <c:axId val="89787392"/>
        <c:scaling>
          <c:orientation val="minMax"/>
        </c:scaling>
        <c:delete val="1"/>
        <c:axPos val="l"/>
        <c:title>
          <c:tx>
            <c:rich>
              <a:bodyPr rot="-5400000" spcFirstLastPara="1" vertOverflow="ellipsis" vert="horz" wrap="square" anchor="ctr" anchorCtr="1"/>
              <a:lstStyle/>
              <a:p>
                <a:pPr>
                  <a:defRPr lang="en-US" sz="1200" b="0" i="0" u="none" strike="noStrike" kern="1200" baseline="0">
                    <a:solidFill>
                      <a:sysClr val="windowText" lastClr="000000"/>
                    </a:solidFill>
                    <a:latin typeface="+mn-lt"/>
                    <a:ea typeface="+mn-ea"/>
                    <a:cs typeface="+mn-cs"/>
                  </a:defRPr>
                </a:pPr>
                <a:r>
                  <a:rPr lang="en-US" sz="1200">
                    <a:solidFill>
                      <a:sysClr val="windowText" lastClr="000000"/>
                    </a:solidFill>
                  </a:rPr>
                  <a:t>Relative Abundance (%)</a:t>
                </a:r>
              </a:p>
            </c:rich>
          </c:tx>
          <c:overlay val="1"/>
          <c:spPr>
            <a:noFill/>
            <a:ln>
              <a:noFill/>
            </a:ln>
            <a:effectLst/>
          </c:spPr>
        </c:title>
        <c:numFmt formatCode="General" sourceLinked="1"/>
        <c:majorTickMark val="cross"/>
        <c:minorTickMark val="cross"/>
        <c:tickLblPos val="none"/>
        <c:crossAx val="89785856"/>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3149</Words>
  <Characters>17953</Characters>
  <Application>Microsoft Office Word</Application>
  <DocSecurity>0</DocSecurity>
  <Lines>149</Lines>
  <Paragraphs>42</Paragraphs>
  <ScaleCrop>false</ScaleCrop>
  <Company/>
  <LinksUpToDate>false</LinksUpToDate>
  <CharactersWithSpaces>21060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2023-08-24T17:35:00Z</dcterms:created>
  <dcterms:modified xsi:type="dcterms:W3CDTF">2023-08-24T17:54:00Z</dcterms:modified>
</cp:coreProperties>
</file>