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 xml:space="preserve">Evaluation of  </w:t>
      </w:r>
      <w:r>
        <w:rPr>
          <w:rFonts w:hint="default" w:ascii="Times New Roman" w:hAnsi="Times New Roman" w:cs="Times New Roman"/>
          <w:b/>
          <w:i/>
          <w:iCs/>
          <w:sz w:val="24"/>
          <w:szCs w:val="24"/>
          <w:lang w:val="en-US"/>
        </w:rPr>
        <w:t>in vitro</w:t>
      </w:r>
      <w:r>
        <w:rPr>
          <w:rFonts w:hint="default" w:ascii="Times New Roman" w:hAnsi="Times New Roman" w:cs="Times New Roman"/>
          <w:b/>
          <w:sz w:val="24"/>
          <w:szCs w:val="24"/>
          <w:lang w:val="en-US"/>
        </w:rPr>
        <w:t xml:space="preserve"> antioxidant potential of phytochemicals present in</w:t>
      </w:r>
    </w:p>
    <w:p>
      <w:pPr>
        <w:spacing w:before="240"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i/>
          <w:iCs/>
          <w:sz w:val="24"/>
          <w:szCs w:val="24"/>
          <w:lang w:val="en-US"/>
        </w:rPr>
        <w:t>Dioscorea oppositifolia</w:t>
      </w:r>
      <w:r>
        <w:rPr>
          <w:rFonts w:hint="default" w:ascii="Times New Roman" w:hAnsi="Times New Roman" w:cs="Times New Roman"/>
          <w:b/>
          <w:sz w:val="24"/>
          <w:szCs w:val="24"/>
          <w:lang w:val="en-US"/>
        </w:rPr>
        <w:t xml:space="preserve"> L.,superior genotype collected from Kohlli hills at Namakkal</w:t>
      </w:r>
    </w:p>
    <w:p>
      <w:pPr>
        <w:spacing w:before="240" w:after="0" w:line="240" w:lineRule="auto"/>
        <w:jc w:val="center"/>
        <w:rPr>
          <w:rFonts w:hint="default" w:ascii="Times New Roman" w:hAnsi="Times New Roman" w:cs="Times New Roman"/>
          <w:b/>
          <w:sz w:val="20"/>
          <w:szCs w:val="20"/>
          <w:vertAlign w:val="superscript"/>
          <w:lang w:val="en-US"/>
        </w:rPr>
      </w:pPr>
      <w:r>
        <w:rPr>
          <w:rFonts w:hint="default" w:ascii="Times New Roman" w:hAnsi="Times New Roman" w:cs="Times New Roman"/>
          <w:b/>
          <w:sz w:val="20"/>
          <w:szCs w:val="20"/>
        </w:rPr>
        <w:t>Uma Maheswari Rajadurai</w:t>
      </w:r>
      <w:r>
        <w:rPr>
          <w:rFonts w:hint="default" w:ascii="Times New Roman" w:hAnsi="Times New Roman" w:cs="Times New Roman"/>
          <w:b/>
          <w:sz w:val="20"/>
          <w:szCs w:val="20"/>
          <w:vertAlign w:val="superscript"/>
        </w:rPr>
        <w:t>1</w:t>
      </w:r>
      <w:r>
        <w:rPr>
          <w:rFonts w:hint="default" w:ascii="Times New Roman" w:hAnsi="Times New Roman" w:cs="Times New Roman"/>
          <w:b/>
          <w:sz w:val="20"/>
          <w:szCs w:val="20"/>
          <w:vertAlign w:val="baseline"/>
          <w:lang w:val="en-US"/>
        </w:rPr>
        <w:t>,</w:t>
      </w:r>
      <w:r>
        <w:rPr>
          <w:rFonts w:hint="default" w:ascii="Times New Roman" w:hAnsi="Times New Roman" w:cs="Times New Roman"/>
          <w:b/>
          <w:sz w:val="20"/>
          <w:szCs w:val="20"/>
        </w:rPr>
        <w:t xml:space="preserve"> </w:t>
      </w:r>
      <w:r>
        <w:rPr>
          <w:rFonts w:hint="default" w:ascii="Times New Roman" w:hAnsi="Times New Roman" w:cs="Times New Roman"/>
          <w:b/>
          <w:sz w:val="20"/>
          <w:szCs w:val="20"/>
          <w:vertAlign w:val="baseline"/>
          <w:lang w:val="en-US"/>
        </w:rPr>
        <w:t>Rameshwari Ramaswamy</w:t>
      </w:r>
      <w:r>
        <w:rPr>
          <w:rFonts w:hint="default" w:ascii="Times New Roman" w:hAnsi="Times New Roman" w:cs="Times New Roman"/>
          <w:b/>
          <w:sz w:val="20"/>
          <w:szCs w:val="20"/>
          <w:vertAlign w:val="superscript"/>
          <w:lang w:val="en-US"/>
        </w:rPr>
        <w:t>2</w:t>
      </w:r>
      <w:r>
        <w:rPr>
          <w:rFonts w:hint="default" w:ascii="Times New Roman" w:hAnsi="Times New Roman" w:cs="Times New Roman"/>
          <w:b/>
          <w:sz w:val="20"/>
          <w:szCs w:val="20"/>
          <w:vertAlign w:val="baseline"/>
          <w:lang w:val="en-US"/>
        </w:rPr>
        <w:t xml:space="preserve">, </w:t>
      </w:r>
      <w:r>
        <w:rPr>
          <w:rFonts w:hint="default" w:ascii="Times New Roman" w:hAnsi="Times New Roman" w:cs="Times New Roman"/>
          <w:b/>
          <w:sz w:val="20"/>
          <w:szCs w:val="20"/>
        </w:rPr>
        <w:t>Nevetha Ravi</w:t>
      </w:r>
      <w:r>
        <w:rPr>
          <w:rFonts w:hint="default" w:ascii="Times New Roman" w:hAnsi="Times New Roman" w:cs="Times New Roman"/>
          <w:b/>
          <w:sz w:val="20"/>
          <w:szCs w:val="20"/>
          <w:lang w:val="en-IN"/>
        </w:rPr>
        <w:t>ndran</w:t>
      </w:r>
      <w:r>
        <w:rPr>
          <w:rFonts w:hint="default" w:ascii="Times New Roman" w:hAnsi="Times New Roman" w:cs="Times New Roman"/>
          <w:b/>
          <w:sz w:val="20"/>
          <w:szCs w:val="20"/>
          <w:vertAlign w:val="superscript"/>
          <w:lang w:val="en-US"/>
        </w:rPr>
        <w:t>3</w:t>
      </w:r>
      <w:r>
        <w:rPr>
          <w:rFonts w:hint="default" w:ascii="Times New Roman" w:hAnsi="Times New Roman" w:cs="Times New Roman"/>
          <w:b/>
          <w:sz w:val="20"/>
          <w:szCs w:val="20"/>
          <w:lang w:val="en-IN"/>
        </w:rPr>
        <w:t xml:space="preserve">, </w:t>
      </w:r>
      <w:r>
        <w:rPr>
          <w:rFonts w:hint="default" w:ascii="Times New Roman" w:hAnsi="Times New Roman" w:cs="Times New Roman"/>
          <w:b/>
          <w:sz w:val="20"/>
          <w:szCs w:val="20"/>
        </w:rPr>
        <w:t>Jenifer Packiaraj</w:t>
      </w:r>
      <w:r>
        <w:rPr>
          <w:rFonts w:hint="default" w:ascii="Times New Roman" w:hAnsi="Times New Roman" w:cs="Times New Roman"/>
          <w:b/>
          <w:sz w:val="20"/>
          <w:szCs w:val="20"/>
          <w:vertAlign w:val="superscript"/>
          <w:lang w:val="en-US"/>
        </w:rPr>
        <w:t>4</w:t>
      </w:r>
      <w:r>
        <w:rPr>
          <w:rFonts w:hint="default" w:ascii="Times New Roman" w:hAnsi="Times New Roman" w:cs="Times New Roman"/>
          <w:b/>
          <w:sz w:val="20"/>
          <w:szCs w:val="20"/>
          <w:vertAlign w:val="baseline"/>
          <w:lang w:val="en-US"/>
        </w:rPr>
        <w:t>, Keerthiga Manohar</w:t>
      </w:r>
      <w:r>
        <w:rPr>
          <w:rFonts w:hint="default" w:ascii="Times New Roman" w:hAnsi="Times New Roman" w:cs="Times New Roman"/>
          <w:b/>
          <w:sz w:val="20"/>
          <w:szCs w:val="20"/>
          <w:vertAlign w:val="superscript"/>
          <w:lang w:val="en-US"/>
        </w:rPr>
        <w:t>5</w:t>
      </w:r>
      <w:r>
        <w:rPr>
          <w:rFonts w:hint="default" w:ascii="Times New Roman" w:hAnsi="Times New Roman" w:cs="Times New Roman"/>
          <w:b/>
          <w:sz w:val="20"/>
          <w:szCs w:val="20"/>
          <w:vertAlign w:val="superscript"/>
          <w:lang w:val="en-US"/>
        </w:rPr>
        <w:t>,</w:t>
      </w:r>
      <w:r>
        <w:rPr>
          <w:rFonts w:hint="default" w:ascii="Times New Roman" w:hAnsi="Times New Roman" w:cs="Times New Roman"/>
          <w:b/>
          <w:sz w:val="20"/>
          <w:szCs w:val="20"/>
          <w:vertAlign w:val="baseline"/>
          <w:lang w:val="en-US"/>
        </w:rPr>
        <w:t xml:space="preserve">, </w:t>
      </w:r>
    </w:p>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vertAlign w:val="superscript"/>
        </w:rPr>
        <w:t>1,2,3</w:t>
      </w:r>
      <w:r>
        <w:rPr>
          <w:rFonts w:hint="default" w:ascii="Times New Roman" w:hAnsi="Times New Roman" w:cs="Times New Roman"/>
          <w:b/>
          <w:sz w:val="20"/>
          <w:szCs w:val="20"/>
          <w:vertAlign w:val="superscript"/>
          <w:lang w:val="en-US"/>
        </w:rPr>
        <w:t>,4,5</w:t>
      </w:r>
      <w:r>
        <w:rPr>
          <w:rFonts w:hint="default" w:ascii="Times New Roman" w:hAnsi="Times New Roman" w:cs="Times New Roman"/>
          <w:b/>
          <w:sz w:val="20"/>
          <w:szCs w:val="20"/>
        </w:rPr>
        <w:t xml:space="preserve">Department of Biotechnology, Cauvery College for Women, (Autonomous), </w:t>
      </w:r>
      <w:r>
        <w:rPr>
          <w:rFonts w:hint="default" w:ascii="Times New Roman" w:hAnsi="Times New Roman" w:cs="Times New Roman"/>
          <w:b/>
          <w:sz w:val="20"/>
          <w:szCs w:val="20"/>
          <w:lang w:val="en-IN"/>
        </w:rPr>
        <w:t xml:space="preserve">Affiliated to Bharathidasan University, </w:t>
      </w:r>
      <w:r>
        <w:rPr>
          <w:rFonts w:hint="default" w:ascii="Times New Roman" w:hAnsi="Times New Roman" w:cs="Times New Roman"/>
          <w:b/>
          <w:sz w:val="20"/>
          <w:szCs w:val="20"/>
        </w:rPr>
        <w:t>Tiruchirappalli, Tamil Nadu, India.</w:t>
      </w:r>
    </w:p>
    <w:p>
      <w:pPr>
        <w:spacing w:after="0" w:line="360" w:lineRule="auto"/>
        <w:jc w:val="center"/>
        <w:rPr>
          <w:rFonts w:hint="default" w:ascii="Times New Roman" w:hAnsi="Times New Roman" w:cs="Times New Roman"/>
          <w:b/>
          <w:sz w:val="20"/>
          <w:szCs w:val="20"/>
          <w:lang w:val="en-IN"/>
        </w:rPr>
      </w:pPr>
      <w:r>
        <w:rPr>
          <w:rFonts w:hint="default" w:ascii="Times New Roman" w:hAnsi="Times New Roman" w:cs="Times New Roman"/>
          <w:b/>
          <w:sz w:val="20"/>
          <w:szCs w:val="20"/>
          <w:lang w:val="en-IN"/>
        </w:rPr>
        <w:t>Corresponding author: Dr.Uma Maheswari Rajadurai</w:t>
      </w:r>
      <w:bookmarkStart w:id="0" w:name="_GoBack"/>
      <w:bookmarkEnd w:id="0"/>
    </w:p>
    <w:p>
      <w:pPr>
        <w:spacing w:after="0" w:line="360" w:lineRule="auto"/>
        <w:jc w:val="center"/>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Email id :umamaheswari.bt@cauverycollege.ac.in</w:t>
      </w:r>
    </w:p>
    <w:p>
      <w:pPr>
        <w:spacing w:after="0" w:line="240" w:lineRule="auto"/>
        <w:jc w:val="center"/>
        <w:rPr>
          <w:rFonts w:hint="default" w:ascii="Times New Roman" w:hAnsi="Times New Roman" w:cs="Times New Roman"/>
          <w:color w:val="0000CC"/>
          <w:sz w:val="24"/>
          <w:szCs w:val="24"/>
        </w:rPr>
      </w:pP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 Abstract:</w:t>
      </w:r>
    </w:p>
    <w:p>
      <w:pPr>
        <w:spacing w:after="0" w:line="480" w:lineRule="auto"/>
        <w:ind w:firstLine="960" w:firstLineChars="400"/>
        <w:jc w:val="both"/>
        <w:rPr>
          <w:rFonts w:hint="default" w:ascii="Times New Roman" w:hAnsi="Times New Roman" w:cs="Times New Roman"/>
          <w:sz w:val="24"/>
          <w:szCs w:val="24"/>
          <w:lang w:val="en-US"/>
        </w:rPr>
      </w:pPr>
      <w:r>
        <w:rPr>
          <w:rFonts w:hint="default" w:ascii="Times New Roman" w:hAnsi="Times New Roman" w:cs="Times New Roman"/>
          <w:b w:val="0"/>
          <w:bCs/>
          <w:sz w:val="24"/>
          <w:szCs w:val="24"/>
          <w:lang w:val="en-US"/>
        </w:rPr>
        <w:t>The genus</w:t>
      </w:r>
      <w:r>
        <w:rPr>
          <w:rFonts w:hint="default" w:ascii="Times New Roman" w:hAnsi="Times New Roman" w:cs="Times New Roman"/>
          <w:sz w:val="24"/>
          <w:szCs w:val="24"/>
        </w:rPr>
        <w:t xml:space="preserve"> </w:t>
      </w:r>
      <w:r>
        <w:rPr>
          <w:rFonts w:hint="default" w:ascii="Times New Roman" w:hAnsi="Times New Roman" w:cs="Times New Roman"/>
          <w:i/>
          <w:sz w:val="24"/>
          <w:szCs w:val="24"/>
        </w:rPr>
        <w:t>Dioscorea</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belongs to </w:t>
      </w:r>
      <w:r>
        <w:rPr>
          <w:rFonts w:hint="default" w:ascii="Times New Roman" w:hAnsi="Times New Roman" w:cs="Times New Roman"/>
          <w:sz w:val="24"/>
          <w:szCs w:val="24"/>
        </w:rPr>
        <w:t xml:space="preserve"> family Dioscoreaceae</w:t>
      </w:r>
      <w:r>
        <w:rPr>
          <w:rFonts w:hint="default" w:ascii="Times New Roman" w:hAnsi="Times New Roman" w:cs="Times New Roman"/>
          <w:sz w:val="24"/>
          <w:szCs w:val="24"/>
          <w:lang w:val="en-US"/>
        </w:rPr>
        <w:t xml:space="preserve"> which is commonly called as yam</w:t>
      </w:r>
      <w:r>
        <w:rPr>
          <w:rFonts w:hint="default" w:ascii="Times New Roman" w:hAnsi="Times New Roman" w:cs="Times New Roman"/>
          <w:sz w:val="24"/>
          <w:szCs w:val="24"/>
        </w:rPr>
        <w:t xml:space="preserve">. Among 600 species, </w:t>
      </w:r>
      <w:r>
        <w:rPr>
          <w:rFonts w:hint="default" w:ascii="Times New Roman" w:hAnsi="Times New Roman" w:cs="Times New Roman"/>
          <w:i/>
          <w:sz w:val="24"/>
          <w:szCs w:val="24"/>
        </w:rPr>
        <w:t>Dioscorea oppositifolia L. and D. bulbifera L</w:t>
      </w:r>
      <w:r>
        <w:rPr>
          <w:rFonts w:hint="default" w:ascii="Times New Roman" w:hAnsi="Times New Roman" w:cs="Times New Roman"/>
          <w:sz w:val="24"/>
          <w:szCs w:val="24"/>
        </w:rPr>
        <w:t>.</w:t>
      </w:r>
      <w:r>
        <w:rPr>
          <w:rFonts w:hint="default" w:ascii="Times New Roman" w:hAnsi="Times New Roman" w:cs="Times New Roman"/>
          <w:i/>
          <w:sz w:val="24"/>
          <w:szCs w:val="24"/>
        </w:rPr>
        <w:t xml:space="preserve">, </w:t>
      </w:r>
      <w:r>
        <w:rPr>
          <w:rFonts w:hint="default" w:ascii="Times New Roman" w:hAnsi="Times New Roman" w:cs="Times New Roman"/>
          <w:sz w:val="24"/>
          <w:szCs w:val="24"/>
        </w:rPr>
        <w:t xml:space="preserve">have the significant medicinal </w:t>
      </w:r>
      <w:r>
        <w:rPr>
          <w:rFonts w:hint="default" w:ascii="Times New Roman" w:hAnsi="Times New Roman" w:cs="Times New Roman"/>
          <w:sz w:val="24"/>
          <w:szCs w:val="24"/>
          <w:lang w:val="en-US"/>
        </w:rPr>
        <w:t xml:space="preserve">value and have economic </w:t>
      </w:r>
      <w:r>
        <w:rPr>
          <w:rFonts w:hint="default" w:ascii="Times New Roman" w:hAnsi="Times New Roman" w:cs="Times New Roman"/>
          <w:sz w:val="24"/>
          <w:szCs w:val="24"/>
        </w:rPr>
        <w:t xml:space="preserve"> importance</w:t>
      </w:r>
      <w:r>
        <w:rPr>
          <w:rFonts w:hint="default" w:ascii="Times New Roman" w:hAnsi="Times New Roman" w:cs="Times New Roman"/>
          <w:sz w:val="24"/>
          <w:szCs w:val="24"/>
          <w:lang w:val="en-US"/>
        </w:rPr>
        <w:t xml:space="preserve"> which is</w:t>
      </w:r>
      <w:r>
        <w:rPr>
          <w:rFonts w:hint="default" w:ascii="Times New Roman" w:hAnsi="Times New Roman" w:cs="Times New Roman"/>
          <w:sz w:val="24"/>
          <w:szCs w:val="24"/>
        </w:rPr>
        <w:t xml:space="preserve"> consumed by </w:t>
      </w:r>
      <w:r>
        <w:rPr>
          <w:rFonts w:hint="default" w:ascii="Times New Roman" w:hAnsi="Times New Roman" w:cs="Times New Roman"/>
          <w:sz w:val="24"/>
          <w:szCs w:val="24"/>
          <w:lang w:val="en-US"/>
        </w:rPr>
        <w:t xml:space="preserve">tribal </w:t>
      </w:r>
      <w:r>
        <w:rPr>
          <w:rFonts w:hint="default" w:ascii="Times New Roman" w:hAnsi="Times New Roman" w:cs="Times New Roman"/>
          <w:sz w:val="24"/>
          <w:szCs w:val="24"/>
        </w:rPr>
        <w:t>peopl</w:t>
      </w:r>
      <w:r>
        <w:rPr>
          <w:rFonts w:hint="default" w:ascii="Times New Roman" w:hAnsi="Times New Roman" w:cs="Times New Roman"/>
          <w:sz w:val="24"/>
          <w:szCs w:val="24"/>
          <w:lang w:val="en-US"/>
        </w:rPr>
        <w:t>e as major food</w:t>
      </w:r>
      <w:r>
        <w:rPr>
          <w:rFonts w:hint="default" w:ascii="Times New Roman" w:hAnsi="Times New Roman" w:cs="Times New Roman"/>
          <w:sz w:val="24"/>
          <w:szCs w:val="24"/>
        </w:rPr>
        <w:t xml:space="preserve">.  This </w:t>
      </w:r>
      <w:r>
        <w:rPr>
          <w:rFonts w:hint="default" w:ascii="Times New Roman" w:hAnsi="Times New Roman" w:cs="Times New Roman"/>
          <w:sz w:val="24"/>
          <w:szCs w:val="24"/>
          <w:lang w:val="en-US"/>
        </w:rPr>
        <w:t>study was carried out</w:t>
      </w:r>
      <w:r>
        <w:rPr>
          <w:rFonts w:hint="default" w:ascii="Times New Roman" w:hAnsi="Times New Roman" w:cs="Times New Roman"/>
          <w:sz w:val="24"/>
          <w:szCs w:val="24"/>
        </w:rPr>
        <w:t xml:space="preserve"> to determine </w:t>
      </w:r>
      <w:r>
        <w:rPr>
          <w:rFonts w:hint="default" w:ascii="Times New Roman" w:hAnsi="Times New Roman" w:cs="Times New Roman"/>
          <w:sz w:val="24"/>
          <w:szCs w:val="24"/>
          <w:lang w:val="en-US"/>
        </w:rPr>
        <w:t>the</w:t>
      </w:r>
      <w:r>
        <w:rPr>
          <w:rFonts w:hint="default" w:ascii="Times New Roman" w:hAnsi="Times New Roman" w:cs="Times New Roman"/>
          <w:i/>
          <w:iCs/>
          <w:sz w:val="24"/>
          <w:szCs w:val="24"/>
          <w:lang w:val="en-US"/>
        </w:rPr>
        <w:t xml:space="preserve"> invitro</w:t>
      </w:r>
      <w:r>
        <w:rPr>
          <w:rFonts w:hint="default" w:ascii="Times New Roman" w:hAnsi="Times New Roman" w:cs="Times New Roman"/>
          <w:sz w:val="24"/>
          <w:szCs w:val="24"/>
          <w:lang w:val="en-US"/>
        </w:rPr>
        <w:t xml:space="preserve"> antioxidant potential of </w:t>
      </w:r>
      <w:r>
        <w:rPr>
          <w:rFonts w:hint="default" w:ascii="Times New Roman" w:hAnsi="Times New Roman" w:cs="Times New Roman"/>
          <w:i/>
          <w:iCs/>
          <w:sz w:val="24"/>
          <w:szCs w:val="24"/>
        </w:rPr>
        <w:t xml:space="preserve"> </w:t>
      </w:r>
      <w:r>
        <w:rPr>
          <w:rFonts w:hint="default" w:ascii="Times New Roman" w:hAnsi="Times New Roman" w:cs="Times New Roman"/>
          <w:i/>
          <w:iCs/>
          <w:sz w:val="24"/>
          <w:szCs w:val="24"/>
          <w:lang w:val="en-US"/>
        </w:rPr>
        <w:t>D</w:t>
      </w:r>
      <w:r>
        <w:rPr>
          <w:rFonts w:hint="default" w:ascii="Times New Roman" w:hAnsi="Times New Roman" w:cs="Times New Roman"/>
          <w:i/>
          <w:iCs/>
          <w:sz w:val="24"/>
          <w:szCs w:val="24"/>
        </w:rPr>
        <w:t>ioscorea</w:t>
      </w:r>
      <w:r>
        <w:rPr>
          <w:rFonts w:hint="default" w:ascii="Times New Roman" w:hAnsi="Times New Roman" w:cs="Times New Roman"/>
          <w:i/>
          <w:iCs/>
          <w:sz w:val="24"/>
          <w:szCs w:val="24"/>
          <w:lang w:val="en-US"/>
        </w:rPr>
        <w:t xml:space="preserve"> oppositifolia L. </w:t>
      </w:r>
      <w:r>
        <w:rPr>
          <w:rFonts w:hint="default" w:ascii="Times New Roman" w:hAnsi="Times New Roman" w:cs="Times New Roman"/>
          <w:sz w:val="24"/>
          <w:szCs w:val="24"/>
        </w:rPr>
        <w:t xml:space="preserve"> </w:t>
      </w:r>
      <w:r>
        <w:rPr>
          <w:rFonts w:hint="default" w:ascii="Times New Roman" w:hAnsi="Times New Roman" w:cs="Times New Roman"/>
          <w:i/>
          <w:iCs/>
          <w:sz w:val="24"/>
          <w:szCs w:val="24"/>
          <w:lang w:val="en-US"/>
        </w:rPr>
        <w:t xml:space="preserve">Dioscorea oppositifolia </w:t>
      </w:r>
      <w:r>
        <w:rPr>
          <w:rFonts w:hint="default" w:ascii="Times New Roman" w:hAnsi="Times New Roman" w:cs="Times New Roman"/>
          <w:sz w:val="24"/>
          <w:szCs w:val="24"/>
          <w:lang w:val="en-US"/>
        </w:rPr>
        <w:t>L collected from Kohlli hills had shown highest</w:t>
      </w:r>
      <w:r>
        <w:rPr>
          <w:rFonts w:hint="default" w:ascii="Times New Roman" w:hAnsi="Times New Roman" w:cs="Times New Roman"/>
          <w:sz w:val="24"/>
          <w:szCs w:val="24"/>
        </w:rPr>
        <w:t xml:space="preserve"> the antioxidant </w:t>
      </w:r>
      <w:r>
        <w:rPr>
          <w:rFonts w:hint="default" w:ascii="Times New Roman" w:hAnsi="Times New Roman" w:cs="Times New Roman"/>
          <w:sz w:val="24"/>
          <w:szCs w:val="24"/>
          <w:lang w:val="en-US"/>
        </w:rPr>
        <w:t>activity- DPPH and ABTS assay.</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Introduction</w:t>
      </w:r>
    </w:p>
    <w:p>
      <w:pPr>
        <w:spacing w:after="0" w:line="480" w:lineRule="auto"/>
        <w:jc w:val="both"/>
        <w:rPr>
          <w:rFonts w:hint="default" w:ascii="Times New Roman" w:hAnsi="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Yam has many phytochemical constituents such as polysaccharides, aminoacids, proteins, vitamins and mineral elements. Yam contains many</w:t>
      </w:r>
      <w:r>
        <w:rPr>
          <w:rFonts w:hint="default" w:ascii="Times New Roman" w:hAnsi="Times New Roman" w:cs="Times New Roman"/>
          <w:sz w:val="24"/>
          <w:szCs w:val="24"/>
          <w:lang w:val="en-US"/>
        </w:rPr>
        <w:t xml:space="preserve"> phytochemicals</w:t>
      </w:r>
      <w:r>
        <w:rPr>
          <w:rFonts w:hint="default" w:ascii="Times New Roman" w:hAnsi="Times New Roman" w:cs="Times New Roman"/>
          <w:sz w:val="24"/>
          <w:szCs w:val="24"/>
        </w:rPr>
        <w:t xml:space="preserve">  such as  abscising II, glucoprotien,  ergosterol, camesterol, dioscin,, phyticacid, allontoin, dopamine, batatasin, dioscorea- mucilage B, and sterols</w:t>
      </w:r>
      <w:r>
        <w:rPr>
          <w:rFonts w:hint="default" w:ascii="Times New Roman" w:hAnsi="Times New Roman" w:cs="Times New Roman"/>
          <w:sz w:val="24"/>
          <w:szCs w:val="24"/>
          <w:lang w:val="en-US"/>
        </w:rPr>
        <w:t xml:space="preserve"> and higher amount of </w:t>
      </w:r>
      <w:r>
        <w:rPr>
          <w:rFonts w:hint="default" w:ascii="Times New Roman" w:hAnsi="Times New Roman" w:cs="Times New Roman"/>
          <w:sz w:val="24"/>
          <w:szCs w:val="24"/>
        </w:rPr>
        <w:t xml:space="preserve"> diosgenin (Zuo and Tang, 2003). </w:t>
      </w:r>
      <w:r>
        <w:rPr>
          <w:rFonts w:hint="default" w:ascii="Times New Roman" w:hAnsi="Times New Roman"/>
          <w:sz w:val="24"/>
          <w:szCs w:val="24"/>
        </w:rPr>
        <w:t xml:space="preserve"> The effect of climate conditions</w:t>
      </w:r>
      <w:r>
        <w:rPr>
          <w:rFonts w:hint="default" w:ascii="Times New Roman" w:hAnsi="Times New Roman"/>
          <w:sz w:val="24"/>
          <w:szCs w:val="24"/>
          <w:lang w:val="en-US"/>
        </w:rPr>
        <w:t xml:space="preserve"> of Kohlii hills</w:t>
      </w:r>
      <w:r>
        <w:rPr>
          <w:rFonts w:hint="default" w:ascii="Times New Roman" w:hAnsi="Times New Roman"/>
          <w:sz w:val="24"/>
          <w:szCs w:val="24"/>
        </w:rPr>
        <w:t xml:space="preserve"> on</w:t>
      </w:r>
      <w:r>
        <w:rPr>
          <w:rFonts w:hint="default" w:ascii="Times New Roman" w:hAnsi="Times New Roman"/>
          <w:sz w:val="24"/>
          <w:szCs w:val="24"/>
          <w:lang w:val="en-US"/>
        </w:rPr>
        <w:t xml:space="preserve"> </w:t>
      </w:r>
      <w:r>
        <w:rPr>
          <w:rFonts w:hint="default" w:ascii="Times New Roman" w:hAnsi="Times New Roman"/>
          <w:sz w:val="24"/>
          <w:szCs w:val="24"/>
        </w:rPr>
        <w:t xml:space="preserve">medicinal plants and traditional medicine has become increasingly   recognized as one of the challenges to humankind and all other life-forms on Earth. Climate change may not directly initiate chemical changes in the profile of metabolites and constituents produced by plants but it could add to existing stress among competing plants, and can affect secondary metabolites and other compounds that plants produce and these effect could impact its medicinal activity </w:t>
      </w:r>
      <w:r>
        <w:rPr>
          <w:rFonts w:hint="default" w:ascii="Times New Roman" w:hAnsi="Times New Roman"/>
          <w:color w:val="auto"/>
          <w:sz w:val="24"/>
          <w:szCs w:val="24"/>
        </w:rPr>
        <w:t xml:space="preserve"> </w:t>
      </w:r>
      <w:r>
        <w:rPr>
          <w:rFonts w:hint="default" w:ascii="Times New Roman" w:hAnsi="Times New Roman"/>
          <w:sz w:val="24"/>
          <w:szCs w:val="24"/>
        </w:rPr>
        <w:t>The formation of secondary metabolites can be due to biotic or abiotic stresses, caused by factors such as competition, predation, parasitism and disease, or isolation and habitat alteration due to slow geological and climatic change, natural catastrophes or human activities</w:t>
      </w:r>
      <w:r>
        <w:rPr>
          <w:rFonts w:hint="default" w:ascii="Times New Roman" w:hAnsi="Times New Roman"/>
          <w:sz w:val="24"/>
          <w:szCs w:val="24"/>
          <w:lang w:val="en-US"/>
        </w:rPr>
        <w:t>.</w:t>
      </w:r>
      <w:r>
        <w:rPr>
          <w:rFonts w:hint="default" w:ascii="Times New Roman" w:hAnsi="Times New Roman"/>
          <w:color w:val="auto"/>
          <w:sz w:val="24"/>
          <w:szCs w:val="24"/>
        </w:rPr>
        <w:t>(Faravani et al .,201</w:t>
      </w:r>
      <w:r>
        <w:rPr>
          <w:rFonts w:hint="default" w:ascii="Times New Roman" w:hAnsi="Times New Roman"/>
          <w:color w:val="auto"/>
          <w:sz w:val="24"/>
          <w:szCs w:val="24"/>
          <w:lang w:val="en-US"/>
        </w:rPr>
        <w:t>4</w:t>
      </w:r>
      <w:r>
        <w:rPr>
          <w:rFonts w:hint="default" w:ascii="Times New Roman" w:hAnsi="Times New Roman"/>
          <w:color w:val="auto"/>
          <w:sz w:val="24"/>
          <w:szCs w:val="24"/>
        </w:rPr>
        <w:t>).</w:t>
      </w:r>
    </w:p>
    <w:p>
      <w:pPr>
        <w:spacing w:after="0" w:line="480" w:lineRule="auto"/>
        <w:ind w:firstLine="600" w:firstLineChars="250"/>
        <w:jc w:val="both"/>
        <w:rPr>
          <w:rFonts w:hint="default" w:ascii="Times New Roman" w:hAnsi="Times New Roman" w:cs="Times New Roman"/>
          <w:sz w:val="24"/>
          <w:szCs w:val="24"/>
        </w:rPr>
      </w:pPr>
      <w:r>
        <w:rPr>
          <w:rFonts w:hint="default" w:ascii="Times New Roman" w:hAnsi="Times New Roman" w:cs="Times New Roman"/>
          <w:color w:val="auto"/>
          <w:sz w:val="24"/>
          <w:szCs w:val="24"/>
        </w:rPr>
        <w:t>Tapondjou</w:t>
      </w:r>
      <w:r>
        <w:rPr>
          <w:rFonts w:hint="default" w:ascii="Times New Roman" w:hAnsi="Times New Roman" w:cs="Times New Roman"/>
          <w:i/>
          <w:iCs/>
          <w:color w:val="auto"/>
          <w:sz w:val="24"/>
          <w:szCs w:val="24"/>
        </w:rPr>
        <w:t xml:space="preserve"> et al.,</w:t>
      </w:r>
      <w:r>
        <w:rPr>
          <w:rFonts w:hint="default" w:ascii="Times New Roman" w:hAnsi="Times New Roman" w:cs="Times New Roman"/>
          <w:color w:val="auto"/>
          <w:sz w:val="24"/>
          <w:szCs w:val="24"/>
        </w:rPr>
        <w:t xml:space="preserve"> (2013) </w:t>
      </w:r>
      <w:r>
        <w:rPr>
          <w:rFonts w:hint="default" w:ascii="Times New Roman" w:hAnsi="Times New Roman" w:cs="Times New Roman"/>
          <w:sz w:val="24"/>
          <w:szCs w:val="24"/>
        </w:rPr>
        <w:t>reported that eleven steroidal saponins, dioscoreanosides A–K, along with five known congeners, were isolated from the flowers of Dioscorea bulbifera var. sativa. Their structures were established by extensive NMR experiments in conjunction with mass spectrometry.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Traditionally, the tuber is used to treat inflammation, joint pain, diabetes, infections, dysmenorrhea, rheumatism, and arthritis.In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addition, diosgenin has been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reported to 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various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therapeutic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properties,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hypocholesterolemic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neuroprotection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antioxidant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activity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HIV</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patients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dementia</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(Turchan,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2003).</w:t>
      </w:r>
    </w:p>
    <w:p>
      <w:pPr>
        <w:spacing w:after="0" w:line="480" w:lineRule="auto"/>
        <w:jc w:val="both"/>
        <w:rPr>
          <w:rFonts w:hint="default" w:ascii="Times New Roman" w:hAnsi="Times New Roman" w:cs="Times New Roman"/>
          <w:sz w:val="24"/>
          <w:szCs w:val="24"/>
          <w:lang w:val="en-US"/>
        </w:rPr>
        <w:sectPr>
          <w:pgSz w:w="11910" w:h="16840"/>
          <w:pgMar w:top="1600" w:right="840" w:bottom="1440" w:left="1200" w:header="0" w:footer="1244" w:gutter="0"/>
          <w:cols w:space="720" w:num="1"/>
        </w:sect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There is a huge demand of diosgenin in the</w:t>
      </w:r>
      <w:r>
        <w:rPr>
          <w:rFonts w:hint="default" w:ascii="Times New Roman" w:hAnsi="Times New Roman" w:cs="Times New Roman"/>
          <w:sz w:val="24"/>
          <w:szCs w:val="24"/>
          <w:lang w:val="en-US"/>
        </w:rPr>
        <w:t xml:space="preserve">  production of phyto drugs in large scale</w:t>
      </w:r>
      <w:r>
        <w:rPr>
          <w:rFonts w:hint="default" w:ascii="Times New Roman" w:hAnsi="Times New Roman" w:cs="Times New Roman"/>
          <w:sz w:val="24"/>
          <w:szCs w:val="24"/>
        </w:rPr>
        <w:t xml:space="preserve">  for the growing population.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 In 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light of the above information, the present work is an attempt to reveal </w:t>
      </w:r>
      <w:r>
        <w:rPr>
          <w:rFonts w:hint="default" w:ascii="Times New Roman" w:hAnsi="Times New Roman" w:cs="Times New Roman"/>
          <w:sz w:val="24"/>
          <w:szCs w:val="24"/>
          <w:lang w:val="en-US"/>
        </w:rPr>
        <w:t>antioxidant</w:t>
      </w:r>
      <w:r>
        <w:rPr>
          <w:rFonts w:hint="default" w:ascii="Times New Roman" w:hAnsi="Times New Roman" w:cs="Times New Roman"/>
          <w:sz w:val="24"/>
          <w:szCs w:val="24"/>
        </w:rPr>
        <w:t xml:space="preserve"> therapeutic potentials in </w:t>
      </w:r>
      <w:r>
        <w:rPr>
          <w:rFonts w:hint="default" w:ascii="Times New Roman" w:hAnsi="Times New Roman" w:cs="Times New Roman"/>
          <w:i/>
          <w:sz w:val="24"/>
          <w:szCs w:val="24"/>
        </w:rPr>
        <w:t>Dioscorea</w:t>
      </w:r>
      <w:r>
        <w:rPr>
          <w:rFonts w:hint="default" w:ascii="Times New Roman" w:hAnsi="Times New Roman" w:cs="Times New Roman"/>
          <w:i/>
          <w:spacing w:val="1"/>
          <w:sz w:val="24"/>
          <w:szCs w:val="24"/>
        </w:rPr>
        <w:t xml:space="preserve"> </w:t>
      </w:r>
      <w:r>
        <w:rPr>
          <w:rFonts w:hint="default" w:ascii="Times New Roman" w:hAnsi="Times New Roman" w:cs="Times New Roman"/>
          <w:i/>
          <w:sz w:val="24"/>
          <w:szCs w:val="24"/>
        </w:rPr>
        <w:t>oppositifolia</w:t>
      </w:r>
      <w:r>
        <w:rPr>
          <w:rFonts w:hint="default" w:ascii="Times New Roman" w:hAnsi="Times New Roman" w:cs="Times New Roman"/>
          <w:i/>
          <w:sz w:val="24"/>
          <w:szCs w:val="24"/>
          <w:lang w:val="en-US"/>
        </w:rPr>
        <w:t>.</w:t>
      </w:r>
    </w:p>
    <w:p>
      <w:pPr>
        <w:spacing w:after="0" w:line="480" w:lineRule="auto"/>
        <w:jc w:val="both"/>
        <w:rPr>
          <w:rFonts w:hint="default" w:ascii="Times New Roman" w:hAnsi="Times New Roman" w:cs="Times New Roman"/>
          <w:sz w:val="24"/>
          <w:szCs w:val="24"/>
        </w:rPr>
      </w:pP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w:t>
      </w:r>
    </w:p>
    <w:p>
      <w:pPr>
        <w:numPr>
          <w:ilvl w:val="0"/>
          <w:numId w:val="1"/>
        </w:num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Materials and Methods</w:t>
      </w:r>
    </w:p>
    <w:p>
      <w:pPr>
        <w:numPr>
          <w:ilvl w:val="1"/>
          <w:numId w:val="1"/>
        </w:num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Antioxidant assays in </w:t>
      </w:r>
      <w:r>
        <w:rPr>
          <w:rFonts w:hint="default" w:ascii="Times New Roman" w:hAnsi="Times New Roman" w:cs="Times New Roman"/>
          <w:b/>
          <w:i/>
          <w:iCs/>
          <w:sz w:val="24"/>
          <w:szCs w:val="24"/>
        </w:rPr>
        <w:t>Dioscorea oppositifolia</w:t>
      </w:r>
      <w:r>
        <w:rPr>
          <w:rFonts w:hint="default" w:ascii="Times New Roman" w:hAnsi="Times New Roman" w:cs="Times New Roman"/>
          <w:b/>
          <w:sz w:val="24"/>
          <w:szCs w:val="24"/>
        </w:rPr>
        <w:t xml:space="preserve"> L.</w:t>
      </w:r>
    </w:p>
    <w:p>
      <w:pPr>
        <w:numPr>
          <w:ilvl w:val="0"/>
          <w:numId w:val="0"/>
        </w:num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lang w:val="en-US"/>
        </w:rPr>
        <w:t>2</w:t>
      </w:r>
      <w:r>
        <w:rPr>
          <w:rFonts w:hint="default" w:ascii="Times New Roman" w:hAnsi="Times New Roman" w:cs="Times New Roman"/>
          <w:b/>
          <w:sz w:val="24"/>
          <w:szCs w:val="24"/>
        </w:rPr>
        <w:t>.1</w:t>
      </w:r>
      <w:r>
        <w:rPr>
          <w:rFonts w:hint="default" w:ascii="Times New Roman" w:hAnsi="Times New Roman" w:cs="Times New Roman"/>
          <w:b/>
          <w:sz w:val="24"/>
          <w:szCs w:val="24"/>
          <w:lang w:val="en-US"/>
        </w:rPr>
        <w:t>.2</w:t>
      </w:r>
      <w:r>
        <w:rPr>
          <w:rFonts w:hint="default" w:ascii="Times New Roman" w:hAnsi="Times New Roman" w:cs="Times New Roman"/>
          <w:b/>
          <w:sz w:val="24"/>
          <w:szCs w:val="24"/>
        </w:rPr>
        <w:t>.Determination of scavenging activity on DPPH</w:t>
      </w:r>
    </w:p>
    <w:p>
      <w:pPr>
        <w:numPr>
          <w:ilvl w:val="0"/>
          <w:numId w:val="0"/>
        </w:numPr>
        <w:spacing w:after="0" w:line="480" w:lineRule="auto"/>
        <w:jc w:val="both"/>
        <w:rPr>
          <w:rFonts w:hint="default" w:ascii="Times New Roman" w:hAnsi="Times New Roman"/>
          <w:b w:val="0"/>
          <w:bCs/>
          <w:sz w:val="24"/>
          <w:szCs w:val="24"/>
        </w:rPr>
      </w:pPr>
      <w:r>
        <w:rPr>
          <w:rFonts w:hint="default" w:ascii="Times New Roman" w:hAnsi="Times New Roman"/>
          <w:b w:val="0"/>
          <w:bCs/>
          <w:sz w:val="24"/>
          <w:szCs w:val="24"/>
        </w:rPr>
        <w:t xml:space="preserve">Free radical scavenging ability of the </w:t>
      </w:r>
      <w:r>
        <w:rPr>
          <w:rFonts w:hint="default" w:ascii="Times New Roman" w:hAnsi="Times New Roman"/>
          <w:b w:val="0"/>
          <w:bCs/>
          <w:i/>
          <w:iCs/>
          <w:sz w:val="24"/>
          <w:szCs w:val="24"/>
        </w:rPr>
        <w:t xml:space="preserve">Dioscorea oppositifolia </w:t>
      </w:r>
      <w:r>
        <w:rPr>
          <w:rFonts w:hint="default" w:ascii="Times New Roman" w:hAnsi="Times New Roman"/>
          <w:b w:val="0"/>
          <w:bCs/>
          <w:sz w:val="24"/>
          <w:szCs w:val="24"/>
        </w:rPr>
        <w:t>L. extracts was tested by DPPH radical scavenging assay as described by (Koleva et al., 2002). The hydrogen atom donating ability of the plant extractives was determined by the decolorization of methanol solution of 2,2-diphenyl-1-picrylhydrazyl (DPPH). DPPH produces violet/purple color in methanol solution and fades to shades of yellow color in the presence of antioxidants. A solution of 0.1 mM DPPH in methanol was prepared, and 2.4 mL of this solution was mixed with 1.6 mL of extract in methanol at different concentrations (50–250 μg/mL). The reaction mixture was vortexed thoroughly and left in the dark at RT for 30 min. The absorbance of the mixture was measured spectrophotometrically at 517 nm. BHT was used as standard controls. Percentage DPPH radical scavenging activity was calculated by the following equation:</w:t>
      </w:r>
    </w:p>
    <w:p>
      <w:pPr>
        <w:numPr>
          <w:ilvl w:val="0"/>
          <w:numId w:val="0"/>
        </w:numPr>
        <w:spacing w:after="0" w:line="480" w:lineRule="auto"/>
        <w:jc w:val="both"/>
        <w:rPr>
          <w:rFonts w:hint="default" w:ascii="Times New Roman" w:hAnsi="Times New Roman"/>
          <w:b w:val="0"/>
          <w:bCs/>
          <w:sz w:val="24"/>
          <w:szCs w:val="24"/>
        </w:rPr>
      </w:pPr>
      <w:r>
        <w:rPr>
          <w:rFonts w:hint="default" w:ascii="Times New Roman" w:hAnsi="Times New Roman"/>
          <w:b w:val="0"/>
          <w:bCs/>
          <w:sz w:val="24"/>
          <w:szCs w:val="24"/>
        </w:rPr>
        <w:t>% DPPH radical scavenging activity={(A0− A1)/A0}×100</w:t>
      </w:r>
    </w:p>
    <w:p>
      <w:pPr>
        <w:numPr>
          <w:ilvl w:val="0"/>
          <w:numId w:val="0"/>
        </w:numPr>
        <w:spacing w:after="0" w:line="480" w:lineRule="auto"/>
        <w:jc w:val="both"/>
        <w:rPr>
          <w:rFonts w:hint="default" w:ascii="Times New Roman" w:hAnsi="Times New Roman" w:cs="Times New Roman"/>
          <w:b w:val="0"/>
          <w:bCs/>
          <w:sz w:val="24"/>
          <w:szCs w:val="24"/>
        </w:rPr>
      </w:pPr>
      <w:r>
        <w:rPr>
          <w:rFonts w:hint="default" w:ascii="Times New Roman" w:hAnsi="Times New Roman"/>
          <w:b w:val="0"/>
          <w:bCs/>
          <w:sz w:val="24"/>
          <w:szCs w:val="24"/>
        </w:rPr>
        <w:t>where A0 is the absorbance of the control, and A1 is the absorbance of the extractives/standard. Then  % of inhibition was plotted against concentration, and from the graph IC50 was calculated. The experiment was repeated three times at each concentration.</w:t>
      </w:r>
    </w:p>
    <w:p>
      <w:pPr>
        <w:numPr>
          <w:ilvl w:val="0"/>
          <w:numId w:val="0"/>
        </w:num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Determination of scavenging activity on ABTS</w:t>
      </w:r>
    </w:p>
    <w:p>
      <w:pPr>
        <w:numPr>
          <w:ilvl w:val="0"/>
          <w:numId w:val="0"/>
        </w:numPr>
        <w:spacing w:after="0" w:line="480" w:lineRule="auto"/>
        <w:ind w:firstLine="720" w:firstLineChars="300"/>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 xml:space="preserve">The </w:t>
      </w:r>
      <w:r>
        <w:rPr>
          <w:rFonts w:hint="default" w:ascii="Times New Roman" w:hAnsi="Times New Roman" w:cs="Times New Roman"/>
          <w:b w:val="0"/>
          <w:bCs/>
          <w:sz w:val="24"/>
          <w:szCs w:val="24"/>
        </w:rPr>
        <w:t>scavenging ABTS free radicals was investigated by the method of Re et al., (1999)</w:t>
      </w:r>
      <w:r>
        <w:rPr>
          <w:rFonts w:hint="default" w:ascii="Times New Roman" w:hAnsi="Times New Roman" w:cs="Times New Roman"/>
          <w:b w:val="0"/>
          <w:bCs/>
          <w:sz w:val="24"/>
          <w:szCs w:val="24"/>
          <w:lang w:val="en-US"/>
        </w:rPr>
        <w:t xml:space="preserve"> on</w:t>
      </w:r>
      <w:r>
        <w:rPr>
          <w:rFonts w:hint="default" w:ascii="Times New Roman" w:hAnsi="Times New Roman" w:cs="Times New Roman"/>
          <w:b w:val="0"/>
          <w:bCs/>
          <w:sz w:val="24"/>
          <w:szCs w:val="24"/>
        </w:rPr>
        <w:t xml:space="preserve"> </w:t>
      </w:r>
      <w:r>
        <w:rPr>
          <w:rFonts w:hint="default" w:ascii="Times New Roman" w:hAnsi="Times New Roman" w:cs="Times New Roman"/>
          <w:b w:val="0"/>
          <w:bCs/>
          <w:sz w:val="24"/>
          <w:szCs w:val="24"/>
          <w:lang w:val="en-US"/>
        </w:rPr>
        <w:t xml:space="preserve">D.oppositifolia L., </w:t>
      </w:r>
      <w:r>
        <w:rPr>
          <w:rFonts w:hint="default" w:ascii="Times New Roman" w:hAnsi="Times New Roman" w:cs="Times New Roman"/>
          <w:b w:val="0"/>
          <w:bCs/>
          <w:sz w:val="24"/>
          <w:szCs w:val="24"/>
        </w:rPr>
        <w:t xml:space="preserve">extract  . Th ABTS radical is </w:t>
      </w:r>
      <w:r>
        <w:rPr>
          <w:rFonts w:hint="default" w:ascii="Times New Roman" w:hAnsi="Times New Roman" w:cs="Times New Roman"/>
          <w:b w:val="0"/>
          <w:bCs/>
          <w:sz w:val="24"/>
          <w:szCs w:val="24"/>
          <w:lang w:val="en-US"/>
        </w:rPr>
        <w:t>synthesised</w:t>
      </w:r>
      <w:r>
        <w:rPr>
          <w:rFonts w:hint="default" w:ascii="Times New Roman" w:hAnsi="Times New Roman" w:cs="Times New Roman"/>
          <w:b w:val="0"/>
          <w:bCs/>
          <w:sz w:val="24"/>
          <w:szCs w:val="24"/>
        </w:rPr>
        <w:t xml:space="preserve"> by the reaction of ammonium persulphate with ABTS </w:t>
      </w:r>
      <w:r>
        <w:rPr>
          <w:rFonts w:hint="default" w:ascii="Times New Roman" w:hAnsi="Times New Roman" w:cs="Times New Roman"/>
          <w:b w:val="0"/>
          <w:bCs/>
          <w:sz w:val="24"/>
          <w:szCs w:val="24"/>
          <w:lang w:val="en-US"/>
        </w:rPr>
        <w:t>without light</w:t>
      </w:r>
      <w:r>
        <w:rPr>
          <w:rFonts w:hint="default" w:ascii="Times New Roman" w:hAnsi="Times New Roman" w:cs="Times New Roman"/>
          <w:b w:val="0"/>
          <w:bCs/>
          <w:sz w:val="24"/>
          <w:szCs w:val="24"/>
        </w:rPr>
        <w:t xml:space="preserve"> condition. The presence of antioxidants, which includes </w:t>
      </w:r>
      <w:r>
        <w:rPr>
          <w:rFonts w:hint="default" w:ascii="Times New Roman" w:hAnsi="Times New Roman" w:cs="Times New Roman"/>
          <w:b w:val="0"/>
          <w:bCs/>
          <w:sz w:val="24"/>
          <w:szCs w:val="24"/>
          <w:lang w:val="en-US"/>
        </w:rPr>
        <w:t xml:space="preserve">terpenoids </w:t>
      </w:r>
      <w:r>
        <w:rPr>
          <w:rFonts w:hint="default" w:ascii="Times New Roman" w:hAnsi="Times New Roman" w:cs="Times New Roman"/>
          <w:b w:val="0"/>
          <w:bCs/>
          <w:sz w:val="24"/>
          <w:szCs w:val="24"/>
        </w:rPr>
        <w:t xml:space="preserve">and </w:t>
      </w:r>
      <w:r>
        <w:rPr>
          <w:rFonts w:hint="default" w:ascii="Times New Roman" w:hAnsi="Times New Roman" w:cs="Times New Roman"/>
          <w:b w:val="0"/>
          <w:bCs/>
          <w:sz w:val="24"/>
          <w:szCs w:val="24"/>
          <w:lang w:val="en-US"/>
        </w:rPr>
        <w:t xml:space="preserve">steroids </w:t>
      </w:r>
      <w:r>
        <w:rPr>
          <w:rFonts w:hint="default" w:ascii="Times New Roman" w:hAnsi="Times New Roman" w:cs="Times New Roman"/>
          <w:b w:val="0"/>
          <w:bCs/>
          <w:sz w:val="24"/>
          <w:szCs w:val="24"/>
        </w:rPr>
        <w:t>in the sample</w:t>
      </w:r>
      <w:r>
        <w:rPr>
          <w:rFonts w:hint="default" w:ascii="Times New Roman" w:hAnsi="Times New Roman" w:cs="Times New Roman"/>
          <w:b w:val="0"/>
          <w:bCs/>
          <w:sz w:val="24"/>
          <w:szCs w:val="24"/>
          <w:lang w:val="en-US"/>
        </w:rPr>
        <w:t xml:space="preserve"> perform</w:t>
      </w:r>
      <w:r>
        <w:rPr>
          <w:rFonts w:hint="default" w:ascii="Times New Roman" w:hAnsi="Times New Roman" w:cs="Times New Roman"/>
          <w:b w:val="0"/>
          <w:bCs/>
          <w:sz w:val="24"/>
          <w:szCs w:val="24"/>
        </w:rPr>
        <w:t xml:space="preserve"> scaveng</w:t>
      </w:r>
      <w:r>
        <w:rPr>
          <w:rFonts w:hint="default" w:ascii="Times New Roman" w:hAnsi="Times New Roman" w:cs="Times New Roman"/>
          <w:b w:val="0"/>
          <w:bCs/>
          <w:sz w:val="24"/>
          <w:szCs w:val="24"/>
          <w:lang w:val="en-US"/>
        </w:rPr>
        <w:t xml:space="preserve">ing activity as a result there is formation of </w:t>
      </w:r>
      <w:r>
        <w:rPr>
          <w:rFonts w:hint="default" w:ascii="Times New Roman" w:hAnsi="Times New Roman" w:cs="Times New Roman"/>
          <w:b w:val="0"/>
          <w:bCs/>
          <w:sz w:val="24"/>
          <w:szCs w:val="24"/>
        </w:rPr>
        <w:t xml:space="preserve">ABTS radical and </w:t>
      </w:r>
      <w:r>
        <w:rPr>
          <w:rFonts w:hint="default" w:ascii="Times New Roman" w:hAnsi="Times New Roman" w:cs="Times New Roman"/>
          <w:b w:val="0"/>
          <w:bCs/>
          <w:sz w:val="24"/>
          <w:szCs w:val="24"/>
          <w:lang w:val="en-US"/>
        </w:rPr>
        <w:t xml:space="preserve">the decreased </w:t>
      </w:r>
      <w:r>
        <w:rPr>
          <w:rFonts w:hint="default" w:ascii="Times New Roman" w:hAnsi="Times New Roman" w:cs="Times New Roman"/>
          <w:b w:val="0"/>
          <w:bCs/>
          <w:sz w:val="24"/>
          <w:szCs w:val="24"/>
        </w:rPr>
        <w:t>color intensity w</w:t>
      </w:r>
      <w:r>
        <w:rPr>
          <w:rFonts w:hint="default" w:ascii="Times New Roman" w:hAnsi="Times New Roman" w:cs="Times New Roman"/>
          <w:b w:val="0"/>
          <w:bCs/>
          <w:sz w:val="24"/>
          <w:szCs w:val="24"/>
          <w:lang w:val="en-US"/>
        </w:rPr>
        <w:t>ould</w:t>
      </w:r>
      <w:r>
        <w:rPr>
          <w:rFonts w:hint="default" w:ascii="Times New Roman" w:hAnsi="Times New Roman" w:cs="Times New Roman"/>
          <w:b w:val="0"/>
          <w:bCs/>
          <w:sz w:val="24"/>
          <w:szCs w:val="24"/>
        </w:rPr>
        <w:t xml:space="preserve"> be observed</w:t>
      </w:r>
      <w:r>
        <w:rPr>
          <w:rFonts w:hint="default" w:ascii="Times New Roman" w:hAnsi="Times New Roman" w:cs="Times New Roman"/>
          <w:b w:val="0"/>
          <w:bCs/>
          <w:sz w:val="24"/>
          <w:szCs w:val="24"/>
          <w:lang w:val="en-US"/>
        </w:rPr>
        <w:t xml:space="preserve"> using colorimeter.</w:t>
      </w:r>
      <w:r>
        <w:rPr>
          <w:rFonts w:hint="default" w:ascii="Times New Roman" w:hAnsi="Times New Roman" w:cs="Times New Roman"/>
          <w:b w:val="0"/>
          <w:bCs/>
          <w:sz w:val="24"/>
          <w:szCs w:val="24"/>
        </w:rPr>
        <w:t>Ascorbic acid can be used as</w:t>
      </w:r>
      <w:r>
        <w:rPr>
          <w:rFonts w:hint="default" w:ascii="Times New Roman" w:hAnsi="Times New Roman" w:cs="Times New Roman"/>
          <w:b w:val="0"/>
          <w:bCs/>
          <w:sz w:val="24"/>
          <w:szCs w:val="24"/>
          <w:lang w:val="en-US"/>
        </w:rPr>
        <w:t>standard</w:t>
      </w:r>
    </w:p>
    <w:p>
      <w:pPr>
        <w:numPr>
          <w:ilvl w:val="0"/>
          <w:numId w:val="0"/>
        </w:numPr>
        <w:spacing w:after="0" w:line="480" w:lineRule="auto"/>
        <w:ind w:left="720" w:leftChars="0"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Percentage of ABTS scavenging </w:t>
      </w:r>
      <w:r>
        <w:rPr>
          <w:rFonts w:hint="default" w:ascii="Times New Roman" w:hAnsi="Times New Roman" w:cs="Times New Roman"/>
          <w:b w:val="0"/>
          <w:bCs/>
          <w:sz w:val="24"/>
          <w:szCs w:val="24"/>
          <w:lang w:val="en-US"/>
        </w:rPr>
        <w:t xml:space="preserve">potential </w:t>
      </w:r>
      <w:r>
        <w:rPr>
          <w:rFonts w:hint="default" w:ascii="Times New Roman" w:hAnsi="Times New Roman" w:cs="Times New Roman"/>
          <w:b w:val="0"/>
          <w:bCs/>
          <w:sz w:val="24"/>
          <w:szCs w:val="24"/>
        </w:rPr>
        <w:t xml:space="preserve">= [A control – A sample]/ (A control x 100), where A control is the absorbance of ABTS + </w:t>
      </w:r>
      <w:r>
        <w:rPr>
          <w:rFonts w:hint="default" w:ascii="Times New Roman" w:hAnsi="Times New Roman" w:cs="Times New Roman"/>
          <w:b w:val="0"/>
          <w:bCs/>
          <w:sz w:val="24"/>
          <w:szCs w:val="24"/>
          <w:lang w:val="en-US"/>
        </w:rPr>
        <w:t>solvent</w:t>
      </w:r>
      <w:r>
        <w:rPr>
          <w:rFonts w:hint="default" w:ascii="Times New Roman" w:hAnsi="Times New Roman" w:cs="Times New Roman"/>
          <w:b w:val="0"/>
          <w:bCs/>
          <w:sz w:val="24"/>
          <w:szCs w:val="24"/>
        </w:rPr>
        <w:t xml:space="preserve">; </w:t>
      </w:r>
    </w:p>
    <w:p>
      <w:pPr>
        <w:numPr>
          <w:ilvl w:val="0"/>
          <w:numId w:val="0"/>
        </w:numPr>
        <w:spacing w:after="0" w:line="480" w:lineRule="auto"/>
        <w:ind w:left="720" w:leftChars="0" w:firstLine="720" w:firstLineChars="0"/>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A sample is  ABTS </w:t>
      </w:r>
      <w:r>
        <w:rPr>
          <w:rFonts w:hint="default" w:ascii="Times New Roman" w:hAnsi="Times New Roman" w:cs="Times New Roman"/>
          <w:b w:val="0"/>
          <w:bCs/>
          <w:sz w:val="24"/>
          <w:szCs w:val="24"/>
          <w:lang w:val="en-US"/>
        </w:rPr>
        <w:t xml:space="preserve">absorbance </w:t>
      </w:r>
      <w:r>
        <w:rPr>
          <w:rFonts w:hint="default" w:ascii="Times New Roman" w:hAnsi="Times New Roman" w:cs="Times New Roman"/>
          <w:b w:val="0"/>
          <w:bCs/>
          <w:sz w:val="24"/>
          <w:szCs w:val="24"/>
        </w:rPr>
        <w:t>+ sample (i.e. standard or extract).</w:t>
      </w:r>
    </w:p>
    <w:p>
      <w:pPr>
        <w:numPr>
          <w:ilvl w:val="0"/>
          <w:numId w:val="0"/>
        </w:numPr>
        <w:spacing w:after="0" w:line="480" w:lineRule="auto"/>
        <w:ind w:left="720" w:leftChars="0" w:firstLine="720" w:firstLineChars="0"/>
        <w:jc w:val="both"/>
        <w:rPr>
          <w:rFonts w:hint="default" w:ascii="Times New Roman" w:hAnsi="Times New Roman" w:cs="Times New Roman"/>
          <w:b w:val="0"/>
          <w:bCs/>
          <w:sz w:val="24"/>
          <w:szCs w:val="24"/>
        </w:rPr>
      </w:pPr>
    </w:p>
    <w:p>
      <w:pPr>
        <w:numPr>
          <w:ilvl w:val="0"/>
          <w:numId w:val="1"/>
        </w:numPr>
        <w:spacing w:after="0" w:line="480" w:lineRule="auto"/>
        <w:ind w:left="0" w:leftChars="0" w:firstLine="0" w:firstLineChars="0"/>
        <w:jc w:val="both"/>
        <w:rPr>
          <w:rFonts w:hint="default" w:ascii="Times New Roman" w:hAnsi="Times New Roman" w:cs="Times New Roman"/>
          <w:b/>
          <w:bCs w:val="0"/>
          <w:i/>
          <w:sz w:val="24"/>
          <w:szCs w:val="24"/>
        </w:rPr>
      </w:pPr>
      <w:r>
        <w:rPr>
          <w:rFonts w:hint="default" w:ascii="Times New Roman" w:hAnsi="Times New Roman" w:cs="Times New Roman"/>
          <w:b/>
          <w:bCs w:val="0"/>
          <w:i/>
          <w:sz w:val="24"/>
          <w:szCs w:val="24"/>
        </w:rPr>
        <w:t>Results and Discussion</w:t>
      </w:r>
    </w:p>
    <w:p>
      <w:pPr>
        <w:numPr>
          <w:ilvl w:val="0"/>
          <w:numId w:val="0"/>
        </w:numPr>
        <w:spacing w:after="0" w:line="480" w:lineRule="auto"/>
        <w:ind w:leftChars="0"/>
        <w:jc w:val="both"/>
        <w:rPr>
          <w:rFonts w:hint="default" w:ascii="Times New Roman" w:hAnsi="Times New Roman" w:cs="Times New Roman"/>
          <w:b/>
          <w:bCs w:val="0"/>
          <w:i/>
          <w:sz w:val="24"/>
          <w:szCs w:val="24"/>
        </w:rPr>
      </w:pPr>
      <w:r>
        <w:rPr>
          <w:rFonts w:hint="default" w:ascii="Times New Roman" w:hAnsi="Times New Roman" w:cs="Times New Roman"/>
          <w:b/>
          <w:i/>
          <w:sz w:val="24"/>
          <w:szCs w:val="24"/>
        </w:rPr>
        <w:t xml:space="preserve"> </w:t>
      </w:r>
      <w:r>
        <w:rPr>
          <w:rFonts w:hint="default" w:ascii="Times New Roman" w:hAnsi="Times New Roman" w:cs="Times New Roman"/>
          <w:b/>
          <w:sz w:val="24"/>
          <w:szCs w:val="24"/>
        </w:rPr>
        <w:t>Antioxidant activity</w:t>
      </w:r>
    </w:p>
    <w:p>
      <w:pPr>
        <w:numPr>
          <w:ilvl w:val="0"/>
          <w:numId w:val="0"/>
        </w:numPr>
        <w:spacing w:after="0" w:line="480" w:lineRule="auto"/>
        <w:ind w:leftChars="0" w:firstLine="600" w:firstLineChars="250"/>
        <w:jc w:val="both"/>
        <w:rPr>
          <w:rFonts w:hint="default" w:ascii="Times New Roman" w:hAnsi="Times New Roman" w:eastAsia="Calibri" w:cs="Times New Roman"/>
          <w:sz w:val="24"/>
          <w:szCs w:val="24"/>
        </w:rPr>
      </w:pPr>
      <w:r>
        <w:rPr>
          <w:rFonts w:hint="default" w:ascii="Times New Roman" w:hAnsi="Times New Roman" w:cs="Times New Roman"/>
          <w:b w:val="0"/>
          <w:bCs/>
          <w:sz w:val="24"/>
          <w:szCs w:val="24"/>
          <w:lang w:val="en-US"/>
        </w:rPr>
        <w:t>A</w:t>
      </w:r>
      <w:r>
        <w:rPr>
          <w:rFonts w:hint="default" w:ascii="Times New Roman" w:hAnsi="Times New Roman" w:cs="Times New Roman"/>
          <w:b w:val="0"/>
          <w:bCs/>
          <w:sz w:val="24"/>
          <w:szCs w:val="24"/>
        </w:rPr>
        <w:t>ntioxidant activity</w:t>
      </w:r>
      <w:r>
        <w:rPr>
          <w:rFonts w:hint="default" w:ascii="Times New Roman" w:hAnsi="Times New Roman" w:cs="Times New Roman"/>
          <w:b w:val="0"/>
          <w:bCs/>
          <w:sz w:val="24"/>
          <w:szCs w:val="24"/>
          <w:lang w:val="en-US"/>
        </w:rPr>
        <w:t xml:space="preserve"> of  </w:t>
      </w:r>
      <w:r>
        <w:rPr>
          <w:rFonts w:hint="default" w:ascii="Times New Roman" w:hAnsi="Times New Roman" w:cs="Times New Roman"/>
          <w:b w:val="0"/>
          <w:bCs/>
          <w:sz w:val="24"/>
          <w:szCs w:val="24"/>
        </w:rPr>
        <w:t>DPPH  and ABTS</w:t>
      </w:r>
      <w:r>
        <w:rPr>
          <w:rFonts w:hint="default" w:ascii="Times New Roman" w:hAnsi="Times New Roman" w:cs="Times New Roman"/>
          <w:b w:val="0"/>
          <w:bCs/>
          <w:sz w:val="24"/>
          <w:szCs w:val="24"/>
          <w:lang w:val="en-US"/>
        </w:rPr>
        <w:t xml:space="preserve"> </w:t>
      </w:r>
      <w:r>
        <w:rPr>
          <w:rFonts w:hint="default" w:ascii="Times New Roman" w:hAnsi="Times New Roman" w:cs="Times New Roman"/>
          <w:b w:val="0"/>
          <w:bCs/>
          <w:sz w:val="24"/>
          <w:szCs w:val="24"/>
        </w:rPr>
        <w:t xml:space="preserve"> of </w:t>
      </w:r>
      <w:r>
        <w:rPr>
          <w:rFonts w:hint="default" w:ascii="Times New Roman" w:hAnsi="Times New Roman" w:cs="Times New Roman"/>
          <w:b w:val="0"/>
          <w:bCs/>
          <w:i/>
          <w:iCs/>
          <w:sz w:val="24"/>
          <w:szCs w:val="24"/>
          <w:lang w:val="en-US"/>
        </w:rPr>
        <w:t xml:space="preserve">Dioscorea oppositifolia </w:t>
      </w:r>
      <w:r>
        <w:rPr>
          <w:rFonts w:hint="default" w:ascii="Times New Roman" w:hAnsi="Times New Roman" w:cs="Times New Roman"/>
          <w:b w:val="0"/>
          <w:bCs/>
          <w:sz w:val="24"/>
          <w:szCs w:val="24"/>
          <w:lang w:val="en-US"/>
        </w:rPr>
        <w:t xml:space="preserve">L., </w:t>
      </w:r>
      <w:r>
        <w:rPr>
          <w:rFonts w:hint="default" w:ascii="Times New Roman" w:hAnsi="Times New Roman" w:cs="Times New Roman"/>
          <w:b w:val="0"/>
          <w:bCs/>
          <w:sz w:val="24"/>
          <w:szCs w:val="24"/>
        </w:rPr>
        <w:t xml:space="preserve">extracts </w:t>
      </w:r>
      <w:r>
        <w:rPr>
          <w:rFonts w:hint="default" w:ascii="Times New Roman" w:hAnsi="Times New Roman" w:cs="Times New Roman"/>
          <w:b w:val="0"/>
          <w:bCs/>
          <w:sz w:val="24"/>
          <w:szCs w:val="24"/>
          <w:lang w:val="en-US"/>
        </w:rPr>
        <w:t>were studied successfully.</w:t>
      </w:r>
      <w:r>
        <w:rPr>
          <w:rFonts w:hint="default" w:ascii="Times New Roman" w:hAnsi="Times New Roman" w:cs="Times New Roman"/>
          <w:b w:val="0"/>
          <w:bCs/>
          <w:sz w:val="24"/>
          <w:szCs w:val="24"/>
        </w:rPr>
        <w:t xml:space="preserve"> [Table 3].</w:t>
      </w:r>
    </w:p>
    <w:p>
      <w:pPr>
        <w:tabs>
          <w:tab w:val="left" w:pos="630"/>
          <w:tab w:val="left" w:pos="810"/>
        </w:tabs>
        <w:autoSpaceDE w:val="0"/>
        <w:autoSpaceDN w:val="0"/>
        <w:adjustRightInd w:val="0"/>
        <w:spacing w:after="120" w:line="432" w:lineRule="auto"/>
        <w:jc w:val="both"/>
        <w:rPr>
          <w:rFonts w:hint="default" w:ascii="Times New Roman" w:hAnsi="Times New Roman" w:cs="Times New Roman"/>
          <w:sz w:val="24"/>
          <w:szCs w:val="24"/>
        </w:rPr>
      </w:pPr>
      <w:r>
        <w:rPr>
          <w:rFonts w:hint="default" w:ascii="Times New Roman" w:hAnsi="Times New Roman" w:cs="Times New Roman"/>
          <w:i/>
          <w:sz w:val="24"/>
          <w:szCs w:val="24"/>
        </w:rPr>
        <w:tab/>
      </w:r>
      <w:r>
        <w:rPr>
          <w:rFonts w:hint="default" w:ascii="Times New Roman" w:hAnsi="Times New Roman" w:cs="Times New Roman"/>
          <w:i/>
          <w:sz w:val="24"/>
          <w:szCs w:val="24"/>
        </w:rPr>
        <w:t>In vitro</w:t>
      </w:r>
      <w:r>
        <w:rPr>
          <w:rFonts w:hint="default" w:ascii="Times New Roman" w:hAnsi="Times New Roman" w:cs="Times New Roman"/>
          <w:sz w:val="24"/>
          <w:szCs w:val="24"/>
        </w:rPr>
        <w:t xml:space="preserve"> tuber extract has larger amount of Vitamin-C than the </w:t>
      </w:r>
      <w:r>
        <w:rPr>
          <w:rFonts w:hint="default" w:ascii="Times New Roman" w:hAnsi="Times New Roman" w:cs="Times New Roman"/>
          <w:i/>
          <w:sz w:val="24"/>
          <w:szCs w:val="24"/>
        </w:rPr>
        <w:t>wild</w:t>
      </w:r>
      <w:r>
        <w:rPr>
          <w:rFonts w:hint="default" w:ascii="Times New Roman" w:hAnsi="Times New Roman" w:cs="Times New Roman"/>
          <w:sz w:val="24"/>
          <w:szCs w:val="24"/>
        </w:rPr>
        <w:t xml:space="preserve"> tuber. Total antioxidant capacity of </w:t>
      </w:r>
      <w:r>
        <w:rPr>
          <w:rFonts w:hint="default" w:ascii="Times New Roman" w:hAnsi="Times New Roman" w:cs="Times New Roman"/>
          <w:i/>
          <w:sz w:val="24"/>
          <w:szCs w:val="24"/>
        </w:rPr>
        <w:t xml:space="preserve">in vitro </w:t>
      </w:r>
      <w:r>
        <w:rPr>
          <w:rFonts w:hint="default" w:ascii="Times New Roman" w:hAnsi="Times New Roman" w:cs="Times New Roman"/>
          <w:sz w:val="24"/>
          <w:szCs w:val="24"/>
        </w:rPr>
        <w:t>tuber was quantified as</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shd w:val="clear"/>
        </w:rPr>
        <w:t xml:space="preserve">428.58 mg/g </w:t>
      </w:r>
      <w:r>
        <w:rPr>
          <w:rFonts w:hint="default" w:ascii="Times New Roman" w:hAnsi="Times New Roman" w:cs="Times New Roman"/>
          <w:sz w:val="24"/>
          <w:szCs w:val="24"/>
          <w:highlight w:val="none"/>
          <w:shd w:val="clear" w:fill="FFFFFF" w:themeFill="background1"/>
        </w:rPr>
        <w:t>i</w:t>
      </w:r>
      <w:r>
        <w:rPr>
          <w:rFonts w:hint="default" w:ascii="Times New Roman" w:hAnsi="Times New Roman" w:cs="Times New Roman"/>
          <w:sz w:val="24"/>
          <w:szCs w:val="24"/>
          <w:highlight w:val="none"/>
        </w:rPr>
        <w:t>n a</w:t>
      </w:r>
      <w:r>
        <w:rPr>
          <w:rFonts w:hint="default" w:ascii="Times New Roman" w:hAnsi="Times New Roman" w:cs="Times New Roman"/>
          <w:sz w:val="24"/>
          <w:szCs w:val="24"/>
        </w:rPr>
        <w:t xml:space="preserve">scorbic acid equivalents. Total antioxidant capacity of tuber is quantified as </w:t>
      </w:r>
      <w:r>
        <w:rPr>
          <w:rFonts w:hint="default" w:ascii="Times New Roman" w:hAnsi="Times New Roman" w:cs="Times New Roman"/>
          <w:sz w:val="24"/>
          <w:szCs w:val="24"/>
          <w:highlight w:val="none"/>
        </w:rPr>
        <w:t>356.51mg/g in</w:t>
      </w:r>
      <w:r>
        <w:rPr>
          <w:rFonts w:hint="default" w:ascii="Times New Roman" w:hAnsi="Times New Roman" w:cs="Times New Roman"/>
          <w:sz w:val="24"/>
          <w:szCs w:val="24"/>
        </w:rPr>
        <w:t xml:space="preserve"> ascorbic acid equivalents. The standard Diosgenin purchased from Sigma, USA was also subjected to estimate the total antioxidant </w:t>
      </w:r>
      <w:r>
        <w:rPr>
          <w:rFonts w:hint="default" w:ascii="Times New Roman" w:hAnsi="Times New Roman" w:cs="Times New Roman"/>
          <w:sz w:val="24"/>
          <w:szCs w:val="24"/>
          <w:lang w:val="en-US"/>
        </w:rPr>
        <w:t xml:space="preserve">potential </w:t>
      </w:r>
      <w:r>
        <w:rPr>
          <w:rFonts w:hint="default" w:ascii="Times New Roman" w:hAnsi="Times New Roman" w:cs="Times New Roman"/>
          <w:sz w:val="24"/>
          <w:szCs w:val="24"/>
        </w:rPr>
        <w:t>was quantified a</w:t>
      </w:r>
      <w:r>
        <w:rPr>
          <w:rFonts w:hint="default" w:ascii="Times New Roman" w:hAnsi="Times New Roman" w:cs="Times New Roman"/>
          <w:sz w:val="24"/>
          <w:szCs w:val="24"/>
          <w:highlight w:val="none"/>
        </w:rPr>
        <w:t xml:space="preserve">s 430.55mg/g. </w:t>
      </w:r>
      <w:r>
        <w:rPr>
          <w:rFonts w:hint="default" w:ascii="Times New Roman" w:hAnsi="Times New Roman" w:cs="Times New Roman"/>
          <w:i/>
          <w:sz w:val="24"/>
          <w:szCs w:val="24"/>
        </w:rPr>
        <w:t xml:space="preserve">In vitro </w:t>
      </w:r>
      <w:r>
        <w:rPr>
          <w:rFonts w:hint="default" w:ascii="Times New Roman" w:hAnsi="Times New Roman" w:cs="Times New Roman"/>
          <w:sz w:val="24"/>
          <w:szCs w:val="24"/>
        </w:rPr>
        <w:t>tuber has higher scavenging capacity which is nearer to the standard value.</w:t>
      </w:r>
    </w:p>
    <w:p>
      <w:pPr>
        <w:tabs>
          <w:tab w:val="left" w:pos="630"/>
          <w:tab w:val="left" w:pos="810"/>
        </w:tabs>
        <w:autoSpaceDE w:val="0"/>
        <w:autoSpaceDN w:val="0"/>
        <w:adjustRightInd w:val="0"/>
        <w:spacing w:after="120" w:line="432" w:lineRule="auto"/>
        <w:jc w:val="both"/>
        <w:rPr>
          <w:rFonts w:hint="default" w:ascii="Times New Roman" w:hAnsi="Times New Roman" w:cs="Times New Roman"/>
          <w:i/>
          <w:sz w:val="24"/>
          <w:szCs w:val="24"/>
        </w:rPr>
      </w:pPr>
      <w:r>
        <w:rPr>
          <w:rFonts w:hint="default" w:ascii="Times New Roman" w:hAnsi="Times New Roman" w:cs="Times New Roman"/>
          <w:sz w:val="24"/>
          <w:szCs w:val="24"/>
        </w:rPr>
        <w:t xml:space="preserve">             </w:t>
      </w:r>
      <w:r>
        <w:rPr>
          <w:rFonts w:hint="default" w:ascii="Times New Roman" w:hAnsi="Times New Roman" w:cs="Times New Roman"/>
          <w:i/>
          <w:sz w:val="24"/>
          <w:szCs w:val="24"/>
        </w:rPr>
        <w:t xml:space="preserve"> D. oppositifolia has </w:t>
      </w:r>
      <w:r>
        <w:rPr>
          <w:rFonts w:hint="default" w:ascii="Times New Roman" w:hAnsi="Times New Roman" w:cs="Times New Roman"/>
          <w:sz w:val="24"/>
          <w:szCs w:val="24"/>
        </w:rPr>
        <w:t xml:space="preserve">greater scavenging activity against DPPH radical, </w:t>
      </w:r>
      <w:r>
        <w:rPr>
          <w:rFonts w:hint="default" w:ascii="Times New Roman" w:hAnsi="Times New Roman" w:cs="Times New Roman"/>
          <w:i/>
          <w:sz w:val="24"/>
          <w:szCs w:val="24"/>
        </w:rPr>
        <w:t>wild</w:t>
      </w:r>
      <w:r>
        <w:rPr>
          <w:rFonts w:hint="default" w:ascii="Times New Roman" w:hAnsi="Times New Roman" w:cs="Times New Roman"/>
          <w:sz w:val="24"/>
          <w:szCs w:val="24"/>
        </w:rPr>
        <w:t xml:space="preserve"> tuber has IC</w:t>
      </w:r>
      <w:r>
        <w:rPr>
          <w:rFonts w:hint="default" w:ascii="Times New Roman" w:hAnsi="Times New Roman" w:cs="Times New Roman"/>
          <w:sz w:val="24"/>
          <w:szCs w:val="24"/>
          <w:vertAlign w:val="subscript"/>
        </w:rPr>
        <w:t>50</w:t>
      </w:r>
      <w:r>
        <w:rPr>
          <w:rFonts w:hint="default" w:ascii="Times New Roman" w:hAnsi="Times New Roman" w:cs="Times New Roman"/>
          <w:sz w:val="24"/>
          <w:szCs w:val="24"/>
        </w:rPr>
        <w:t xml:space="preserve"> value of 300 µg/ml and</w:t>
      </w:r>
      <w:r>
        <w:rPr>
          <w:rFonts w:hint="default" w:ascii="Times New Roman" w:hAnsi="Times New Roman" w:cs="Times New Roman"/>
          <w:i/>
          <w:sz w:val="24"/>
          <w:szCs w:val="24"/>
        </w:rPr>
        <w:t xml:space="preserve"> in vitro</w:t>
      </w:r>
      <w:r>
        <w:rPr>
          <w:rFonts w:hint="default" w:ascii="Times New Roman" w:hAnsi="Times New Roman" w:cs="Times New Roman"/>
          <w:sz w:val="24"/>
          <w:szCs w:val="24"/>
        </w:rPr>
        <w:t xml:space="preserve"> tuber has IC</w:t>
      </w:r>
      <w:r>
        <w:rPr>
          <w:rFonts w:hint="default" w:ascii="Times New Roman" w:hAnsi="Times New Roman" w:cs="Times New Roman"/>
          <w:sz w:val="24"/>
          <w:szCs w:val="24"/>
          <w:vertAlign w:val="subscript"/>
        </w:rPr>
        <w:t>50</w:t>
      </w:r>
      <w:r>
        <w:rPr>
          <w:rFonts w:hint="default" w:ascii="Times New Roman" w:hAnsi="Times New Roman" w:cs="Times New Roman"/>
          <w:sz w:val="24"/>
          <w:szCs w:val="24"/>
        </w:rPr>
        <w:t xml:space="preserve"> value 500 µg/ml against the standard BHT has scavenging capacity IC</w:t>
      </w:r>
      <w:r>
        <w:rPr>
          <w:rFonts w:hint="default" w:ascii="Times New Roman" w:hAnsi="Times New Roman" w:cs="Times New Roman"/>
          <w:sz w:val="24"/>
          <w:szCs w:val="24"/>
          <w:vertAlign w:val="subscript"/>
        </w:rPr>
        <w:t xml:space="preserve">50 </w:t>
      </w:r>
      <w:r>
        <w:rPr>
          <w:rFonts w:hint="default" w:ascii="Times New Roman" w:hAnsi="Times New Roman" w:cs="Times New Roman"/>
          <w:sz w:val="24"/>
          <w:szCs w:val="24"/>
        </w:rPr>
        <w:t>value of 50 µg/ml (Table 10, Figure 15).</w:t>
      </w:r>
      <w:r>
        <w:rPr>
          <w:rFonts w:hint="default" w:ascii="Times New Roman" w:hAnsi="Times New Roman" w:cs="Times New Roman"/>
          <w:b/>
          <w:sz w:val="24"/>
          <w:szCs w:val="24"/>
        </w:rPr>
        <w:t xml:space="preserve"> </w:t>
      </w:r>
    </w:p>
    <w:p>
      <w:pPr>
        <w:tabs>
          <w:tab w:val="left" w:pos="630"/>
          <w:tab w:val="left" w:pos="810"/>
        </w:tabs>
        <w:autoSpaceDE w:val="0"/>
        <w:autoSpaceDN w:val="0"/>
        <w:adjustRightInd w:val="0"/>
        <w:spacing w:after="120" w:line="432" w:lineRule="auto"/>
        <w:jc w:val="both"/>
        <w:rPr>
          <w:rFonts w:hint="default" w:ascii="Times New Roman" w:hAnsi="Times New Roman" w:cs="Times New Roman"/>
          <w:b/>
          <w:sz w:val="24"/>
          <w:szCs w:val="24"/>
          <w:lang w:val="en-US"/>
        </w:rPr>
      </w:pPr>
      <w:r>
        <w:rPr>
          <w:rFonts w:hint="default" w:ascii="Times New Roman" w:hAnsi="Times New Roman" w:cs="Times New Roman"/>
          <w:i/>
          <w:sz w:val="24"/>
          <w:szCs w:val="24"/>
        </w:rPr>
        <w:tab/>
      </w:r>
      <w:r>
        <w:rPr>
          <w:rFonts w:hint="default" w:ascii="Times New Roman" w:hAnsi="Times New Roman" w:cs="Times New Roman"/>
          <w:i/>
          <w:sz w:val="24"/>
          <w:szCs w:val="24"/>
        </w:rPr>
        <w:t xml:space="preserve">D. oppositifolia </w:t>
      </w:r>
      <w:r>
        <w:rPr>
          <w:rFonts w:hint="default" w:ascii="Times New Roman" w:hAnsi="Times New Roman" w:cs="Times New Roman"/>
          <w:sz w:val="24"/>
          <w:szCs w:val="24"/>
        </w:rPr>
        <w:t>L.</w:t>
      </w:r>
      <w:r>
        <w:rPr>
          <w:rFonts w:hint="default" w:ascii="Times New Roman" w:hAnsi="Times New Roman" w:cs="Times New Roman"/>
          <w:i/>
          <w:sz w:val="24"/>
          <w:szCs w:val="24"/>
        </w:rPr>
        <w:t xml:space="preserve"> </w:t>
      </w:r>
      <w:r>
        <w:rPr>
          <w:rFonts w:hint="default" w:ascii="Times New Roman" w:hAnsi="Times New Roman" w:cs="Times New Roman"/>
          <w:sz w:val="24"/>
          <w:szCs w:val="24"/>
        </w:rPr>
        <w:t>tuber has greater scavenging activity by ABTS radical (Table 11, Figure 16). The IC</w:t>
      </w:r>
      <w:r>
        <w:rPr>
          <w:rFonts w:hint="default" w:ascii="Times New Roman" w:hAnsi="Times New Roman" w:cs="Times New Roman"/>
          <w:sz w:val="24"/>
          <w:szCs w:val="24"/>
          <w:vertAlign w:val="subscript"/>
        </w:rPr>
        <w:t>50</w:t>
      </w:r>
      <w:r>
        <w:rPr>
          <w:rFonts w:hint="default" w:ascii="Times New Roman" w:hAnsi="Times New Roman" w:cs="Times New Roman"/>
          <w:sz w:val="24"/>
          <w:szCs w:val="24"/>
        </w:rPr>
        <w:t xml:space="preserve"> value of</w:t>
      </w:r>
      <w:r>
        <w:rPr>
          <w:rFonts w:hint="default" w:ascii="Times New Roman" w:hAnsi="Times New Roman" w:cs="Times New Roman"/>
          <w:i/>
          <w:sz w:val="24"/>
          <w:szCs w:val="24"/>
        </w:rPr>
        <w:t xml:space="preserve"> in vitro</w:t>
      </w:r>
      <w:r>
        <w:rPr>
          <w:rFonts w:hint="default" w:ascii="Times New Roman" w:hAnsi="Times New Roman" w:cs="Times New Roman"/>
          <w:sz w:val="24"/>
          <w:szCs w:val="24"/>
        </w:rPr>
        <w:t xml:space="preserve"> tuber is 400µg/ml, and IC</w:t>
      </w:r>
      <w:r>
        <w:rPr>
          <w:rFonts w:hint="default" w:ascii="Times New Roman" w:hAnsi="Times New Roman" w:cs="Times New Roman"/>
          <w:sz w:val="24"/>
          <w:szCs w:val="24"/>
          <w:vertAlign w:val="subscript"/>
        </w:rPr>
        <w:t>50</w:t>
      </w:r>
      <w:r>
        <w:rPr>
          <w:rFonts w:hint="default" w:ascii="Times New Roman" w:hAnsi="Times New Roman" w:cs="Times New Roman"/>
          <w:sz w:val="24"/>
          <w:szCs w:val="24"/>
        </w:rPr>
        <w:t xml:space="preserve"> value of </w:t>
      </w:r>
      <w:r>
        <w:rPr>
          <w:rFonts w:hint="default" w:ascii="Times New Roman" w:hAnsi="Times New Roman" w:cs="Times New Roman"/>
          <w:i/>
          <w:sz w:val="24"/>
          <w:szCs w:val="24"/>
        </w:rPr>
        <w:t>wild</w:t>
      </w:r>
      <w:r>
        <w:rPr>
          <w:rFonts w:hint="default" w:ascii="Times New Roman" w:hAnsi="Times New Roman" w:cs="Times New Roman"/>
          <w:sz w:val="24"/>
          <w:szCs w:val="24"/>
        </w:rPr>
        <w:t xml:space="preserve"> tuber is 500µg/ml, while BHT shows IC</w:t>
      </w:r>
      <w:r>
        <w:rPr>
          <w:rFonts w:hint="default" w:ascii="Times New Roman" w:hAnsi="Times New Roman" w:cs="Times New Roman"/>
          <w:sz w:val="24"/>
          <w:szCs w:val="24"/>
          <w:vertAlign w:val="subscript"/>
        </w:rPr>
        <w:t>50</w:t>
      </w:r>
      <w:r>
        <w:rPr>
          <w:rFonts w:hint="default" w:ascii="Times New Roman" w:hAnsi="Times New Roman" w:cs="Times New Roman"/>
          <w:sz w:val="24"/>
          <w:szCs w:val="24"/>
        </w:rPr>
        <w:t xml:space="preserve"> value of 400µg/ml. </w:t>
      </w:r>
      <w:r>
        <w:rPr>
          <w:rFonts w:hint="default" w:ascii="Times New Roman" w:hAnsi="Times New Roman" w:cs="Times New Roman"/>
          <w:i/>
          <w:caps/>
          <w:sz w:val="24"/>
          <w:szCs w:val="24"/>
        </w:rPr>
        <w:t>i</w:t>
      </w:r>
      <w:r>
        <w:rPr>
          <w:rFonts w:hint="default" w:ascii="Times New Roman" w:hAnsi="Times New Roman" w:cs="Times New Roman"/>
          <w:i/>
          <w:sz w:val="24"/>
          <w:szCs w:val="24"/>
        </w:rPr>
        <w:t xml:space="preserve">n vitro </w:t>
      </w:r>
      <w:r>
        <w:rPr>
          <w:rFonts w:hint="default" w:ascii="Times New Roman" w:hAnsi="Times New Roman" w:cs="Times New Roman"/>
          <w:sz w:val="24"/>
          <w:szCs w:val="24"/>
        </w:rPr>
        <w:t xml:space="preserve">tuber has scavenging activity which is equal to BHT standard.  Duncan’s multiple ranges test was used to determine the significant difference between different treatments.. </w:t>
      </w:r>
      <w:r>
        <w:rPr>
          <w:rFonts w:hint="default" w:ascii="Times New Roman" w:hAnsi="Times New Roman" w:cs="Times New Roman"/>
          <w:sz w:val="24"/>
          <w:szCs w:val="24"/>
          <w:lang w:val="en-US"/>
        </w:rPr>
        <w:t xml:space="preserve">ANOVA analysis were carried out at significant level at 5%. </w:t>
      </w:r>
      <w:r>
        <w:rPr>
          <w:rFonts w:hint="default" w:ascii="Times New Roman" w:hAnsi="Times New Roman" w:cs="Times New Roman"/>
          <w:sz w:val="24"/>
          <w:szCs w:val="24"/>
        </w:rPr>
        <w:t xml:space="preserve">These results suggest that tuber extract of </w:t>
      </w:r>
      <w:r>
        <w:rPr>
          <w:rFonts w:hint="default" w:ascii="Times New Roman" w:hAnsi="Times New Roman" w:cs="Times New Roman"/>
          <w:i/>
          <w:sz w:val="24"/>
          <w:szCs w:val="24"/>
        </w:rPr>
        <w:t>D. oppositifolia</w:t>
      </w:r>
      <w:r>
        <w:rPr>
          <w:rFonts w:hint="default" w:ascii="Times New Roman" w:hAnsi="Times New Roman" w:cs="Times New Roman"/>
          <w:sz w:val="24"/>
          <w:szCs w:val="24"/>
        </w:rPr>
        <w:t xml:space="preserve"> has</w:t>
      </w:r>
      <w:r>
        <w:rPr>
          <w:rFonts w:hint="default" w:ascii="Times New Roman" w:hAnsi="Times New Roman" w:cs="Times New Roman"/>
          <w:sz w:val="24"/>
          <w:szCs w:val="24"/>
          <w:lang w:val="en-US"/>
        </w:rPr>
        <w:t xml:space="preserve"> greater</w:t>
      </w:r>
      <w:r>
        <w:rPr>
          <w:rFonts w:hint="default" w:ascii="Times New Roman" w:hAnsi="Times New Roman" w:cs="Times New Roman"/>
          <w:sz w:val="24"/>
          <w:szCs w:val="24"/>
        </w:rPr>
        <w:t xml:space="preserve"> potent anti</w:t>
      </w:r>
      <w:r>
        <w:rPr>
          <w:rFonts w:hint="default" w:ascii="Times New Roman" w:hAnsi="Times New Roman" w:cs="Times New Roman"/>
          <w:sz w:val="24"/>
          <w:szCs w:val="24"/>
          <w:lang w:val="en-US"/>
        </w:rPr>
        <w:t xml:space="preserve">oxidant scavenging </w:t>
      </w:r>
      <w:r>
        <w:rPr>
          <w:rFonts w:hint="default" w:ascii="Times New Roman" w:hAnsi="Times New Roman" w:cs="Times New Roman"/>
          <w:sz w:val="24"/>
          <w:szCs w:val="24"/>
        </w:rPr>
        <w:t>activity</w:t>
      </w:r>
      <w:r>
        <w:rPr>
          <w:rFonts w:hint="default" w:ascii="Times New Roman" w:hAnsi="Times New Roman" w:cs="Times New Roman"/>
          <w:sz w:val="24"/>
          <w:szCs w:val="24"/>
          <w:lang w:val="en-US"/>
        </w:rPr>
        <w:t>.</w:t>
      </w:r>
    </w:p>
    <w:p>
      <w:pPr>
        <w:autoSpaceDE w:val="0"/>
        <w:autoSpaceDN w:val="0"/>
        <w:adjustRightInd w:val="0"/>
        <w:spacing w:after="0" w:line="480" w:lineRule="auto"/>
        <w:rPr>
          <w:rFonts w:hint="default" w:ascii="Times New Roman" w:hAnsi="Times New Roman" w:cs="Times New Roman"/>
          <w:sz w:val="24"/>
          <w:szCs w:val="24"/>
        </w:rPr>
      </w:pPr>
      <w:r>
        <w:rPr>
          <w:rFonts w:hint="default" w:ascii="Times New Roman" w:hAnsi="Times New Roman" w:cs="Times New Roman"/>
          <w:b/>
          <w:bCs/>
          <w:sz w:val="24"/>
          <w:szCs w:val="24"/>
        </w:rPr>
        <w:t>Acknowledgements</w:t>
      </w:r>
    </w:p>
    <w:p>
      <w:pPr>
        <w:autoSpaceDE w:val="0"/>
        <w:autoSpaceDN w:val="0"/>
        <w:adjustRightInd w:val="0"/>
        <w:spacing w:after="0" w:line="480" w:lineRule="auto"/>
        <w:jc w:val="both"/>
        <w:rPr>
          <w:rFonts w:hint="default" w:ascii="Times New Roman" w:hAnsi="Times New Roman" w:cs="Times New Roman"/>
          <w:b/>
          <w:sz w:val="24"/>
          <w:szCs w:val="24"/>
        </w:rPr>
      </w:pPr>
      <w:r>
        <w:rPr>
          <w:rFonts w:hint="default" w:ascii="Times New Roman" w:hAnsi="Times New Roman" w:cs="Times New Roman"/>
          <w:sz w:val="24"/>
          <w:szCs w:val="24"/>
        </w:rPr>
        <w:t>This study has been supported by grants from University Grant Commission (UGC), Government of India, New Delhi. The author gratefully acknowledges the UGC for providing Rajiv Gandhi National Fellowship (RGNF) for financial support.</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References:</w:t>
      </w:r>
    </w:p>
    <w:p>
      <w:pPr>
        <w:autoSpaceDE w:val="0"/>
        <w:autoSpaceDN w:val="0"/>
        <w:adjustRightInd w:val="0"/>
        <w:spacing w:after="0" w:line="480" w:lineRule="auto"/>
        <w:ind w:left="720" w:hanging="720"/>
        <w:jc w:val="both"/>
        <w:rPr>
          <w:rFonts w:hint="default" w:ascii="Times New Roman" w:hAnsi="Times New Roman" w:cs="Times New Roman"/>
          <w:iCs/>
          <w:sz w:val="24"/>
          <w:szCs w:val="24"/>
        </w:rPr>
      </w:pPr>
      <w:r>
        <w:rPr>
          <w:rFonts w:hint="default" w:ascii="Times New Roman" w:hAnsi="Times New Roman" w:cs="Times New Roman"/>
          <w:iCs/>
          <w:sz w:val="24"/>
          <w:szCs w:val="24"/>
        </w:rPr>
        <w:t xml:space="preserve">Fu, Y.C., Ferng, L.H.A., Huang, P.Y., 2006. Quantitative analysis of allantoin and allantoic acid in yam tuber, mucilage, skin and bulbil of the </w:t>
      </w:r>
      <w:r>
        <w:rPr>
          <w:rFonts w:hint="default" w:ascii="Times New Roman" w:hAnsi="Times New Roman" w:cs="Times New Roman"/>
          <w:i/>
          <w:iCs/>
          <w:sz w:val="24"/>
          <w:szCs w:val="24"/>
        </w:rPr>
        <w:t>Dioscorea species</w:t>
      </w:r>
      <w:r>
        <w:rPr>
          <w:rFonts w:hint="default" w:ascii="Times New Roman" w:hAnsi="Times New Roman" w:cs="Times New Roman"/>
          <w:iCs/>
          <w:sz w:val="24"/>
          <w:szCs w:val="24"/>
        </w:rPr>
        <w:t xml:space="preserve">. </w:t>
      </w:r>
      <w:r>
        <w:rPr>
          <w:rFonts w:hint="default" w:ascii="Times New Roman" w:hAnsi="Times New Roman" w:cs="Times New Roman"/>
          <w:i/>
          <w:iCs/>
          <w:sz w:val="24"/>
          <w:szCs w:val="24"/>
        </w:rPr>
        <w:t>Food Chemistry</w:t>
      </w:r>
      <w:r>
        <w:rPr>
          <w:rFonts w:hint="default" w:ascii="Times New Roman" w:hAnsi="Times New Roman" w:cs="Times New Roman"/>
          <w:iCs/>
          <w:sz w:val="24"/>
          <w:szCs w:val="24"/>
        </w:rPr>
        <w:t>. 94, 541–549.</w:t>
      </w:r>
    </w:p>
    <w:p>
      <w:pPr>
        <w:pStyle w:val="16"/>
        <w:spacing w:after="0" w:line="480" w:lineRule="auto"/>
        <w:ind w:hanging="720"/>
        <w:contextualSpacing w:val="0"/>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rPr>
        <w:t>Gomez, A., Kwanchai, A., 1984.</w:t>
      </w:r>
      <w:r>
        <w:rPr>
          <w:rFonts w:hint="default" w:ascii="Times New Roman" w:hAnsi="Times New Roman" w:cs="Times New Roman"/>
          <w:sz w:val="24"/>
          <w:szCs w:val="24"/>
          <w:shd w:val="clear" w:color="auto" w:fill="FFFFFF"/>
        </w:rPr>
        <w:t xml:space="preserve"> Statistical Procedures for Agricultural Research.</w:t>
      </w:r>
      <w:r>
        <w:rPr>
          <w:rFonts w:hint="default" w:ascii="Times New Roman" w:hAnsi="Times New Roman" w:cs="Times New Roman"/>
          <w:sz w:val="24"/>
          <w:szCs w:val="24"/>
        </w:rPr>
        <w:t xml:space="preserve"> An International Rice Research Institute book. </w:t>
      </w:r>
      <w:r>
        <w:rPr>
          <w:rFonts w:hint="default" w:ascii="Times New Roman" w:hAnsi="Times New Roman" w:cs="Times New Roman"/>
          <w:i/>
          <w:sz w:val="24"/>
          <w:szCs w:val="24"/>
        </w:rPr>
        <w:t>Wiley-Interscience publication</w:t>
      </w:r>
      <w:r>
        <w:rPr>
          <w:rFonts w:hint="default" w:ascii="Times New Roman" w:hAnsi="Times New Roman" w:cs="Times New Roman"/>
          <w:sz w:val="24"/>
          <w:szCs w:val="24"/>
        </w:rPr>
        <w:t>.</w:t>
      </w:r>
      <w:r>
        <w:rPr>
          <w:rFonts w:hint="default" w:ascii="Times New Roman" w:hAnsi="Times New Roman" w:cs="Times New Roman"/>
          <w:sz w:val="24"/>
          <w:szCs w:val="24"/>
          <w:shd w:val="clear" w:color="auto" w:fill="FFFFFF"/>
        </w:rPr>
        <w:t xml:space="preserve"> </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Gong, G., Qin, Y., Huang, W., Zhou, S., Wu, X., Yang, X., Zhao, Y., Li, D., (2010). Protective effects of diosgenin in the hyperlipidemic rat model and in human vascular endothelial cells against hydrogen peroxide-induced apoptosis. </w:t>
      </w:r>
      <w:r>
        <w:rPr>
          <w:rFonts w:hint="default" w:ascii="Times New Roman" w:hAnsi="Times New Roman" w:cs="Times New Roman"/>
          <w:i/>
          <w:sz w:val="24"/>
          <w:szCs w:val="24"/>
        </w:rPr>
        <w:t>Chemico-Biological Interactions.</w:t>
      </w:r>
      <w:r>
        <w:rPr>
          <w:rFonts w:hint="default" w:ascii="Times New Roman" w:hAnsi="Times New Roman" w:cs="Times New Roman"/>
          <w:sz w:val="24"/>
          <w:szCs w:val="24"/>
        </w:rPr>
        <w:t xml:space="preserve"> 184(3): 366-375.</w:t>
      </w:r>
    </w:p>
    <w:p>
      <w:pPr>
        <w:spacing w:after="0"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Heena J. Shah., and Lele., S.S., 2012. Extraction of Diosgenin, a Bioactive Compound from Natural Source </w:t>
      </w:r>
      <w:r>
        <w:rPr>
          <w:rFonts w:hint="default" w:ascii="Times New Roman" w:hAnsi="Times New Roman" w:cs="Times New Roman"/>
          <w:i/>
          <w:sz w:val="24"/>
          <w:szCs w:val="24"/>
        </w:rPr>
        <w:t>Dioscorea alata</w:t>
      </w:r>
      <w:r>
        <w:rPr>
          <w:rFonts w:hint="default" w:ascii="Times New Roman" w:hAnsi="Times New Roman" w:cs="Times New Roman"/>
          <w:sz w:val="24"/>
          <w:szCs w:val="24"/>
        </w:rPr>
        <w:t xml:space="preserve"> Var purpurae. </w:t>
      </w:r>
      <w:r>
        <w:rPr>
          <w:rFonts w:hint="default" w:ascii="Times New Roman" w:hAnsi="Times New Roman" w:cs="Times New Roman"/>
          <w:i/>
          <w:sz w:val="24"/>
          <w:szCs w:val="24"/>
        </w:rPr>
        <w:t>J</w:t>
      </w:r>
      <w:r>
        <w:rPr>
          <w:rFonts w:hint="default" w:ascii="Times New Roman" w:hAnsi="Times New Roman" w:cs="Times New Roman"/>
          <w:sz w:val="24"/>
          <w:szCs w:val="24"/>
        </w:rPr>
        <w:t>.</w:t>
      </w:r>
      <w:r>
        <w:rPr>
          <w:rFonts w:hint="default" w:ascii="Times New Roman" w:hAnsi="Times New Roman" w:cs="Times New Roman"/>
          <w:i/>
          <w:sz w:val="24"/>
          <w:szCs w:val="24"/>
        </w:rPr>
        <w:t xml:space="preserve"> Anal</w:t>
      </w:r>
      <w:r>
        <w:rPr>
          <w:rFonts w:hint="default" w:ascii="Times New Roman" w:hAnsi="Times New Roman" w:cs="Times New Roman"/>
          <w:sz w:val="24"/>
          <w:szCs w:val="24"/>
        </w:rPr>
        <w:t>.</w:t>
      </w:r>
      <w:r>
        <w:rPr>
          <w:rFonts w:hint="default" w:ascii="Times New Roman" w:hAnsi="Times New Roman" w:cs="Times New Roman"/>
          <w:i/>
          <w:sz w:val="24"/>
          <w:szCs w:val="24"/>
        </w:rPr>
        <w:t xml:space="preserve"> Bioanal</w:t>
      </w:r>
      <w:r>
        <w:rPr>
          <w:rFonts w:hint="default" w:ascii="Times New Roman" w:hAnsi="Times New Roman" w:cs="Times New Roman"/>
          <w:sz w:val="24"/>
          <w:szCs w:val="24"/>
        </w:rPr>
        <w:t>.</w:t>
      </w:r>
      <w:r>
        <w:rPr>
          <w:rFonts w:hint="default" w:ascii="Times New Roman" w:hAnsi="Times New Roman" w:cs="Times New Roman"/>
          <w:i/>
          <w:sz w:val="24"/>
          <w:szCs w:val="24"/>
        </w:rPr>
        <w:t xml:space="preserve"> Techniques.</w:t>
      </w:r>
      <w:r>
        <w:rPr>
          <w:rFonts w:hint="default" w:ascii="Times New Roman" w:hAnsi="Times New Roman" w:cs="Times New Roman"/>
          <w:sz w:val="24"/>
          <w:szCs w:val="24"/>
        </w:rPr>
        <w:t xml:space="preserve"> 3, 4.</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Kakkar, P., Das, B., Vishwanathan, P.N., 1984. A modified spectrophotometric assay of superoxide dismutase. </w:t>
      </w:r>
      <w:r>
        <w:rPr>
          <w:rFonts w:hint="default" w:ascii="Times New Roman" w:hAnsi="Times New Roman" w:cs="Times New Roman"/>
          <w:i/>
          <w:sz w:val="24"/>
          <w:szCs w:val="24"/>
        </w:rPr>
        <w:t>Indian J. Biochem. Biophys.</w:t>
      </w:r>
      <w:r>
        <w:rPr>
          <w:rFonts w:hint="default" w:ascii="Times New Roman" w:hAnsi="Times New Roman" w:cs="Times New Roman"/>
          <w:sz w:val="24"/>
          <w:szCs w:val="24"/>
        </w:rPr>
        <w:t xml:space="preserve">  21, 130-13.</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Katy Lisias, G.D., Nadja da Azevedo, C., Kristhea Karyne, G.P. 2007. Mechanisms involved in the vasodilator effect induced by diosgenin in rat superior mesenteric artery. </w:t>
      </w:r>
      <w:r>
        <w:rPr>
          <w:rFonts w:hint="default" w:ascii="Times New Roman" w:hAnsi="Times New Roman" w:cs="Times New Roman"/>
          <w:i/>
          <w:sz w:val="24"/>
          <w:szCs w:val="24"/>
        </w:rPr>
        <w:t>Eur J Pharmacology</w:t>
      </w:r>
      <w:r>
        <w:rPr>
          <w:rFonts w:hint="default" w:ascii="Times New Roman" w:hAnsi="Times New Roman" w:cs="Times New Roman"/>
          <w:sz w:val="24"/>
          <w:szCs w:val="24"/>
        </w:rPr>
        <w:t>. 574, 172-178.</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Kim, J.S., Kuk, E., Yu, K.N., Kim, J.H., Park, S.J. Lee, H.J. 2007. Silver nanoparticle synthesis and their antimicrobial activity. </w:t>
      </w:r>
      <w:r>
        <w:rPr>
          <w:rFonts w:hint="default" w:ascii="Times New Roman" w:hAnsi="Times New Roman" w:cs="Times New Roman"/>
          <w:i/>
          <w:sz w:val="24"/>
          <w:szCs w:val="24"/>
        </w:rPr>
        <w:t>Nanotechnology, Biology and Medicine.</w:t>
      </w:r>
      <w:r>
        <w:rPr>
          <w:rFonts w:hint="default" w:ascii="Times New Roman" w:hAnsi="Times New Roman" w:cs="Times New Roman"/>
          <w:sz w:val="24"/>
          <w:szCs w:val="24"/>
        </w:rPr>
        <w:t xml:space="preserve"> 3 (1,): 95-101.</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Lepage, C. Léger, Bertrand, D.Y., Martin, J., Beneytout, F., and Liagre, B., 2011. Diosgenin induces death receptor-5 through activation of p38 pathway and promotes TRAIL-induced apoptosis in colon cancer cells. </w:t>
      </w:r>
      <w:r>
        <w:rPr>
          <w:rFonts w:hint="default" w:ascii="Times New Roman" w:hAnsi="Times New Roman" w:cs="Times New Roman"/>
          <w:i/>
          <w:sz w:val="24"/>
          <w:szCs w:val="24"/>
        </w:rPr>
        <w:t>Cancer Letters</w:t>
      </w:r>
      <w:r>
        <w:rPr>
          <w:rFonts w:hint="default" w:ascii="Times New Roman" w:hAnsi="Times New Roman" w:cs="Times New Roman"/>
          <w:sz w:val="24"/>
          <w:szCs w:val="24"/>
        </w:rPr>
        <w:t>. 301(2): 193–202.</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Monks, A., Scudiero, D., Skehan, P., Shoemaker, R., Paull, K., Vistica, D., Hose, C., Langley, J., Cronise, P., Vaigro-Wolff, A., Gray-Goodrich, M., Campbell, H., Mayo, J., Boyd, 1991. Feasibility of high flux anticancer drug screen using a diverse panel of cultured human tumour cell lines. Journal of the National Cancer Institute, 83, 757-76.</w:t>
      </w:r>
    </w:p>
    <w:p>
      <w:pPr>
        <w:pStyle w:val="16"/>
        <w:autoSpaceDE w:val="0"/>
        <w:autoSpaceDN w:val="0"/>
        <w:adjustRightInd w:val="0"/>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Marie, A., Anuff-Harding, M.C., Omoruyi, F., 2006. Intestinal disaccharides and some renal enzymes in streptozotocin- induced diabetic rats fed sapogenin extract from bitter yam. </w:t>
      </w:r>
      <w:r>
        <w:rPr>
          <w:rFonts w:hint="default" w:ascii="Times New Roman" w:hAnsi="Times New Roman" w:cs="Times New Roman"/>
          <w:i/>
          <w:sz w:val="24"/>
          <w:szCs w:val="24"/>
        </w:rPr>
        <w:t>Life Science</w:t>
      </w:r>
      <w:r>
        <w:rPr>
          <w:rFonts w:hint="default" w:ascii="Times New Roman" w:hAnsi="Times New Roman" w:cs="Times New Roman"/>
          <w:sz w:val="24"/>
          <w:szCs w:val="24"/>
        </w:rPr>
        <w:t>. 78:2595-2600.</w:t>
      </w:r>
    </w:p>
    <w:p>
      <w:pPr>
        <w:pStyle w:val="16"/>
        <w:tabs>
          <w:tab w:val="left" w:pos="915"/>
        </w:tabs>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Moron, Μ. S., Depierre, J. W., Mannervik, Β.,1979. </w:t>
      </w:r>
      <w:r>
        <w:rPr>
          <w:rFonts w:hint="default" w:ascii="Times New Roman" w:hAnsi="Times New Roman" w:cs="Times New Roman"/>
          <w:i/>
          <w:sz w:val="24"/>
          <w:szCs w:val="24"/>
        </w:rPr>
        <w:t>Biochim. Biophys. Acta.</w:t>
      </w:r>
      <w:r>
        <w:rPr>
          <w:rFonts w:hint="default" w:ascii="Times New Roman" w:hAnsi="Times New Roman" w:cs="Times New Roman"/>
          <w:sz w:val="24"/>
          <w:szCs w:val="24"/>
        </w:rPr>
        <w:t xml:space="preserve"> 582, 67.</w:t>
      </w:r>
    </w:p>
    <w:p>
      <w:pPr>
        <w:spacing w:after="0"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Montririttigri. K, Moongkarndi. P, Joongsomboonkusol. S, Chitkul. B and Pattanapanyasat. K. 2008. Apoptotic Activity of Aporphine from Stephania venosa on Human Ovarian Cancer Cells, Mahidol University </w:t>
      </w:r>
      <w:r>
        <w:rPr>
          <w:rFonts w:hint="default" w:ascii="Times New Roman" w:hAnsi="Times New Roman" w:cs="Times New Roman"/>
          <w:i/>
          <w:sz w:val="24"/>
          <w:szCs w:val="24"/>
        </w:rPr>
        <w:t>Journal of Pharmaceutical Sciences</w:t>
      </w:r>
      <w:r>
        <w:rPr>
          <w:rFonts w:hint="default" w:ascii="Times New Roman" w:hAnsi="Times New Roman" w:cs="Times New Roman"/>
          <w:sz w:val="24"/>
          <w:szCs w:val="24"/>
        </w:rPr>
        <w:t xml:space="preserve"> 2008; 35(1-4): 52-56.</w:t>
      </w:r>
    </w:p>
    <w:p>
      <w:pPr>
        <w:spacing w:after="0" w:line="480" w:lineRule="auto"/>
        <w:ind w:left="720" w:hanging="720"/>
        <w:jc w:val="both"/>
        <w:rPr>
          <w:rFonts w:hint="default" w:ascii="Times New Roman" w:hAnsi="Times New Roman" w:cs="Times New Roman"/>
          <w:sz w:val="24"/>
          <w:szCs w:val="24"/>
        </w:rPr>
      </w:pPr>
      <w:r>
        <w:rPr>
          <w:rFonts w:hint="default" w:ascii="Times New Roman" w:hAnsi="Times New Roman"/>
          <w:sz w:val="24"/>
          <w:szCs w:val="24"/>
        </w:rPr>
        <w:t>Tapondjou, L. A., Jenett-Siems, K., Böttger, S., &amp; Melzig, M. F. (2013). Steroidal saponins from the flowers of Dioscorea bulbifera var. sativa. Phytochemistry, 95, 341-350.</w:t>
      </w:r>
    </w:p>
    <w:p>
      <w:pPr>
        <w:pStyle w:val="17"/>
        <w:tabs>
          <w:tab w:val="left" w:pos="900"/>
        </w:tabs>
        <w:spacing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Ohkawa H, Ohishi N, Yagi K (1979) Assay for lipid peroxides in animal tissues by thiobarbituric acid reaction. </w:t>
      </w:r>
      <w:r>
        <w:rPr>
          <w:rFonts w:hint="default" w:ascii="Times New Roman" w:hAnsi="Times New Roman" w:cs="Times New Roman"/>
          <w:i/>
          <w:sz w:val="24"/>
          <w:szCs w:val="24"/>
        </w:rPr>
        <w:t>Anal Biochem</w:t>
      </w:r>
      <w:r>
        <w:rPr>
          <w:rFonts w:hint="default" w:ascii="Times New Roman" w:hAnsi="Times New Roman" w:cs="Times New Roman"/>
          <w:sz w:val="24"/>
          <w:szCs w:val="24"/>
        </w:rPr>
        <w:t xml:space="preserve"> 95:1-38</w:t>
      </w:r>
    </w:p>
    <w:p>
      <w:pPr>
        <w:pStyle w:val="16"/>
        <w:spacing w:after="0" w:line="480" w:lineRule="auto"/>
        <w:ind w:hanging="720"/>
        <w:contextualSpacing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Raju, J., and Mehta, R.,2009. Cancer Chemopreventive and therapeutic effects of diosgenin, a food saponin. </w:t>
      </w:r>
      <w:r>
        <w:rPr>
          <w:rFonts w:hint="default" w:ascii="Times New Roman" w:hAnsi="Times New Roman" w:cs="Times New Roman"/>
          <w:i/>
          <w:sz w:val="24"/>
          <w:szCs w:val="24"/>
        </w:rPr>
        <w:t>Nutrition and Cancer.</w:t>
      </w:r>
      <w:r>
        <w:rPr>
          <w:rFonts w:hint="default" w:ascii="Times New Roman" w:hAnsi="Times New Roman" w:cs="Times New Roman"/>
          <w:sz w:val="24"/>
          <w:szCs w:val="24"/>
        </w:rPr>
        <w:t xml:space="preserve">  61(1): 27–35.</w:t>
      </w:r>
    </w:p>
    <w:p>
      <w:pPr>
        <w:pStyle w:val="17"/>
        <w:spacing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Reitman S., Frankel S.,  1974. Colorimetric method determination of serum glutamate oxaloacetate and glutamate pyruvate transaminase. </w:t>
      </w:r>
      <w:r>
        <w:rPr>
          <w:rFonts w:hint="default" w:ascii="Times New Roman" w:hAnsi="Times New Roman" w:cs="Times New Roman"/>
          <w:i/>
          <w:sz w:val="24"/>
          <w:szCs w:val="24"/>
        </w:rPr>
        <w:t>Am. J. Pathol</w:t>
      </w:r>
      <w:r>
        <w:rPr>
          <w:rFonts w:hint="default" w:ascii="Times New Roman" w:hAnsi="Times New Roman" w:cs="Times New Roman"/>
          <w:sz w:val="24"/>
          <w:szCs w:val="24"/>
        </w:rPr>
        <w:t>. 28:56-63.</w:t>
      </w:r>
    </w:p>
    <w:p>
      <w:pPr>
        <w:pStyle w:val="17"/>
        <w:spacing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Tong Q.Y., yang He., Qing – Bing Zhao., Yong Quing ., Wen Huang., Xiao- Hua Wu, 2012. Cytotoxicity and apoptosis-inducing effect of steroidal saponins from </w:t>
      </w:r>
      <w:r>
        <w:rPr>
          <w:rFonts w:hint="default" w:ascii="Times New Roman" w:hAnsi="Times New Roman" w:cs="Times New Roman"/>
          <w:i/>
          <w:sz w:val="24"/>
          <w:szCs w:val="24"/>
        </w:rPr>
        <w:t>Dioscorea zingiberensis</w:t>
      </w:r>
      <w:r>
        <w:rPr>
          <w:rFonts w:hint="default" w:ascii="Times New Roman" w:hAnsi="Times New Roman" w:cs="Times New Roman"/>
          <w:sz w:val="24"/>
          <w:szCs w:val="24"/>
        </w:rPr>
        <w:t xml:space="preserve"> wright against cancer cells. </w:t>
      </w:r>
      <w:r>
        <w:rPr>
          <w:rFonts w:hint="default" w:ascii="Times New Roman" w:hAnsi="Times New Roman" w:cs="Times New Roman"/>
          <w:i/>
          <w:sz w:val="24"/>
          <w:szCs w:val="24"/>
        </w:rPr>
        <w:t>Steroids.</w:t>
      </w:r>
      <w:r>
        <w:rPr>
          <w:rFonts w:hint="default" w:ascii="Times New Roman" w:hAnsi="Times New Roman" w:cs="Times New Roman"/>
          <w:sz w:val="24"/>
          <w:szCs w:val="24"/>
        </w:rPr>
        <w:t xml:space="preserve"> 77:1219-1227</w:t>
      </w:r>
    </w:p>
    <w:p>
      <w:pPr>
        <w:pStyle w:val="17"/>
        <w:spacing w:line="480" w:lineRule="auto"/>
        <w:ind w:left="720" w:hanging="720"/>
        <w:jc w:val="both"/>
        <w:rPr>
          <w:rFonts w:hint="default" w:ascii="Times New Roman" w:hAnsi="Times New Roman"/>
          <w:sz w:val="24"/>
          <w:szCs w:val="24"/>
          <w:lang w:eastAsia="en-IN"/>
        </w:rPr>
      </w:pPr>
      <w:r>
        <w:rPr>
          <w:rFonts w:hint="default" w:ascii="Times New Roman" w:hAnsi="Times New Roman"/>
          <w:sz w:val="24"/>
          <w:szCs w:val="24"/>
          <w:lang w:eastAsia="en-IN"/>
        </w:rPr>
        <w:t>Farasat M, Khavari-Nejad RA, Nabavi SM, Namjooyan F. Antioxidant Activity, Total Phenolics and Flavonoid Contents of some Edible Green Seaweeds from Northern Coasts of the Persian Gulf. Iran J Pharm Res. 2014 Winter;13(1):163-70. PMID: 24734068; PMCID: PMC3985267.</w:t>
      </w:r>
    </w:p>
    <w:p>
      <w:pPr>
        <w:pStyle w:val="17"/>
        <w:spacing w:line="480" w:lineRule="auto"/>
        <w:ind w:left="720" w:hanging="720"/>
        <w:jc w:val="both"/>
        <w:rPr>
          <w:rFonts w:hint="default" w:ascii="Times New Roman" w:hAnsi="Times New Roman"/>
          <w:sz w:val="24"/>
          <w:szCs w:val="24"/>
          <w:lang w:eastAsia="en-IN"/>
        </w:rPr>
      </w:pPr>
      <w:r>
        <w:rPr>
          <w:rFonts w:hint="default" w:ascii="Times New Roman" w:hAnsi="Times New Roman"/>
          <w:sz w:val="24"/>
          <w:szCs w:val="24"/>
          <w:lang w:eastAsia="en-IN"/>
        </w:rPr>
        <w:t>J Turchan, CB Pocernich, C Gairola et al., Oxidative stress in HIV demented</w:t>
      </w:r>
      <w:r>
        <w:rPr>
          <w:rFonts w:hint="default" w:ascii="Times New Roman" w:hAnsi="Times New Roman"/>
          <w:sz w:val="24"/>
          <w:szCs w:val="24"/>
          <w:lang w:val="en-US" w:eastAsia="en-IN"/>
        </w:rPr>
        <w:t xml:space="preserve"> </w:t>
      </w:r>
      <w:r>
        <w:rPr>
          <w:rFonts w:hint="default" w:ascii="Times New Roman" w:hAnsi="Times New Roman"/>
          <w:sz w:val="24"/>
          <w:szCs w:val="24"/>
          <w:lang w:eastAsia="en-IN"/>
        </w:rPr>
        <w:t>patients and protection ex vivo with novel antioxidants, Neurology. 2003;60(2):307-314.</w:t>
      </w:r>
    </w:p>
    <w:p>
      <w:pPr>
        <w:pStyle w:val="16"/>
        <w:shd w:val="clear" w:color="auto" w:fill="FFFFFF"/>
        <w:spacing w:after="0" w:line="480" w:lineRule="auto"/>
        <w:ind w:hanging="720"/>
        <w:contextualSpacing w:val="0"/>
        <w:jc w:val="both"/>
        <w:rPr>
          <w:rFonts w:hint="default" w:ascii="Times New Roman" w:hAnsi="Times New Roman" w:eastAsia="Times New Roman" w:cs="Times New Roman"/>
          <w:sz w:val="24"/>
          <w:szCs w:val="24"/>
          <w:lang w:eastAsia="en-IN"/>
        </w:rPr>
      </w:pPr>
      <w:r>
        <w:rPr>
          <w:rFonts w:hint="default" w:ascii="Times New Roman" w:hAnsi="Times New Roman" w:eastAsia="Times New Roman" w:cs="Times New Roman"/>
          <w:sz w:val="24"/>
          <w:szCs w:val="24"/>
          <w:lang w:eastAsia="en-IN"/>
        </w:rPr>
        <w:t xml:space="preserve">Uma Maheswari, R., Lakshmi  Prabha, A.,  Nandagopalan V., Anburaja, V., 2012. Green Synthesis of Silver Nanoparticles by Using Rhizome Extract of </w:t>
      </w:r>
      <w:r>
        <w:rPr>
          <w:rFonts w:hint="default" w:ascii="Times New Roman" w:hAnsi="Times New Roman" w:eastAsia="Times New Roman" w:cs="Times New Roman"/>
          <w:i/>
          <w:sz w:val="24"/>
          <w:szCs w:val="24"/>
          <w:lang w:eastAsia="en-IN"/>
        </w:rPr>
        <w:t>Dioscorea oppositifolia</w:t>
      </w:r>
      <w:r>
        <w:rPr>
          <w:rFonts w:hint="default" w:ascii="Times New Roman" w:hAnsi="Times New Roman" w:eastAsia="Times New Roman" w:cs="Times New Roman"/>
          <w:sz w:val="24"/>
          <w:szCs w:val="24"/>
          <w:lang w:eastAsia="en-IN"/>
        </w:rPr>
        <w:t xml:space="preserve">  L. and their anti microbial activity against Human pathogens. </w:t>
      </w:r>
      <w:r>
        <w:rPr>
          <w:rFonts w:hint="default" w:ascii="Times New Roman" w:hAnsi="Times New Roman" w:eastAsia="Times New Roman" w:cs="Times New Roman"/>
          <w:i/>
          <w:sz w:val="24"/>
          <w:szCs w:val="24"/>
          <w:lang w:eastAsia="en-IN"/>
        </w:rPr>
        <w:t>IOSR J Pharma Biol Sci.</w:t>
      </w:r>
      <w:r>
        <w:rPr>
          <w:rFonts w:hint="default" w:ascii="Times New Roman" w:hAnsi="Times New Roman" w:eastAsia="Times New Roman" w:cs="Times New Roman"/>
          <w:sz w:val="24"/>
          <w:szCs w:val="24"/>
          <w:lang w:eastAsia="en-IN"/>
        </w:rPr>
        <w:t xml:space="preserve"> 1: 38-42</w:t>
      </w:r>
    </w:p>
    <w:p>
      <w:pPr>
        <w:autoSpaceDE w:val="0"/>
        <w:autoSpaceDN w:val="0"/>
        <w:adjustRightInd w:val="0"/>
        <w:spacing w:after="0" w:line="480" w:lineRule="auto"/>
        <w:ind w:left="720" w:hanging="720"/>
        <w:jc w:val="both"/>
        <w:rPr>
          <w:rFonts w:hint="default" w:ascii="Times New Roman" w:hAnsi="Times New Roman" w:cs="Times New Roman"/>
          <w:sz w:val="24"/>
          <w:szCs w:val="24"/>
        </w:rPr>
      </w:pPr>
      <w:r>
        <w:rPr>
          <w:rFonts w:hint="default" w:ascii="Times New Roman" w:hAnsi="Times New Roman" w:cs="Times New Roman"/>
          <w:sz w:val="24"/>
          <w:szCs w:val="24"/>
        </w:rPr>
        <w:t>Yang D.J., Lin J.T., 2008. Effects of different storage conditions on steroidal saponins in yam (</w:t>
      </w:r>
      <w:r>
        <w:rPr>
          <w:rFonts w:hint="default" w:ascii="Times New Roman" w:hAnsi="Times New Roman" w:cs="Times New Roman"/>
          <w:i/>
          <w:sz w:val="24"/>
          <w:szCs w:val="24"/>
        </w:rPr>
        <w:t>Dioscorea pseudojaponica</w:t>
      </w:r>
      <w:r>
        <w:rPr>
          <w:rFonts w:hint="default" w:ascii="Times New Roman" w:hAnsi="Times New Roman" w:cs="Times New Roman"/>
          <w:sz w:val="24"/>
          <w:szCs w:val="24"/>
        </w:rPr>
        <w:t xml:space="preserve"> Yamamoto) tubers. </w:t>
      </w:r>
      <w:r>
        <w:rPr>
          <w:rFonts w:hint="default" w:ascii="Times New Roman" w:hAnsi="Times New Roman" w:cs="Times New Roman"/>
          <w:i/>
          <w:sz w:val="24"/>
          <w:szCs w:val="24"/>
        </w:rPr>
        <w:t>Food Chemistry</w:t>
      </w:r>
      <w:r>
        <w:rPr>
          <w:rFonts w:hint="default" w:ascii="Times New Roman" w:hAnsi="Times New Roman" w:cs="Times New Roman"/>
          <w:sz w:val="24"/>
          <w:szCs w:val="24"/>
        </w:rPr>
        <w:t xml:space="preserve"> 110:670–677.</w:t>
      </w:r>
    </w:p>
    <w:p>
      <w:pPr>
        <w:pStyle w:val="16"/>
        <w:autoSpaceDE w:val="0"/>
        <w:autoSpaceDN w:val="0"/>
        <w:adjustRightInd w:val="0"/>
        <w:spacing w:after="0" w:line="480" w:lineRule="auto"/>
        <w:ind w:hanging="720"/>
        <w:contextualSpacing w:val="0"/>
        <w:jc w:val="both"/>
        <w:rPr>
          <w:rFonts w:hint="default" w:ascii="Times New Roman" w:hAnsi="Times New Roman" w:cs="Times New Roman"/>
          <w:b/>
          <w:sz w:val="24"/>
          <w:szCs w:val="24"/>
        </w:rPr>
      </w:pPr>
      <w:r>
        <w:rPr>
          <w:rFonts w:hint="default" w:ascii="Times New Roman" w:hAnsi="Times New Roman" w:cs="Times New Roman"/>
          <w:sz w:val="24"/>
          <w:szCs w:val="24"/>
        </w:rPr>
        <w:t xml:space="preserve">Yayoi, T., Kanda, N., and Haratake, A.,2009. Novel effects of diosgenin on skin aging. </w:t>
      </w:r>
      <w:r>
        <w:rPr>
          <w:rFonts w:hint="default" w:ascii="Times New Roman" w:hAnsi="Times New Roman" w:cs="Times New Roman"/>
          <w:i/>
          <w:sz w:val="24"/>
          <w:szCs w:val="24"/>
        </w:rPr>
        <w:t>Steroids.</w:t>
      </w:r>
      <w:r>
        <w:rPr>
          <w:rFonts w:hint="default" w:ascii="Times New Roman" w:hAnsi="Times New Roman" w:cs="Times New Roman"/>
          <w:sz w:val="24"/>
          <w:szCs w:val="24"/>
        </w:rPr>
        <w:t xml:space="preserve"> 74:504-511.</w:t>
      </w:r>
    </w:p>
    <w:p>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b/>
          <w:bCs/>
        </w:rPr>
      </w:pPr>
      <w:r>
        <w:rPr>
          <w:rFonts w:hint="default" w:ascii="Times New Roman" w:hAnsi="Times New Roman" w:cs="Times New Roman"/>
          <w:b/>
          <w:bCs/>
        </w:rPr>
        <w:t xml:space="preserve">Table 1: Scavenging Capacity of DPPH Radical of </w:t>
      </w:r>
      <w:r>
        <w:rPr>
          <w:rFonts w:hint="default" w:ascii="Times New Roman" w:hAnsi="Times New Roman" w:cs="Times New Roman"/>
          <w:b/>
          <w:bCs/>
          <w:i/>
          <w:iCs/>
        </w:rPr>
        <w:t>D. oppositifolia</w:t>
      </w:r>
      <w:r>
        <w:rPr>
          <w:rFonts w:hint="default" w:ascii="Times New Roman" w:hAnsi="Times New Roman" w:cs="Times New Roman"/>
          <w:b/>
          <w:bCs/>
        </w:rPr>
        <w:t xml:space="preserve"> L.</w:t>
      </w:r>
    </w:p>
    <w:p>
      <w:pPr>
        <w:spacing w:line="240" w:lineRule="auto"/>
        <w:jc w:val="center"/>
        <w:rPr>
          <w:rFonts w:hint="default" w:ascii="Times New Roman" w:hAnsi="Times New Roman" w:cs="Times New Roman"/>
          <w:b/>
          <w:bCs/>
        </w:rPr>
      </w:pPr>
      <w:r>
        <w:rPr>
          <w:rFonts w:hint="default" w:ascii="Times New Roman" w:hAnsi="Times New Roman" w:cs="Times New Roman"/>
          <w:b/>
          <w:bCs/>
        </w:rPr>
        <w:t>Free Radical Scavenging Capacity</w:t>
      </w:r>
    </w:p>
    <w:p>
      <w:pPr>
        <w:spacing w:line="240" w:lineRule="auto"/>
        <w:jc w:val="center"/>
        <w:rPr>
          <w:rFonts w:hint="default" w:ascii="Times New Roman" w:hAnsi="Times New Roman" w:cs="Times New Roman"/>
        </w:rPr>
      </w:pPr>
    </w:p>
    <w:tbl>
      <w:tblPr>
        <w:tblStyle w:val="15"/>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0"/>
        <w:gridCol w:w="2311"/>
        <w:gridCol w:w="2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4620" w:type="dxa"/>
            <w:gridSpan w:val="2"/>
          </w:tcPr>
          <w:p>
            <w:pPr>
              <w:spacing w:line="240" w:lineRule="auto"/>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rPr>
              <w:t>Wild</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Tuber IC50=</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00 μg/ml</w:t>
            </w:r>
          </w:p>
        </w:tc>
        <w:tc>
          <w:tcPr>
            <w:tcW w:w="5093" w:type="dxa"/>
            <w:gridSpan w:val="2"/>
          </w:tcPr>
          <w:p>
            <w:pPr>
              <w:spacing w:line="240" w:lineRule="auto"/>
              <w:jc w:val="center"/>
              <w:rPr>
                <w:rFonts w:hint="default" w:ascii="Times New Roman" w:hAnsi="Times New Roman" w:cs="Times New Roman"/>
                <w:b/>
                <w:bCs/>
                <w:sz w:val="24"/>
                <w:szCs w:val="24"/>
                <w:vertAlign w:val="baseline"/>
              </w:rPr>
            </w:pPr>
            <w:r>
              <w:rPr>
                <w:rFonts w:hint="default" w:ascii="Times New Roman" w:hAnsi="Times New Roman" w:cs="Times New Roman"/>
                <w:b/>
                <w:bCs/>
                <w:i/>
                <w:iCs/>
                <w:sz w:val="24"/>
                <w:szCs w:val="24"/>
              </w:rPr>
              <w:t>In</w:t>
            </w:r>
            <w:r>
              <w:rPr>
                <w:rFonts w:hint="default" w:ascii="Times New Roman" w:hAnsi="Times New Roman" w:cs="Times New Roman"/>
                <w:b/>
                <w:bCs/>
                <w:i/>
                <w:iCs/>
                <w:sz w:val="24"/>
                <w:szCs w:val="24"/>
                <w:lang w:val="en-US"/>
              </w:rPr>
              <w:t xml:space="preserve"> </w:t>
            </w:r>
            <w:r>
              <w:rPr>
                <w:rFonts w:hint="default" w:ascii="Times New Roman" w:hAnsi="Times New Roman" w:cs="Times New Roman"/>
                <w:b/>
                <w:bCs/>
                <w:i/>
                <w:iCs/>
                <w:sz w:val="24"/>
                <w:szCs w:val="24"/>
              </w:rPr>
              <w:t>vitro</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 xml:space="preserve">tuber IC50 = </w:t>
            </w:r>
            <w:r>
              <w:rPr>
                <w:rFonts w:hint="default" w:ascii="Times New Roman" w:hAnsi="Times New Roman" w:cs="Times New Roman"/>
                <w:b/>
                <w:bCs/>
                <w:sz w:val="24"/>
                <w:szCs w:val="24"/>
                <w:lang w:val="en-US"/>
              </w:rPr>
              <w:t>3</w:t>
            </w:r>
            <w:r>
              <w:rPr>
                <w:rFonts w:hint="default" w:ascii="Times New Roman" w:hAnsi="Times New Roman" w:cs="Times New Roman"/>
                <w:b/>
                <w:bCs/>
                <w:sz w:val="24"/>
                <w:szCs w:val="24"/>
              </w:rPr>
              <w:t>00 μg/ml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2310" w:type="dxa"/>
            <w:vAlign w:val="top"/>
          </w:tcPr>
          <w:p>
            <w:pPr>
              <w:spacing w:line="240" w:lineRule="auto"/>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Concentration in</w:t>
            </w:r>
          </w:p>
          <w:p>
            <w:pPr>
              <w:spacing w:line="240" w:lineRule="auto"/>
              <w:jc w:val="center"/>
              <w:rPr>
                <w:rFonts w:hint="default" w:ascii="Times New Roman" w:hAnsi="Times New Roman" w:cs="Times New Roman" w:eastAsiaTheme="minorEastAsia"/>
                <w:b/>
                <w:bCs/>
                <w:sz w:val="24"/>
                <w:szCs w:val="24"/>
                <w:vertAlign w:val="baseline"/>
                <w:lang w:val="en-IN" w:eastAsia="en-IN" w:bidi="ar-SA"/>
              </w:rPr>
            </w:pPr>
            <w:r>
              <w:rPr>
                <w:rFonts w:hint="default" w:ascii="Times New Roman" w:hAnsi="Times New Roman" w:cs="Times New Roman"/>
                <w:b/>
                <w:bCs/>
                <w:sz w:val="24"/>
                <w:szCs w:val="24"/>
                <w:vertAlign w:val="baseline"/>
              </w:rPr>
              <w:t>μg/ml</w:t>
            </w:r>
          </w:p>
        </w:tc>
        <w:tc>
          <w:tcPr>
            <w:tcW w:w="2310" w:type="dxa"/>
            <w:vAlign w:val="top"/>
          </w:tcPr>
          <w:p>
            <w:pPr>
              <w:spacing w:line="240" w:lineRule="auto"/>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%of inhibition</w:t>
            </w:r>
          </w:p>
          <w:p>
            <w:pPr>
              <w:spacing w:line="240" w:lineRule="auto"/>
              <w:jc w:val="center"/>
              <w:rPr>
                <w:rFonts w:hint="default" w:ascii="Times New Roman" w:hAnsi="Times New Roman" w:cs="Times New Roman" w:eastAsiaTheme="minorEastAsia"/>
                <w:b/>
                <w:bCs/>
                <w:sz w:val="24"/>
                <w:szCs w:val="24"/>
                <w:vertAlign w:val="baseline"/>
                <w:lang w:val="en-IN" w:eastAsia="en-IN" w:bidi="ar-SA"/>
              </w:rPr>
            </w:pPr>
            <w:r>
              <w:rPr>
                <w:rFonts w:hint="default" w:ascii="Times New Roman" w:hAnsi="Times New Roman" w:cs="Times New Roman"/>
                <w:b/>
                <w:bCs/>
                <w:i/>
                <w:iCs/>
                <w:sz w:val="24"/>
                <w:szCs w:val="24"/>
                <w:vertAlign w:val="baseline"/>
              </w:rPr>
              <w:t>in vivo</w:t>
            </w:r>
            <w:r>
              <w:rPr>
                <w:rFonts w:hint="default" w:ascii="Times New Roman" w:hAnsi="Times New Roman" w:cs="Times New Roman"/>
                <w:b/>
                <w:bCs/>
                <w:sz w:val="24"/>
                <w:szCs w:val="24"/>
                <w:vertAlign w:val="baseline"/>
              </w:rPr>
              <w:t xml:space="preserve"> tuber</w:t>
            </w:r>
          </w:p>
        </w:tc>
        <w:tc>
          <w:tcPr>
            <w:tcW w:w="2311" w:type="dxa"/>
            <w:vAlign w:val="top"/>
          </w:tcPr>
          <w:p>
            <w:pPr>
              <w:spacing w:line="240" w:lineRule="auto"/>
              <w:jc w:val="center"/>
              <w:rPr>
                <w:rFonts w:hint="default" w:ascii="Times New Roman" w:hAnsi="Times New Roman" w:cs="Times New Roman"/>
                <w:b/>
                <w:bCs/>
                <w:sz w:val="24"/>
                <w:szCs w:val="24"/>
                <w:vertAlign w:val="baseline"/>
              </w:rPr>
            </w:pPr>
            <w:r>
              <w:rPr>
                <w:rFonts w:hint="default" w:ascii="Times New Roman" w:hAnsi="Times New Roman" w:cs="Times New Roman"/>
                <w:b/>
                <w:bCs/>
                <w:sz w:val="24"/>
                <w:szCs w:val="24"/>
                <w:vertAlign w:val="baseline"/>
              </w:rPr>
              <w:t>% of inhibition</w:t>
            </w:r>
          </w:p>
          <w:p>
            <w:pPr>
              <w:spacing w:line="240" w:lineRule="auto"/>
              <w:jc w:val="center"/>
              <w:rPr>
                <w:rFonts w:hint="default" w:ascii="Times New Roman" w:hAnsi="Times New Roman" w:cs="Times New Roman" w:eastAsiaTheme="minorEastAsia"/>
                <w:b/>
                <w:bCs/>
                <w:sz w:val="24"/>
                <w:szCs w:val="24"/>
                <w:vertAlign w:val="baseline"/>
                <w:lang w:val="en-IN" w:eastAsia="en-IN" w:bidi="ar-SA"/>
              </w:rPr>
            </w:pPr>
            <w:r>
              <w:rPr>
                <w:rFonts w:hint="default" w:ascii="Times New Roman" w:hAnsi="Times New Roman" w:cs="Times New Roman"/>
                <w:b/>
                <w:bCs/>
                <w:i/>
                <w:iCs/>
                <w:sz w:val="24"/>
                <w:szCs w:val="24"/>
                <w:vertAlign w:val="baseline"/>
              </w:rPr>
              <w:t>in vitro</w:t>
            </w:r>
            <w:r>
              <w:rPr>
                <w:rFonts w:hint="default" w:ascii="Times New Roman" w:hAnsi="Times New Roman" w:cs="Times New Roman"/>
                <w:b/>
                <w:bCs/>
                <w:i/>
                <w:iCs/>
                <w:sz w:val="24"/>
                <w:szCs w:val="24"/>
                <w:vertAlign w:val="baseline"/>
                <w:lang w:val="en-US"/>
              </w:rPr>
              <w:t xml:space="preserve"> </w:t>
            </w:r>
            <w:r>
              <w:rPr>
                <w:rFonts w:hint="default" w:ascii="Times New Roman" w:hAnsi="Times New Roman" w:cs="Times New Roman"/>
                <w:b/>
                <w:bCs/>
                <w:i/>
                <w:iCs/>
                <w:sz w:val="24"/>
                <w:szCs w:val="24"/>
                <w:vertAlign w:val="baseline"/>
              </w:rPr>
              <w:t>T</w:t>
            </w:r>
            <w:r>
              <w:rPr>
                <w:rFonts w:hint="default" w:ascii="Times New Roman" w:hAnsi="Times New Roman" w:cs="Times New Roman"/>
                <w:b/>
                <w:bCs/>
                <w:sz w:val="24"/>
                <w:szCs w:val="24"/>
                <w:vertAlign w:val="baseline"/>
              </w:rPr>
              <w:t>uber</w:t>
            </w:r>
          </w:p>
        </w:tc>
        <w:tc>
          <w:tcPr>
            <w:tcW w:w="2782" w:type="dxa"/>
            <w:vAlign w:val="top"/>
          </w:tcPr>
          <w:p>
            <w:pPr>
              <w:spacing w:line="240" w:lineRule="auto"/>
              <w:jc w:val="both"/>
              <w:rPr>
                <w:rFonts w:hint="default" w:ascii="Times New Roman" w:hAnsi="Times New Roman" w:cs="Times New Roman" w:eastAsiaTheme="minorEastAsia"/>
                <w:b/>
                <w:bCs/>
                <w:sz w:val="24"/>
                <w:szCs w:val="24"/>
                <w:vertAlign w:val="baseline"/>
                <w:lang w:val="en-IN" w:eastAsia="en-IN" w:bidi="ar-SA"/>
              </w:rPr>
            </w:pPr>
            <w:r>
              <w:rPr>
                <w:rFonts w:hint="default" w:ascii="Times New Roman" w:hAnsi="Times New Roman" w:cs="Times New Roman"/>
                <w:b/>
                <w:bCs/>
                <w:sz w:val="24"/>
                <w:szCs w:val="24"/>
                <w:vertAlign w:val="baseline"/>
              </w:rPr>
              <w:t>% of</w:t>
            </w:r>
            <w:r>
              <w:rPr>
                <w:rFonts w:hint="default" w:ascii="Times New Roman" w:hAnsi="Times New Roman" w:cs="Times New Roman"/>
                <w:b/>
                <w:bCs/>
                <w:sz w:val="24"/>
                <w:szCs w:val="24"/>
                <w:vertAlign w:val="baseline"/>
                <w:lang w:val="en-US"/>
              </w:rPr>
              <w:t xml:space="preserve"> </w:t>
            </w:r>
            <w:r>
              <w:rPr>
                <w:rFonts w:hint="default" w:ascii="Times New Roman" w:hAnsi="Times New Roman" w:cs="Times New Roman"/>
                <w:b/>
                <w:bCs/>
                <w:sz w:val="24"/>
                <w:szCs w:val="24"/>
                <w:vertAlign w:val="baseline"/>
              </w:rPr>
              <w:t>Inhibition</w:t>
            </w:r>
            <w:r>
              <w:rPr>
                <w:rFonts w:hint="default" w:ascii="Times New Roman" w:hAnsi="Times New Roman" w:cs="Times New Roman"/>
                <w:b/>
                <w:bCs/>
                <w:sz w:val="24"/>
                <w:szCs w:val="24"/>
                <w:vertAlign w:val="baseline"/>
                <w:lang w:val="en-US"/>
              </w:rPr>
              <w:t xml:space="preserve"> </w:t>
            </w:r>
            <w:r>
              <w:rPr>
                <w:rFonts w:hint="default" w:ascii="Times New Roman" w:hAnsi="Times New Roman" w:cs="Times New Roman"/>
                <w:b/>
                <w:bCs/>
                <w:sz w:val="24"/>
                <w:szCs w:val="24"/>
                <w:vertAlign w:val="baseline"/>
              </w:rPr>
              <w:t>Standard</w:t>
            </w:r>
            <w:r>
              <w:rPr>
                <w:rFonts w:hint="default" w:ascii="Times New Roman" w:hAnsi="Times New Roman" w:cs="Times New Roman"/>
                <w:b/>
                <w:bCs/>
                <w:sz w:val="24"/>
                <w:szCs w:val="24"/>
                <w:vertAlign w:val="baseline"/>
                <w:lang w:val="en-US"/>
              </w:rPr>
              <w:t xml:space="preserve"> </w:t>
            </w:r>
            <w:r>
              <w:rPr>
                <w:rFonts w:hint="default" w:ascii="Times New Roman" w:hAnsi="Times New Roman" w:cs="Times New Roman"/>
                <w:b/>
                <w:bCs/>
                <w:sz w:val="24"/>
                <w:szCs w:val="24"/>
                <w:vertAlign w:val="baseline"/>
              </w:rPr>
              <w:t>(BHT)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25</w:t>
            </w:r>
          </w:p>
        </w:tc>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2.56 ± 0.18</w:t>
            </w:r>
          </w:p>
        </w:tc>
        <w:tc>
          <w:tcPr>
            <w:tcW w:w="2311"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2.56 ± 0.18</w:t>
            </w:r>
          </w:p>
        </w:tc>
        <w:tc>
          <w:tcPr>
            <w:tcW w:w="2782"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32.47 ± 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50</w:t>
            </w:r>
          </w:p>
        </w:tc>
        <w:tc>
          <w:tcPr>
            <w:tcW w:w="2310"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3.17 ± 0.54</w:t>
            </w:r>
          </w:p>
        </w:tc>
        <w:tc>
          <w:tcPr>
            <w:tcW w:w="2311"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1.46 ± 0.09</w:t>
            </w:r>
          </w:p>
        </w:tc>
        <w:tc>
          <w:tcPr>
            <w:tcW w:w="2782"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45.54 ± 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100</w:t>
            </w:r>
          </w:p>
        </w:tc>
        <w:tc>
          <w:tcPr>
            <w:tcW w:w="2310"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9.15 ± 1.02</w:t>
            </w:r>
          </w:p>
        </w:tc>
        <w:tc>
          <w:tcPr>
            <w:tcW w:w="2311"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6.47 ± 0.95</w:t>
            </w:r>
          </w:p>
        </w:tc>
        <w:tc>
          <w:tcPr>
            <w:tcW w:w="2782"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62.39 ± 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200</w:t>
            </w:r>
          </w:p>
        </w:tc>
        <w:tc>
          <w:tcPr>
            <w:tcW w:w="2310"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22.95 ± 2.94</w:t>
            </w:r>
          </w:p>
        </w:tc>
        <w:tc>
          <w:tcPr>
            <w:tcW w:w="2311"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10.74 ± 1.65</w:t>
            </w:r>
          </w:p>
        </w:tc>
        <w:tc>
          <w:tcPr>
            <w:tcW w:w="2782"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10.74 ± 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spacing w:line="240" w:lineRule="auto"/>
              <w:jc w:val="center"/>
              <w:rPr>
                <w:rFonts w:hint="default" w:ascii="Times New Roman" w:hAnsi="Times New Roman" w:cs="Times New Roman"/>
                <w:vertAlign w:val="baseline"/>
                <w:lang w:val="en-US"/>
              </w:rPr>
            </w:pPr>
            <w:r>
              <w:rPr>
                <w:rFonts w:hint="default" w:ascii="Times New Roman" w:hAnsi="Times New Roman" w:cs="Times New Roman"/>
                <w:vertAlign w:val="baseline"/>
                <w:lang w:val="en-US"/>
              </w:rPr>
              <w:t>300</w:t>
            </w:r>
          </w:p>
        </w:tc>
        <w:tc>
          <w:tcPr>
            <w:tcW w:w="2310"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55.67 ± 4.56</w:t>
            </w:r>
          </w:p>
        </w:tc>
        <w:tc>
          <w:tcPr>
            <w:tcW w:w="2311"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22.34 ± 1.63</w:t>
            </w:r>
          </w:p>
        </w:tc>
        <w:tc>
          <w:tcPr>
            <w:tcW w:w="2782" w:type="dxa"/>
          </w:tcPr>
          <w:p>
            <w:pPr>
              <w:spacing w:line="240" w:lineRule="auto"/>
              <w:jc w:val="center"/>
              <w:rPr>
                <w:rFonts w:hint="default" w:ascii="Times New Roman" w:hAnsi="Times New Roman" w:cs="Times New Roman"/>
                <w:vertAlign w:val="baseline"/>
              </w:rPr>
            </w:pPr>
            <w:r>
              <w:rPr>
                <w:rFonts w:hint="default" w:ascii="Times New Roman" w:hAnsi="Times New Roman" w:cs="Times New Roman"/>
                <w:vertAlign w:val="baseline"/>
              </w:rPr>
              <w:t>71.67 ± 4.11</w:t>
            </w:r>
          </w:p>
        </w:tc>
      </w:tr>
    </w:tbl>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Graph 1: </w:t>
      </w:r>
      <w:r>
        <w:rPr>
          <w:rFonts w:hint="default" w:ascii="Times New Roman" w:hAnsi="Times New Roman" w:cs="Times New Roman"/>
          <w:b/>
          <w:bCs/>
          <w:sz w:val="24"/>
          <w:szCs w:val="24"/>
        </w:rPr>
        <w:t xml:space="preserve">Scavenging Capacity of DPPH Radical of </w:t>
      </w:r>
      <w:r>
        <w:rPr>
          <w:rFonts w:hint="default" w:ascii="Times New Roman" w:hAnsi="Times New Roman" w:cs="Times New Roman"/>
          <w:b/>
          <w:bCs/>
          <w:i/>
          <w:iCs/>
          <w:sz w:val="24"/>
          <w:szCs w:val="24"/>
        </w:rPr>
        <w:t>D. oppositifolia</w:t>
      </w:r>
      <w:r>
        <w:rPr>
          <w:rFonts w:hint="default" w:ascii="Times New Roman" w:hAnsi="Times New Roman" w:cs="Times New Roman"/>
          <w:b/>
          <w:bCs/>
          <w:sz w:val="24"/>
          <w:szCs w:val="24"/>
        </w:rPr>
        <w:t xml:space="preserve"> L.</w:t>
      </w: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Free Radical Scavenging Capacity</w:t>
      </w: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Sample1-</w:t>
      </w:r>
      <w:r>
        <w:rPr>
          <w:rFonts w:hint="default" w:ascii="Times New Roman" w:hAnsi="Times New Roman" w:cs="Times New Roman"/>
          <w:b/>
          <w:bCs/>
          <w:i/>
          <w:iCs/>
          <w:sz w:val="24"/>
          <w:szCs w:val="24"/>
        </w:rPr>
        <w:t xml:space="preserve">Invivo </w:t>
      </w:r>
      <w:r>
        <w:rPr>
          <w:rFonts w:hint="default" w:ascii="Times New Roman" w:hAnsi="Times New Roman" w:cs="Times New Roman"/>
          <w:b/>
          <w:bCs/>
          <w:sz w:val="24"/>
          <w:szCs w:val="24"/>
        </w:rPr>
        <w:t>Rhizome</w:t>
      </w:r>
    </w:p>
    <w:p>
      <w:pPr>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Sample2-</w:t>
      </w:r>
      <w:r>
        <w:rPr>
          <w:rFonts w:hint="default" w:ascii="Times New Roman" w:hAnsi="Times New Roman" w:cs="Times New Roman"/>
          <w:b/>
          <w:bCs/>
          <w:i/>
          <w:iCs/>
          <w:sz w:val="24"/>
          <w:szCs w:val="24"/>
        </w:rPr>
        <w:t xml:space="preserve">Invitro </w:t>
      </w:r>
      <w:r>
        <w:rPr>
          <w:rFonts w:hint="default" w:ascii="Times New Roman" w:hAnsi="Times New Roman" w:cs="Times New Roman"/>
          <w:b/>
          <w:bCs/>
          <w:sz w:val="24"/>
          <w:szCs w:val="24"/>
        </w:rPr>
        <w:t>rhizome</w:t>
      </w:r>
    </w:p>
    <w:p>
      <w:pPr>
        <w:spacing w:line="240" w:lineRule="auto"/>
        <w:jc w:val="center"/>
        <w:rPr>
          <w:rFonts w:hint="default" w:ascii="Times New Roman" w:hAnsi="Times New Roman" w:cs="Times New Roman"/>
        </w:rPr>
      </w:pPr>
    </w:p>
    <w:p>
      <w:pPr>
        <w:spacing w:line="240" w:lineRule="auto"/>
        <w:jc w:val="center"/>
        <w:rPr>
          <w:rFonts w:hint="default" w:ascii="Times New Roman" w:hAnsi="Times New Roman" w:cs="Times New Roman"/>
        </w:rPr>
      </w:pPr>
      <w:r>
        <w:rPr>
          <w:rFonts w:hint="default" w:ascii="Times New Roman" w:hAnsi="Times New Roman" w:cs="Times New Roman"/>
        </w:rPr>
        <w:drawing>
          <wp:inline distT="0" distB="0" distL="114300" distR="114300">
            <wp:extent cx="4590415" cy="2653030"/>
            <wp:effectExtent l="4445" t="4445" r="15240" b="9525"/>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sectPr>
      <w:foot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Gill Sans MT">
    <w:panose1 w:val="020B0502020104020203"/>
    <w:charset w:val="00"/>
    <w:family w:val="auto"/>
    <w:pitch w:val="default"/>
    <w:sig w:usb0="00000003" w:usb1="00000000" w:usb2="00000000" w:usb3="00000000" w:csb0="20000003"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3019"/>
      <w:docPartObj>
        <w:docPartGallery w:val="autotext"/>
      </w:docPartObj>
    </w:sdtPr>
    <w:sdtContent>
      <w:p>
        <w:pPr>
          <w:pStyle w:val="11"/>
          <w:jc w:val="center"/>
        </w:pPr>
        <w:r>
          <w:fldChar w:fldCharType="begin"/>
        </w:r>
        <w:r>
          <w:instrText xml:space="preserve"> PAGE   \* MERGEFORMAT </w:instrText>
        </w:r>
        <w:r>
          <w:fldChar w:fldCharType="separate"/>
        </w:r>
        <w:r>
          <w:t>1</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69E18D"/>
    <w:multiLevelType w:val="multilevel"/>
    <w:tmpl w:val="9C69E18D"/>
    <w:lvl w:ilvl="0" w:tentative="0">
      <w:start w:val="2"/>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ACE"/>
    <w:rsid w:val="0002272F"/>
    <w:rsid w:val="00054515"/>
    <w:rsid w:val="00073E75"/>
    <w:rsid w:val="000A43AD"/>
    <w:rsid w:val="000C3ACA"/>
    <w:rsid w:val="000E52FA"/>
    <w:rsid w:val="000F02D4"/>
    <w:rsid w:val="00122D64"/>
    <w:rsid w:val="001758D6"/>
    <w:rsid w:val="001A5F39"/>
    <w:rsid w:val="001F3937"/>
    <w:rsid w:val="002416E3"/>
    <w:rsid w:val="0025519F"/>
    <w:rsid w:val="00275305"/>
    <w:rsid w:val="002875D0"/>
    <w:rsid w:val="002B0E8C"/>
    <w:rsid w:val="002F7F2F"/>
    <w:rsid w:val="0036570E"/>
    <w:rsid w:val="00365C51"/>
    <w:rsid w:val="00366E1E"/>
    <w:rsid w:val="003725C7"/>
    <w:rsid w:val="00382EFD"/>
    <w:rsid w:val="00397FB5"/>
    <w:rsid w:val="003C43FF"/>
    <w:rsid w:val="00432D03"/>
    <w:rsid w:val="00437C00"/>
    <w:rsid w:val="004A1501"/>
    <w:rsid w:val="004A79B7"/>
    <w:rsid w:val="004B7C04"/>
    <w:rsid w:val="00527612"/>
    <w:rsid w:val="005506E9"/>
    <w:rsid w:val="005B622E"/>
    <w:rsid w:val="005D3C82"/>
    <w:rsid w:val="00604CB2"/>
    <w:rsid w:val="00605437"/>
    <w:rsid w:val="00640989"/>
    <w:rsid w:val="007316AB"/>
    <w:rsid w:val="0073173B"/>
    <w:rsid w:val="00736ACE"/>
    <w:rsid w:val="00766EBD"/>
    <w:rsid w:val="00786A29"/>
    <w:rsid w:val="007A2032"/>
    <w:rsid w:val="00820858"/>
    <w:rsid w:val="008627EE"/>
    <w:rsid w:val="00864BEF"/>
    <w:rsid w:val="008970B6"/>
    <w:rsid w:val="008B7F6D"/>
    <w:rsid w:val="008E6518"/>
    <w:rsid w:val="00904C7E"/>
    <w:rsid w:val="00914FF1"/>
    <w:rsid w:val="00973739"/>
    <w:rsid w:val="00977136"/>
    <w:rsid w:val="00997D04"/>
    <w:rsid w:val="009E06A4"/>
    <w:rsid w:val="00A33061"/>
    <w:rsid w:val="00A57C71"/>
    <w:rsid w:val="00A66301"/>
    <w:rsid w:val="00A90F8E"/>
    <w:rsid w:val="00AB40CA"/>
    <w:rsid w:val="00B07316"/>
    <w:rsid w:val="00B47157"/>
    <w:rsid w:val="00B96D16"/>
    <w:rsid w:val="00C0234A"/>
    <w:rsid w:val="00C05923"/>
    <w:rsid w:val="00C44AB3"/>
    <w:rsid w:val="00C84D67"/>
    <w:rsid w:val="00C91B98"/>
    <w:rsid w:val="00CD567F"/>
    <w:rsid w:val="00D33635"/>
    <w:rsid w:val="00D40237"/>
    <w:rsid w:val="00DB59AD"/>
    <w:rsid w:val="00DC707D"/>
    <w:rsid w:val="00E7254D"/>
    <w:rsid w:val="00E75EF5"/>
    <w:rsid w:val="00E9241C"/>
    <w:rsid w:val="00F02F69"/>
    <w:rsid w:val="00F13984"/>
    <w:rsid w:val="00F8711D"/>
    <w:rsid w:val="00F93C71"/>
    <w:rsid w:val="00FC72BD"/>
    <w:rsid w:val="00FD4BE6"/>
    <w:rsid w:val="00FE0433"/>
    <w:rsid w:val="00FF38CE"/>
    <w:rsid w:val="02C03817"/>
    <w:rsid w:val="0B8A1C51"/>
    <w:rsid w:val="0F7A3C4B"/>
    <w:rsid w:val="12DC13FD"/>
    <w:rsid w:val="14F067B7"/>
    <w:rsid w:val="151056FD"/>
    <w:rsid w:val="162D1072"/>
    <w:rsid w:val="163B130D"/>
    <w:rsid w:val="1A596E4E"/>
    <w:rsid w:val="1AD74ECF"/>
    <w:rsid w:val="1B7A109D"/>
    <w:rsid w:val="1CEF6A29"/>
    <w:rsid w:val="1E9A15AC"/>
    <w:rsid w:val="219F52D8"/>
    <w:rsid w:val="24A02B8C"/>
    <w:rsid w:val="28FD00B1"/>
    <w:rsid w:val="2C4E2ECE"/>
    <w:rsid w:val="35C46FE6"/>
    <w:rsid w:val="45B21267"/>
    <w:rsid w:val="46E951CD"/>
    <w:rsid w:val="4D3B4BAE"/>
    <w:rsid w:val="4FF9442C"/>
    <w:rsid w:val="590670B2"/>
    <w:rsid w:val="60065CE9"/>
    <w:rsid w:val="65D3594F"/>
    <w:rsid w:val="66470B2B"/>
    <w:rsid w:val="6A6F2F2A"/>
    <w:rsid w:val="6D851995"/>
    <w:rsid w:val="6EC33A4C"/>
    <w:rsid w:val="731B668F"/>
    <w:rsid w:val="776A5791"/>
    <w:rsid w:val="7EEE0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IN" w:eastAsia="en-IN" w:bidi="ar-SA"/>
    </w:rPr>
  </w:style>
  <w:style w:type="paragraph" w:styleId="2">
    <w:name w:val="heading 3"/>
    <w:basedOn w:val="1"/>
    <w:next w:val="1"/>
    <w:qFormat/>
    <w:uiPriority w:val="1"/>
    <w:pPr>
      <w:ind w:left="1396"/>
      <w:jc w:val="both"/>
      <w:outlineLvl w:val="2"/>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20"/>
    <w:semiHidden/>
    <w:unhideWhenUsed/>
    <w:qFormat/>
    <w:uiPriority w:val="99"/>
    <w:pPr>
      <w:spacing w:after="0" w:line="240" w:lineRule="auto"/>
    </w:pPr>
    <w:rPr>
      <w:rFonts w:ascii="Tahoma" w:hAnsi="Tahoma" w:cs="Tahoma"/>
      <w:sz w:val="16"/>
      <w:szCs w:val="16"/>
    </w:rPr>
  </w:style>
  <w:style w:type="paragraph" w:styleId="6">
    <w:name w:val="Body Text"/>
    <w:basedOn w:val="1"/>
    <w:qFormat/>
    <w:uiPriority w:val="1"/>
    <w:rPr>
      <w:rFonts w:ascii="Times New Roman" w:hAnsi="Times New Roman" w:eastAsia="Times New Roman" w:cs="Times New Roman"/>
      <w:sz w:val="24"/>
      <w:szCs w:val="24"/>
      <w:lang w:val="en-US" w:eastAsia="en-US" w:bidi="ar-SA"/>
    </w:rPr>
  </w:style>
  <w:style w:type="paragraph" w:styleId="7">
    <w:name w:val="caption"/>
    <w:basedOn w:val="1"/>
    <w:next w:val="1"/>
    <w:qFormat/>
    <w:uiPriority w:val="0"/>
    <w:pPr>
      <w:spacing w:after="0" w:line="240" w:lineRule="auto"/>
    </w:pPr>
    <w:rPr>
      <w:rFonts w:ascii="Arial Narrow" w:hAnsi="Arial Narrow" w:eastAsia="Times New Roman" w:cs="Times New Roman"/>
      <w:b/>
      <w:sz w:val="24"/>
      <w:szCs w:val="20"/>
      <w:lang w:val="en-GB" w:eastAsia="en-US"/>
    </w:rPr>
  </w:style>
  <w:style w:type="character" w:styleId="8">
    <w:name w:val="annotation reference"/>
    <w:basedOn w:val="3"/>
    <w:semiHidden/>
    <w:unhideWhenUsed/>
    <w:qFormat/>
    <w:uiPriority w:val="99"/>
    <w:rPr>
      <w:sz w:val="16"/>
      <w:szCs w:val="16"/>
    </w:rPr>
  </w:style>
  <w:style w:type="paragraph" w:styleId="9">
    <w:name w:val="annotation text"/>
    <w:basedOn w:val="1"/>
    <w:semiHidden/>
    <w:unhideWhenUsed/>
    <w:qFormat/>
    <w:uiPriority w:val="99"/>
    <w:pPr>
      <w:spacing w:line="240" w:lineRule="auto"/>
    </w:pPr>
    <w:rPr>
      <w:sz w:val="20"/>
      <w:szCs w:val="20"/>
    </w:rPr>
  </w:style>
  <w:style w:type="character" w:styleId="10">
    <w:name w:val="Emphasis"/>
    <w:basedOn w:val="3"/>
    <w:qFormat/>
    <w:uiPriority w:val="20"/>
    <w:rPr>
      <w:i/>
      <w:iCs/>
    </w:rPr>
  </w:style>
  <w:style w:type="paragraph" w:styleId="11">
    <w:name w:val="footer"/>
    <w:basedOn w:val="1"/>
    <w:link w:val="19"/>
    <w:unhideWhenUsed/>
    <w:qFormat/>
    <w:uiPriority w:val="99"/>
    <w:pPr>
      <w:tabs>
        <w:tab w:val="center" w:pos="4513"/>
        <w:tab w:val="right" w:pos="9026"/>
      </w:tabs>
      <w:spacing w:after="0" w:line="240" w:lineRule="auto"/>
    </w:pPr>
  </w:style>
  <w:style w:type="paragraph" w:styleId="12">
    <w:name w:val="header"/>
    <w:basedOn w:val="1"/>
    <w:link w:val="18"/>
    <w:semiHidden/>
    <w:unhideWhenUsed/>
    <w:qFormat/>
    <w:uiPriority w:val="99"/>
    <w:pPr>
      <w:tabs>
        <w:tab w:val="center" w:pos="4513"/>
        <w:tab w:val="right" w:pos="9026"/>
      </w:tabs>
      <w:spacing w:after="0" w:line="240" w:lineRule="auto"/>
    </w:pPr>
  </w:style>
  <w:style w:type="character" w:styleId="13">
    <w:name w:val="Hyperlink"/>
    <w:basedOn w:val="3"/>
    <w:unhideWhenUsed/>
    <w:qFormat/>
    <w:uiPriority w:val="99"/>
    <w:rPr>
      <w:color w:val="0000FF" w:themeColor="hyperlink"/>
      <w:u w:val="single"/>
      <w14:textFill>
        <w14:solidFill>
          <w14:schemeClr w14:val="hlink"/>
        </w14:solidFill>
      </w14:textFill>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5">
    <w:name w:val="Table Grid"/>
    <w:basedOn w:val="4"/>
    <w:qFormat/>
    <w:uiPriority w:val="59"/>
    <w:pPr>
      <w:spacing w:after="0" w:line="240" w:lineRule="auto"/>
    </w:pPr>
    <w:rPr>
      <w:lang w:val="en-US" w:eastAsia="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6">
    <w:name w:val="List Paragraph"/>
    <w:basedOn w:val="1"/>
    <w:qFormat/>
    <w:uiPriority w:val="34"/>
    <w:pPr>
      <w:ind w:left="720"/>
      <w:contextualSpacing/>
    </w:pPr>
    <w:rPr>
      <w:rFonts w:ascii="Calibri" w:hAnsi="Calibri" w:eastAsia="Calibri" w:cs="Times New Roman"/>
      <w:lang w:val="en-US" w:eastAsia="en-US"/>
    </w:rPr>
  </w:style>
  <w:style w:type="paragraph" w:styleId="17">
    <w:name w:val="No Spacing"/>
    <w:qFormat/>
    <w:uiPriority w:val="0"/>
    <w:pPr>
      <w:spacing w:after="0" w:line="240" w:lineRule="auto"/>
    </w:pPr>
    <w:rPr>
      <w:rFonts w:ascii="Calibri" w:hAnsi="Calibri" w:eastAsia="Times New Roman" w:cs="Times New Roman"/>
      <w:sz w:val="22"/>
      <w:szCs w:val="22"/>
      <w:lang w:val="en-US" w:eastAsia="en-US" w:bidi="ar-SA"/>
    </w:rPr>
  </w:style>
  <w:style w:type="character" w:customStyle="1" w:styleId="18">
    <w:name w:val="Header Char"/>
    <w:basedOn w:val="3"/>
    <w:link w:val="12"/>
    <w:semiHidden/>
    <w:qFormat/>
    <w:uiPriority w:val="99"/>
  </w:style>
  <w:style w:type="character" w:customStyle="1" w:styleId="19">
    <w:name w:val="Footer Char"/>
    <w:basedOn w:val="3"/>
    <w:link w:val="11"/>
    <w:qFormat/>
    <w:uiPriority w:val="99"/>
  </w:style>
  <w:style w:type="character" w:customStyle="1" w:styleId="20">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Documents%20and%20Settings\USER\My%20Documents\pendrive2doc\Downloads\DPPH%20REsults%20dOS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DPPH</a:t>
            </a:r>
            <a:r>
              <a:rPr lang="en-US" baseline="0"/>
              <a:t> Activity</a:t>
            </a:r>
            <a:endParaRPr lang="en-US"/>
          </a:p>
        </c:rich>
      </c:tx>
      <c:layout/>
      <c:overlay val="0"/>
    </c:title>
    <c:autoTitleDeleted val="0"/>
    <c:plotArea>
      <c:layout/>
      <c:scatterChart>
        <c:scatterStyle val="lineMarker"/>
        <c:varyColors val="0"/>
        <c:ser>
          <c:idx val="0"/>
          <c:order val="0"/>
          <c:tx>
            <c:strRef>
              <c:f>Sheet1!$B$7</c:f>
              <c:strCache>
                <c:ptCount val="1"/>
                <c:pt idx="0">
                  <c:v>Sample 1</c:v>
                </c:pt>
              </c:strCache>
            </c:strRef>
          </c:tx>
          <c:dLbls>
            <c:delete val="1"/>
          </c:dLbls>
          <c:xVal>
            <c:numRef>
              <c:f>Sheet1!$C$6:$J$6</c:f>
              <c:numCache>
                <c:formatCode>General</c:formatCode>
                <c:ptCount val="8"/>
                <c:pt idx="0">
                  <c:v>0</c:v>
                </c:pt>
                <c:pt idx="1">
                  <c:v>25</c:v>
                </c:pt>
                <c:pt idx="2">
                  <c:v>50</c:v>
                </c:pt>
                <c:pt idx="3">
                  <c:v>100</c:v>
                </c:pt>
                <c:pt idx="4">
                  <c:v>200</c:v>
                </c:pt>
                <c:pt idx="5">
                  <c:v>300</c:v>
                </c:pt>
                <c:pt idx="6">
                  <c:v>400</c:v>
                </c:pt>
                <c:pt idx="7">
                  <c:v>500</c:v>
                </c:pt>
              </c:numCache>
            </c:numRef>
          </c:xVal>
          <c:yVal>
            <c:numRef>
              <c:f>Sheet1!$C$7:$J$7</c:f>
              <c:numCache>
                <c:formatCode>General</c:formatCode>
                <c:ptCount val="8"/>
                <c:pt idx="0">
                  <c:v>0</c:v>
                </c:pt>
                <c:pt idx="1">
                  <c:v>2.564103</c:v>
                </c:pt>
                <c:pt idx="2">
                  <c:v>3.17460317460316</c:v>
                </c:pt>
                <c:pt idx="3">
                  <c:v>9.15750915750917</c:v>
                </c:pt>
                <c:pt idx="4">
                  <c:v>22.9548229548229</c:v>
                </c:pt>
                <c:pt idx="5">
                  <c:v>55.6776556776556</c:v>
                </c:pt>
                <c:pt idx="6">
                  <c:v>68.009768009768</c:v>
                </c:pt>
                <c:pt idx="7">
                  <c:v>72.89377</c:v>
                </c:pt>
              </c:numCache>
            </c:numRef>
          </c:yVal>
          <c:smooth val="0"/>
        </c:ser>
        <c:ser>
          <c:idx val="1"/>
          <c:order val="1"/>
          <c:tx>
            <c:strRef>
              <c:f>Sheet1!$B$8</c:f>
              <c:strCache>
                <c:ptCount val="1"/>
                <c:pt idx="0">
                  <c:v>Sample 2</c:v>
                </c:pt>
              </c:strCache>
            </c:strRef>
          </c:tx>
          <c:dLbls>
            <c:delete val="1"/>
          </c:dLbls>
          <c:xVal>
            <c:numRef>
              <c:f>Sheet1!$C$6:$J$6</c:f>
              <c:numCache>
                <c:formatCode>General</c:formatCode>
                <c:ptCount val="8"/>
                <c:pt idx="0">
                  <c:v>0</c:v>
                </c:pt>
                <c:pt idx="1">
                  <c:v>25</c:v>
                </c:pt>
                <c:pt idx="2">
                  <c:v>50</c:v>
                </c:pt>
                <c:pt idx="3">
                  <c:v>100</c:v>
                </c:pt>
                <c:pt idx="4">
                  <c:v>200</c:v>
                </c:pt>
                <c:pt idx="5">
                  <c:v>300</c:v>
                </c:pt>
                <c:pt idx="6">
                  <c:v>400</c:v>
                </c:pt>
                <c:pt idx="7">
                  <c:v>500</c:v>
                </c:pt>
              </c:numCache>
            </c:numRef>
          </c:xVal>
          <c:yVal>
            <c:numRef>
              <c:f>Sheet1!$C$8:$J$8</c:f>
              <c:numCache>
                <c:formatCode>General</c:formatCode>
                <c:ptCount val="8"/>
                <c:pt idx="0">
                  <c:v>0</c:v>
                </c:pt>
                <c:pt idx="1">
                  <c:v>0.488400488400496</c:v>
                </c:pt>
                <c:pt idx="2">
                  <c:v>1.46520146520147</c:v>
                </c:pt>
                <c:pt idx="3">
                  <c:v>6.47130647130647</c:v>
                </c:pt>
                <c:pt idx="4">
                  <c:v>10.7448107448103</c:v>
                </c:pt>
                <c:pt idx="5">
                  <c:v>22.3443223443216</c:v>
                </c:pt>
                <c:pt idx="6">
                  <c:v>37.6068376068376</c:v>
                </c:pt>
                <c:pt idx="7">
                  <c:v>54.94505</c:v>
                </c:pt>
              </c:numCache>
            </c:numRef>
          </c:yVal>
          <c:smooth val="0"/>
        </c:ser>
        <c:ser>
          <c:idx val="2"/>
          <c:order val="2"/>
          <c:tx>
            <c:strRef>
              <c:f>Sheet1!$B$9</c:f>
              <c:strCache>
                <c:ptCount val="1"/>
                <c:pt idx="0">
                  <c:v>BHT</c:v>
                </c:pt>
              </c:strCache>
            </c:strRef>
          </c:tx>
          <c:dLbls>
            <c:delete val="1"/>
          </c:dLbls>
          <c:xVal>
            <c:numRef>
              <c:f>Sheet1!$C$6:$J$6</c:f>
              <c:numCache>
                <c:formatCode>General</c:formatCode>
                <c:ptCount val="8"/>
                <c:pt idx="0">
                  <c:v>0</c:v>
                </c:pt>
                <c:pt idx="1">
                  <c:v>25</c:v>
                </c:pt>
                <c:pt idx="2">
                  <c:v>50</c:v>
                </c:pt>
                <c:pt idx="3">
                  <c:v>100</c:v>
                </c:pt>
                <c:pt idx="4">
                  <c:v>200</c:v>
                </c:pt>
                <c:pt idx="5">
                  <c:v>300</c:v>
                </c:pt>
                <c:pt idx="6">
                  <c:v>400</c:v>
                </c:pt>
                <c:pt idx="7">
                  <c:v>500</c:v>
                </c:pt>
              </c:numCache>
            </c:numRef>
          </c:xVal>
          <c:yVal>
            <c:numRef>
              <c:f>Sheet1!$C$9:$J$9</c:f>
              <c:numCache>
                <c:formatCode>General</c:formatCode>
                <c:ptCount val="8"/>
                <c:pt idx="0">
                  <c:v>0</c:v>
                </c:pt>
                <c:pt idx="1">
                  <c:v>32.478632478632</c:v>
                </c:pt>
                <c:pt idx="2">
                  <c:v>45.5433455433455</c:v>
                </c:pt>
                <c:pt idx="3">
                  <c:v>62.3931623931624</c:v>
                </c:pt>
                <c:pt idx="4">
                  <c:v>67.6434676434676</c:v>
                </c:pt>
                <c:pt idx="5">
                  <c:v>71.672771672767</c:v>
                </c:pt>
                <c:pt idx="6">
                  <c:v>73.015873015873</c:v>
                </c:pt>
                <c:pt idx="7">
                  <c:v>74.4737</c:v>
                </c:pt>
              </c:numCache>
            </c:numRef>
          </c:yVal>
          <c:smooth val="0"/>
        </c:ser>
        <c:dLbls>
          <c:showLegendKey val="0"/>
          <c:showVal val="0"/>
          <c:showCatName val="0"/>
          <c:showSerName val="0"/>
          <c:showPercent val="0"/>
          <c:showBubbleSize val="0"/>
        </c:dLbls>
        <c:axId val="134616576"/>
        <c:axId val="134618496"/>
      </c:scatterChart>
      <c:valAx>
        <c:axId val="134616576"/>
        <c:scaling>
          <c:orientation val="minMax"/>
        </c:scaling>
        <c:delete val="0"/>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dirty="0"/>
                  <a:t>Concentration in µg/ml </a:t>
                </a:r>
                <a:endParaRPr lang="en-US" dirty="0"/>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34618496"/>
        <c:crosses val="autoZero"/>
        <c:crossBetween val="midCat"/>
      </c:valAx>
      <c:valAx>
        <c:axId val="1346184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 of Activity</a:t>
                </a:r>
                <a:endParaRPr lang="en-US"/>
              </a:p>
            </c:rich>
          </c:tx>
          <c:layout/>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34616576"/>
        <c:crosses val="autoZero"/>
        <c:crossBetween val="midCat"/>
      </c:valAx>
      <c:spPr>
        <a:solidFill>
          <a:sysClr val="window" lastClr="FFFFFF"/>
        </a:solidFill>
        <a:ln w="25400" cap="flat" cmpd="sng" algn="ctr">
          <a:solidFill>
            <a:srgbClr val="39639D"/>
          </a:solidFill>
          <a:prstDash val="solid"/>
        </a:ln>
        <a:effectLst/>
      </c:spPr>
    </c:plotArea>
    <c:legend>
      <c:legendPos val="r"/>
      <c:layout/>
      <c:overlay val="0"/>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US"/>
      </a:pPr>
    </a:p>
  </c:txPr>
  <c:externalData r:id="rId1">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Override>
</file>

<file path=docProps/app.xml><?xml version="1.0" encoding="utf-8"?>
<Properties xmlns="http://schemas.openxmlformats.org/officeDocument/2006/extended-properties" xmlns:vt="http://schemas.openxmlformats.org/officeDocument/2006/docPropsVTypes">
  <Template>Normal</Template>
  <Company>Microsoft</Company>
  <Pages>8</Pages>
  <Words>2653</Words>
  <Characters>15125</Characters>
  <Lines>126</Lines>
  <Paragraphs>35</Paragraphs>
  <TotalTime>43</TotalTime>
  <ScaleCrop>false</ScaleCrop>
  <LinksUpToDate>false</LinksUpToDate>
  <CharactersWithSpaces>17743</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2021-03-13T17:56:00Z</dcterms:created>
  <dc:creator>Dhandu</dc:creator>
  <cp:lastModifiedBy>Dhanu Sree</cp:lastModifiedBy>
  <dcterms:modified xsi:type="dcterms:W3CDTF">2023-09-24T09:14:34Z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DE0B4D7BBEC94C4082D792E0EC752A9D_13</vt:lpwstr>
  </property>
</Properties>
</file>