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D4" w:rsidRPr="00DB5D37" w:rsidRDefault="00D011D4" w:rsidP="00265B09">
      <w:pPr>
        <w:spacing w:line="360" w:lineRule="auto"/>
        <w:rPr>
          <w:rStyle w:val="Emphasis"/>
          <w:rFonts w:ascii="Book Antiqua" w:hAnsi="Book Antiqua" w:cstheme="majorBidi"/>
          <w:b/>
          <w:bCs/>
          <w:i w:val="0"/>
          <w:iCs w:val="0"/>
        </w:rPr>
      </w:pPr>
      <w:r>
        <w:rPr>
          <w:rStyle w:val="Emphasis"/>
          <w:rFonts w:ascii="Book Antiqua" w:hAnsi="Book Antiqua" w:cstheme="majorBidi"/>
          <w:b/>
          <w:bCs/>
          <w:i w:val="0"/>
          <w:iCs w:val="0"/>
        </w:rPr>
        <w:t>The Role o</w:t>
      </w:r>
      <w:r w:rsidR="0051191C">
        <w:rPr>
          <w:rStyle w:val="Emphasis"/>
          <w:rFonts w:ascii="Book Antiqua" w:hAnsi="Book Antiqua" w:cstheme="majorBidi"/>
          <w:b/>
          <w:bCs/>
          <w:i w:val="0"/>
          <w:iCs w:val="0"/>
        </w:rPr>
        <w:t>f Private Sector in Agriculture</w:t>
      </w:r>
      <w:r>
        <w:rPr>
          <w:rStyle w:val="Emphasis"/>
          <w:rFonts w:ascii="Book Antiqua" w:hAnsi="Book Antiqua" w:cstheme="majorBidi"/>
          <w:b/>
          <w:bCs/>
          <w:i w:val="0"/>
          <w:iCs w:val="0"/>
        </w:rPr>
        <w:t xml:space="preserve"> Advisory Services</w:t>
      </w:r>
      <w:r w:rsidR="00265B09">
        <w:rPr>
          <w:rStyle w:val="Emphasis"/>
          <w:rFonts w:ascii="Book Antiqua" w:hAnsi="Book Antiqua" w:cstheme="majorBidi"/>
          <w:b/>
          <w:bCs/>
          <w:i w:val="0"/>
          <w:iCs w:val="0"/>
        </w:rPr>
        <w:t xml:space="preserve"> in</w:t>
      </w:r>
      <w:r>
        <w:rPr>
          <w:rStyle w:val="Emphasis"/>
          <w:rFonts w:ascii="Book Antiqua" w:hAnsi="Book Antiqua" w:cstheme="majorBidi"/>
          <w:b/>
          <w:bCs/>
          <w:i w:val="0"/>
          <w:iCs w:val="0"/>
        </w:rPr>
        <w:t xml:space="preserve"> </w:t>
      </w:r>
      <w:bookmarkStart w:id="0" w:name="_GoBack"/>
      <w:bookmarkEnd w:id="0"/>
      <w:r>
        <w:rPr>
          <w:rStyle w:val="Emphasis"/>
          <w:rFonts w:ascii="Book Antiqua" w:hAnsi="Book Antiqua" w:cstheme="majorBidi"/>
          <w:b/>
          <w:bCs/>
          <w:i w:val="0"/>
          <w:iCs w:val="0"/>
        </w:rPr>
        <w:t>Gezira State, Sudan</w:t>
      </w:r>
    </w:p>
    <w:p w:rsidR="00200DD0" w:rsidRPr="00AD13E9" w:rsidRDefault="00200DD0" w:rsidP="00D805BB">
      <w:pPr>
        <w:tabs>
          <w:tab w:val="left" w:pos="3990"/>
        </w:tabs>
        <w:spacing w:line="360" w:lineRule="auto"/>
        <w:jc w:val="center"/>
        <w:rPr>
          <w:rFonts w:asciiTheme="majorBidi" w:hAnsiTheme="majorBidi" w:cstheme="majorBidi"/>
          <w:b/>
          <w:bCs/>
          <w:sz w:val="24"/>
          <w:szCs w:val="24"/>
        </w:rPr>
      </w:pPr>
      <w:r w:rsidRPr="00AD13E9">
        <w:rPr>
          <w:rFonts w:asciiTheme="majorBidi" w:hAnsiTheme="majorBidi" w:cstheme="majorBidi"/>
          <w:b/>
          <w:bCs/>
          <w:sz w:val="24"/>
          <w:szCs w:val="24"/>
        </w:rPr>
        <w:t xml:space="preserve">Ahmed </w:t>
      </w:r>
      <w:r w:rsidR="006F7A82" w:rsidRPr="00AD13E9">
        <w:rPr>
          <w:rFonts w:asciiTheme="majorBidi" w:hAnsiTheme="majorBidi" w:cstheme="majorBidi"/>
          <w:b/>
          <w:bCs/>
          <w:sz w:val="24"/>
          <w:szCs w:val="24"/>
        </w:rPr>
        <w:t xml:space="preserve">Mirghani </w:t>
      </w:r>
      <w:r w:rsidRPr="00AD13E9">
        <w:rPr>
          <w:rFonts w:asciiTheme="majorBidi" w:hAnsiTheme="majorBidi" w:cstheme="majorBidi"/>
          <w:b/>
          <w:bCs/>
          <w:sz w:val="24"/>
          <w:szCs w:val="24"/>
        </w:rPr>
        <w:t>Abdel Rahman</w:t>
      </w:r>
    </w:p>
    <w:p w:rsidR="00200DD0" w:rsidRPr="00AD13E9" w:rsidRDefault="00200DD0" w:rsidP="00D80D8D">
      <w:pPr>
        <w:widowControl w:val="0"/>
        <w:autoSpaceDE w:val="0"/>
        <w:autoSpaceDN w:val="0"/>
        <w:adjustRightInd w:val="0"/>
        <w:spacing w:after="0" w:line="240" w:lineRule="auto"/>
        <w:ind w:left="560"/>
        <w:jc w:val="center"/>
        <w:rPr>
          <w:rFonts w:asciiTheme="majorBidi" w:hAnsiTheme="majorBidi" w:cstheme="majorBidi"/>
          <w:b/>
          <w:bCs/>
          <w:sz w:val="24"/>
          <w:szCs w:val="24"/>
        </w:rPr>
      </w:pPr>
      <w:r w:rsidRPr="00AD13E9">
        <w:rPr>
          <w:rFonts w:asciiTheme="majorBidi" w:hAnsiTheme="majorBidi" w:cstheme="majorBidi"/>
          <w:b/>
          <w:bCs/>
          <w:sz w:val="24"/>
          <w:szCs w:val="24"/>
        </w:rPr>
        <w:t>Department of Agricultural Extension and Training, Faculty of Agricultural Sciences, University of Gezira</w:t>
      </w:r>
      <w:r w:rsidR="00D80D8D" w:rsidRPr="00AD13E9">
        <w:rPr>
          <w:rFonts w:asciiTheme="majorBidi" w:hAnsiTheme="majorBidi" w:cstheme="majorBidi"/>
          <w:b/>
          <w:bCs/>
          <w:sz w:val="24"/>
          <w:szCs w:val="24"/>
        </w:rPr>
        <w:t>, Wad</w:t>
      </w:r>
      <w:r w:rsidRPr="00AD13E9">
        <w:rPr>
          <w:rFonts w:asciiTheme="majorBidi" w:hAnsiTheme="majorBidi" w:cstheme="majorBidi"/>
          <w:b/>
          <w:bCs/>
          <w:sz w:val="24"/>
          <w:szCs w:val="24"/>
        </w:rPr>
        <w:t xml:space="preserve"> Medani, P. O. Box. 20, Sudan.</w:t>
      </w:r>
    </w:p>
    <w:p w:rsidR="00200DD0" w:rsidRPr="00AD13E9" w:rsidRDefault="00200DD0" w:rsidP="00D80D8D">
      <w:pPr>
        <w:widowControl w:val="0"/>
        <w:autoSpaceDE w:val="0"/>
        <w:autoSpaceDN w:val="0"/>
        <w:adjustRightInd w:val="0"/>
        <w:spacing w:after="0" w:line="240" w:lineRule="auto"/>
        <w:ind w:left="3460"/>
        <w:jc w:val="center"/>
        <w:rPr>
          <w:rFonts w:asciiTheme="majorBidi" w:hAnsiTheme="majorBidi" w:cstheme="majorBidi"/>
          <w:b/>
          <w:bCs/>
          <w:sz w:val="24"/>
          <w:szCs w:val="24"/>
        </w:rPr>
      </w:pPr>
    </w:p>
    <w:p w:rsidR="00200DD0" w:rsidRPr="00AD13E9" w:rsidRDefault="00200DD0" w:rsidP="00200DD0">
      <w:pPr>
        <w:widowControl w:val="0"/>
        <w:overflowPunct w:val="0"/>
        <w:autoSpaceDE w:val="0"/>
        <w:autoSpaceDN w:val="0"/>
        <w:adjustRightInd w:val="0"/>
        <w:spacing w:after="0" w:line="325" w:lineRule="auto"/>
        <w:ind w:right="3540"/>
        <w:jc w:val="center"/>
        <w:rPr>
          <w:rFonts w:asciiTheme="majorBidi" w:hAnsiTheme="majorBidi" w:cstheme="majorBidi"/>
          <w:b/>
          <w:bCs/>
          <w:sz w:val="24"/>
          <w:szCs w:val="24"/>
        </w:rPr>
      </w:pPr>
      <w:r w:rsidRPr="00AD13E9">
        <w:rPr>
          <w:rFonts w:asciiTheme="majorBidi" w:hAnsiTheme="majorBidi" w:cstheme="majorBidi"/>
          <w:b/>
          <w:bCs/>
          <w:sz w:val="24"/>
          <w:szCs w:val="24"/>
        </w:rPr>
        <w:t xml:space="preserve">                               Email:mirghani999@hotmail.com</w:t>
      </w:r>
    </w:p>
    <w:p w:rsidR="00200DD0" w:rsidRPr="00AD13E9" w:rsidRDefault="00EA10DB" w:rsidP="00F653D5">
      <w:pPr>
        <w:pStyle w:val="yiv153979145msonormal"/>
        <w:rPr>
          <w:rStyle w:val="Emphasis"/>
          <w:rFonts w:asciiTheme="majorBidi" w:hAnsiTheme="majorBidi" w:cstheme="majorBidi"/>
          <w:b/>
          <w:bCs/>
          <w:i w:val="0"/>
          <w:iCs w:val="0"/>
        </w:rPr>
      </w:pPr>
      <w:r w:rsidRPr="00AD13E9">
        <w:rPr>
          <w:rFonts w:asciiTheme="majorBidi" w:hAnsiTheme="majorBidi" w:cstheme="majorBidi"/>
          <w:b/>
          <w:bCs/>
        </w:rPr>
        <w:t xml:space="preserve">                                       Mobile phone: +249122315378 </w:t>
      </w:r>
    </w:p>
    <w:p w:rsidR="00200DD0" w:rsidRPr="00DB5D37" w:rsidRDefault="00200DD0" w:rsidP="00D07949">
      <w:pPr>
        <w:widowControl w:val="0"/>
        <w:autoSpaceDE w:val="0"/>
        <w:autoSpaceDN w:val="0"/>
        <w:adjustRightInd w:val="0"/>
        <w:spacing w:after="0" w:line="392" w:lineRule="exact"/>
        <w:jc w:val="center"/>
        <w:rPr>
          <w:rFonts w:ascii="Book Antiqua" w:hAnsi="Book Antiqua" w:cs="Times New Roman"/>
          <w:b/>
          <w:bCs/>
        </w:rPr>
      </w:pPr>
      <w:r w:rsidRPr="00AD13E9">
        <w:rPr>
          <w:rFonts w:asciiTheme="majorBidi" w:hAnsiTheme="majorBidi" w:cstheme="majorBidi"/>
          <w:b/>
          <w:bCs/>
          <w:sz w:val="24"/>
          <w:szCs w:val="24"/>
        </w:rPr>
        <w:t>ABSTRACT</w:t>
      </w:r>
    </w:p>
    <w:p w:rsidR="00200DD0" w:rsidRPr="00874719" w:rsidRDefault="009E43D6" w:rsidP="00CE0818">
      <w:pPr>
        <w:pStyle w:val="NormalWeb"/>
        <w:spacing w:line="360" w:lineRule="auto"/>
        <w:jc w:val="both"/>
      </w:pPr>
      <w:r>
        <w:t xml:space="preserve">This article examines the role of the private sector in agriculture advisory services in Gezira State, Sudan. The data were gathered by administering a questionnaire among 100 agricultural service providers in the State in the 2021/ 2022 growing season and selected using the simple random sampling technique. This was done to obtain a fairly accurate result at a reasonable cost. The collected data were statistically analyzed and interpreted using percentage and frequency distributions. According to the results, percent of agricultural service providers hold BSc degrees in plant protection, while 50% provide pesticides to farmers. Also, 70 percent of the private sector provides farmers with technical information about pesticide use on crops, while 55 percent provide them with financial services in the form of cash or credit. There are many constraints facing private advisory services in Sudan. The study concludes that </w:t>
      </w:r>
      <w:r w:rsidR="00CE0818">
        <w:t>the private sector covers a reasonable part of the deficiencies of the public extension sector. However, it suffers from some constraints that limit its effectiveness in providing services to its clientele. Therefore, more collaboration between the public and private sectors is necessary.</w:t>
      </w:r>
    </w:p>
    <w:p w:rsidR="00200DD0" w:rsidRPr="009D1A31" w:rsidRDefault="00200DD0" w:rsidP="00F653D5">
      <w:pPr>
        <w:widowControl w:val="0"/>
        <w:autoSpaceDE w:val="0"/>
        <w:autoSpaceDN w:val="0"/>
        <w:adjustRightInd w:val="0"/>
        <w:spacing w:after="0" w:line="240" w:lineRule="auto"/>
        <w:rPr>
          <w:rFonts w:ascii="Book Antiqua" w:hAnsi="Book Antiqua" w:cs="Times New Roman"/>
          <w:b/>
          <w:bCs/>
        </w:rPr>
      </w:pPr>
      <w:r w:rsidRPr="009D1A31">
        <w:rPr>
          <w:rFonts w:ascii="Book Antiqua" w:hAnsi="Book Antiqua" w:cs="Times New Roman"/>
          <w:b/>
          <w:bCs/>
          <w:i/>
          <w:iCs/>
        </w:rPr>
        <w:t xml:space="preserve">Key words: </w:t>
      </w:r>
      <w:r w:rsidRPr="009D1A31">
        <w:rPr>
          <w:rFonts w:ascii="Book Antiqua" w:hAnsi="Book Antiqua" w:cs="Times New Roman"/>
          <w:b/>
          <w:bCs/>
        </w:rPr>
        <w:t>Agricultural extension services; private extension sector; Gezira State; Sudan.</w:t>
      </w:r>
    </w:p>
    <w:p w:rsidR="00200DD0" w:rsidRPr="00F653D5" w:rsidRDefault="00200DD0" w:rsidP="00DB5D37">
      <w:pPr>
        <w:spacing w:line="240" w:lineRule="auto"/>
        <w:rPr>
          <w:rStyle w:val="Emphasis"/>
          <w:rFonts w:ascii="Book Antiqua" w:hAnsi="Book Antiqua" w:cstheme="majorBidi"/>
          <w:b/>
          <w:bCs/>
          <w:i w:val="0"/>
          <w:iCs w:val="0"/>
        </w:rPr>
      </w:pPr>
    </w:p>
    <w:p w:rsidR="0036027E" w:rsidRDefault="0036027E" w:rsidP="00242BE2">
      <w:pPr>
        <w:pStyle w:val="ListParagraph"/>
        <w:spacing w:line="240" w:lineRule="auto"/>
        <w:jc w:val="center"/>
        <w:rPr>
          <w:rFonts w:asciiTheme="majorBidi" w:hAnsiTheme="majorBidi" w:cstheme="majorBidi"/>
          <w:b/>
          <w:bCs/>
          <w:sz w:val="24"/>
          <w:szCs w:val="24"/>
          <w:lang w:val="en"/>
        </w:rPr>
      </w:pPr>
      <w:r w:rsidRPr="00F75ED1">
        <w:rPr>
          <w:rFonts w:asciiTheme="majorBidi" w:hAnsiTheme="majorBidi" w:cstheme="majorBidi"/>
          <w:b/>
          <w:bCs/>
          <w:sz w:val="24"/>
          <w:szCs w:val="24"/>
          <w:lang w:val="en"/>
        </w:rPr>
        <w:t>INTRODUCTION</w:t>
      </w:r>
    </w:p>
    <w:p w:rsidR="00EA43E7" w:rsidRDefault="00EA43E7" w:rsidP="00EA43E7">
      <w:pPr>
        <w:pStyle w:val="NormalWeb"/>
        <w:spacing w:line="360" w:lineRule="auto"/>
        <w:jc w:val="both"/>
      </w:pPr>
      <w:r>
        <w:t xml:space="preserve">Agricultural extension services help farmers increase their crop production and productivity to improve their income and other socio-economic status. This promotes rural communities' living standards and </w:t>
      </w:r>
      <w:r w:rsidR="00551919">
        <w:t>welfare. These</w:t>
      </w:r>
      <w:r>
        <w:t xml:space="preserve"> services vary depending on a number of factors such as cultivated crops, production problems, agriculture policy, number of organizations that provide extension services as well as the rural people themselves and their personal and economic </w:t>
      </w:r>
      <w:r w:rsidR="00DF7959">
        <w:t>characteristics. Adebayo (</w:t>
      </w:r>
      <w:r>
        <w:t xml:space="preserve">2004) stated that agricultural extension services are aimed at empowering farmers to </w:t>
      </w:r>
      <w:r>
        <w:lastRenderedPageBreak/>
        <w:t>identify and analyze their agriculture problems, which will help them make the right decisions on their farm activities.</w:t>
      </w:r>
    </w:p>
    <w:p w:rsidR="00DF7959" w:rsidRDefault="00DF7959" w:rsidP="00DF7959">
      <w:pPr>
        <w:pStyle w:val="NormalWeb"/>
        <w:spacing w:line="360" w:lineRule="auto"/>
        <w:jc w:val="both"/>
      </w:pPr>
      <w:r>
        <w:t>Globally agricultural extension services are provided by both government and private sector organizations as mentioned in the literature. Public agricultural extension provides farmers with free services to meet their needs, interest and solve their problems in all agriculture sectors. However, these services gradually became insufficient due to limited financial resources and global economic shifts (Saliu et al, 2009). .Privatization of agricultural extension services refers to services rendered in the area of agriculture and allied aspects by extension personnel working in specialized agencies or organizations for which farmers are expected to pay a fee (or free) and can be viewed as supplementary or alternative to public extension services (Saravanan et al,1999).Privatization of agricultural extension services worldwide was came as a result of the response of extension organizations to an increasingly complex and rapidly changing environment (Lawrence et al, 1967). Privatization refers to the ending of total or substantial ownership and operational control from the government to the private sector. Additionally, it involves the establishment of new partnerships and associations between government agencies and non-governmental entities (Connolly, 2004). Private extension involves private sector personnel that deliver advisory services in agriculture and is seen as an alternative to public extension (Bloome, 1993). Farmers are expected to share responsibility for this service and play all or part in the cost (Van Den Banetal, 1996).</w:t>
      </w:r>
    </w:p>
    <w:p w:rsidR="00E410E7" w:rsidRPr="00907249" w:rsidRDefault="00907249" w:rsidP="00907249">
      <w:pPr>
        <w:pStyle w:val="NormalWeb"/>
        <w:spacing w:line="360" w:lineRule="auto"/>
        <w:jc w:val="both"/>
        <w:rPr>
          <w:i/>
          <w:iCs/>
        </w:rPr>
      </w:pPr>
      <w:r>
        <w:t>In Sudan as in most developing countries ministry-based agricultural extension services were adopted and established after the Second World War as part of American Aid for developing countries in 1959. The non-public extension sector emerged during the last two decades as a result of the Sudan government's privatization policy and agriculture reforms regarding insufficient extension services provided by public agricultural extension organizations in the country (Abdel Rahman et al, 2016). The private sector is actively engaged in providing agricultural extension services particularly to the vegetable farming communities of Sudan. It is dominated of pesticide companies, farmer’s unions and retailers. This paper investigates the role of the private</w:t>
      </w:r>
      <w:r>
        <w:rPr>
          <w:rStyle w:val="Emphasis"/>
        </w:rPr>
        <w:t xml:space="preserve"> </w:t>
      </w:r>
      <w:r w:rsidRPr="00907249">
        <w:rPr>
          <w:rStyle w:val="Emphasis"/>
          <w:i w:val="0"/>
          <w:iCs w:val="0"/>
        </w:rPr>
        <w:t>sector in agriculture advisory services in Sudan.</w:t>
      </w:r>
    </w:p>
    <w:p w:rsidR="00E83A35" w:rsidRPr="00F75ED1" w:rsidRDefault="00E83A35" w:rsidP="00F653D5">
      <w:pPr>
        <w:widowControl w:val="0"/>
        <w:autoSpaceDE w:val="0"/>
        <w:autoSpaceDN w:val="0"/>
        <w:adjustRightInd w:val="0"/>
        <w:spacing w:after="0" w:line="240" w:lineRule="auto"/>
        <w:jc w:val="center"/>
        <w:rPr>
          <w:rFonts w:asciiTheme="majorBidi" w:hAnsiTheme="majorBidi" w:cstheme="majorBidi"/>
          <w:sz w:val="24"/>
          <w:szCs w:val="24"/>
        </w:rPr>
      </w:pPr>
      <w:r w:rsidRPr="00F75ED1">
        <w:rPr>
          <w:rFonts w:asciiTheme="majorBidi" w:hAnsiTheme="majorBidi" w:cstheme="majorBidi"/>
          <w:b/>
          <w:bCs/>
          <w:sz w:val="24"/>
          <w:szCs w:val="24"/>
        </w:rPr>
        <w:t xml:space="preserve"> MATERIALS AND METHOD</w:t>
      </w:r>
    </w:p>
    <w:p w:rsidR="00E83A35" w:rsidRPr="00F653D5" w:rsidRDefault="00E83A35" w:rsidP="00F653D5">
      <w:pPr>
        <w:widowControl w:val="0"/>
        <w:autoSpaceDE w:val="0"/>
        <w:autoSpaceDN w:val="0"/>
        <w:adjustRightInd w:val="0"/>
        <w:spacing w:after="0" w:line="240" w:lineRule="auto"/>
        <w:rPr>
          <w:rFonts w:ascii="Book Antiqua" w:hAnsi="Book Antiqua" w:cs="Times New Roman"/>
        </w:rPr>
      </w:pPr>
    </w:p>
    <w:p w:rsidR="00394AEC" w:rsidRDefault="0044745D" w:rsidP="00394AEC">
      <w:pPr>
        <w:widowControl w:val="0"/>
        <w:autoSpaceDE w:val="0"/>
        <w:autoSpaceDN w:val="0"/>
        <w:adjustRightInd w:val="0"/>
        <w:spacing w:after="0" w:line="360" w:lineRule="auto"/>
        <w:rPr>
          <w:rFonts w:asciiTheme="majorBidi" w:hAnsiTheme="majorBidi" w:cstheme="majorBidi"/>
          <w:b/>
          <w:bCs/>
          <w:sz w:val="24"/>
          <w:szCs w:val="24"/>
        </w:rPr>
      </w:pPr>
      <w:r w:rsidRPr="00F75ED1">
        <w:rPr>
          <w:rFonts w:asciiTheme="majorBidi" w:hAnsiTheme="majorBidi" w:cstheme="majorBidi"/>
          <w:b/>
          <w:bCs/>
          <w:sz w:val="24"/>
          <w:szCs w:val="24"/>
        </w:rPr>
        <w:t>3</w:t>
      </w:r>
      <w:r w:rsidR="00424FD1" w:rsidRPr="00F75ED1">
        <w:rPr>
          <w:rFonts w:asciiTheme="majorBidi" w:hAnsiTheme="majorBidi" w:cstheme="majorBidi"/>
          <w:b/>
          <w:bCs/>
          <w:sz w:val="24"/>
          <w:szCs w:val="24"/>
        </w:rPr>
        <w:t>.1</w:t>
      </w:r>
      <w:r w:rsidR="00CE4839" w:rsidRPr="00F75ED1">
        <w:rPr>
          <w:rFonts w:asciiTheme="majorBidi" w:hAnsiTheme="majorBidi" w:cstheme="majorBidi"/>
          <w:b/>
          <w:bCs/>
          <w:sz w:val="24"/>
          <w:szCs w:val="24"/>
        </w:rPr>
        <w:t>. Area</w:t>
      </w:r>
      <w:r w:rsidR="00E83A35" w:rsidRPr="00F75ED1">
        <w:rPr>
          <w:rFonts w:asciiTheme="majorBidi" w:hAnsiTheme="majorBidi" w:cstheme="majorBidi"/>
          <w:b/>
          <w:bCs/>
          <w:sz w:val="24"/>
          <w:szCs w:val="24"/>
        </w:rPr>
        <w:t xml:space="preserve"> of the study:</w:t>
      </w:r>
    </w:p>
    <w:p w:rsidR="00394AEC" w:rsidRPr="00394AEC" w:rsidRDefault="00394AEC" w:rsidP="00394AEC">
      <w:pPr>
        <w:widowControl w:val="0"/>
        <w:autoSpaceDE w:val="0"/>
        <w:autoSpaceDN w:val="0"/>
        <w:adjustRightInd w:val="0"/>
        <w:spacing w:after="0" w:line="360" w:lineRule="auto"/>
        <w:jc w:val="both"/>
        <w:rPr>
          <w:rFonts w:asciiTheme="majorBidi" w:hAnsiTheme="majorBidi" w:cstheme="majorBidi"/>
          <w:b/>
          <w:bCs/>
        </w:rPr>
      </w:pPr>
      <w:r w:rsidRPr="00394AEC">
        <w:rPr>
          <w:rFonts w:asciiTheme="majorBidi" w:hAnsiTheme="majorBidi" w:cstheme="majorBidi"/>
        </w:rPr>
        <w:t xml:space="preserve">This study was undertaken in Gezira State, Sudan. Gezira State is located in central Sudan and lies between the Blue and the White Nile. It has an area of 23,373 km² and an estimated population of approximately 3,300,000 (2000). The name comes from the Arabic word for peninsula. Gezira State represents Sudan's beating heart. It is a well-endowed State particularly in agricultural resources; secondly Gezira lies entirely in the central clay plain of Sudan, in an area of 2.76 million hectares of which 91.9 % is suitable for agriculture. Irrigation area is about 1.04 million ha. And rain-fed farming covers 0.63 million ha. Gezira is the world's largest scheme of its kind. Gezira scheme alone covers 84% of the cropped area in Gezira (50% of the total irrigated area in Sudan). Gezira State also includes 60% of </w:t>
      </w:r>
      <w:proofErr w:type="spellStart"/>
      <w:r w:rsidRPr="00394AEC">
        <w:rPr>
          <w:rFonts w:asciiTheme="majorBidi" w:hAnsiTheme="majorBidi" w:cstheme="majorBidi"/>
        </w:rPr>
        <w:t>Rahad</w:t>
      </w:r>
      <w:proofErr w:type="spellEnd"/>
      <w:r w:rsidRPr="00394AEC">
        <w:rPr>
          <w:rFonts w:asciiTheme="majorBidi" w:hAnsiTheme="majorBidi" w:cstheme="majorBidi"/>
        </w:rPr>
        <w:t xml:space="preserve"> scheme (75.000 ha), in addition to </w:t>
      </w:r>
      <w:proofErr w:type="spellStart"/>
      <w:r w:rsidRPr="00394AEC">
        <w:rPr>
          <w:rFonts w:asciiTheme="majorBidi" w:hAnsiTheme="majorBidi" w:cstheme="majorBidi"/>
        </w:rPr>
        <w:t>Gunied</w:t>
      </w:r>
      <w:proofErr w:type="spellEnd"/>
      <w:r w:rsidRPr="00394AEC">
        <w:rPr>
          <w:rFonts w:asciiTheme="majorBidi" w:hAnsiTheme="majorBidi" w:cstheme="majorBidi"/>
        </w:rPr>
        <w:t xml:space="preserve"> Sugar Cane Scheme (18.300 ha) there are also many of the small and large scale irrigation schemes owned by individuals and companies and areas of which total 78.552 ha, in addition to more than two thousand </w:t>
      </w:r>
      <w:proofErr w:type="spellStart"/>
      <w:r w:rsidRPr="00394AEC">
        <w:rPr>
          <w:rFonts w:asciiTheme="majorBidi" w:hAnsiTheme="majorBidi" w:cstheme="majorBidi"/>
        </w:rPr>
        <w:t>feddans</w:t>
      </w:r>
      <w:proofErr w:type="spellEnd"/>
      <w:r w:rsidRPr="00394AEC">
        <w:rPr>
          <w:rFonts w:asciiTheme="majorBidi" w:hAnsiTheme="majorBidi" w:cstheme="majorBidi"/>
        </w:rPr>
        <w:t xml:space="preserve"> (833 ha) under traditional farming along </w:t>
      </w:r>
      <w:proofErr w:type="spellStart"/>
      <w:r w:rsidRPr="00394AEC">
        <w:rPr>
          <w:rFonts w:asciiTheme="majorBidi" w:hAnsiTheme="majorBidi" w:cstheme="majorBidi"/>
        </w:rPr>
        <w:t>Rahad</w:t>
      </w:r>
      <w:proofErr w:type="spellEnd"/>
      <w:r w:rsidRPr="00394AEC">
        <w:rPr>
          <w:rFonts w:asciiTheme="majorBidi" w:hAnsiTheme="majorBidi" w:cstheme="majorBidi"/>
        </w:rPr>
        <w:t xml:space="preserve"> river and Blue Nile banks. In addition, Gezira is one of the most populated states in Sudan, with the majority of its population working in agriculture, either directly or indirectly.</w:t>
      </w:r>
    </w:p>
    <w:p w:rsidR="00394AEC" w:rsidRPr="00F75ED1" w:rsidRDefault="00394AEC" w:rsidP="00F75ED1">
      <w:pPr>
        <w:widowControl w:val="0"/>
        <w:autoSpaceDE w:val="0"/>
        <w:autoSpaceDN w:val="0"/>
        <w:adjustRightInd w:val="0"/>
        <w:spacing w:after="0" w:line="360" w:lineRule="auto"/>
        <w:rPr>
          <w:rFonts w:asciiTheme="majorBidi" w:hAnsiTheme="majorBidi" w:cstheme="majorBidi"/>
          <w:sz w:val="24"/>
          <w:szCs w:val="24"/>
        </w:rPr>
      </w:pPr>
    </w:p>
    <w:p w:rsidR="00443224" w:rsidRDefault="00424FD1" w:rsidP="00FA3D5D">
      <w:pPr>
        <w:widowControl w:val="0"/>
        <w:overflowPunct w:val="0"/>
        <w:autoSpaceDE w:val="0"/>
        <w:autoSpaceDN w:val="0"/>
        <w:adjustRightInd w:val="0"/>
        <w:spacing w:after="0" w:line="360" w:lineRule="auto"/>
        <w:jc w:val="both"/>
        <w:rPr>
          <w:rFonts w:asciiTheme="majorBidi" w:hAnsiTheme="majorBidi" w:cstheme="majorBidi"/>
          <w:b/>
          <w:bCs/>
          <w:sz w:val="24"/>
          <w:szCs w:val="24"/>
        </w:rPr>
      </w:pPr>
      <w:r w:rsidRPr="00FA3D5D">
        <w:rPr>
          <w:rFonts w:asciiTheme="majorBidi" w:hAnsiTheme="majorBidi" w:cstheme="majorBidi"/>
          <w:b/>
          <w:bCs/>
          <w:sz w:val="24"/>
          <w:szCs w:val="24"/>
        </w:rPr>
        <w:t>Study</w:t>
      </w:r>
      <w:r w:rsidR="005C739A" w:rsidRPr="00FA3D5D">
        <w:rPr>
          <w:rFonts w:asciiTheme="majorBidi" w:hAnsiTheme="majorBidi" w:cstheme="majorBidi"/>
          <w:b/>
          <w:bCs/>
          <w:sz w:val="24"/>
          <w:szCs w:val="24"/>
        </w:rPr>
        <w:t xml:space="preserve"> </w:t>
      </w:r>
      <w:r w:rsidR="002175CC" w:rsidRPr="00FA3D5D">
        <w:rPr>
          <w:rFonts w:asciiTheme="majorBidi" w:hAnsiTheme="majorBidi" w:cstheme="majorBidi"/>
          <w:b/>
          <w:bCs/>
          <w:sz w:val="24"/>
          <w:szCs w:val="24"/>
        </w:rPr>
        <w:t>population:</w:t>
      </w:r>
    </w:p>
    <w:p w:rsidR="00443224" w:rsidRPr="00B93BB1" w:rsidRDefault="00B93BB1" w:rsidP="00B93BB1">
      <w:pPr>
        <w:pStyle w:val="NormalWeb"/>
        <w:spacing w:line="360" w:lineRule="auto"/>
        <w:jc w:val="both"/>
      </w:pPr>
      <w:r>
        <w:t xml:space="preserve">The total number of agricultural service providers was estimated to be 200 in the four main agricultural input markets of Gezira State. These markets are Wad Medani Central Agricultural Inputs Market, </w:t>
      </w:r>
      <w:proofErr w:type="spellStart"/>
      <w:r>
        <w:t>Hasahisa</w:t>
      </w:r>
      <w:proofErr w:type="spellEnd"/>
      <w:r>
        <w:t xml:space="preserve"> Agricultural Inputs Market, </w:t>
      </w:r>
      <w:proofErr w:type="spellStart"/>
      <w:r>
        <w:t>Rufaa</w:t>
      </w:r>
      <w:proofErr w:type="spellEnd"/>
      <w:r>
        <w:t xml:space="preserve"> Agricultural Inputs Market and </w:t>
      </w:r>
      <w:proofErr w:type="spellStart"/>
      <w:r>
        <w:t>Kamlin</w:t>
      </w:r>
      <w:proofErr w:type="spellEnd"/>
      <w:r>
        <w:t xml:space="preserve"> Agricultural Inputs Market.</w:t>
      </w:r>
    </w:p>
    <w:p w:rsidR="003C5FF1" w:rsidRDefault="00424FD1" w:rsidP="000A7238">
      <w:pPr>
        <w:widowControl w:val="0"/>
        <w:autoSpaceDE w:val="0"/>
        <w:autoSpaceDN w:val="0"/>
        <w:adjustRightInd w:val="0"/>
        <w:spacing w:after="0" w:line="360" w:lineRule="auto"/>
        <w:rPr>
          <w:rFonts w:asciiTheme="majorBidi" w:hAnsiTheme="majorBidi" w:cstheme="majorBidi"/>
          <w:b/>
          <w:bCs/>
          <w:sz w:val="24"/>
          <w:szCs w:val="24"/>
        </w:rPr>
      </w:pPr>
      <w:r w:rsidRPr="000A7238">
        <w:rPr>
          <w:rFonts w:asciiTheme="majorBidi" w:hAnsiTheme="majorBidi" w:cstheme="majorBidi"/>
          <w:b/>
          <w:bCs/>
          <w:sz w:val="24"/>
          <w:szCs w:val="24"/>
        </w:rPr>
        <w:t>Sample</w:t>
      </w:r>
      <w:r w:rsidR="005C739A" w:rsidRPr="000A7238">
        <w:rPr>
          <w:rFonts w:asciiTheme="majorBidi" w:hAnsiTheme="majorBidi" w:cstheme="majorBidi"/>
          <w:b/>
          <w:bCs/>
          <w:sz w:val="24"/>
          <w:szCs w:val="24"/>
        </w:rPr>
        <w:t xml:space="preserve"> </w:t>
      </w:r>
      <w:r w:rsidR="002175CC" w:rsidRPr="000A7238">
        <w:rPr>
          <w:rFonts w:asciiTheme="majorBidi" w:hAnsiTheme="majorBidi" w:cstheme="majorBidi"/>
          <w:b/>
          <w:bCs/>
          <w:sz w:val="24"/>
          <w:szCs w:val="24"/>
        </w:rPr>
        <w:t>size and</w:t>
      </w:r>
      <w:r w:rsidR="005C739A" w:rsidRPr="000A7238">
        <w:rPr>
          <w:rFonts w:asciiTheme="majorBidi" w:hAnsiTheme="majorBidi" w:cstheme="majorBidi"/>
          <w:b/>
          <w:bCs/>
          <w:sz w:val="24"/>
          <w:szCs w:val="24"/>
        </w:rPr>
        <w:t xml:space="preserve"> </w:t>
      </w:r>
      <w:r w:rsidR="00414EB7" w:rsidRPr="000A7238">
        <w:rPr>
          <w:rFonts w:asciiTheme="majorBidi" w:hAnsiTheme="majorBidi" w:cstheme="majorBidi"/>
          <w:b/>
          <w:bCs/>
          <w:sz w:val="24"/>
          <w:szCs w:val="24"/>
        </w:rPr>
        <w:t>d</w:t>
      </w:r>
      <w:r w:rsidR="003C5FF1" w:rsidRPr="000A7238">
        <w:rPr>
          <w:rFonts w:asciiTheme="majorBidi" w:hAnsiTheme="majorBidi" w:cstheme="majorBidi"/>
          <w:b/>
          <w:bCs/>
          <w:sz w:val="24"/>
          <w:szCs w:val="24"/>
        </w:rPr>
        <w:t>ata collection:</w:t>
      </w:r>
    </w:p>
    <w:p w:rsidR="00B93BB1" w:rsidRPr="00B93BB1" w:rsidRDefault="00B93BB1" w:rsidP="00B93BB1">
      <w:pPr>
        <w:widowControl w:val="0"/>
        <w:autoSpaceDE w:val="0"/>
        <w:autoSpaceDN w:val="0"/>
        <w:adjustRightInd w:val="0"/>
        <w:spacing w:after="0" w:line="360" w:lineRule="auto"/>
        <w:jc w:val="both"/>
        <w:rPr>
          <w:rFonts w:ascii="Times New Roman" w:hAnsi="Times New Roman" w:cs="Times New Roman"/>
          <w:sz w:val="24"/>
          <w:szCs w:val="24"/>
        </w:rPr>
      </w:pPr>
      <w:r w:rsidRPr="00B93BB1">
        <w:rPr>
          <w:rFonts w:ascii="Times New Roman" w:hAnsi="Times New Roman" w:cs="Times New Roman"/>
          <w:sz w:val="24"/>
          <w:szCs w:val="24"/>
        </w:rPr>
        <w:t xml:space="preserve">The study was based on primary (qualitative) data. Qualitative methods are ways of finding out what people do, know, think and feel by interviewing, observing and analyzing data from documents (Patton, 2002). The data were gathered by administering a questionnaire among 100 agricultural service providers in the State in 2020/ 2021 growing season selected using the simple random sampling technique to obtain a fairly accurate result at a reasonable cost (50 from Wad Medani, 20 from </w:t>
      </w:r>
      <w:proofErr w:type="spellStart"/>
      <w:r w:rsidRPr="00B93BB1">
        <w:rPr>
          <w:rFonts w:ascii="Times New Roman" w:hAnsi="Times New Roman" w:cs="Times New Roman"/>
          <w:sz w:val="24"/>
          <w:szCs w:val="24"/>
        </w:rPr>
        <w:t>Hasahisa</w:t>
      </w:r>
      <w:proofErr w:type="spellEnd"/>
      <w:r w:rsidRPr="00B93BB1">
        <w:rPr>
          <w:rFonts w:ascii="Times New Roman" w:hAnsi="Times New Roman" w:cs="Times New Roman"/>
          <w:sz w:val="24"/>
          <w:szCs w:val="24"/>
        </w:rPr>
        <w:t xml:space="preserve">, 20 from </w:t>
      </w:r>
      <w:proofErr w:type="spellStart"/>
      <w:r w:rsidRPr="00B93BB1">
        <w:rPr>
          <w:rFonts w:ascii="Times New Roman" w:hAnsi="Times New Roman" w:cs="Times New Roman"/>
          <w:sz w:val="24"/>
          <w:szCs w:val="24"/>
        </w:rPr>
        <w:t>Kamlin</w:t>
      </w:r>
      <w:proofErr w:type="spellEnd"/>
      <w:r w:rsidRPr="00B93BB1">
        <w:rPr>
          <w:rFonts w:ascii="Times New Roman" w:hAnsi="Times New Roman" w:cs="Times New Roman"/>
          <w:sz w:val="24"/>
          <w:szCs w:val="24"/>
        </w:rPr>
        <w:t xml:space="preserve"> and 10 from </w:t>
      </w:r>
      <w:proofErr w:type="spellStart"/>
      <w:r w:rsidRPr="00B93BB1">
        <w:rPr>
          <w:rFonts w:ascii="Times New Roman" w:hAnsi="Times New Roman" w:cs="Times New Roman"/>
          <w:sz w:val="24"/>
          <w:szCs w:val="24"/>
        </w:rPr>
        <w:t>Rufaa</w:t>
      </w:r>
      <w:proofErr w:type="spellEnd"/>
      <w:r w:rsidRPr="00B93BB1">
        <w:rPr>
          <w:rFonts w:ascii="Times New Roman" w:hAnsi="Times New Roman" w:cs="Times New Roman"/>
          <w:sz w:val="24"/>
          <w:szCs w:val="24"/>
        </w:rPr>
        <w:t xml:space="preserve"> agricultural input markets).</w:t>
      </w:r>
    </w:p>
    <w:p w:rsidR="00F159E4" w:rsidRPr="00642929" w:rsidRDefault="00FC1301" w:rsidP="00642929">
      <w:pPr>
        <w:widowControl w:val="0"/>
        <w:overflowPunct w:val="0"/>
        <w:autoSpaceDE w:val="0"/>
        <w:autoSpaceDN w:val="0"/>
        <w:adjustRightInd w:val="0"/>
        <w:spacing w:after="0" w:line="360" w:lineRule="auto"/>
        <w:jc w:val="both"/>
        <w:rPr>
          <w:rFonts w:asciiTheme="majorBidi" w:hAnsiTheme="majorBidi" w:cstheme="majorBidi"/>
          <w:b/>
          <w:bCs/>
          <w:sz w:val="24"/>
          <w:szCs w:val="24"/>
        </w:rPr>
      </w:pPr>
      <w:r w:rsidRPr="00F653D5">
        <w:rPr>
          <w:rFonts w:ascii="Book Antiqua" w:hAnsi="Book Antiqua" w:cs="Times"/>
          <w:b/>
          <w:bCs/>
        </w:rPr>
        <w:t xml:space="preserve"> </w:t>
      </w:r>
      <w:r w:rsidRPr="00642929">
        <w:rPr>
          <w:rFonts w:asciiTheme="majorBidi" w:hAnsiTheme="majorBidi" w:cstheme="majorBidi"/>
          <w:b/>
          <w:bCs/>
          <w:sz w:val="24"/>
          <w:szCs w:val="24"/>
        </w:rPr>
        <w:t>Data</w:t>
      </w:r>
      <w:r w:rsidR="00F159E4" w:rsidRPr="00642929">
        <w:rPr>
          <w:rFonts w:asciiTheme="majorBidi" w:hAnsiTheme="majorBidi" w:cstheme="majorBidi"/>
          <w:b/>
          <w:bCs/>
          <w:sz w:val="24"/>
          <w:szCs w:val="24"/>
        </w:rPr>
        <w:t xml:space="preserve"> Analysis:</w:t>
      </w:r>
    </w:p>
    <w:p w:rsidR="008E21D1" w:rsidRDefault="00F159E4" w:rsidP="00642929">
      <w:pPr>
        <w:widowControl w:val="0"/>
        <w:overflowPunct w:val="0"/>
        <w:autoSpaceDE w:val="0"/>
        <w:autoSpaceDN w:val="0"/>
        <w:adjustRightInd w:val="0"/>
        <w:spacing w:after="0" w:line="360" w:lineRule="auto"/>
        <w:ind w:firstLine="180"/>
        <w:jc w:val="both"/>
        <w:rPr>
          <w:rFonts w:asciiTheme="majorBidi" w:hAnsiTheme="majorBidi" w:cstheme="majorBidi"/>
          <w:sz w:val="24"/>
          <w:szCs w:val="24"/>
        </w:rPr>
      </w:pPr>
      <w:r w:rsidRPr="00642929">
        <w:rPr>
          <w:rFonts w:asciiTheme="majorBidi" w:hAnsiTheme="majorBidi" w:cstheme="majorBidi"/>
          <w:sz w:val="24"/>
          <w:szCs w:val="24"/>
        </w:rPr>
        <w:t>The collected data were statistically analyzed a</w:t>
      </w:r>
      <w:r w:rsidR="00266267" w:rsidRPr="00642929">
        <w:rPr>
          <w:rFonts w:asciiTheme="majorBidi" w:hAnsiTheme="majorBidi" w:cstheme="majorBidi"/>
          <w:sz w:val="24"/>
          <w:szCs w:val="24"/>
        </w:rPr>
        <w:t>nd interpreted using percentage and</w:t>
      </w:r>
      <w:r w:rsidRPr="00642929">
        <w:rPr>
          <w:rFonts w:asciiTheme="majorBidi" w:hAnsiTheme="majorBidi" w:cstheme="majorBidi"/>
          <w:sz w:val="24"/>
          <w:szCs w:val="24"/>
        </w:rPr>
        <w:t xml:space="preserve"> frequency </w:t>
      </w:r>
      <w:r w:rsidR="00F14CB8" w:rsidRPr="00642929">
        <w:rPr>
          <w:rFonts w:asciiTheme="majorBidi" w:hAnsiTheme="majorBidi" w:cstheme="majorBidi"/>
          <w:sz w:val="24"/>
          <w:szCs w:val="24"/>
        </w:rPr>
        <w:t>distribution</w:t>
      </w:r>
      <w:r w:rsidRPr="00642929">
        <w:rPr>
          <w:rFonts w:asciiTheme="majorBidi" w:hAnsiTheme="majorBidi" w:cstheme="majorBidi"/>
          <w:sz w:val="24"/>
          <w:szCs w:val="24"/>
        </w:rPr>
        <w:t>.</w:t>
      </w:r>
    </w:p>
    <w:p w:rsidR="00642929" w:rsidRPr="00642929" w:rsidRDefault="00642929" w:rsidP="00642929">
      <w:pPr>
        <w:widowControl w:val="0"/>
        <w:overflowPunct w:val="0"/>
        <w:autoSpaceDE w:val="0"/>
        <w:autoSpaceDN w:val="0"/>
        <w:adjustRightInd w:val="0"/>
        <w:spacing w:after="0" w:line="360" w:lineRule="auto"/>
        <w:ind w:firstLine="180"/>
        <w:jc w:val="both"/>
        <w:rPr>
          <w:rFonts w:asciiTheme="majorBidi" w:hAnsiTheme="majorBidi" w:cstheme="majorBidi"/>
          <w:b/>
          <w:bCs/>
          <w:sz w:val="24"/>
          <w:szCs w:val="24"/>
        </w:rPr>
      </w:pPr>
    </w:p>
    <w:p w:rsidR="00D4481E" w:rsidRPr="00642929" w:rsidRDefault="00D4481E" w:rsidP="00F653D5">
      <w:pPr>
        <w:widowControl w:val="0"/>
        <w:autoSpaceDE w:val="0"/>
        <w:autoSpaceDN w:val="0"/>
        <w:adjustRightInd w:val="0"/>
        <w:spacing w:after="0" w:line="240" w:lineRule="auto"/>
        <w:ind w:left="720"/>
        <w:jc w:val="center"/>
        <w:rPr>
          <w:rFonts w:asciiTheme="majorBidi" w:hAnsiTheme="majorBidi" w:cstheme="majorBidi"/>
          <w:b/>
          <w:bCs/>
          <w:sz w:val="24"/>
          <w:szCs w:val="24"/>
        </w:rPr>
      </w:pPr>
      <w:r w:rsidRPr="00642929">
        <w:rPr>
          <w:rFonts w:asciiTheme="majorBidi" w:hAnsiTheme="majorBidi" w:cstheme="majorBidi"/>
          <w:b/>
          <w:bCs/>
          <w:sz w:val="24"/>
          <w:szCs w:val="24"/>
        </w:rPr>
        <w:t>RESULTS AND DISCUSSION</w:t>
      </w:r>
    </w:p>
    <w:p w:rsidR="00424FD1" w:rsidRPr="00F653D5" w:rsidRDefault="00424FD1" w:rsidP="00F653D5">
      <w:pPr>
        <w:widowControl w:val="0"/>
        <w:autoSpaceDE w:val="0"/>
        <w:autoSpaceDN w:val="0"/>
        <w:adjustRightInd w:val="0"/>
        <w:spacing w:after="0" w:line="240" w:lineRule="auto"/>
        <w:ind w:left="720"/>
        <w:jc w:val="center"/>
        <w:rPr>
          <w:rFonts w:ascii="Book Antiqua" w:hAnsi="Book Antiqua" w:cs="Times New Roman"/>
          <w:b/>
          <w:bCs/>
        </w:rPr>
      </w:pPr>
    </w:p>
    <w:p w:rsidR="00D4481E" w:rsidRDefault="001159D6" w:rsidP="008C0E7C">
      <w:pPr>
        <w:widowControl w:val="0"/>
        <w:autoSpaceDE w:val="0"/>
        <w:autoSpaceDN w:val="0"/>
        <w:adjustRightInd w:val="0"/>
        <w:spacing w:after="0" w:line="360" w:lineRule="auto"/>
        <w:rPr>
          <w:rFonts w:asciiTheme="majorBidi" w:hAnsiTheme="majorBidi" w:cstheme="majorBidi"/>
          <w:b/>
          <w:bCs/>
          <w:sz w:val="24"/>
          <w:szCs w:val="24"/>
        </w:rPr>
      </w:pPr>
      <w:r w:rsidRPr="00F653D5">
        <w:rPr>
          <w:rFonts w:ascii="Book Antiqua" w:hAnsi="Book Antiqua" w:cs="Times New Roman"/>
          <w:b/>
          <w:bCs/>
        </w:rPr>
        <w:t xml:space="preserve"> </w:t>
      </w:r>
      <w:r w:rsidRPr="008C0E7C">
        <w:rPr>
          <w:rFonts w:asciiTheme="majorBidi" w:hAnsiTheme="majorBidi" w:cstheme="majorBidi"/>
          <w:b/>
          <w:bCs/>
          <w:sz w:val="24"/>
          <w:szCs w:val="24"/>
        </w:rPr>
        <w:t>Education</w:t>
      </w:r>
      <w:r w:rsidR="003311AA">
        <w:rPr>
          <w:rFonts w:asciiTheme="majorBidi" w:hAnsiTheme="majorBidi" w:cstheme="majorBidi"/>
          <w:b/>
          <w:bCs/>
          <w:sz w:val="24"/>
          <w:szCs w:val="24"/>
        </w:rPr>
        <w:t>al</w:t>
      </w:r>
      <w:r w:rsidR="00424FD1" w:rsidRPr="008C0E7C">
        <w:rPr>
          <w:rFonts w:asciiTheme="majorBidi" w:hAnsiTheme="majorBidi" w:cstheme="majorBidi"/>
          <w:b/>
          <w:bCs/>
          <w:sz w:val="24"/>
          <w:szCs w:val="24"/>
        </w:rPr>
        <w:t xml:space="preserve"> level and specialization of agricultural service providers:</w:t>
      </w:r>
    </w:p>
    <w:p w:rsidR="006227E4" w:rsidRPr="00B93BB1" w:rsidRDefault="00B93BB1" w:rsidP="00B93BB1">
      <w:pPr>
        <w:widowControl w:val="0"/>
        <w:autoSpaceDE w:val="0"/>
        <w:autoSpaceDN w:val="0"/>
        <w:adjustRightInd w:val="0"/>
        <w:spacing w:after="0" w:line="360" w:lineRule="auto"/>
        <w:jc w:val="both"/>
        <w:rPr>
          <w:rFonts w:asciiTheme="majorBidi" w:hAnsiTheme="majorBidi" w:cstheme="majorBidi"/>
          <w:b/>
          <w:bCs/>
          <w:sz w:val="24"/>
          <w:szCs w:val="24"/>
        </w:rPr>
      </w:pPr>
      <w:r w:rsidRPr="00B93BB1">
        <w:rPr>
          <w:rFonts w:asciiTheme="majorBidi" w:hAnsiTheme="majorBidi" w:cstheme="majorBidi"/>
          <w:sz w:val="24"/>
          <w:szCs w:val="24"/>
        </w:rPr>
        <w:t>Table (1) shows that the majority of agricultural service providers (70%) reported that they hold BSc degree in plant protection, while 15%, 10% and 05% of them hold BSc degree in crop production, animal production and BSc in other disciplines respectively. K. Adebayo (2004) noted that staff who deliver a service need appropriate expertise, knowledge and skills if they are to be effective and remain credible in clients' eyes. Abdul Halim et al (1997) reported that a successful extension officer (BSc in agricultural extension) needs to possess both process and human skills and technical skills necessary for his work. Facilitating group formation and engaging stakeholders in programme planning are examples of process or functional skills. In addition, conducting demonstrations to show how to add chemical fertilizers to wheat crop are example of technical skills. Technical skills are necessary but not sufficient for effective teaching and learning in agriculture. Therefore, an effective extension officer must integrate technical skills with process skills. As we knew, process skills or human skills can only be acquired from agricultural extension disciplines, while technical skills can be acquired from other agricultural disciplines.</w:t>
      </w:r>
    </w:p>
    <w:p w:rsidR="001159D6" w:rsidRPr="00F653D5" w:rsidRDefault="001159D6" w:rsidP="00F653D5">
      <w:pPr>
        <w:widowControl w:val="0"/>
        <w:autoSpaceDE w:val="0"/>
        <w:autoSpaceDN w:val="0"/>
        <w:adjustRightInd w:val="0"/>
        <w:spacing w:after="0" w:line="240" w:lineRule="auto"/>
        <w:rPr>
          <w:rFonts w:ascii="Book Antiqua" w:hAnsi="Book Antiqua" w:cs="Times New Roman"/>
          <w:b/>
          <w:bCs/>
        </w:rPr>
      </w:pPr>
      <w:r w:rsidRPr="00F653D5">
        <w:rPr>
          <w:rFonts w:ascii="Book Antiqua" w:hAnsi="Book Antiqua" w:cs="Times New Roman"/>
          <w:b/>
          <w:bCs/>
        </w:rPr>
        <w:t>Table 1. Percentage distribution of</w:t>
      </w:r>
      <w:r w:rsidRPr="00F653D5">
        <w:rPr>
          <w:rFonts w:ascii="Book Antiqua" w:hAnsi="Book Antiqua" w:cstheme="majorBidi"/>
          <w:b/>
          <w:bCs/>
        </w:rPr>
        <w:t xml:space="preserve"> agricultural </w:t>
      </w:r>
      <w:r w:rsidRPr="00F653D5">
        <w:rPr>
          <w:rFonts w:ascii="Book Antiqua" w:hAnsi="Book Antiqua" w:cs="Times"/>
          <w:b/>
          <w:bCs/>
        </w:rPr>
        <w:t>service providers according to their</w:t>
      </w:r>
      <w:r w:rsidRPr="00F653D5">
        <w:rPr>
          <w:rFonts w:ascii="Book Antiqua" w:hAnsi="Book Antiqua" w:cs="Times New Roman"/>
          <w:b/>
          <w:bCs/>
        </w:rPr>
        <w:t xml:space="preserve"> education level and specialization</w:t>
      </w:r>
    </w:p>
    <w:tbl>
      <w:tblPr>
        <w:tblStyle w:val="TableGrid"/>
        <w:tblW w:w="0" w:type="auto"/>
        <w:tblInd w:w="137" w:type="dxa"/>
        <w:tblLook w:val="04A0" w:firstRow="1" w:lastRow="0" w:firstColumn="1" w:lastColumn="0" w:noHBand="0" w:noVBand="1"/>
      </w:tblPr>
      <w:tblGrid>
        <w:gridCol w:w="2726"/>
        <w:gridCol w:w="2202"/>
        <w:gridCol w:w="2272"/>
        <w:gridCol w:w="2013"/>
      </w:tblGrid>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Education level</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specialization</w:t>
            </w:r>
          </w:p>
        </w:tc>
        <w:tc>
          <w:tcPr>
            <w:tcW w:w="2272" w:type="dxa"/>
          </w:tcPr>
          <w:p w:rsidR="001159D6" w:rsidRPr="00C32CF3" w:rsidRDefault="001159D6" w:rsidP="00F653D5">
            <w:pPr>
              <w:widowControl w:val="0"/>
              <w:autoSpaceDE w:val="0"/>
              <w:autoSpaceDN w:val="0"/>
              <w:adjustRightInd w:val="0"/>
              <w:spacing w:after="0" w:line="240" w:lineRule="auto"/>
              <w:ind w:firstLine="720"/>
              <w:rPr>
                <w:rFonts w:asciiTheme="majorBidi" w:hAnsiTheme="majorBidi" w:cstheme="majorBidi"/>
                <w:sz w:val="24"/>
                <w:szCs w:val="24"/>
              </w:rPr>
            </w:pPr>
            <w:r w:rsidRPr="00C32CF3">
              <w:rPr>
                <w:rFonts w:asciiTheme="majorBidi" w:hAnsiTheme="majorBidi" w:cstheme="majorBidi"/>
                <w:sz w:val="24"/>
                <w:szCs w:val="24"/>
              </w:rPr>
              <w:t>Frequency</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1-BSc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Plant protection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70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70</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Crop production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15</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15</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Animal production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Others</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05</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05</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Total</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b/>
                <w:bCs/>
                <w:sz w:val="24"/>
                <w:szCs w:val="24"/>
              </w:rPr>
            </w:pP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100</w:t>
            </w:r>
          </w:p>
        </w:tc>
      </w:tr>
    </w:tbl>
    <w:p w:rsidR="001159D6" w:rsidRPr="00C32CF3" w:rsidRDefault="001159D6"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p>
    <w:p w:rsidR="000F274E" w:rsidRDefault="00B4063B" w:rsidP="000F274E">
      <w:pPr>
        <w:pStyle w:val="NormalWeb"/>
        <w:spacing w:line="360" w:lineRule="auto"/>
        <w:jc w:val="both"/>
        <w:rPr>
          <w:b/>
          <w:bCs/>
        </w:rPr>
      </w:pPr>
      <w:r w:rsidRPr="00C32CF3">
        <w:rPr>
          <w:rFonts w:asciiTheme="majorBidi" w:hAnsiTheme="majorBidi" w:cstheme="majorBidi"/>
          <w:b/>
          <w:bCs/>
        </w:rPr>
        <w:t xml:space="preserve"> </w:t>
      </w:r>
      <w:r w:rsidR="001114C6" w:rsidRPr="001114C6">
        <w:rPr>
          <w:b/>
          <w:bCs/>
        </w:rPr>
        <w:t>Distribution of private sector contributions by type of input provided:</w:t>
      </w:r>
    </w:p>
    <w:p w:rsidR="001114C6" w:rsidRPr="000F274E" w:rsidRDefault="001114C6" w:rsidP="000F274E">
      <w:pPr>
        <w:pStyle w:val="NormalWeb"/>
        <w:spacing w:line="360" w:lineRule="auto"/>
        <w:jc w:val="both"/>
        <w:rPr>
          <w:b/>
          <w:bCs/>
        </w:rPr>
      </w:pPr>
      <w:r>
        <w:t xml:space="preserve">Table (2) reveals that 50% of the private sector provide farmers with pesticides, 20% of them provide farmers with improved seeds, 10% of them provide farmers with chemical fertilizers, 06% of them provide farmers with field equipment, 05% of them provide farmers with concentrated fodder, 05% of them provide farmers with veterinary drugs, 03% of them provide farmers with fuel (Gasoline) and 01% of them provide farmers with other production inputs. Swanson et al. (2002) stated that “Developing countries now view the private sector as a more viable and efficient </w:t>
      </w:r>
      <w:r>
        <w:lastRenderedPageBreak/>
        <w:t>alternative to public extension in transferring agricultural technology and marketing agriculture products. In most countries, the private sector is involved in agricultural technology. This includes the production and delivery of purchased inputs, such as seed, fertilizer, feed, agrochemicals, drugs, tools, equipment and machinery.</w:t>
      </w:r>
    </w:p>
    <w:p w:rsidR="001159D6" w:rsidRPr="008755AD" w:rsidRDefault="00B549E0" w:rsidP="00F653D5">
      <w:pPr>
        <w:widowControl w:val="0"/>
        <w:autoSpaceDE w:val="0"/>
        <w:autoSpaceDN w:val="0"/>
        <w:adjustRightInd w:val="0"/>
        <w:spacing w:after="0" w:line="240" w:lineRule="auto"/>
        <w:rPr>
          <w:rFonts w:asciiTheme="majorBidi" w:hAnsiTheme="majorBidi" w:cstheme="majorBidi"/>
          <w:b/>
          <w:bCs/>
          <w:sz w:val="24"/>
          <w:szCs w:val="24"/>
        </w:rPr>
      </w:pPr>
      <w:r w:rsidRPr="008755AD">
        <w:rPr>
          <w:rFonts w:asciiTheme="majorBidi" w:hAnsiTheme="majorBidi" w:cstheme="majorBidi"/>
          <w:b/>
          <w:bCs/>
          <w:sz w:val="24"/>
          <w:szCs w:val="24"/>
        </w:rPr>
        <w:t>Table .2.</w:t>
      </w:r>
      <w:r w:rsidR="001159D6" w:rsidRPr="008755AD">
        <w:rPr>
          <w:rFonts w:asciiTheme="majorBidi" w:hAnsiTheme="majorBidi" w:cstheme="majorBidi"/>
          <w:b/>
          <w:bCs/>
          <w:sz w:val="24"/>
          <w:szCs w:val="24"/>
        </w:rPr>
        <w:t xml:space="preserve"> </w:t>
      </w:r>
      <w:r w:rsidR="00B4063B" w:rsidRPr="008755AD">
        <w:rPr>
          <w:rFonts w:asciiTheme="majorBidi" w:hAnsiTheme="majorBidi" w:cstheme="majorBidi"/>
          <w:b/>
          <w:bCs/>
          <w:sz w:val="24"/>
          <w:szCs w:val="24"/>
        </w:rPr>
        <w:t>Percentage distribution of private sector by kind of input provided</w:t>
      </w:r>
    </w:p>
    <w:tbl>
      <w:tblPr>
        <w:tblStyle w:val="TableGrid"/>
        <w:tblW w:w="0" w:type="auto"/>
        <w:tblLayout w:type="fixed"/>
        <w:tblLook w:val="04A0" w:firstRow="1" w:lastRow="0" w:firstColumn="1" w:lastColumn="0" w:noHBand="0" w:noVBand="1"/>
      </w:tblPr>
      <w:tblGrid>
        <w:gridCol w:w="2689"/>
        <w:gridCol w:w="2693"/>
        <w:gridCol w:w="2410"/>
      </w:tblGrid>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Kind of input services provided</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Frequency</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1- Chemical fertilizers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2- Improved seeds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20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20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3- Pesticides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50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50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4- Field equipment</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06</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06</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5-Concentrated fodders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r>
      <w:tr w:rsidR="00BE0BA2" w:rsidRPr="008755AD" w:rsidTr="001479C9">
        <w:trPr>
          <w:trHeight w:val="356"/>
        </w:trPr>
        <w:tc>
          <w:tcPr>
            <w:tcW w:w="2689" w:type="dxa"/>
          </w:tcPr>
          <w:p w:rsidR="00BE0BA2" w:rsidRPr="008755AD" w:rsidRDefault="00BE0BA2" w:rsidP="00F653D5">
            <w:pPr>
              <w:spacing w:line="240" w:lineRule="auto"/>
              <w:rPr>
                <w:rFonts w:asciiTheme="majorBidi" w:hAnsiTheme="majorBidi" w:cstheme="majorBidi"/>
                <w:sz w:val="24"/>
                <w:szCs w:val="24"/>
              </w:rPr>
            </w:pPr>
            <w:r w:rsidRPr="008755AD">
              <w:rPr>
                <w:rFonts w:asciiTheme="majorBidi" w:hAnsiTheme="majorBidi" w:cstheme="majorBidi"/>
                <w:sz w:val="24"/>
                <w:szCs w:val="24"/>
              </w:rPr>
              <w:t>6-Veterinarydrugs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7-Fuel (Gasoline)</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03</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03</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8- Others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01</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01</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Total</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100</w:t>
            </w:r>
          </w:p>
        </w:tc>
      </w:tr>
    </w:tbl>
    <w:p w:rsidR="001B1E05" w:rsidRPr="008755AD" w:rsidRDefault="001B1E05" w:rsidP="00F653D5">
      <w:pPr>
        <w:widowControl w:val="0"/>
        <w:autoSpaceDE w:val="0"/>
        <w:autoSpaceDN w:val="0"/>
        <w:adjustRightInd w:val="0"/>
        <w:spacing w:after="0" w:line="240" w:lineRule="auto"/>
        <w:rPr>
          <w:rFonts w:asciiTheme="majorBidi" w:hAnsiTheme="majorBidi" w:cstheme="majorBidi"/>
          <w:b/>
          <w:bCs/>
          <w:sz w:val="24"/>
          <w:szCs w:val="24"/>
        </w:rPr>
      </w:pPr>
    </w:p>
    <w:p w:rsidR="001114C6" w:rsidRDefault="00DC0038" w:rsidP="001114C6">
      <w:pPr>
        <w:pStyle w:val="NormalWeb"/>
      </w:pPr>
      <w:r w:rsidRPr="00F653D5">
        <w:rPr>
          <w:rFonts w:ascii="Book Antiqua" w:hAnsi="Book Antiqua"/>
          <w:b/>
          <w:bCs/>
        </w:rPr>
        <w:t xml:space="preserve"> </w:t>
      </w:r>
      <w:r w:rsidR="001114C6">
        <w:rPr>
          <w:rStyle w:val="Strong"/>
        </w:rPr>
        <w:t>Distribution of private sector by technical services</w:t>
      </w:r>
      <w:r w:rsidR="001114C6">
        <w:t xml:space="preserve"> </w:t>
      </w:r>
      <w:r w:rsidR="001114C6">
        <w:rPr>
          <w:rStyle w:val="Strong"/>
        </w:rPr>
        <w:t>provided:</w:t>
      </w:r>
    </w:p>
    <w:p w:rsidR="00B549E0" w:rsidRPr="001114C6" w:rsidRDefault="001114C6" w:rsidP="001114C6">
      <w:pPr>
        <w:pStyle w:val="NormalWeb"/>
        <w:spacing w:line="360" w:lineRule="auto"/>
        <w:jc w:val="both"/>
      </w:pPr>
      <w:r>
        <w:t xml:space="preserve">Table (3) indicates that the majority of the private sector (70%) provide farmers with technical information on the safe use of pesticides on their crops, (10%) of them provide farmers with problem solving practices especially all problems related to pest attacks and post-harvest techniques, (7%) of them provide farmers with technical information on cultural practices of their cultivated crops, (05%) of them provide farmers with information on the use of animal drugs, (05%) of them provide farmers with other services such as poultry equipment and (03%) of them provide farmers with information on new crop varieties. Similarly </w:t>
      </w:r>
      <w:proofErr w:type="spellStart"/>
      <w:r>
        <w:t>Ujjwal</w:t>
      </w:r>
      <w:proofErr w:type="spellEnd"/>
      <w:r>
        <w:t xml:space="preserve"> et al (2012) reported that in Eastern India many private agro based companies are introducing rural business </w:t>
      </w:r>
      <w:proofErr w:type="spellStart"/>
      <w:r>
        <w:t>centres</w:t>
      </w:r>
      <w:proofErr w:type="spellEnd"/>
      <w:r>
        <w:t xml:space="preserve"> that serve as single windows for rural communities. These </w:t>
      </w:r>
      <w:proofErr w:type="spellStart"/>
      <w:r>
        <w:t>centres</w:t>
      </w:r>
      <w:proofErr w:type="spellEnd"/>
      <w:r>
        <w:t xml:space="preserve"> supply consumables, farm inputs, technical information etc.</w:t>
      </w:r>
    </w:p>
    <w:p w:rsidR="00DC0038" w:rsidRPr="00171298" w:rsidRDefault="00B549E0" w:rsidP="00F653D5">
      <w:pPr>
        <w:widowControl w:val="0"/>
        <w:autoSpaceDE w:val="0"/>
        <w:autoSpaceDN w:val="0"/>
        <w:adjustRightInd w:val="0"/>
        <w:spacing w:after="0" w:line="240" w:lineRule="auto"/>
        <w:rPr>
          <w:rFonts w:asciiTheme="majorBidi" w:hAnsiTheme="majorBidi" w:cstheme="majorBidi"/>
          <w:b/>
          <w:bCs/>
          <w:sz w:val="24"/>
          <w:szCs w:val="24"/>
        </w:rPr>
      </w:pPr>
      <w:r w:rsidRPr="00171298">
        <w:rPr>
          <w:rFonts w:asciiTheme="majorBidi" w:hAnsiTheme="majorBidi" w:cstheme="majorBidi"/>
          <w:b/>
          <w:bCs/>
          <w:sz w:val="24"/>
          <w:szCs w:val="24"/>
        </w:rPr>
        <w:t>Table .3. Percentage distribution of private sector by kind of technical services</w:t>
      </w:r>
      <w:r w:rsidRPr="00171298">
        <w:rPr>
          <w:rFonts w:asciiTheme="majorBidi" w:hAnsiTheme="majorBidi" w:cstheme="majorBidi"/>
          <w:sz w:val="24"/>
          <w:szCs w:val="24"/>
        </w:rPr>
        <w:t xml:space="preserve"> </w:t>
      </w:r>
      <w:r w:rsidRPr="00171298">
        <w:rPr>
          <w:rFonts w:asciiTheme="majorBidi" w:hAnsiTheme="majorBidi" w:cstheme="majorBidi"/>
          <w:b/>
          <w:bCs/>
          <w:sz w:val="24"/>
          <w:szCs w:val="24"/>
        </w:rPr>
        <w:t>provided</w:t>
      </w:r>
    </w:p>
    <w:tbl>
      <w:tblPr>
        <w:tblStyle w:val="TableGrid"/>
        <w:tblW w:w="0" w:type="auto"/>
        <w:tblLook w:val="04A0" w:firstRow="1" w:lastRow="0" w:firstColumn="1" w:lastColumn="0" w:noHBand="0" w:noVBand="1"/>
      </w:tblPr>
      <w:tblGrid>
        <w:gridCol w:w="2972"/>
        <w:gridCol w:w="3260"/>
        <w:gridCol w:w="2835"/>
      </w:tblGrid>
      <w:tr w:rsidR="001479C9" w:rsidRPr="00171298" w:rsidTr="001479C9">
        <w:trPr>
          <w:trHeight w:val="688"/>
        </w:trPr>
        <w:tc>
          <w:tcPr>
            <w:tcW w:w="2972" w:type="dxa"/>
          </w:tcPr>
          <w:p w:rsidR="001479C9" w:rsidRPr="00171298" w:rsidRDefault="001479C9" w:rsidP="00F653D5">
            <w:pPr>
              <w:spacing w:line="240" w:lineRule="auto"/>
              <w:rPr>
                <w:rFonts w:asciiTheme="majorBidi" w:hAnsiTheme="majorBidi" w:cstheme="majorBidi"/>
                <w:sz w:val="24"/>
                <w:szCs w:val="24"/>
              </w:rPr>
            </w:pPr>
            <w:r w:rsidRPr="00171298">
              <w:rPr>
                <w:rFonts w:asciiTheme="majorBidi" w:hAnsiTheme="majorBidi" w:cstheme="majorBidi"/>
                <w:sz w:val="24"/>
                <w:szCs w:val="24"/>
              </w:rPr>
              <w:t>Kind of technical services provide</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Frequency</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1- Use of pesticides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70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70</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2-Problem solving practices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13</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lastRenderedPageBreak/>
              <w:t>3- Cultural practices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07</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07</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4- Information on new  crop varieties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03</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03</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5- Use of animal drugs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6- others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02</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Total</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100</w:t>
            </w:r>
          </w:p>
        </w:tc>
      </w:tr>
    </w:tbl>
    <w:p w:rsidR="001159D6" w:rsidRPr="00171298" w:rsidRDefault="001159D6"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p>
    <w:p w:rsidR="00A4267B" w:rsidRDefault="000C33E9" w:rsidP="00A4267B">
      <w:pPr>
        <w:pStyle w:val="NormalWeb"/>
      </w:pPr>
      <w:r w:rsidRPr="00F653D5">
        <w:rPr>
          <w:rFonts w:ascii="Book Antiqua" w:hAnsi="Book Antiqua"/>
          <w:b/>
          <w:bCs/>
        </w:rPr>
        <w:t xml:space="preserve"> </w:t>
      </w:r>
      <w:r w:rsidR="00A4267B">
        <w:rPr>
          <w:rStyle w:val="Strong"/>
        </w:rPr>
        <w:t>Distribution of the private sector by financial services</w:t>
      </w:r>
      <w:r w:rsidR="00A4267B">
        <w:t xml:space="preserve"> </w:t>
      </w:r>
      <w:r w:rsidR="00A4267B">
        <w:rPr>
          <w:rStyle w:val="Strong"/>
        </w:rPr>
        <w:t>provided:</w:t>
      </w:r>
    </w:p>
    <w:p w:rsidR="00A4267B" w:rsidRDefault="00A4267B" w:rsidP="00A4267B">
      <w:pPr>
        <w:pStyle w:val="NormalWeb"/>
        <w:spacing w:line="360" w:lineRule="auto"/>
        <w:jc w:val="both"/>
      </w:pPr>
      <w:r>
        <w:t xml:space="preserve">Table (4) reveals that (55%) of the private sector provide farmers with financial services in form of cash or credit services, (25%) of them provide farmers with financial services in form of agricultural insurance services and (20%) of them provide farmers with financial services in form of </w:t>
      </w:r>
      <w:proofErr w:type="spellStart"/>
      <w:r>
        <w:t>murabaha</w:t>
      </w:r>
      <w:proofErr w:type="spellEnd"/>
      <w:r>
        <w:t xml:space="preserve"> services( Islamic formula of credit and loans services).</w:t>
      </w:r>
    </w:p>
    <w:p w:rsidR="008F3B61" w:rsidRPr="00A4267B" w:rsidRDefault="00A4267B" w:rsidP="00A4267B">
      <w:pPr>
        <w:pStyle w:val="NormalWeb"/>
        <w:spacing w:line="360" w:lineRule="auto"/>
        <w:jc w:val="both"/>
      </w:pPr>
      <w:proofErr w:type="spellStart"/>
      <w:r>
        <w:t>Djoumessi</w:t>
      </w:r>
      <w:proofErr w:type="spellEnd"/>
      <w:r>
        <w:t xml:space="preserve"> et al (2018) pointed out that education, membership in a farmers’ association, extension services and distance from credit sources positively affect the probability of accessing credit by vegetable farmers in the Southwest region of Cameroon. Similarly ,a study conducted by </w:t>
      </w:r>
      <w:proofErr w:type="spellStart"/>
      <w:r>
        <w:t>Yehuala</w:t>
      </w:r>
      <w:proofErr w:type="spellEnd"/>
      <w:r>
        <w:t xml:space="preserve"> (2008) in Ethiopia revealed that extension services, experience in borrowing, farm size, number of livestock, collateral, and membership of associations significantly increased farmers' participation in the formal agricultural credit market.</w:t>
      </w:r>
    </w:p>
    <w:p w:rsidR="000C33E9" w:rsidRPr="003202AA" w:rsidRDefault="00776AA7" w:rsidP="00F653D5">
      <w:pPr>
        <w:widowControl w:val="0"/>
        <w:autoSpaceDE w:val="0"/>
        <w:autoSpaceDN w:val="0"/>
        <w:adjustRightInd w:val="0"/>
        <w:spacing w:after="0" w:line="240" w:lineRule="auto"/>
        <w:rPr>
          <w:rFonts w:asciiTheme="majorBidi" w:hAnsiTheme="majorBidi" w:cstheme="majorBidi"/>
          <w:b/>
          <w:bCs/>
          <w:sz w:val="24"/>
          <w:szCs w:val="24"/>
        </w:rPr>
      </w:pPr>
      <w:r w:rsidRPr="003202AA">
        <w:rPr>
          <w:rFonts w:asciiTheme="majorBidi" w:hAnsiTheme="majorBidi" w:cstheme="majorBidi"/>
          <w:b/>
          <w:bCs/>
          <w:sz w:val="24"/>
          <w:szCs w:val="24"/>
        </w:rPr>
        <w:t>Table .4</w:t>
      </w:r>
      <w:r w:rsidR="000C33E9" w:rsidRPr="003202AA">
        <w:rPr>
          <w:rFonts w:asciiTheme="majorBidi" w:hAnsiTheme="majorBidi" w:cstheme="majorBidi"/>
          <w:b/>
          <w:bCs/>
          <w:sz w:val="24"/>
          <w:szCs w:val="24"/>
        </w:rPr>
        <w:t>. Percentage distribution of private sector by kind of financial services</w:t>
      </w:r>
      <w:r w:rsidR="000C33E9" w:rsidRPr="003202AA">
        <w:rPr>
          <w:rFonts w:asciiTheme="majorBidi" w:hAnsiTheme="majorBidi" w:cstheme="majorBidi"/>
          <w:sz w:val="24"/>
          <w:szCs w:val="24"/>
        </w:rPr>
        <w:t xml:space="preserve"> </w:t>
      </w:r>
      <w:r w:rsidR="000C33E9" w:rsidRPr="003202AA">
        <w:rPr>
          <w:rFonts w:asciiTheme="majorBidi" w:hAnsiTheme="majorBidi" w:cstheme="majorBidi"/>
          <w:b/>
          <w:bCs/>
          <w:sz w:val="24"/>
          <w:szCs w:val="24"/>
        </w:rPr>
        <w:t>provided</w:t>
      </w:r>
    </w:p>
    <w:tbl>
      <w:tblPr>
        <w:tblStyle w:val="TableGrid"/>
        <w:tblW w:w="0" w:type="auto"/>
        <w:tblLook w:val="04A0" w:firstRow="1" w:lastRow="0" w:firstColumn="1" w:lastColumn="0" w:noHBand="0" w:noVBand="1"/>
      </w:tblPr>
      <w:tblGrid>
        <w:gridCol w:w="2830"/>
        <w:gridCol w:w="2977"/>
        <w:gridCol w:w="3119"/>
      </w:tblGrid>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Kind of financial services provide</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Frequency</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1- Cash or credit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55</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55</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2- Agricultural insurance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25</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25</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3-Murabaha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20</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20</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Total</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100</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100</w:t>
            </w:r>
          </w:p>
        </w:tc>
      </w:tr>
    </w:tbl>
    <w:p w:rsidR="00CC6FA7" w:rsidRPr="003202AA" w:rsidRDefault="00CC6FA7" w:rsidP="00F653D5">
      <w:pPr>
        <w:spacing w:after="0" w:line="240" w:lineRule="auto"/>
        <w:rPr>
          <w:rFonts w:asciiTheme="majorBidi" w:hAnsiTheme="majorBidi" w:cstheme="majorBidi"/>
          <w:b/>
          <w:bCs/>
          <w:sz w:val="24"/>
          <w:szCs w:val="24"/>
        </w:rPr>
      </w:pPr>
    </w:p>
    <w:p w:rsidR="00A4267B" w:rsidRDefault="00A4267B" w:rsidP="00A4267B">
      <w:pPr>
        <w:pStyle w:val="NormalWeb"/>
      </w:pPr>
      <w:r>
        <w:rPr>
          <w:rStyle w:val="Strong"/>
        </w:rPr>
        <w:t>Constraints facing Sudan's private sector:</w:t>
      </w:r>
    </w:p>
    <w:p w:rsidR="00A4267B" w:rsidRDefault="00A4267B" w:rsidP="00A4267B">
      <w:pPr>
        <w:pStyle w:val="NormalWeb"/>
        <w:spacing w:line="360" w:lineRule="auto"/>
      </w:pPr>
      <w:r>
        <w:t>We asked staff of the private sector about the most challenging constraints facing the private sector in their work. Their answers were as follows:</w:t>
      </w:r>
    </w:p>
    <w:p w:rsidR="00A4267B" w:rsidRDefault="00A4267B" w:rsidP="00A4267B">
      <w:pPr>
        <w:pStyle w:val="NormalWeb"/>
      </w:pPr>
      <w:r>
        <w:t>1- Limited coverage of the services in terms of distance and different agricultural sectors in the country.</w:t>
      </w:r>
    </w:p>
    <w:p w:rsidR="00A4267B" w:rsidRDefault="00A4267B" w:rsidP="00A4267B">
      <w:pPr>
        <w:pStyle w:val="NormalWeb"/>
      </w:pPr>
      <w:r>
        <w:lastRenderedPageBreak/>
        <w:t>2- Inadequate quality of services either inputs or technical services.</w:t>
      </w:r>
    </w:p>
    <w:p w:rsidR="00A4267B" w:rsidRDefault="00A4267B" w:rsidP="00A4267B">
      <w:pPr>
        <w:pStyle w:val="NormalWeb"/>
      </w:pPr>
      <w:r>
        <w:t>3- Failure to ensure service continuity</w:t>
      </w:r>
    </w:p>
    <w:p w:rsidR="00A4267B" w:rsidRDefault="00A4267B" w:rsidP="00A4267B">
      <w:pPr>
        <w:pStyle w:val="NormalWeb"/>
      </w:pPr>
      <w:r>
        <w:t>4- The majority of staff are not qualified to provide extension services.</w:t>
      </w:r>
    </w:p>
    <w:p w:rsidR="00A4267B" w:rsidRDefault="00A4267B" w:rsidP="00A4267B">
      <w:pPr>
        <w:pStyle w:val="NormalWeb"/>
      </w:pPr>
      <w:r>
        <w:t>5- Price instability</w:t>
      </w:r>
    </w:p>
    <w:p w:rsidR="00A4267B" w:rsidRDefault="00A4267B" w:rsidP="00A4267B">
      <w:pPr>
        <w:pStyle w:val="NormalWeb"/>
      </w:pPr>
      <w:r>
        <w:t>6- There is no coordination with the public extension sector, agricultural research or government policies.</w:t>
      </w:r>
    </w:p>
    <w:p w:rsidR="00A4267B" w:rsidRDefault="00A4267B" w:rsidP="00A4267B">
      <w:pPr>
        <w:pStyle w:val="NormalWeb"/>
      </w:pPr>
      <w:r>
        <w:t>7- Lack of technical skills among farmers.</w:t>
      </w:r>
    </w:p>
    <w:p w:rsidR="00A4267B" w:rsidRDefault="00A4267B" w:rsidP="00A4267B">
      <w:pPr>
        <w:pStyle w:val="NormalWeb"/>
      </w:pPr>
      <w:r>
        <w:t>8- Neglecting the training of the service staff.</w:t>
      </w:r>
    </w:p>
    <w:p w:rsidR="00A4267B" w:rsidRDefault="00A4267B" w:rsidP="00A4267B">
      <w:pPr>
        <w:pStyle w:val="NormalWeb"/>
      </w:pPr>
      <w:r>
        <w:t>9- High input prices compared to the public extension sector.</w:t>
      </w:r>
    </w:p>
    <w:p w:rsidR="00A4267B" w:rsidRPr="00A4267B" w:rsidRDefault="00A4267B" w:rsidP="00A4267B">
      <w:pPr>
        <w:pStyle w:val="NormalWeb"/>
        <w:spacing w:line="360" w:lineRule="auto"/>
        <w:jc w:val="both"/>
      </w:pPr>
      <w:r>
        <w:t xml:space="preserve">Similarly, Gershon </w:t>
      </w:r>
      <w:proofErr w:type="spellStart"/>
      <w:r>
        <w:t>Feder</w:t>
      </w:r>
      <w:proofErr w:type="spellEnd"/>
      <w:r>
        <w:t xml:space="preserve"> </w:t>
      </w:r>
      <w:proofErr w:type="spellStart"/>
      <w:r>
        <w:t>etal</w:t>
      </w:r>
      <w:proofErr w:type="spellEnd"/>
      <w:r>
        <w:t xml:space="preserve"> (2011) found that while private‐sector participation can overcome some of the deficiencies of public extension systems, there are also challenges that have been faced, including misuse of public funds, insufficient accountability to farmers, inequitable provision of services, inadequate quality, and limited coverage of the wide range of farmers' needs.</w:t>
      </w:r>
    </w:p>
    <w:p w:rsidR="00A4267B" w:rsidRDefault="00A4267B" w:rsidP="0044745D">
      <w:pPr>
        <w:spacing w:after="0" w:line="240" w:lineRule="auto"/>
        <w:rPr>
          <w:rFonts w:asciiTheme="majorBidi" w:hAnsiTheme="majorBidi" w:cstheme="majorBidi"/>
          <w:b/>
          <w:bCs/>
          <w:sz w:val="24"/>
          <w:szCs w:val="24"/>
        </w:rPr>
      </w:pPr>
    </w:p>
    <w:p w:rsidR="00151B9B" w:rsidRDefault="005444A7" w:rsidP="000B0DF5">
      <w:pPr>
        <w:spacing w:after="0" w:line="360" w:lineRule="auto"/>
        <w:jc w:val="center"/>
        <w:rPr>
          <w:rFonts w:asciiTheme="majorBidi" w:hAnsiTheme="majorBidi" w:cstheme="majorBidi"/>
          <w:b/>
          <w:bCs/>
          <w:sz w:val="24"/>
          <w:szCs w:val="24"/>
        </w:rPr>
      </w:pPr>
      <w:r w:rsidRPr="000B0DF5">
        <w:rPr>
          <w:rFonts w:asciiTheme="majorBidi" w:hAnsiTheme="majorBidi" w:cstheme="majorBidi"/>
          <w:b/>
          <w:bCs/>
          <w:sz w:val="24"/>
          <w:szCs w:val="24"/>
        </w:rPr>
        <w:t>Conclusion</w:t>
      </w:r>
    </w:p>
    <w:p w:rsidR="00A4267B" w:rsidRPr="00A4267B" w:rsidRDefault="00A4267B" w:rsidP="00A4267B">
      <w:pPr>
        <w:spacing w:after="0" w:line="360" w:lineRule="auto"/>
        <w:jc w:val="both"/>
        <w:rPr>
          <w:rFonts w:asciiTheme="majorBidi" w:hAnsiTheme="majorBidi" w:cstheme="majorBidi"/>
          <w:color w:val="FF0000"/>
          <w:sz w:val="24"/>
          <w:szCs w:val="24"/>
        </w:rPr>
      </w:pPr>
      <w:r w:rsidRPr="00A4267B">
        <w:rPr>
          <w:rFonts w:asciiTheme="majorBidi" w:hAnsiTheme="majorBidi" w:cstheme="majorBidi"/>
          <w:sz w:val="24"/>
          <w:szCs w:val="24"/>
        </w:rPr>
        <w:t>From this study we conclude that the private sector covers a reasonable part of the deficiencies of the public extension sector. However, it suffers from some constraints that limit its effectiveness in providing services to its clientele. Therefore, more collaboration between the public and private sectors</w:t>
      </w:r>
      <w:r w:rsidRPr="00A4267B">
        <w:rPr>
          <w:rFonts w:asciiTheme="majorBidi" w:hAnsiTheme="majorBidi" w:cstheme="majorBidi"/>
        </w:rPr>
        <w:t xml:space="preserve"> is necessary.</w:t>
      </w:r>
    </w:p>
    <w:p w:rsidR="0065553F" w:rsidRPr="00F653D5" w:rsidRDefault="005444A7" w:rsidP="00F653D5">
      <w:pPr>
        <w:spacing w:after="0" w:line="240" w:lineRule="auto"/>
        <w:jc w:val="center"/>
        <w:rPr>
          <w:rFonts w:ascii="Book Antiqua" w:hAnsi="Book Antiqua" w:cstheme="majorBidi"/>
          <w:b/>
          <w:bCs/>
        </w:rPr>
      </w:pPr>
      <w:r w:rsidRPr="00F653D5">
        <w:rPr>
          <w:rFonts w:ascii="Book Antiqua" w:hAnsi="Book Antiqua" w:cstheme="majorBidi"/>
          <w:b/>
          <w:bCs/>
        </w:rPr>
        <w:t>References</w:t>
      </w:r>
    </w:p>
    <w:p w:rsidR="00CF58EF" w:rsidRPr="00F653D5" w:rsidRDefault="00CF58EF" w:rsidP="002E687C">
      <w:pPr>
        <w:widowControl w:val="0"/>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Abdul Halim and Md. M. Ali (1997). Training and professional development. Chapter fifteen, Improving agricultural extension. A reference manual published by FAO, Rome, Italy.1997.</w:t>
      </w:r>
    </w:p>
    <w:p w:rsidR="00CF58EF" w:rsidRPr="00F653D5" w:rsidRDefault="00CF58EF" w:rsidP="002E687C">
      <w:pPr>
        <w:spacing w:line="360" w:lineRule="auto"/>
        <w:jc w:val="lowKashida"/>
        <w:rPr>
          <w:rFonts w:ascii="Book Antiqua" w:hAnsi="Book Antiqua" w:cstheme="majorBidi"/>
          <w:b/>
          <w:bCs/>
        </w:rPr>
      </w:pPr>
      <w:r w:rsidRPr="00F653D5">
        <w:rPr>
          <w:rFonts w:ascii="Book Antiqua" w:hAnsi="Book Antiqua" w:cstheme="majorBidi"/>
          <w:color w:val="000000"/>
        </w:rPr>
        <w:t>Abdel Rahman, A.M. and</w:t>
      </w:r>
      <w:r w:rsidRPr="00F653D5">
        <w:rPr>
          <w:rFonts w:ascii="Book Antiqua" w:hAnsi="Book Antiqua" w:cstheme="majorBidi"/>
          <w:b/>
          <w:bCs/>
        </w:rPr>
        <w:t xml:space="preserve"> </w:t>
      </w:r>
      <w:proofErr w:type="spellStart"/>
      <w:r w:rsidRPr="00F653D5">
        <w:rPr>
          <w:rFonts w:ascii="Book Antiqua" w:hAnsi="Book Antiqua" w:cstheme="majorBidi"/>
        </w:rPr>
        <w:t>Omran</w:t>
      </w:r>
      <w:proofErr w:type="spellEnd"/>
      <w:r w:rsidRPr="00F653D5">
        <w:rPr>
          <w:rFonts w:ascii="Book Antiqua" w:hAnsi="Book Antiqua" w:cstheme="majorBidi"/>
        </w:rPr>
        <w:t xml:space="preserve"> A. </w:t>
      </w:r>
      <w:proofErr w:type="spellStart"/>
      <w:r w:rsidRPr="00F653D5">
        <w:rPr>
          <w:rFonts w:ascii="Book Antiqua" w:hAnsi="Book Antiqua" w:cstheme="majorBidi"/>
        </w:rPr>
        <w:t>Yousif</w:t>
      </w:r>
      <w:proofErr w:type="spellEnd"/>
      <w:r w:rsidRPr="00F653D5">
        <w:rPr>
          <w:rFonts w:ascii="Book Antiqua" w:hAnsi="Book Antiqua" w:cstheme="majorBidi"/>
          <w:color w:val="000000"/>
        </w:rPr>
        <w:t xml:space="preserve"> (2016).</w:t>
      </w:r>
      <w:r w:rsidRPr="00F653D5">
        <w:rPr>
          <w:rFonts w:ascii="Book Antiqua" w:hAnsi="Book Antiqua" w:cstheme="majorBidi"/>
        </w:rPr>
        <w:t xml:space="preserve"> Role of private agricultural extension sector in Gezira State, Sudan.</w:t>
      </w:r>
      <w:r w:rsidRPr="00F653D5">
        <w:rPr>
          <w:rFonts w:ascii="Book Antiqua" w:hAnsi="Book Antiqua" w:cstheme="majorBidi"/>
          <w:color w:val="000000"/>
        </w:rPr>
        <w:t xml:space="preserve"> American Scientific Research Journal for Engineering, Technology, and Sciences (ASRJETS).vol. 25 (1): pp 281-288.www.asrjetsjournal.org.</w:t>
      </w:r>
    </w:p>
    <w:p w:rsidR="00CF58EF" w:rsidRPr="00F653D5" w:rsidRDefault="00CF58EF" w:rsidP="002E687C">
      <w:pPr>
        <w:widowControl w:val="0"/>
        <w:tabs>
          <w:tab w:val="num" w:pos="749"/>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Adebayo, K. (2004) Private sector participation in agricultural extension services in Nigeria. Paper prepared for presentation at the Farm Management Association of Nigeria Conference, Abuja, Nigeria, </w:t>
      </w:r>
      <w:proofErr w:type="gramStart"/>
      <w:r w:rsidRPr="00F653D5">
        <w:rPr>
          <w:rFonts w:ascii="Book Antiqua" w:hAnsi="Book Antiqua" w:cstheme="majorBidi"/>
        </w:rPr>
        <w:t>pp</w:t>
      </w:r>
      <w:proofErr w:type="gramEnd"/>
      <w:r w:rsidRPr="00F653D5">
        <w:rPr>
          <w:rFonts w:ascii="Book Antiqua" w:hAnsi="Book Antiqua" w:cstheme="majorBidi"/>
        </w:rPr>
        <w:t>: 7-12.</w:t>
      </w:r>
    </w:p>
    <w:p w:rsidR="00CF58EF" w:rsidRPr="00F653D5" w:rsidRDefault="00CF58EF" w:rsidP="002E687C">
      <w:pPr>
        <w:widowControl w:val="0"/>
        <w:tabs>
          <w:tab w:val="num" w:pos="710"/>
        </w:tabs>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lastRenderedPageBreak/>
        <w:t xml:space="preserve">Bloome, Peter (1993). Privatization lessons for US extension from New Zealand and Tasmania. Journal of Extension, vol.31Spring. </w:t>
      </w:r>
    </w:p>
    <w:p w:rsidR="00CF58EF" w:rsidRPr="00F653D5" w:rsidRDefault="00CF58EF" w:rsidP="002E687C">
      <w:pPr>
        <w:widowControl w:val="0"/>
        <w:tabs>
          <w:tab w:val="num" w:pos="794"/>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Connolly, M. (2004).Private extension and public-private partnerships”. Privatized contracted and commercialized approaches, ARD, Development discussion paper 9. Extension reformation for rural development the World Bank. </w:t>
      </w:r>
    </w:p>
    <w:p w:rsidR="00CF58EF" w:rsidRPr="00F653D5" w:rsidRDefault="00CF58EF" w:rsidP="002E687C">
      <w:pPr>
        <w:spacing w:line="360" w:lineRule="auto"/>
        <w:jc w:val="both"/>
        <w:rPr>
          <w:rFonts w:ascii="Book Antiqua" w:hAnsi="Book Antiqua" w:cstheme="majorBidi"/>
        </w:rPr>
      </w:pPr>
      <w:proofErr w:type="spellStart"/>
      <w:r w:rsidRPr="00F653D5">
        <w:rPr>
          <w:rFonts w:ascii="Book Antiqua" w:hAnsi="Book Antiqua" w:cstheme="majorBidi"/>
        </w:rPr>
        <w:t>Djoumessi</w:t>
      </w:r>
      <w:proofErr w:type="spellEnd"/>
      <w:r w:rsidRPr="00F653D5">
        <w:rPr>
          <w:rFonts w:ascii="Book Antiqua" w:hAnsi="Book Antiqua" w:cstheme="majorBidi"/>
        </w:rPr>
        <w:t xml:space="preserve">, </w:t>
      </w:r>
      <w:proofErr w:type="spellStart"/>
      <w:r w:rsidRPr="00F653D5">
        <w:rPr>
          <w:rFonts w:ascii="Book Antiqua" w:hAnsi="Book Antiqua" w:cstheme="majorBidi"/>
        </w:rPr>
        <w:t>Yannick</w:t>
      </w:r>
      <w:proofErr w:type="spellEnd"/>
      <w:r w:rsidRPr="00F653D5">
        <w:rPr>
          <w:rFonts w:ascii="Book Antiqua" w:hAnsi="Book Antiqua" w:cstheme="majorBidi"/>
        </w:rPr>
        <w:t xml:space="preserve"> F., </w:t>
      </w:r>
      <w:proofErr w:type="spellStart"/>
      <w:r w:rsidRPr="00F653D5">
        <w:rPr>
          <w:rFonts w:ascii="Book Antiqua" w:hAnsi="Book Antiqua" w:cstheme="majorBidi"/>
        </w:rPr>
        <w:t>Kamdem</w:t>
      </w:r>
      <w:proofErr w:type="spellEnd"/>
      <w:r w:rsidRPr="00F653D5">
        <w:rPr>
          <w:rFonts w:ascii="Book Antiqua" w:hAnsi="Book Antiqua" w:cstheme="majorBidi"/>
        </w:rPr>
        <w:t xml:space="preserve">, </w:t>
      </w:r>
      <w:proofErr w:type="spellStart"/>
      <w:r w:rsidRPr="00F653D5">
        <w:rPr>
          <w:rFonts w:ascii="Book Antiqua" w:hAnsi="Book Antiqua" w:cstheme="majorBidi"/>
        </w:rPr>
        <w:t>Cyrille</w:t>
      </w:r>
      <w:proofErr w:type="spellEnd"/>
      <w:r w:rsidRPr="00F653D5">
        <w:rPr>
          <w:rFonts w:ascii="Book Antiqua" w:hAnsi="Book Antiqua" w:cstheme="majorBidi"/>
        </w:rPr>
        <w:t xml:space="preserve"> B., </w:t>
      </w:r>
      <w:proofErr w:type="spellStart"/>
      <w:r w:rsidRPr="00F653D5">
        <w:rPr>
          <w:rFonts w:ascii="Book Antiqua" w:hAnsi="Book Antiqua" w:cstheme="majorBidi"/>
        </w:rPr>
        <w:t>Afari-sefa</w:t>
      </w:r>
      <w:proofErr w:type="spellEnd"/>
      <w:r w:rsidRPr="00F653D5">
        <w:rPr>
          <w:rFonts w:ascii="Book Antiqua" w:hAnsi="Book Antiqua" w:cstheme="majorBidi"/>
        </w:rPr>
        <w:t xml:space="preserve">, Victor and  </w:t>
      </w:r>
      <w:proofErr w:type="spellStart"/>
      <w:r w:rsidRPr="00F653D5">
        <w:rPr>
          <w:rFonts w:ascii="Book Antiqua" w:hAnsi="Book Antiqua" w:cstheme="majorBidi"/>
        </w:rPr>
        <w:t>Bidogeza</w:t>
      </w:r>
      <w:proofErr w:type="spellEnd"/>
      <w:r w:rsidRPr="00F653D5">
        <w:rPr>
          <w:rFonts w:ascii="Book Antiqua" w:hAnsi="Book Antiqua" w:cstheme="majorBidi"/>
        </w:rPr>
        <w:t xml:space="preserve">, Jean-Claude (2018) .Determinants of smallholder vegetable farmers credit access and demand in Southwest region, Cameroon, Economics Bulletin, ISSN 1545-2921, </w:t>
      </w:r>
      <w:proofErr w:type="spellStart"/>
      <w:r w:rsidRPr="00F653D5">
        <w:rPr>
          <w:rFonts w:ascii="Book Antiqua" w:hAnsi="Book Antiqua" w:cstheme="majorBidi"/>
        </w:rPr>
        <w:t>Accessecon</w:t>
      </w:r>
      <w:proofErr w:type="spellEnd"/>
      <w:r w:rsidRPr="00F653D5">
        <w:rPr>
          <w:rFonts w:ascii="Book Antiqua" w:hAnsi="Book Antiqua" w:cstheme="majorBidi"/>
        </w:rPr>
        <w:t xml:space="preserve"> LLC, </w:t>
      </w:r>
      <w:proofErr w:type="spellStart"/>
      <w:r w:rsidRPr="00F653D5">
        <w:rPr>
          <w:rFonts w:ascii="Book Antiqua" w:hAnsi="Book Antiqua" w:cstheme="majorBidi"/>
        </w:rPr>
        <w:t>s.l</w:t>
      </w:r>
      <w:proofErr w:type="spellEnd"/>
      <w:r w:rsidRPr="00F653D5">
        <w:rPr>
          <w:rFonts w:ascii="Book Antiqua" w:hAnsi="Book Antiqua" w:cstheme="majorBidi"/>
        </w:rPr>
        <w:t>., Vol. 38  (2), pp:1231-1240.</w:t>
      </w:r>
    </w:p>
    <w:p w:rsidR="00CF58EF" w:rsidRPr="00F653D5" w:rsidRDefault="00EF1895" w:rsidP="002E687C">
      <w:pPr>
        <w:spacing w:after="0" w:line="360" w:lineRule="auto"/>
        <w:jc w:val="both"/>
        <w:rPr>
          <w:rFonts w:ascii="Book Antiqua" w:hAnsi="Book Antiqua" w:cs="Times New Roman"/>
        </w:rPr>
      </w:pPr>
      <w:hyperlink r:id="rId7" w:history="1">
        <w:r w:rsidR="00CF58EF" w:rsidRPr="00F653D5">
          <w:rPr>
            <w:rFonts w:ascii="Book Antiqua" w:hAnsi="Book Antiqua" w:cs="Times New Roman"/>
          </w:rPr>
          <w:t xml:space="preserve">Gershon </w:t>
        </w:r>
        <w:proofErr w:type="spellStart"/>
        <w:r w:rsidR="00CF58EF" w:rsidRPr="00F653D5">
          <w:rPr>
            <w:rFonts w:ascii="Book Antiqua" w:hAnsi="Book Antiqua" w:cs="Times New Roman"/>
          </w:rPr>
          <w:t>Feder</w:t>
        </w:r>
        <w:proofErr w:type="spellEnd"/>
      </w:hyperlink>
      <w:r w:rsidR="00CF58EF" w:rsidRPr="00F653D5">
        <w:rPr>
          <w:rFonts w:ascii="Book Antiqua" w:hAnsi="Book Antiqua" w:cs="Times New Roman"/>
        </w:rPr>
        <w:t xml:space="preserve">, </w:t>
      </w:r>
      <w:hyperlink r:id="rId8" w:history="1">
        <w:r w:rsidR="00CF58EF" w:rsidRPr="00F653D5">
          <w:rPr>
            <w:rFonts w:ascii="Book Antiqua" w:hAnsi="Book Antiqua" w:cs="Times New Roman"/>
          </w:rPr>
          <w:t xml:space="preserve">Regina </w:t>
        </w:r>
        <w:proofErr w:type="spellStart"/>
        <w:r w:rsidR="00CF58EF" w:rsidRPr="00F653D5">
          <w:rPr>
            <w:rFonts w:ascii="Book Antiqua" w:hAnsi="Book Antiqua" w:cs="Times New Roman"/>
          </w:rPr>
          <w:t>Birner</w:t>
        </w:r>
        <w:proofErr w:type="spellEnd"/>
      </w:hyperlink>
      <w:r w:rsidR="00CF58EF" w:rsidRPr="00F653D5">
        <w:rPr>
          <w:rFonts w:ascii="Book Antiqua" w:hAnsi="Book Antiqua" w:cs="Times New Roman"/>
        </w:rPr>
        <w:t xml:space="preserve">, </w:t>
      </w:r>
      <w:hyperlink r:id="rId9" w:history="1">
        <w:r w:rsidR="00CF58EF" w:rsidRPr="00F653D5">
          <w:rPr>
            <w:rFonts w:ascii="Book Antiqua" w:hAnsi="Book Antiqua" w:cs="Times New Roman"/>
          </w:rPr>
          <w:t>Jock R. Anderson</w:t>
        </w:r>
      </w:hyperlink>
      <w:r w:rsidR="00CF58EF" w:rsidRPr="00F653D5">
        <w:rPr>
          <w:rFonts w:ascii="Book Antiqua" w:hAnsi="Book Antiqua" w:cs="Times New Roman"/>
        </w:rPr>
        <w:t>, (2011) "The private sector's role in agricultural extension systems: potential and limitations", Journal of Agribusiness in Developing and Emerging Economies, Vol. 1 Issue1, pp: 31-54.</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K. Adebayo (2004).Private sector participation in agricultural extension services in Nigeria.</w:t>
      </w:r>
      <w:r w:rsidRPr="00F653D5">
        <w:rPr>
          <w:rFonts w:ascii="Book Antiqua" w:hAnsi="Book Antiqua"/>
        </w:rPr>
        <w:t xml:space="preserve"> </w:t>
      </w:r>
      <w:r w:rsidRPr="00F653D5">
        <w:rPr>
          <w:rFonts w:ascii="Book Antiqua" w:hAnsi="Book Antiqua" w:cstheme="majorBidi"/>
        </w:rPr>
        <w:t>Farm Management Association of Nigeria (FAMAN), FAMAN Papers.</w:t>
      </w:r>
    </w:p>
    <w:p w:rsidR="00CF58EF" w:rsidRPr="00F653D5" w:rsidRDefault="00CF58EF" w:rsidP="002E687C">
      <w:pPr>
        <w:widowControl w:val="0"/>
        <w:tabs>
          <w:tab w:val="num" w:pos="725"/>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Lawrence, P.R and, </w:t>
      </w:r>
      <w:proofErr w:type="spellStart"/>
      <w:r w:rsidRPr="00F653D5">
        <w:rPr>
          <w:rFonts w:ascii="Book Antiqua" w:hAnsi="Book Antiqua" w:cstheme="majorBidi"/>
        </w:rPr>
        <w:t>Lorsh</w:t>
      </w:r>
      <w:proofErr w:type="spellEnd"/>
      <w:r w:rsidRPr="00F653D5">
        <w:rPr>
          <w:rFonts w:ascii="Book Antiqua" w:hAnsi="Book Antiqua" w:cstheme="majorBidi"/>
        </w:rPr>
        <w:t xml:space="preserve"> J.W. (1967). Organization and environment. Managing differentiation and integration. Boston, Massachusetts. Harvard Business School Press. </w:t>
      </w:r>
    </w:p>
    <w:p w:rsidR="00CF58EF" w:rsidRPr="00F653D5" w:rsidRDefault="00CF58EF" w:rsidP="002E687C">
      <w:pPr>
        <w:widowControl w:val="0"/>
        <w:overflowPunct w:val="0"/>
        <w:autoSpaceDE w:val="0"/>
        <w:autoSpaceDN w:val="0"/>
        <w:adjustRightInd w:val="0"/>
        <w:spacing w:after="0" w:line="360" w:lineRule="auto"/>
        <w:ind w:left="9" w:right="40"/>
        <w:rPr>
          <w:rFonts w:ascii="Book Antiqua" w:hAnsi="Book Antiqua" w:cs="Times"/>
        </w:rPr>
      </w:pPr>
      <w:r w:rsidRPr="00F653D5">
        <w:rPr>
          <w:rFonts w:ascii="Book Antiqua" w:hAnsi="Book Antiqua" w:cs="Times"/>
        </w:rPr>
        <w:t xml:space="preserve">Patton, MQ. (2002) Qualitative research and evaluation methods. 3rd edition. Sage Publications: Thousand Oaks, USA. </w:t>
      </w:r>
    </w:p>
    <w:p w:rsidR="00CF58EF" w:rsidRPr="00F653D5" w:rsidRDefault="00CF58EF" w:rsidP="002E687C">
      <w:pPr>
        <w:widowControl w:val="0"/>
        <w:tabs>
          <w:tab w:val="num" w:pos="696"/>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Saliu, O. j. and A. </w:t>
      </w:r>
      <w:proofErr w:type="spellStart"/>
      <w:r w:rsidRPr="00F653D5">
        <w:rPr>
          <w:rFonts w:ascii="Book Antiqua" w:hAnsi="Book Antiqua" w:cstheme="majorBidi"/>
        </w:rPr>
        <w:t>Ige</w:t>
      </w:r>
      <w:proofErr w:type="spellEnd"/>
      <w:r w:rsidRPr="00F653D5">
        <w:rPr>
          <w:rFonts w:ascii="Book Antiqua" w:hAnsi="Book Antiqua" w:cstheme="majorBidi"/>
        </w:rPr>
        <w:t xml:space="preserve">. (2009) Privatization of agricultural extension services in Nigeria. Proposed guidelines for implementation, Am.-Eurasian J. Sustain. Agric., vol. 3(3), pp: 332-339. </w:t>
      </w:r>
    </w:p>
    <w:p w:rsidR="00CF58EF" w:rsidRPr="00F653D5" w:rsidRDefault="00CF58EF" w:rsidP="002E687C">
      <w:pPr>
        <w:widowControl w:val="0"/>
        <w:tabs>
          <w:tab w:val="num" w:pos="420"/>
        </w:tabs>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 xml:space="preserve">Saravanan, R. and Sh. </w:t>
      </w:r>
      <w:proofErr w:type="spellStart"/>
      <w:r w:rsidRPr="00F653D5">
        <w:rPr>
          <w:rFonts w:ascii="Book Antiqua" w:hAnsi="Book Antiqua" w:cstheme="majorBidi"/>
        </w:rPr>
        <w:t>Gowda</w:t>
      </w:r>
      <w:proofErr w:type="spellEnd"/>
      <w:r w:rsidRPr="00F653D5">
        <w:rPr>
          <w:rFonts w:ascii="Book Antiqua" w:hAnsi="Book Antiqua" w:cstheme="majorBidi"/>
        </w:rPr>
        <w:t xml:space="preserve"> (1999). “Development of scale to measure attitude towards privatization of agricultural extension service”. Journal of Tropical Agricultural Research, Vol.11, pp: 190-198. </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 xml:space="preserve">Swanson, Burton E. and Mohamed M. </w:t>
      </w:r>
      <w:proofErr w:type="spellStart"/>
      <w:r w:rsidRPr="00F653D5">
        <w:rPr>
          <w:rFonts w:ascii="Book Antiqua" w:hAnsi="Book Antiqua" w:cstheme="majorBidi"/>
        </w:rPr>
        <w:t>Samy</w:t>
      </w:r>
      <w:proofErr w:type="spellEnd"/>
      <w:r w:rsidRPr="00F653D5">
        <w:rPr>
          <w:rFonts w:ascii="Book Antiqua" w:hAnsi="Book Antiqua" w:cstheme="majorBidi"/>
        </w:rPr>
        <w:t xml:space="preserve"> (2002).Developing an Extension Partnership among Public, Private, and Nongovernmental Organizations. Journal of International Agricultural and Extension Education, vol. 1 (9).pp: 8-9.</w:t>
      </w:r>
    </w:p>
    <w:p w:rsidR="00CF58EF" w:rsidRPr="00F653D5" w:rsidRDefault="00CF58EF" w:rsidP="002E687C">
      <w:pPr>
        <w:spacing w:line="360" w:lineRule="auto"/>
        <w:jc w:val="both"/>
        <w:rPr>
          <w:rFonts w:ascii="Book Antiqua" w:hAnsi="Book Antiqua" w:cstheme="majorBidi"/>
        </w:rPr>
      </w:pPr>
      <w:proofErr w:type="spellStart"/>
      <w:r w:rsidRPr="00F653D5">
        <w:rPr>
          <w:rFonts w:ascii="Book Antiqua" w:hAnsi="Book Antiqua" w:cstheme="majorBidi"/>
        </w:rPr>
        <w:t>Ujjwal</w:t>
      </w:r>
      <w:proofErr w:type="spellEnd"/>
      <w:r w:rsidRPr="00F653D5">
        <w:rPr>
          <w:rFonts w:ascii="Book Antiqua" w:hAnsi="Book Antiqua" w:cstheme="majorBidi"/>
        </w:rPr>
        <w:t xml:space="preserve">, Kumar, </w:t>
      </w:r>
      <w:proofErr w:type="spellStart"/>
      <w:r w:rsidRPr="00F653D5">
        <w:rPr>
          <w:rFonts w:ascii="Book Antiqua" w:hAnsi="Book Antiqua" w:cstheme="majorBidi"/>
        </w:rPr>
        <w:t>Abhay</w:t>
      </w:r>
      <w:proofErr w:type="spellEnd"/>
      <w:r w:rsidRPr="00F653D5">
        <w:rPr>
          <w:rFonts w:ascii="Book Antiqua" w:hAnsi="Book Antiqua" w:cstheme="majorBidi"/>
        </w:rPr>
        <w:t xml:space="preserve"> Kumar and </w:t>
      </w:r>
      <w:proofErr w:type="spellStart"/>
      <w:r w:rsidRPr="00F653D5">
        <w:rPr>
          <w:rFonts w:ascii="Book Antiqua" w:hAnsi="Book Antiqua" w:cstheme="majorBidi"/>
        </w:rPr>
        <w:t>P.K.Thakur</w:t>
      </w:r>
      <w:proofErr w:type="spellEnd"/>
      <w:r w:rsidRPr="00F653D5">
        <w:rPr>
          <w:rFonts w:ascii="Book Antiqua" w:hAnsi="Book Antiqua" w:cstheme="majorBidi"/>
        </w:rPr>
        <w:t xml:space="preserve"> (2012).Status and Constraints of Extension Services. Status of </w:t>
      </w:r>
      <w:proofErr w:type="spellStart"/>
      <w:r w:rsidRPr="00F653D5">
        <w:rPr>
          <w:rFonts w:ascii="Book Antiqua" w:hAnsi="Book Antiqua" w:cstheme="majorBidi"/>
        </w:rPr>
        <w:t>Agricltural</w:t>
      </w:r>
      <w:proofErr w:type="spellEnd"/>
      <w:r w:rsidRPr="00F653D5">
        <w:rPr>
          <w:rFonts w:ascii="Book Antiqua" w:hAnsi="Book Antiqua" w:cstheme="majorBidi"/>
        </w:rPr>
        <w:t xml:space="preserve"> Development in Eastern India.  </w:t>
      </w:r>
      <w:proofErr w:type="spellStart"/>
      <w:r w:rsidRPr="00F653D5">
        <w:rPr>
          <w:rFonts w:ascii="Book Antiqua" w:hAnsi="Book Antiqua" w:cstheme="majorBidi"/>
        </w:rPr>
        <w:t>Eds</w:t>
      </w:r>
      <w:proofErr w:type="spellEnd"/>
      <w:r w:rsidRPr="00F653D5">
        <w:rPr>
          <w:rFonts w:ascii="Book Antiqua" w:hAnsi="Book Antiqua" w:cstheme="majorBidi"/>
        </w:rPr>
        <w:t xml:space="preserve">: </w:t>
      </w:r>
      <w:proofErr w:type="spellStart"/>
      <w:r w:rsidRPr="00F653D5">
        <w:rPr>
          <w:rFonts w:ascii="Book Antiqua" w:hAnsi="Book Antiqua" w:cstheme="majorBidi"/>
        </w:rPr>
        <w:t>B.P.Bhatt</w:t>
      </w:r>
      <w:proofErr w:type="spellEnd"/>
      <w:r w:rsidRPr="00F653D5">
        <w:rPr>
          <w:rFonts w:ascii="Book Antiqua" w:hAnsi="Book Antiqua" w:cstheme="majorBidi"/>
        </w:rPr>
        <w:t xml:space="preserve">, A.K. </w:t>
      </w:r>
      <w:proofErr w:type="spellStart"/>
      <w:r w:rsidRPr="00F653D5">
        <w:rPr>
          <w:rFonts w:ascii="Book Antiqua" w:hAnsi="Book Antiqua" w:cstheme="majorBidi"/>
        </w:rPr>
        <w:t>Sikka</w:t>
      </w:r>
      <w:proofErr w:type="spellEnd"/>
      <w:r w:rsidRPr="00F653D5">
        <w:rPr>
          <w:rFonts w:ascii="Book Antiqua" w:hAnsi="Book Antiqua" w:cstheme="majorBidi"/>
        </w:rPr>
        <w:t xml:space="preserve">, </w:t>
      </w:r>
      <w:proofErr w:type="spellStart"/>
      <w:r w:rsidRPr="00F653D5">
        <w:rPr>
          <w:rFonts w:ascii="Book Antiqua" w:hAnsi="Book Antiqua" w:cstheme="majorBidi"/>
        </w:rPr>
        <w:t>Joydeep</w:t>
      </w:r>
      <w:proofErr w:type="spellEnd"/>
      <w:r w:rsidRPr="00F653D5">
        <w:rPr>
          <w:rFonts w:ascii="Book Antiqua" w:hAnsi="Book Antiqua" w:cstheme="majorBidi"/>
        </w:rPr>
        <w:t xml:space="preserve"> Mukherjee, </w:t>
      </w:r>
      <w:proofErr w:type="spellStart"/>
      <w:r w:rsidRPr="00F653D5">
        <w:rPr>
          <w:rFonts w:ascii="Book Antiqua" w:hAnsi="Book Antiqua" w:cstheme="majorBidi"/>
        </w:rPr>
        <w:t>Adlul</w:t>
      </w:r>
      <w:proofErr w:type="spellEnd"/>
      <w:r w:rsidRPr="00F653D5">
        <w:rPr>
          <w:rFonts w:ascii="Book Antiqua" w:hAnsi="Book Antiqua" w:cstheme="majorBidi"/>
        </w:rPr>
        <w:t xml:space="preserve"> Islam, A. </w:t>
      </w:r>
      <w:proofErr w:type="spellStart"/>
      <w:proofErr w:type="gramStart"/>
      <w:r w:rsidRPr="00F653D5">
        <w:rPr>
          <w:rFonts w:ascii="Book Antiqua" w:hAnsi="Book Antiqua" w:cstheme="majorBidi"/>
        </w:rPr>
        <w:t>Dey</w:t>
      </w:r>
      <w:proofErr w:type="spellEnd"/>
      <w:r w:rsidRPr="00F653D5">
        <w:rPr>
          <w:rFonts w:ascii="Book Antiqua" w:hAnsi="Book Antiqua" w:cstheme="majorBidi"/>
        </w:rPr>
        <w:t>(</w:t>
      </w:r>
      <w:proofErr w:type="gramEnd"/>
      <w:r w:rsidRPr="00F653D5">
        <w:rPr>
          <w:rFonts w:ascii="Book Antiqua" w:hAnsi="Book Antiqua" w:cstheme="majorBidi"/>
        </w:rPr>
        <w:t>2012).ICAR Research Complex for Eastern Region, Patna :pp, 479-492.</w:t>
      </w:r>
    </w:p>
    <w:p w:rsidR="00CF58EF" w:rsidRPr="00F653D5" w:rsidRDefault="00CF58EF" w:rsidP="002E687C">
      <w:pPr>
        <w:widowControl w:val="0"/>
        <w:tabs>
          <w:tab w:val="num" w:pos="701"/>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lastRenderedPageBreak/>
        <w:t xml:space="preserve">Van Den Ban, A, W. and Hawkins (1996). Agricultural extension .Blackwell Science L td Pub., Oxford, pp: 256-258. </w:t>
      </w:r>
    </w:p>
    <w:p w:rsidR="00CF58EF" w:rsidRPr="00F653D5" w:rsidRDefault="00CF58EF" w:rsidP="002E687C">
      <w:pPr>
        <w:spacing w:line="360" w:lineRule="auto"/>
        <w:jc w:val="both"/>
        <w:rPr>
          <w:rFonts w:ascii="Book Antiqua" w:hAnsi="Book Antiqua" w:cstheme="majorBidi"/>
        </w:rPr>
      </w:pPr>
      <w:proofErr w:type="spellStart"/>
      <w:r w:rsidRPr="00F653D5">
        <w:rPr>
          <w:rFonts w:ascii="Book Antiqua" w:hAnsi="Book Antiqua" w:cstheme="majorBidi"/>
        </w:rPr>
        <w:t>Yehuala</w:t>
      </w:r>
      <w:proofErr w:type="spellEnd"/>
      <w:r w:rsidRPr="00F653D5">
        <w:rPr>
          <w:rFonts w:ascii="Book Antiqua" w:hAnsi="Book Antiqua" w:cstheme="majorBidi"/>
        </w:rPr>
        <w:t xml:space="preserve">, S. (2008).Determinants of smallholder farmers access to formal credit .The case of </w:t>
      </w:r>
      <w:proofErr w:type="spellStart"/>
      <w:r w:rsidRPr="00F653D5">
        <w:rPr>
          <w:rFonts w:ascii="Book Antiqua" w:hAnsi="Book Antiqua" w:cstheme="majorBidi"/>
        </w:rPr>
        <w:t>metema</w:t>
      </w:r>
      <w:proofErr w:type="spellEnd"/>
      <w:r w:rsidRPr="00F653D5">
        <w:rPr>
          <w:rFonts w:ascii="Book Antiqua" w:hAnsi="Book Antiqua" w:cstheme="majorBidi"/>
        </w:rPr>
        <w:t xml:space="preserve"> </w:t>
      </w:r>
      <w:proofErr w:type="spellStart"/>
      <w:r w:rsidRPr="00F653D5">
        <w:rPr>
          <w:rFonts w:ascii="Book Antiqua" w:hAnsi="Book Antiqua" w:cstheme="majorBidi"/>
        </w:rPr>
        <w:t>woreda</w:t>
      </w:r>
      <w:proofErr w:type="spellEnd"/>
      <w:r w:rsidRPr="00F653D5">
        <w:rPr>
          <w:rFonts w:ascii="Book Antiqua" w:hAnsi="Book Antiqua" w:cstheme="majorBidi"/>
        </w:rPr>
        <w:t xml:space="preserve">, north </w:t>
      </w:r>
      <w:proofErr w:type="spellStart"/>
      <w:proofErr w:type="gramStart"/>
      <w:r w:rsidRPr="00F653D5">
        <w:rPr>
          <w:rFonts w:ascii="Book Antiqua" w:hAnsi="Book Antiqua" w:cstheme="majorBidi"/>
        </w:rPr>
        <w:t>gondar</w:t>
      </w:r>
      <w:proofErr w:type="spellEnd"/>
      <w:proofErr w:type="gramEnd"/>
      <w:r w:rsidRPr="00F653D5">
        <w:rPr>
          <w:rFonts w:ascii="Book Antiqua" w:hAnsi="Book Antiqua" w:cstheme="majorBidi"/>
        </w:rPr>
        <w:t xml:space="preserve">, Ethiopia. A thesis submitted to the faculty of the agriculture Department of rural development and agricultural Extension School of graduate studies </w:t>
      </w:r>
      <w:proofErr w:type="spellStart"/>
      <w:r w:rsidRPr="00F653D5">
        <w:rPr>
          <w:rFonts w:ascii="Book Antiqua" w:hAnsi="Book Antiqua" w:cstheme="majorBidi"/>
        </w:rPr>
        <w:t>Haramaya</w:t>
      </w:r>
      <w:proofErr w:type="spellEnd"/>
      <w:r w:rsidRPr="00F653D5">
        <w:rPr>
          <w:rFonts w:ascii="Book Antiqua" w:hAnsi="Book Antiqua" w:cstheme="majorBidi"/>
        </w:rPr>
        <w:t xml:space="preserve"> University.</w:t>
      </w:r>
    </w:p>
    <w:p w:rsidR="00366009" w:rsidRPr="00F95562" w:rsidRDefault="00366009" w:rsidP="002E687C">
      <w:pPr>
        <w:spacing w:line="360" w:lineRule="auto"/>
        <w:jc w:val="both"/>
        <w:rPr>
          <w:rFonts w:ascii="Book Antiqua" w:hAnsi="Book Antiqua"/>
        </w:rPr>
      </w:pPr>
    </w:p>
    <w:sectPr w:rsidR="00366009" w:rsidRPr="00F955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895" w:rsidRDefault="00EF1895" w:rsidP="00D84D04">
      <w:pPr>
        <w:spacing w:after="0" w:line="240" w:lineRule="auto"/>
      </w:pPr>
      <w:r>
        <w:separator/>
      </w:r>
    </w:p>
  </w:endnote>
  <w:endnote w:type="continuationSeparator" w:id="0">
    <w:p w:rsidR="00EF1895" w:rsidRDefault="00EF1895" w:rsidP="00D8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75244"/>
      <w:docPartObj>
        <w:docPartGallery w:val="Page Numbers (Bottom of Page)"/>
        <w:docPartUnique/>
      </w:docPartObj>
    </w:sdtPr>
    <w:sdtEndPr>
      <w:rPr>
        <w:noProof/>
      </w:rPr>
    </w:sdtEndPr>
    <w:sdtContent>
      <w:p w:rsidR="00D84D04" w:rsidRDefault="00D84D04">
        <w:pPr>
          <w:pStyle w:val="Footer"/>
          <w:jc w:val="center"/>
        </w:pPr>
        <w:r>
          <w:fldChar w:fldCharType="begin"/>
        </w:r>
        <w:r>
          <w:instrText xml:space="preserve"> PAGE   \* MERGEFORMAT </w:instrText>
        </w:r>
        <w:r>
          <w:fldChar w:fldCharType="separate"/>
        </w:r>
        <w:r w:rsidR="00265B09">
          <w:rPr>
            <w:noProof/>
          </w:rPr>
          <w:t>9</w:t>
        </w:r>
        <w:r>
          <w:rPr>
            <w:noProof/>
          </w:rPr>
          <w:fldChar w:fldCharType="end"/>
        </w:r>
      </w:p>
    </w:sdtContent>
  </w:sdt>
  <w:p w:rsidR="00D84D04" w:rsidRDefault="00D84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895" w:rsidRDefault="00EF1895" w:rsidP="00D84D04">
      <w:pPr>
        <w:spacing w:after="0" w:line="240" w:lineRule="auto"/>
      </w:pPr>
      <w:r>
        <w:separator/>
      </w:r>
    </w:p>
  </w:footnote>
  <w:footnote w:type="continuationSeparator" w:id="0">
    <w:p w:rsidR="00EF1895" w:rsidRDefault="00EF1895" w:rsidP="00D84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3"/>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60B0925"/>
    <w:multiLevelType w:val="hybridMultilevel"/>
    <w:tmpl w:val="3A9E40AE"/>
    <w:lvl w:ilvl="0" w:tplc="881038E0">
      <w:start w:val="1"/>
      <w:numFmt w:val="decimal"/>
      <w:lvlText w:val="%1-"/>
      <w:lvlJc w:val="left"/>
      <w:pPr>
        <w:ind w:left="8581" w:hanging="360"/>
      </w:pPr>
      <w:rPr>
        <w:rFonts w:asciiTheme="majorBidi" w:hAnsiTheme="majorBidi" w:cstheme="majorBidi"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4A387B62"/>
    <w:multiLevelType w:val="hybridMultilevel"/>
    <w:tmpl w:val="ADECB076"/>
    <w:lvl w:ilvl="0" w:tplc="DB748B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71"/>
    <w:rsid w:val="00002847"/>
    <w:rsid w:val="000066AC"/>
    <w:rsid w:val="000358AA"/>
    <w:rsid w:val="000522F4"/>
    <w:rsid w:val="000546D6"/>
    <w:rsid w:val="00064C33"/>
    <w:rsid w:val="0007453C"/>
    <w:rsid w:val="0008643C"/>
    <w:rsid w:val="00093448"/>
    <w:rsid w:val="000A7238"/>
    <w:rsid w:val="000B0DF5"/>
    <w:rsid w:val="000B5E3F"/>
    <w:rsid w:val="000C33E9"/>
    <w:rsid w:val="000F0349"/>
    <w:rsid w:val="000F224F"/>
    <w:rsid w:val="000F274E"/>
    <w:rsid w:val="000F47AB"/>
    <w:rsid w:val="000F49EB"/>
    <w:rsid w:val="00106250"/>
    <w:rsid w:val="00110E36"/>
    <w:rsid w:val="001114C6"/>
    <w:rsid w:val="001159D6"/>
    <w:rsid w:val="00130AB4"/>
    <w:rsid w:val="00134705"/>
    <w:rsid w:val="00136F72"/>
    <w:rsid w:val="0014632E"/>
    <w:rsid w:val="001479C9"/>
    <w:rsid w:val="001510DC"/>
    <w:rsid w:val="00151B9B"/>
    <w:rsid w:val="00151EB7"/>
    <w:rsid w:val="0015635E"/>
    <w:rsid w:val="00163B8D"/>
    <w:rsid w:val="00165441"/>
    <w:rsid w:val="00165C42"/>
    <w:rsid w:val="00165DF1"/>
    <w:rsid w:val="00171298"/>
    <w:rsid w:val="0019408D"/>
    <w:rsid w:val="00195455"/>
    <w:rsid w:val="001B1E05"/>
    <w:rsid w:val="001D0E9A"/>
    <w:rsid w:val="001D1538"/>
    <w:rsid w:val="001E7C85"/>
    <w:rsid w:val="001F0A6B"/>
    <w:rsid w:val="001F5937"/>
    <w:rsid w:val="001F6D28"/>
    <w:rsid w:val="00200DD0"/>
    <w:rsid w:val="002059B7"/>
    <w:rsid w:val="00213A0D"/>
    <w:rsid w:val="00215A37"/>
    <w:rsid w:val="002175CC"/>
    <w:rsid w:val="002177C3"/>
    <w:rsid w:val="00217BC3"/>
    <w:rsid w:val="00217F7C"/>
    <w:rsid w:val="00241D93"/>
    <w:rsid w:val="00242BE2"/>
    <w:rsid w:val="00243321"/>
    <w:rsid w:val="00250E83"/>
    <w:rsid w:val="002656A3"/>
    <w:rsid w:val="002656C6"/>
    <w:rsid w:val="00265B09"/>
    <w:rsid w:val="00266267"/>
    <w:rsid w:val="00291EA3"/>
    <w:rsid w:val="00296CCA"/>
    <w:rsid w:val="00297315"/>
    <w:rsid w:val="002A2E16"/>
    <w:rsid w:val="002A7159"/>
    <w:rsid w:val="002B2498"/>
    <w:rsid w:val="002D1B6F"/>
    <w:rsid w:val="002D1EEC"/>
    <w:rsid w:val="002E687C"/>
    <w:rsid w:val="002F2867"/>
    <w:rsid w:val="002F4C53"/>
    <w:rsid w:val="003018ED"/>
    <w:rsid w:val="00307A82"/>
    <w:rsid w:val="00307F6E"/>
    <w:rsid w:val="003202AA"/>
    <w:rsid w:val="003311AA"/>
    <w:rsid w:val="00352214"/>
    <w:rsid w:val="003600F7"/>
    <w:rsid w:val="0036027E"/>
    <w:rsid w:val="003622C1"/>
    <w:rsid w:val="00366009"/>
    <w:rsid w:val="00375450"/>
    <w:rsid w:val="0038374E"/>
    <w:rsid w:val="00394AEC"/>
    <w:rsid w:val="003A09E1"/>
    <w:rsid w:val="003B033A"/>
    <w:rsid w:val="003B0D89"/>
    <w:rsid w:val="003B3353"/>
    <w:rsid w:val="003B6229"/>
    <w:rsid w:val="003C5FF1"/>
    <w:rsid w:val="003D0682"/>
    <w:rsid w:val="003D1B2E"/>
    <w:rsid w:val="003E40A5"/>
    <w:rsid w:val="004050C0"/>
    <w:rsid w:val="00411BA6"/>
    <w:rsid w:val="00413392"/>
    <w:rsid w:val="00414EB7"/>
    <w:rsid w:val="00417AD1"/>
    <w:rsid w:val="00424FD1"/>
    <w:rsid w:val="004270F6"/>
    <w:rsid w:val="00442674"/>
    <w:rsid w:val="00443224"/>
    <w:rsid w:val="0044610B"/>
    <w:rsid w:val="0044745D"/>
    <w:rsid w:val="00447F46"/>
    <w:rsid w:val="00452A7D"/>
    <w:rsid w:val="00461305"/>
    <w:rsid w:val="004709A6"/>
    <w:rsid w:val="004968CA"/>
    <w:rsid w:val="004A7866"/>
    <w:rsid w:val="004B48B4"/>
    <w:rsid w:val="004C0789"/>
    <w:rsid w:val="004C2CCD"/>
    <w:rsid w:val="004F596F"/>
    <w:rsid w:val="004F5990"/>
    <w:rsid w:val="004F74DD"/>
    <w:rsid w:val="00511555"/>
    <w:rsid w:val="0051191C"/>
    <w:rsid w:val="00515DBA"/>
    <w:rsid w:val="005211F1"/>
    <w:rsid w:val="005331F7"/>
    <w:rsid w:val="0054424E"/>
    <w:rsid w:val="005444A7"/>
    <w:rsid w:val="005461CF"/>
    <w:rsid w:val="00551919"/>
    <w:rsid w:val="00551E96"/>
    <w:rsid w:val="0056016B"/>
    <w:rsid w:val="00566C28"/>
    <w:rsid w:val="00585DFF"/>
    <w:rsid w:val="00593EE3"/>
    <w:rsid w:val="005A1D40"/>
    <w:rsid w:val="005A219E"/>
    <w:rsid w:val="005B7D44"/>
    <w:rsid w:val="005C739A"/>
    <w:rsid w:val="005D3F49"/>
    <w:rsid w:val="005E0844"/>
    <w:rsid w:val="005E4FA5"/>
    <w:rsid w:val="005F2F9F"/>
    <w:rsid w:val="005F7F91"/>
    <w:rsid w:val="006003F6"/>
    <w:rsid w:val="00601623"/>
    <w:rsid w:val="006040D7"/>
    <w:rsid w:val="006227E4"/>
    <w:rsid w:val="0062498F"/>
    <w:rsid w:val="006270D1"/>
    <w:rsid w:val="00642929"/>
    <w:rsid w:val="0064656E"/>
    <w:rsid w:val="0065553F"/>
    <w:rsid w:val="00673C33"/>
    <w:rsid w:val="00681401"/>
    <w:rsid w:val="00694845"/>
    <w:rsid w:val="006A12A8"/>
    <w:rsid w:val="006A3BEB"/>
    <w:rsid w:val="006A640D"/>
    <w:rsid w:val="006B0BD0"/>
    <w:rsid w:val="006C75F7"/>
    <w:rsid w:val="006E272D"/>
    <w:rsid w:val="006F0286"/>
    <w:rsid w:val="006F7A82"/>
    <w:rsid w:val="007025F7"/>
    <w:rsid w:val="007119A8"/>
    <w:rsid w:val="00723473"/>
    <w:rsid w:val="007477E4"/>
    <w:rsid w:val="00756A45"/>
    <w:rsid w:val="00764371"/>
    <w:rsid w:val="007740C8"/>
    <w:rsid w:val="00775DFA"/>
    <w:rsid w:val="007763B4"/>
    <w:rsid w:val="00776AA7"/>
    <w:rsid w:val="00781568"/>
    <w:rsid w:val="007A4E38"/>
    <w:rsid w:val="007C0A4A"/>
    <w:rsid w:val="007C0EBC"/>
    <w:rsid w:val="007D7CDE"/>
    <w:rsid w:val="007F257A"/>
    <w:rsid w:val="008111CD"/>
    <w:rsid w:val="00851A28"/>
    <w:rsid w:val="00851E3B"/>
    <w:rsid w:val="00861CA1"/>
    <w:rsid w:val="00874719"/>
    <w:rsid w:val="008755AD"/>
    <w:rsid w:val="00897CDF"/>
    <w:rsid w:val="008A1819"/>
    <w:rsid w:val="008A1AF4"/>
    <w:rsid w:val="008A4E7C"/>
    <w:rsid w:val="008B3D35"/>
    <w:rsid w:val="008B6D4C"/>
    <w:rsid w:val="008C0E7C"/>
    <w:rsid w:val="008C706D"/>
    <w:rsid w:val="008D0BE2"/>
    <w:rsid w:val="008D471E"/>
    <w:rsid w:val="008E21D1"/>
    <w:rsid w:val="008E2D91"/>
    <w:rsid w:val="008F2D38"/>
    <w:rsid w:val="008F3B61"/>
    <w:rsid w:val="008F4229"/>
    <w:rsid w:val="00903119"/>
    <w:rsid w:val="00907249"/>
    <w:rsid w:val="00916F5B"/>
    <w:rsid w:val="00925C86"/>
    <w:rsid w:val="009313FD"/>
    <w:rsid w:val="0093642B"/>
    <w:rsid w:val="00942CD7"/>
    <w:rsid w:val="00947C17"/>
    <w:rsid w:val="009616AE"/>
    <w:rsid w:val="0098172E"/>
    <w:rsid w:val="009821B5"/>
    <w:rsid w:val="00994482"/>
    <w:rsid w:val="009A3809"/>
    <w:rsid w:val="009C6A6E"/>
    <w:rsid w:val="009D0732"/>
    <w:rsid w:val="009D1A31"/>
    <w:rsid w:val="009D2E2F"/>
    <w:rsid w:val="009E0EE5"/>
    <w:rsid w:val="009E43D6"/>
    <w:rsid w:val="009E4B0E"/>
    <w:rsid w:val="009F1D02"/>
    <w:rsid w:val="00A01538"/>
    <w:rsid w:val="00A2486F"/>
    <w:rsid w:val="00A32553"/>
    <w:rsid w:val="00A32ED6"/>
    <w:rsid w:val="00A3481F"/>
    <w:rsid w:val="00A4267B"/>
    <w:rsid w:val="00A4574A"/>
    <w:rsid w:val="00A65F30"/>
    <w:rsid w:val="00A71734"/>
    <w:rsid w:val="00A912C9"/>
    <w:rsid w:val="00A920C9"/>
    <w:rsid w:val="00A923A1"/>
    <w:rsid w:val="00A96CA8"/>
    <w:rsid w:val="00AA2EA0"/>
    <w:rsid w:val="00AC73B2"/>
    <w:rsid w:val="00AD13E9"/>
    <w:rsid w:val="00AD218D"/>
    <w:rsid w:val="00AD2671"/>
    <w:rsid w:val="00AE457B"/>
    <w:rsid w:val="00AF2CD2"/>
    <w:rsid w:val="00AF2DE5"/>
    <w:rsid w:val="00AF5050"/>
    <w:rsid w:val="00B03E64"/>
    <w:rsid w:val="00B03EB5"/>
    <w:rsid w:val="00B05C0B"/>
    <w:rsid w:val="00B23F5C"/>
    <w:rsid w:val="00B275F4"/>
    <w:rsid w:val="00B2791D"/>
    <w:rsid w:val="00B337EC"/>
    <w:rsid w:val="00B4063B"/>
    <w:rsid w:val="00B549E0"/>
    <w:rsid w:val="00B645E3"/>
    <w:rsid w:val="00B735E1"/>
    <w:rsid w:val="00B924AB"/>
    <w:rsid w:val="00B93BB1"/>
    <w:rsid w:val="00BB4FFE"/>
    <w:rsid w:val="00BC5FC6"/>
    <w:rsid w:val="00BC64E1"/>
    <w:rsid w:val="00BD3D78"/>
    <w:rsid w:val="00BE0BA2"/>
    <w:rsid w:val="00BF75E2"/>
    <w:rsid w:val="00C115BA"/>
    <w:rsid w:val="00C255ED"/>
    <w:rsid w:val="00C30E66"/>
    <w:rsid w:val="00C32CF3"/>
    <w:rsid w:val="00C33975"/>
    <w:rsid w:val="00C4305F"/>
    <w:rsid w:val="00C50CC5"/>
    <w:rsid w:val="00C71053"/>
    <w:rsid w:val="00C80952"/>
    <w:rsid w:val="00C85399"/>
    <w:rsid w:val="00C93656"/>
    <w:rsid w:val="00C94806"/>
    <w:rsid w:val="00CA53D3"/>
    <w:rsid w:val="00CA6AE5"/>
    <w:rsid w:val="00CC1841"/>
    <w:rsid w:val="00CC4BA5"/>
    <w:rsid w:val="00CC6FA7"/>
    <w:rsid w:val="00CD4563"/>
    <w:rsid w:val="00CE0818"/>
    <w:rsid w:val="00CE4839"/>
    <w:rsid w:val="00CE772B"/>
    <w:rsid w:val="00CF1255"/>
    <w:rsid w:val="00CF58EF"/>
    <w:rsid w:val="00D011D4"/>
    <w:rsid w:val="00D0770E"/>
    <w:rsid w:val="00D07949"/>
    <w:rsid w:val="00D30472"/>
    <w:rsid w:val="00D435F1"/>
    <w:rsid w:val="00D4481E"/>
    <w:rsid w:val="00D70CC9"/>
    <w:rsid w:val="00D7192A"/>
    <w:rsid w:val="00D73589"/>
    <w:rsid w:val="00D805BB"/>
    <w:rsid w:val="00D80D8D"/>
    <w:rsid w:val="00D83FF6"/>
    <w:rsid w:val="00D84D04"/>
    <w:rsid w:val="00D919BD"/>
    <w:rsid w:val="00D94E27"/>
    <w:rsid w:val="00D95BFB"/>
    <w:rsid w:val="00DB5D37"/>
    <w:rsid w:val="00DB73E7"/>
    <w:rsid w:val="00DB7B75"/>
    <w:rsid w:val="00DC0038"/>
    <w:rsid w:val="00DC549D"/>
    <w:rsid w:val="00DD6431"/>
    <w:rsid w:val="00DE07D4"/>
    <w:rsid w:val="00DF15C0"/>
    <w:rsid w:val="00DF3247"/>
    <w:rsid w:val="00DF63BA"/>
    <w:rsid w:val="00DF7959"/>
    <w:rsid w:val="00E001D7"/>
    <w:rsid w:val="00E131C5"/>
    <w:rsid w:val="00E410E7"/>
    <w:rsid w:val="00E57BBA"/>
    <w:rsid w:val="00E83A35"/>
    <w:rsid w:val="00E85B8A"/>
    <w:rsid w:val="00E93855"/>
    <w:rsid w:val="00E93F69"/>
    <w:rsid w:val="00E954CB"/>
    <w:rsid w:val="00EA10DB"/>
    <w:rsid w:val="00EA43E7"/>
    <w:rsid w:val="00EB66E2"/>
    <w:rsid w:val="00EB6C91"/>
    <w:rsid w:val="00EC482F"/>
    <w:rsid w:val="00EE5435"/>
    <w:rsid w:val="00EF1895"/>
    <w:rsid w:val="00F14CB8"/>
    <w:rsid w:val="00F159E4"/>
    <w:rsid w:val="00F37409"/>
    <w:rsid w:val="00F40622"/>
    <w:rsid w:val="00F42813"/>
    <w:rsid w:val="00F502D5"/>
    <w:rsid w:val="00F653D5"/>
    <w:rsid w:val="00F65670"/>
    <w:rsid w:val="00F75ED1"/>
    <w:rsid w:val="00F80FF7"/>
    <w:rsid w:val="00F95562"/>
    <w:rsid w:val="00FA0A5B"/>
    <w:rsid w:val="00FA2E4B"/>
    <w:rsid w:val="00FA3D5D"/>
    <w:rsid w:val="00FA44FB"/>
    <w:rsid w:val="00FB171F"/>
    <w:rsid w:val="00FC1301"/>
    <w:rsid w:val="00FC1C7A"/>
    <w:rsid w:val="00FD3019"/>
    <w:rsid w:val="00FF2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44F5-E101-4C88-8457-3A5F00B6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DD"/>
    <w:pPr>
      <w:spacing w:after="200" w:line="276" w:lineRule="auto"/>
    </w:pPr>
    <w:rPr>
      <w:sz w:val="22"/>
      <w:szCs w:val="22"/>
    </w:rPr>
  </w:style>
  <w:style w:type="paragraph" w:styleId="Heading1">
    <w:name w:val="heading 1"/>
    <w:basedOn w:val="Normal"/>
    <w:next w:val="Normal"/>
    <w:link w:val="Heading1Char"/>
    <w:qFormat/>
    <w:rsid w:val="004F74DD"/>
    <w:pPr>
      <w:keepNext/>
      <w:spacing w:after="0" w:line="480" w:lineRule="auto"/>
      <w:ind w:firstLine="720"/>
      <w:outlineLvl w:val="0"/>
    </w:pPr>
    <w:rPr>
      <w:sz w:val="28"/>
      <w:szCs w:val="28"/>
      <w:lang w:eastAsia="ar-SA"/>
    </w:rPr>
  </w:style>
  <w:style w:type="paragraph" w:styleId="Heading2">
    <w:name w:val="heading 2"/>
    <w:basedOn w:val="Normal"/>
    <w:next w:val="Normal"/>
    <w:link w:val="Heading2Char"/>
    <w:qFormat/>
    <w:rsid w:val="004F74DD"/>
    <w:pPr>
      <w:keepNext/>
      <w:spacing w:after="0" w:line="480" w:lineRule="auto"/>
      <w:jc w:val="center"/>
      <w:outlineLvl w:val="1"/>
    </w:pPr>
    <w:rPr>
      <w:b/>
      <w:bCs/>
      <w:sz w:val="28"/>
      <w:szCs w:val="28"/>
      <w:lang w:eastAsia="ar-SA"/>
    </w:rPr>
  </w:style>
  <w:style w:type="paragraph" w:styleId="Heading3">
    <w:name w:val="heading 3"/>
    <w:basedOn w:val="Normal"/>
    <w:next w:val="Normal"/>
    <w:link w:val="Heading3Char"/>
    <w:qFormat/>
    <w:rsid w:val="004F74DD"/>
    <w:pPr>
      <w:keepNext/>
      <w:bidi/>
      <w:spacing w:before="240" w:after="60" w:line="240" w:lineRule="auto"/>
      <w:outlineLvl w:val="2"/>
    </w:pPr>
    <w:rPr>
      <w:rFonts w:ascii="Arial" w:hAnsi="Arial"/>
      <w:b/>
      <w:bCs/>
      <w:sz w:val="26"/>
      <w:szCs w:val="26"/>
    </w:rPr>
  </w:style>
  <w:style w:type="paragraph" w:styleId="Heading6">
    <w:name w:val="heading 6"/>
    <w:basedOn w:val="Normal"/>
    <w:next w:val="Normal"/>
    <w:link w:val="Heading6Char"/>
    <w:qFormat/>
    <w:rsid w:val="004F74DD"/>
    <w:pPr>
      <w:bidi/>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74DD"/>
    <w:rPr>
      <w:sz w:val="28"/>
      <w:szCs w:val="28"/>
      <w:lang w:eastAsia="ar-SA"/>
    </w:rPr>
  </w:style>
  <w:style w:type="character" w:customStyle="1" w:styleId="Heading2Char">
    <w:name w:val="Heading 2 Char"/>
    <w:link w:val="Heading2"/>
    <w:rsid w:val="004F74DD"/>
    <w:rPr>
      <w:b/>
      <w:bCs/>
      <w:sz w:val="28"/>
      <w:szCs w:val="28"/>
      <w:lang w:eastAsia="ar-SA"/>
    </w:rPr>
  </w:style>
  <w:style w:type="character" w:customStyle="1" w:styleId="Heading3Char">
    <w:name w:val="Heading 3 Char"/>
    <w:link w:val="Heading3"/>
    <w:rsid w:val="004F74DD"/>
    <w:rPr>
      <w:rFonts w:ascii="Arial" w:hAnsi="Arial"/>
      <w:b/>
      <w:bCs/>
      <w:sz w:val="26"/>
      <w:szCs w:val="26"/>
    </w:rPr>
  </w:style>
  <w:style w:type="character" w:customStyle="1" w:styleId="Heading6Char">
    <w:name w:val="Heading 6 Char"/>
    <w:link w:val="Heading6"/>
    <w:rsid w:val="004F74DD"/>
    <w:rPr>
      <w:b/>
      <w:bCs/>
      <w:sz w:val="22"/>
      <w:szCs w:val="22"/>
    </w:rPr>
  </w:style>
  <w:style w:type="paragraph" w:styleId="ListParagraph">
    <w:name w:val="List Paragraph"/>
    <w:basedOn w:val="Normal"/>
    <w:uiPriority w:val="34"/>
    <w:qFormat/>
    <w:rsid w:val="004F74DD"/>
    <w:pPr>
      <w:ind w:left="720"/>
      <w:contextualSpacing/>
    </w:pPr>
  </w:style>
  <w:style w:type="paragraph" w:styleId="HTMLPreformatted">
    <w:name w:val="HTML Preformatted"/>
    <w:basedOn w:val="Normal"/>
    <w:link w:val="HTMLPreformattedChar"/>
    <w:uiPriority w:val="99"/>
    <w:unhideWhenUsed/>
    <w:rsid w:val="00AD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2671"/>
    <w:rPr>
      <w:rFonts w:ascii="Courier New" w:hAnsi="Courier New" w:cs="Courier New"/>
    </w:rPr>
  </w:style>
  <w:style w:type="character" w:styleId="Emphasis">
    <w:name w:val="Emphasis"/>
    <w:basedOn w:val="DefaultParagraphFont"/>
    <w:uiPriority w:val="20"/>
    <w:qFormat/>
    <w:rsid w:val="00E410E7"/>
    <w:rPr>
      <w:i/>
      <w:iCs/>
    </w:rPr>
  </w:style>
  <w:style w:type="table" w:styleId="TableGrid">
    <w:name w:val="Table Grid"/>
    <w:basedOn w:val="TableNormal"/>
    <w:uiPriority w:val="59"/>
    <w:rsid w:val="00424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abstract">
    <w:name w:val="hlfld-abstract"/>
    <w:basedOn w:val="DefaultParagraphFont"/>
    <w:rsid w:val="00C33975"/>
  </w:style>
  <w:style w:type="paragraph" w:styleId="Header">
    <w:name w:val="header"/>
    <w:basedOn w:val="Normal"/>
    <w:link w:val="HeaderChar"/>
    <w:uiPriority w:val="99"/>
    <w:unhideWhenUsed/>
    <w:rsid w:val="00D84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04"/>
    <w:rPr>
      <w:sz w:val="22"/>
      <w:szCs w:val="22"/>
    </w:rPr>
  </w:style>
  <w:style w:type="paragraph" w:styleId="Footer">
    <w:name w:val="footer"/>
    <w:basedOn w:val="Normal"/>
    <w:link w:val="FooterChar"/>
    <w:uiPriority w:val="99"/>
    <w:unhideWhenUsed/>
    <w:rsid w:val="00D8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04"/>
    <w:rPr>
      <w:sz w:val="22"/>
      <w:szCs w:val="22"/>
    </w:rPr>
  </w:style>
  <w:style w:type="paragraph" w:customStyle="1" w:styleId="yiv153979145msonormal">
    <w:name w:val="yiv153979145msonormal"/>
    <w:basedOn w:val="Normal"/>
    <w:rsid w:val="00EA10DB"/>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9E43D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4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609">
      <w:bodyDiv w:val="1"/>
      <w:marLeft w:val="0"/>
      <w:marRight w:val="0"/>
      <w:marTop w:val="0"/>
      <w:marBottom w:val="0"/>
      <w:divBdr>
        <w:top w:val="none" w:sz="0" w:space="0" w:color="auto"/>
        <w:left w:val="none" w:sz="0" w:space="0" w:color="auto"/>
        <w:bottom w:val="none" w:sz="0" w:space="0" w:color="auto"/>
        <w:right w:val="none" w:sz="0" w:space="0" w:color="auto"/>
      </w:divBdr>
    </w:div>
    <w:div w:id="72776135">
      <w:bodyDiv w:val="1"/>
      <w:marLeft w:val="0"/>
      <w:marRight w:val="0"/>
      <w:marTop w:val="0"/>
      <w:marBottom w:val="0"/>
      <w:divBdr>
        <w:top w:val="none" w:sz="0" w:space="0" w:color="auto"/>
        <w:left w:val="none" w:sz="0" w:space="0" w:color="auto"/>
        <w:bottom w:val="none" w:sz="0" w:space="0" w:color="auto"/>
        <w:right w:val="none" w:sz="0" w:space="0" w:color="auto"/>
      </w:divBdr>
    </w:div>
    <w:div w:id="442968337">
      <w:bodyDiv w:val="1"/>
      <w:marLeft w:val="0"/>
      <w:marRight w:val="0"/>
      <w:marTop w:val="0"/>
      <w:marBottom w:val="0"/>
      <w:divBdr>
        <w:top w:val="none" w:sz="0" w:space="0" w:color="auto"/>
        <w:left w:val="none" w:sz="0" w:space="0" w:color="auto"/>
        <w:bottom w:val="none" w:sz="0" w:space="0" w:color="auto"/>
        <w:right w:val="none" w:sz="0" w:space="0" w:color="auto"/>
      </w:divBdr>
    </w:div>
    <w:div w:id="460617012">
      <w:bodyDiv w:val="1"/>
      <w:marLeft w:val="0"/>
      <w:marRight w:val="0"/>
      <w:marTop w:val="0"/>
      <w:marBottom w:val="0"/>
      <w:divBdr>
        <w:top w:val="none" w:sz="0" w:space="0" w:color="auto"/>
        <w:left w:val="none" w:sz="0" w:space="0" w:color="auto"/>
        <w:bottom w:val="none" w:sz="0" w:space="0" w:color="auto"/>
        <w:right w:val="none" w:sz="0" w:space="0" w:color="auto"/>
      </w:divBdr>
    </w:div>
    <w:div w:id="543834133">
      <w:bodyDiv w:val="1"/>
      <w:marLeft w:val="0"/>
      <w:marRight w:val="0"/>
      <w:marTop w:val="0"/>
      <w:marBottom w:val="0"/>
      <w:divBdr>
        <w:top w:val="none" w:sz="0" w:space="0" w:color="auto"/>
        <w:left w:val="none" w:sz="0" w:space="0" w:color="auto"/>
        <w:bottom w:val="none" w:sz="0" w:space="0" w:color="auto"/>
        <w:right w:val="none" w:sz="0" w:space="0" w:color="auto"/>
      </w:divBdr>
    </w:div>
    <w:div w:id="671301772">
      <w:bodyDiv w:val="1"/>
      <w:marLeft w:val="0"/>
      <w:marRight w:val="0"/>
      <w:marTop w:val="0"/>
      <w:marBottom w:val="0"/>
      <w:divBdr>
        <w:top w:val="none" w:sz="0" w:space="0" w:color="auto"/>
        <w:left w:val="none" w:sz="0" w:space="0" w:color="auto"/>
        <w:bottom w:val="none" w:sz="0" w:space="0" w:color="auto"/>
        <w:right w:val="none" w:sz="0" w:space="0" w:color="auto"/>
      </w:divBdr>
    </w:div>
    <w:div w:id="683482441">
      <w:bodyDiv w:val="1"/>
      <w:marLeft w:val="0"/>
      <w:marRight w:val="0"/>
      <w:marTop w:val="0"/>
      <w:marBottom w:val="0"/>
      <w:divBdr>
        <w:top w:val="none" w:sz="0" w:space="0" w:color="auto"/>
        <w:left w:val="none" w:sz="0" w:space="0" w:color="auto"/>
        <w:bottom w:val="none" w:sz="0" w:space="0" w:color="auto"/>
        <w:right w:val="none" w:sz="0" w:space="0" w:color="auto"/>
      </w:divBdr>
    </w:div>
    <w:div w:id="756051620">
      <w:bodyDiv w:val="1"/>
      <w:marLeft w:val="0"/>
      <w:marRight w:val="0"/>
      <w:marTop w:val="0"/>
      <w:marBottom w:val="0"/>
      <w:divBdr>
        <w:top w:val="none" w:sz="0" w:space="0" w:color="auto"/>
        <w:left w:val="none" w:sz="0" w:space="0" w:color="auto"/>
        <w:bottom w:val="none" w:sz="0" w:space="0" w:color="auto"/>
        <w:right w:val="none" w:sz="0" w:space="0" w:color="auto"/>
      </w:divBdr>
    </w:div>
    <w:div w:id="773133760">
      <w:bodyDiv w:val="1"/>
      <w:marLeft w:val="0"/>
      <w:marRight w:val="0"/>
      <w:marTop w:val="0"/>
      <w:marBottom w:val="0"/>
      <w:divBdr>
        <w:top w:val="none" w:sz="0" w:space="0" w:color="auto"/>
        <w:left w:val="none" w:sz="0" w:space="0" w:color="auto"/>
        <w:bottom w:val="none" w:sz="0" w:space="0" w:color="auto"/>
        <w:right w:val="none" w:sz="0" w:space="0" w:color="auto"/>
      </w:divBdr>
    </w:div>
    <w:div w:id="845097133">
      <w:bodyDiv w:val="1"/>
      <w:marLeft w:val="0"/>
      <w:marRight w:val="0"/>
      <w:marTop w:val="0"/>
      <w:marBottom w:val="0"/>
      <w:divBdr>
        <w:top w:val="none" w:sz="0" w:space="0" w:color="auto"/>
        <w:left w:val="none" w:sz="0" w:space="0" w:color="auto"/>
        <w:bottom w:val="none" w:sz="0" w:space="0" w:color="auto"/>
        <w:right w:val="none" w:sz="0" w:space="0" w:color="auto"/>
      </w:divBdr>
    </w:div>
    <w:div w:id="846595136">
      <w:bodyDiv w:val="1"/>
      <w:marLeft w:val="0"/>
      <w:marRight w:val="0"/>
      <w:marTop w:val="0"/>
      <w:marBottom w:val="0"/>
      <w:divBdr>
        <w:top w:val="none" w:sz="0" w:space="0" w:color="auto"/>
        <w:left w:val="none" w:sz="0" w:space="0" w:color="auto"/>
        <w:bottom w:val="none" w:sz="0" w:space="0" w:color="auto"/>
        <w:right w:val="none" w:sz="0" w:space="0" w:color="auto"/>
      </w:divBdr>
    </w:div>
    <w:div w:id="869876993">
      <w:bodyDiv w:val="1"/>
      <w:marLeft w:val="0"/>
      <w:marRight w:val="0"/>
      <w:marTop w:val="0"/>
      <w:marBottom w:val="0"/>
      <w:divBdr>
        <w:top w:val="none" w:sz="0" w:space="0" w:color="auto"/>
        <w:left w:val="none" w:sz="0" w:space="0" w:color="auto"/>
        <w:bottom w:val="none" w:sz="0" w:space="0" w:color="auto"/>
        <w:right w:val="none" w:sz="0" w:space="0" w:color="auto"/>
      </w:divBdr>
      <w:divsChild>
        <w:div w:id="1728724928">
          <w:marLeft w:val="0"/>
          <w:marRight w:val="0"/>
          <w:marTop w:val="0"/>
          <w:marBottom w:val="0"/>
          <w:divBdr>
            <w:top w:val="none" w:sz="0" w:space="0" w:color="auto"/>
            <w:left w:val="none" w:sz="0" w:space="0" w:color="auto"/>
            <w:bottom w:val="none" w:sz="0" w:space="0" w:color="auto"/>
            <w:right w:val="none" w:sz="0" w:space="0" w:color="auto"/>
          </w:divBdr>
        </w:div>
      </w:divsChild>
    </w:div>
    <w:div w:id="887305797">
      <w:bodyDiv w:val="1"/>
      <w:marLeft w:val="0"/>
      <w:marRight w:val="0"/>
      <w:marTop w:val="0"/>
      <w:marBottom w:val="0"/>
      <w:divBdr>
        <w:top w:val="none" w:sz="0" w:space="0" w:color="auto"/>
        <w:left w:val="none" w:sz="0" w:space="0" w:color="auto"/>
        <w:bottom w:val="none" w:sz="0" w:space="0" w:color="auto"/>
        <w:right w:val="none" w:sz="0" w:space="0" w:color="auto"/>
      </w:divBdr>
    </w:div>
    <w:div w:id="928078917">
      <w:bodyDiv w:val="1"/>
      <w:marLeft w:val="0"/>
      <w:marRight w:val="0"/>
      <w:marTop w:val="0"/>
      <w:marBottom w:val="0"/>
      <w:divBdr>
        <w:top w:val="none" w:sz="0" w:space="0" w:color="auto"/>
        <w:left w:val="none" w:sz="0" w:space="0" w:color="auto"/>
        <w:bottom w:val="none" w:sz="0" w:space="0" w:color="auto"/>
        <w:right w:val="none" w:sz="0" w:space="0" w:color="auto"/>
      </w:divBdr>
    </w:div>
    <w:div w:id="1192107316">
      <w:bodyDiv w:val="1"/>
      <w:marLeft w:val="0"/>
      <w:marRight w:val="0"/>
      <w:marTop w:val="0"/>
      <w:marBottom w:val="0"/>
      <w:divBdr>
        <w:top w:val="none" w:sz="0" w:space="0" w:color="auto"/>
        <w:left w:val="none" w:sz="0" w:space="0" w:color="auto"/>
        <w:bottom w:val="none" w:sz="0" w:space="0" w:color="auto"/>
        <w:right w:val="none" w:sz="0" w:space="0" w:color="auto"/>
      </w:divBdr>
      <w:divsChild>
        <w:div w:id="921372641">
          <w:marLeft w:val="0"/>
          <w:marRight w:val="0"/>
          <w:marTop w:val="0"/>
          <w:marBottom w:val="0"/>
          <w:divBdr>
            <w:top w:val="none" w:sz="0" w:space="0" w:color="auto"/>
            <w:left w:val="none" w:sz="0" w:space="0" w:color="auto"/>
            <w:bottom w:val="none" w:sz="0" w:space="0" w:color="auto"/>
            <w:right w:val="none" w:sz="0" w:space="0" w:color="auto"/>
          </w:divBdr>
        </w:div>
      </w:divsChild>
    </w:div>
    <w:div w:id="1345355306">
      <w:bodyDiv w:val="1"/>
      <w:marLeft w:val="0"/>
      <w:marRight w:val="0"/>
      <w:marTop w:val="0"/>
      <w:marBottom w:val="0"/>
      <w:divBdr>
        <w:top w:val="none" w:sz="0" w:space="0" w:color="auto"/>
        <w:left w:val="none" w:sz="0" w:space="0" w:color="auto"/>
        <w:bottom w:val="none" w:sz="0" w:space="0" w:color="auto"/>
        <w:right w:val="none" w:sz="0" w:space="0" w:color="auto"/>
      </w:divBdr>
    </w:div>
    <w:div w:id="1363358021">
      <w:bodyDiv w:val="1"/>
      <w:marLeft w:val="0"/>
      <w:marRight w:val="0"/>
      <w:marTop w:val="0"/>
      <w:marBottom w:val="0"/>
      <w:divBdr>
        <w:top w:val="none" w:sz="0" w:space="0" w:color="auto"/>
        <w:left w:val="none" w:sz="0" w:space="0" w:color="auto"/>
        <w:bottom w:val="none" w:sz="0" w:space="0" w:color="auto"/>
        <w:right w:val="none" w:sz="0" w:space="0" w:color="auto"/>
      </w:divBdr>
    </w:div>
    <w:div w:id="1431241416">
      <w:bodyDiv w:val="1"/>
      <w:marLeft w:val="0"/>
      <w:marRight w:val="0"/>
      <w:marTop w:val="0"/>
      <w:marBottom w:val="0"/>
      <w:divBdr>
        <w:top w:val="none" w:sz="0" w:space="0" w:color="auto"/>
        <w:left w:val="none" w:sz="0" w:space="0" w:color="auto"/>
        <w:bottom w:val="none" w:sz="0" w:space="0" w:color="auto"/>
        <w:right w:val="none" w:sz="0" w:space="0" w:color="auto"/>
      </w:divBdr>
    </w:div>
    <w:div w:id="1581598613">
      <w:bodyDiv w:val="1"/>
      <w:marLeft w:val="0"/>
      <w:marRight w:val="0"/>
      <w:marTop w:val="0"/>
      <w:marBottom w:val="0"/>
      <w:divBdr>
        <w:top w:val="none" w:sz="0" w:space="0" w:color="auto"/>
        <w:left w:val="none" w:sz="0" w:space="0" w:color="auto"/>
        <w:bottom w:val="none" w:sz="0" w:space="0" w:color="auto"/>
        <w:right w:val="none" w:sz="0" w:space="0" w:color="auto"/>
      </w:divBdr>
    </w:div>
    <w:div w:id="1667201452">
      <w:bodyDiv w:val="1"/>
      <w:marLeft w:val="0"/>
      <w:marRight w:val="0"/>
      <w:marTop w:val="0"/>
      <w:marBottom w:val="0"/>
      <w:divBdr>
        <w:top w:val="none" w:sz="0" w:space="0" w:color="auto"/>
        <w:left w:val="none" w:sz="0" w:space="0" w:color="auto"/>
        <w:bottom w:val="none" w:sz="0" w:space="0" w:color="auto"/>
        <w:right w:val="none" w:sz="0" w:space="0" w:color="auto"/>
      </w:divBdr>
    </w:div>
    <w:div w:id="1732344208">
      <w:bodyDiv w:val="1"/>
      <w:marLeft w:val="0"/>
      <w:marRight w:val="0"/>
      <w:marTop w:val="0"/>
      <w:marBottom w:val="0"/>
      <w:divBdr>
        <w:top w:val="none" w:sz="0" w:space="0" w:color="auto"/>
        <w:left w:val="none" w:sz="0" w:space="0" w:color="auto"/>
        <w:bottom w:val="none" w:sz="0" w:space="0" w:color="auto"/>
        <w:right w:val="none" w:sz="0" w:space="0" w:color="auto"/>
      </w:divBdr>
    </w:div>
    <w:div w:id="1738475941">
      <w:bodyDiv w:val="1"/>
      <w:marLeft w:val="0"/>
      <w:marRight w:val="0"/>
      <w:marTop w:val="0"/>
      <w:marBottom w:val="0"/>
      <w:divBdr>
        <w:top w:val="none" w:sz="0" w:space="0" w:color="auto"/>
        <w:left w:val="none" w:sz="0" w:space="0" w:color="auto"/>
        <w:bottom w:val="none" w:sz="0" w:space="0" w:color="auto"/>
        <w:right w:val="none" w:sz="0" w:space="0" w:color="auto"/>
      </w:divBdr>
    </w:div>
    <w:div w:id="1858998722">
      <w:bodyDiv w:val="1"/>
      <w:marLeft w:val="0"/>
      <w:marRight w:val="0"/>
      <w:marTop w:val="0"/>
      <w:marBottom w:val="0"/>
      <w:divBdr>
        <w:top w:val="none" w:sz="0" w:space="0" w:color="auto"/>
        <w:left w:val="none" w:sz="0" w:space="0" w:color="auto"/>
        <w:bottom w:val="none" w:sz="0" w:space="0" w:color="auto"/>
        <w:right w:val="none" w:sz="0" w:space="0" w:color="auto"/>
      </w:divBdr>
    </w:div>
    <w:div w:id="19265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author/Birner%2C+Regin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meraldinsight.com/author/Feder%2C+Gersh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eraldinsight.com/author/Anderson%2C+Jock+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9</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medo</dc:creator>
  <cp:keywords/>
  <dc:description/>
  <cp:lastModifiedBy>Windows 10 Pro</cp:lastModifiedBy>
  <cp:revision>144</cp:revision>
  <dcterms:created xsi:type="dcterms:W3CDTF">2019-11-07T12:28:00Z</dcterms:created>
  <dcterms:modified xsi:type="dcterms:W3CDTF">2023-07-28T12:34:00Z</dcterms:modified>
</cp:coreProperties>
</file>