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E8C" w:rsidRDefault="00BD26CF" w:rsidP="006B3E8C">
      <w:pPr>
        <w:jc w:val="center"/>
        <w:rPr>
          <w:rFonts w:ascii="Times New Roman" w:hAnsi="Times New Roman" w:cs="Times New Roman"/>
          <w:b/>
          <w:sz w:val="48"/>
          <w:szCs w:val="48"/>
        </w:rPr>
      </w:pPr>
      <w:r w:rsidRPr="00F46120">
        <w:rPr>
          <w:rFonts w:ascii="Times New Roman" w:hAnsi="Times New Roman" w:cs="Times New Roman"/>
          <w:b/>
          <w:sz w:val="48"/>
          <w:szCs w:val="48"/>
        </w:rPr>
        <w:t>Cooking fuel transitions and its importance in India</w:t>
      </w:r>
    </w:p>
    <w:p w:rsidR="006B3E8C" w:rsidRDefault="006B3E8C" w:rsidP="006B3E8C">
      <w:pPr>
        <w:spacing w:after="0"/>
        <w:rPr>
          <w:rFonts w:ascii="Times New Roman" w:hAnsi="Times New Roman" w:cs="Times New Roman"/>
          <w:kern w:val="0"/>
          <w:sz w:val="20"/>
          <w:szCs w:val="20"/>
          <w:vertAlign w:val="superscript"/>
          <w14:ligatures w14:val="none"/>
        </w:rPr>
      </w:pPr>
    </w:p>
    <w:p w:rsidR="005E4B4B" w:rsidRDefault="005E4B4B" w:rsidP="006B3E8C">
      <w:pPr>
        <w:spacing w:after="0"/>
        <w:rPr>
          <w:rFonts w:ascii="Times New Roman" w:hAnsi="Times New Roman" w:cs="Times New Roman"/>
          <w:kern w:val="0"/>
          <w:sz w:val="20"/>
          <w:szCs w:val="20"/>
          <w:vertAlign w:val="superscript"/>
          <w14:ligatures w14:val="none"/>
        </w:rPr>
      </w:pPr>
      <w:bookmarkStart w:id="0" w:name="_GoBack"/>
      <w:bookmarkEnd w:id="0"/>
    </w:p>
    <w:p w:rsidR="005E4B4B" w:rsidRDefault="005E4B4B" w:rsidP="006B3E8C">
      <w:pPr>
        <w:spacing w:after="0"/>
        <w:rPr>
          <w:rFonts w:ascii="Times New Roman" w:hAnsi="Times New Roman" w:cs="Times New Roman"/>
          <w:kern w:val="0"/>
          <w:sz w:val="20"/>
          <w:szCs w:val="20"/>
          <w:vertAlign w:val="superscript"/>
          <w14:ligatures w14:val="none"/>
        </w:rPr>
      </w:pPr>
    </w:p>
    <w:p w:rsidR="005E4B4B" w:rsidRDefault="005E4B4B" w:rsidP="006B3E8C">
      <w:pPr>
        <w:spacing w:after="0"/>
        <w:rPr>
          <w:rFonts w:ascii="Times New Roman" w:hAnsi="Times New Roman" w:cs="Times New Roman"/>
          <w:kern w:val="0"/>
          <w:sz w:val="20"/>
          <w:szCs w:val="20"/>
          <w:vertAlign w:val="superscript"/>
          <w14:ligatures w14:val="none"/>
        </w:rPr>
        <w:sectPr w:rsidR="005E4B4B">
          <w:pgSz w:w="11906" w:h="16838"/>
          <w:pgMar w:top="1440" w:right="1440" w:bottom="1440" w:left="1440" w:header="708" w:footer="708" w:gutter="0"/>
          <w:cols w:space="708"/>
          <w:docGrid w:linePitch="360"/>
        </w:sectPr>
      </w:pPr>
    </w:p>
    <w:p w:rsidR="006C2883" w:rsidRPr="006C2883" w:rsidRDefault="006C2883" w:rsidP="006B3E8C">
      <w:pPr>
        <w:spacing w:after="0"/>
        <w:rPr>
          <w:rFonts w:ascii="Times New Roman" w:hAnsi="Times New Roman" w:cs="Times New Roman"/>
          <w:b/>
          <w:sz w:val="48"/>
          <w:szCs w:val="48"/>
        </w:rPr>
      </w:pPr>
      <w:r w:rsidRPr="006C2883">
        <w:rPr>
          <w:rFonts w:ascii="Times New Roman" w:hAnsi="Times New Roman" w:cs="Times New Roman"/>
          <w:kern w:val="0"/>
          <w:sz w:val="20"/>
          <w:szCs w:val="20"/>
          <w:vertAlign w:val="superscript"/>
          <w14:ligatures w14:val="none"/>
        </w:rPr>
        <w:lastRenderedPageBreak/>
        <w:t>1</w:t>
      </w:r>
      <w:r w:rsidRPr="006C2883">
        <w:rPr>
          <w:rFonts w:ascii="Times New Roman" w:hAnsi="Times New Roman" w:cs="Times New Roman"/>
          <w:kern w:val="0"/>
          <w:sz w:val="20"/>
          <w:szCs w:val="20"/>
          <w14:ligatures w14:val="none"/>
        </w:rPr>
        <w:t>Gwmwthao Narzary</w:t>
      </w:r>
    </w:p>
    <w:p w:rsidR="006C2883" w:rsidRPr="006C2883" w:rsidRDefault="006C2883" w:rsidP="006B3E8C">
      <w:pPr>
        <w:spacing w:after="0"/>
        <w:rPr>
          <w:rFonts w:ascii="Times New Roman" w:hAnsi="Times New Roman" w:cs="Times New Roman"/>
          <w:kern w:val="0"/>
          <w:sz w:val="20"/>
          <w:szCs w:val="20"/>
          <w14:ligatures w14:val="none"/>
        </w:rPr>
      </w:pPr>
      <w:r w:rsidRPr="006C2883">
        <w:rPr>
          <w:rFonts w:ascii="Times New Roman" w:hAnsi="Times New Roman" w:cs="Times New Roman"/>
          <w:kern w:val="0"/>
          <w:sz w:val="20"/>
          <w:szCs w:val="20"/>
          <w14:ligatures w14:val="none"/>
        </w:rPr>
        <w:t>Research Scholar (Ph. D)</w:t>
      </w:r>
    </w:p>
    <w:p w:rsidR="006C2883" w:rsidRPr="006C2883" w:rsidRDefault="006C2883" w:rsidP="006B3E8C">
      <w:pPr>
        <w:spacing w:after="0"/>
        <w:rPr>
          <w:rFonts w:ascii="Times New Roman" w:hAnsi="Times New Roman" w:cs="Times New Roman"/>
          <w:kern w:val="0"/>
          <w:sz w:val="20"/>
          <w:szCs w:val="20"/>
          <w14:ligatures w14:val="none"/>
        </w:rPr>
      </w:pPr>
      <w:r w:rsidRPr="006C2883">
        <w:rPr>
          <w:rFonts w:ascii="Times New Roman" w:hAnsi="Times New Roman" w:cs="Times New Roman"/>
          <w:kern w:val="0"/>
          <w:sz w:val="20"/>
          <w:szCs w:val="20"/>
          <w14:ligatures w14:val="none"/>
        </w:rPr>
        <w:t>Department of Humanities and Social Sciences (Economics)</w:t>
      </w:r>
    </w:p>
    <w:p w:rsidR="006C2883" w:rsidRDefault="006C2883" w:rsidP="006B3E8C">
      <w:pPr>
        <w:spacing w:after="0"/>
        <w:rPr>
          <w:rFonts w:ascii="Times New Roman" w:hAnsi="Times New Roman" w:cs="Times New Roman"/>
          <w:kern w:val="0"/>
          <w:sz w:val="20"/>
          <w:szCs w:val="20"/>
          <w14:ligatures w14:val="none"/>
        </w:rPr>
      </w:pPr>
      <w:r w:rsidRPr="006C2883">
        <w:rPr>
          <w:rFonts w:ascii="Times New Roman" w:hAnsi="Times New Roman" w:cs="Times New Roman"/>
          <w:kern w:val="0"/>
          <w:sz w:val="20"/>
          <w:szCs w:val="20"/>
          <w14:ligatures w14:val="none"/>
        </w:rPr>
        <w:t xml:space="preserve">Central Institute of Technology, </w:t>
      </w:r>
      <w:proofErr w:type="spellStart"/>
      <w:r w:rsidRPr="006C2883">
        <w:rPr>
          <w:rFonts w:ascii="Times New Roman" w:hAnsi="Times New Roman" w:cs="Times New Roman"/>
          <w:kern w:val="0"/>
          <w:sz w:val="20"/>
          <w:szCs w:val="20"/>
          <w14:ligatures w14:val="none"/>
        </w:rPr>
        <w:t>Kokrajhar</w:t>
      </w:r>
      <w:proofErr w:type="spellEnd"/>
    </w:p>
    <w:p w:rsidR="006C2883" w:rsidRPr="006C2883" w:rsidRDefault="006B3E8C" w:rsidP="006B3E8C">
      <w:pPr>
        <w:spacing w:after="0"/>
        <w:rPr>
          <w:rFonts w:ascii="Times New Roman" w:hAnsi="Times New Roman" w:cs="Times New Roman"/>
          <w:kern w:val="0"/>
          <w:sz w:val="20"/>
          <w:szCs w:val="20"/>
          <w14:ligatures w14:val="none"/>
        </w:rPr>
      </w:pPr>
      <w:r>
        <w:rPr>
          <w:rFonts w:ascii="Times New Roman" w:hAnsi="Times New Roman" w:cs="Times New Roman"/>
          <w:kern w:val="0"/>
          <w:sz w:val="20"/>
          <w:szCs w:val="20"/>
          <w14:ligatures w14:val="none"/>
        </w:rPr>
        <w:t xml:space="preserve">Deemed to be University, </w:t>
      </w:r>
      <w:proofErr w:type="spellStart"/>
      <w:r w:rsidR="006C2883" w:rsidRPr="006C2883">
        <w:rPr>
          <w:rFonts w:ascii="Times New Roman" w:hAnsi="Times New Roman" w:cs="Times New Roman"/>
          <w:kern w:val="0"/>
          <w:sz w:val="20"/>
          <w:szCs w:val="20"/>
          <w14:ligatures w14:val="none"/>
        </w:rPr>
        <w:t>Kokrajhar</w:t>
      </w:r>
      <w:proofErr w:type="spellEnd"/>
      <w:r w:rsidR="006C2883" w:rsidRPr="006C2883">
        <w:rPr>
          <w:rFonts w:ascii="Times New Roman" w:hAnsi="Times New Roman" w:cs="Times New Roman"/>
          <w:kern w:val="0"/>
          <w:sz w:val="20"/>
          <w:szCs w:val="20"/>
          <w14:ligatures w14:val="none"/>
        </w:rPr>
        <w:t>,</w:t>
      </w:r>
      <w:r>
        <w:rPr>
          <w:rFonts w:ascii="Times New Roman" w:hAnsi="Times New Roman" w:cs="Times New Roman"/>
          <w:kern w:val="0"/>
          <w:sz w:val="20"/>
          <w:szCs w:val="20"/>
          <w14:ligatures w14:val="none"/>
        </w:rPr>
        <w:t xml:space="preserve"> BTR, Assam, </w:t>
      </w:r>
      <w:proofErr w:type="gramStart"/>
      <w:r>
        <w:rPr>
          <w:rFonts w:ascii="Times New Roman" w:hAnsi="Times New Roman" w:cs="Times New Roman"/>
          <w:kern w:val="0"/>
          <w:sz w:val="20"/>
          <w:szCs w:val="20"/>
          <w14:ligatures w14:val="none"/>
        </w:rPr>
        <w:t>India</w:t>
      </w:r>
      <w:proofErr w:type="gramEnd"/>
      <w:r>
        <w:rPr>
          <w:rFonts w:ascii="Times New Roman" w:hAnsi="Times New Roman" w:cs="Times New Roman"/>
          <w:kern w:val="0"/>
          <w:sz w:val="20"/>
          <w:szCs w:val="20"/>
          <w14:ligatures w14:val="none"/>
        </w:rPr>
        <w:t>-</w:t>
      </w:r>
      <w:r w:rsidR="006C2883" w:rsidRPr="006C2883">
        <w:rPr>
          <w:rFonts w:ascii="Times New Roman" w:hAnsi="Times New Roman" w:cs="Times New Roman"/>
          <w:kern w:val="0"/>
          <w:sz w:val="20"/>
          <w:szCs w:val="20"/>
          <w14:ligatures w14:val="none"/>
        </w:rPr>
        <w:t>783370</w:t>
      </w:r>
    </w:p>
    <w:p w:rsidR="006C2883" w:rsidRPr="006C2883" w:rsidRDefault="006C2883" w:rsidP="006B3E8C">
      <w:pPr>
        <w:spacing w:after="0"/>
        <w:rPr>
          <w:rFonts w:ascii="Times New Roman" w:hAnsi="Times New Roman" w:cs="Times New Roman"/>
          <w:kern w:val="0"/>
          <w:sz w:val="20"/>
          <w:szCs w:val="20"/>
          <w14:ligatures w14:val="none"/>
        </w:rPr>
      </w:pPr>
      <w:r w:rsidRPr="006C2883">
        <w:rPr>
          <w:rFonts w:ascii="Times New Roman" w:hAnsi="Times New Roman" w:cs="Times New Roman"/>
          <w:kern w:val="0"/>
          <w:sz w:val="20"/>
          <w:szCs w:val="20"/>
          <w14:ligatures w14:val="none"/>
        </w:rPr>
        <w:t xml:space="preserve">Email: </w:t>
      </w:r>
      <w:hyperlink r:id="rId6" w:history="1">
        <w:r w:rsidRPr="006C2883">
          <w:rPr>
            <w:rFonts w:ascii="Times New Roman" w:hAnsi="Times New Roman" w:cs="Times New Roman"/>
            <w:color w:val="0000FF"/>
            <w:kern w:val="0"/>
            <w:sz w:val="20"/>
            <w:szCs w:val="20"/>
            <w:u w:val="single"/>
            <w14:ligatures w14:val="none"/>
          </w:rPr>
          <w:t>gwmwthaon@gmail.com</w:t>
        </w:r>
      </w:hyperlink>
    </w:p>
    <w:p w:rsidR="006C2883" w:rsidRPr="006C2883" w:rsidRDefault="006C2883" w:rsidP="006B3E8C">
      <w:pPr>
        <w:spacing w:after="0"/>
        <w:rPr>
          <w:rFonts w:ascii="Times New Roman" w:hAnsi="Times New Roman" w:cs="Times New Roman"/>
          <w:kern w:val="0"/>
          <w:sz w:val="20"/>
          <w:szCs w:val="20"/>
          <w14:ligatures w14:val="none"/>
        </w:rPr>
      </w:pPr>
      <w:r w:rsidRPr="006C2883">
        <w:rPr>
          <w:rFonts w:ascii="Times New Roman" w:hAnsi="Times New Roman" w:cs="Times New Roman"/>
          <w:kern w:val="0"/>
          <w:sz w:val="20"/>
          <w:szCs w:val="20"/>
          <w14:ligatures w14:val="none"/>
        </w:rPr>
        <w:t>Contact: +918876868933</w:t>
      </w:r>
    </w:p>
    <w:p w:rsidR="006C2883" w:rsidRPr="006C2883" w:rsidRDefault="006C2883" w:rsidP="006B3E8C">
      <w:pPr>
        <w:spacing w:after="0" w:line="360" w:lineRule="auto"/>
        <w:ind w:left="4320"/>
        <w:jc w:val="center"/>
        <w:rPr>
          <w:rFonts w:ascii="Times New Roman" w:hAnsi="Times New Roman" w:cs="Times New Roman"/>
          <w:kern w:val="0"/>
          <w:sz w:val="20"/>
          <w:szCs w:val="20"/>
          <w:vertAlign w:val="superscript"/>
          <w14:ligatures w14:val="none"/>
        </w:rPr>
      </w:pPr>
    </w:p>
    <w:p w:rsidR="006C2883" w:rsidRPr="006C2883" w:rsidRDefault="006C2883" w:rsidP="006B3E8C">
      <w:pPr>
        <w:spacing w:after="0" w:line="360" w:lineRule="auto"/>
        <w:rPr>
          <w:rFonts w:ascii="Times New Roman" w:hAnsi="Times New Roman" w:cs="Times New Roman"/>
          <w:kern w:val="0"/>
          <w:sz w:val="20"/>
          <w:szCs w:val="20"/>
          <w:vertAlign w:val="superscript"/>
          <w14:ligatures w14:val="none"/>
        </w:rPr>
      </w:pPr>
      <w:r w:rsidRPr="006C2883">
        <w:rPr>
          <w:rFonts w:ascii="Times New Roman" w:hAnsi="Times New Roman" w:cs="Times New Roman"/>
          <w:kern w:val="0"/>
          <w:sz w:val="20"/>
          <w:szCs w:val="20"/>
          <w:vertAlign w:val="superscript"/>
          <w14:ligatures w14:val="none"/>
        </w:rPr>
        <w:lastRenderedPageBreak/>
        <w:t>2</w:t>
      </w:r>
      <w:r w:rsidRPr="006C2883">
        <w:rPr>
          <w:rFonts w:ascii="Times New Roman" w:hAnsi="Times New Roman" w:cs="Times New Roman"/>
          <w:kern w:val="0"/>
          <w:sz w:val="20"/>
          <w:szCs w:val="20"/>
          <w14:ligatures w14:val="none"/>
        </w:rPr>
        <w:t xml:space="preserve">Dr. </w:t>
      </w:r>
      <w:proofErr w:type="spellStart"/>
      <w:r w:rsidRPr="006C2883">
        <w:rPr>
          <w:rFonts w:ascii="Times New Roman" w:hAnsi="Times New Roman" w:cs="Times New Roman"/>
          <w:kern w:val="0"/>
          <w:sz w:val="20"/>
          <w:szCs w:val="20"/>
          <w14:ligatures w14:val="none"/>
        </w:rPr>
        <w:t>Gunajit</w:t>
      </w:r>
      <w:proofErr w:type="spellEnd"/>
      <w:r w:rsidRPr="006C2883">
        <w:rPr>
          <w:rFonts w:ascii="Times New Roman" w:hAnsi="Times New Roman" w:cs="Times New Roman"/>
          <w:kern w:val="0"/>
          <w:sz w:val="20"/>
          <w:szCs w:val="20"/>
          <w14:ligatures w14:val="none"/>
        </w:rPr>
        <w:t xml:space="preserve"> </w:t>
      </w:r>
      <w:proofErr w:type="spellStart"/>
      <w:r w:rsidRPr="006C2883">
        <w:rPr>
          <w:rFonts w:ascii="Times New Roman" w:hAnsi="Times New Roman" w:cs="Times New Roman"/>
          <w:kern w:val="0"/>
          <w:sz w:val="20"/>
          <w:szCs w:val="20"/>
          <w14:ligatures w14:val="none"/>
        </w:rPr>
        <w:t>Sarma</w:t>
      </w:r>
      <w:proofErr w:type="spellEnd"/>
    </w:p>
    <w:p w:rsidR="006C2883" w:rsidRDefault="006B3E8C" w:rsidP="006B3E8C">
      <w:pPr>
        <w:spacing w:after="0" w:line="360" w:lineRule="auto"/>
        <w:rPr>
          <w:rFonts w:ascii="Times New Roman" w:hAnsi="Times New Roman" w:cs="Times New Roman"/>
          <w:kern w:val="0"/>
          <w:sz w:val="20"/>
          <w:szCs w:val="20"/>
          <w14:ligatures w14:val="none"/>
        </w:rPr>
      </w:pPr>
      <w:r>
        <w:rPr>
          <w:rFonts w:ascii="Times New Roman" w:hAnsi="Times New Roman" w:cs="Times New Roman"/>
          <w:kern w:val="0"/>
          <w:sz w:val="20"/>
          <w:szCs w:val="20"/>
          <w14:ligatures w14:val="none"/>
        </w:rPr>
        <w:t xml:space="preserve">Associate </w:t>
      </w:r>
      <w:r w:rsidR="006C2883" w:rsidRPr="006C2883">
        <w:rPr>
          <w:rFonts w:ascii="Times New Roman" w:hAnsi="Times New Roman" w:cs="Times New Roman"/>
          <w:kern w:val="0"/>
          <w:sz w:val="20"/>
          <w:szCs w:val="20"/>
          <w14:ligatures w14:val="none"/>
        </w:rPr>
        <w:t>Professor of Economics</w:t>
      </w:r>
    </w:p>
    <w:p w:rsidR="006B3E8C" w:rsidRPr="006C2883" w:rsidRDefault="006B3E8C" w:rsidP="006B3E8C">
      <w:pPr>
        <w:spacing w:after="0"/>
        <w:rPr>
          <w:rFonts w:ascii="Times New Roman" w:hAnsi="Times New Roman" w:cs="Times New Roman"/>
          <w:kern w:val="0"/>
          <w:sz w:val="20"/>
          <w:szCs w:val="20"/>
          <w14:ligatures w14:val="none"/>
        </w:rPr>
      </w:pPr>
      <w:r w:rsidRPr="006C2883">
        <w:rPr>
          <w:rFonts w:ascii="Times New Roman" w:hAnsi="Times New Roman" w:cs="Times New Roman"/>
          <w:kern w:val="0"/>
          <w:sz w:val="20"/>
          <w:szCs w:val="20"/>
          <w14:ligatures w14:val="none"/>
        </w:rPr>
        <w:t>Department of Humanities</w:t>
      </w:r>
      <w:r>
        <w:rPr>
          <w:rFonts w:ascii="Times New Roman" w:hAnsi="Times New Roman" w:cs="Times New Roman"/>
          <w:kern w:val="0"/>
          <w:sz w:val="20"/>
          <w:szCs w:val="20"/>
          <w14:ligatures w14:val="none"/>
        </w:rPr>
        <w:t xml:space="preserve"> and Social Sciences </w:t>
      </w:r>
    </w:p>
    <w:p w:rsidR="006B3E8C" w:rsidRDefault="006B3E8C" w:rsidP="006B3E8C">
      <w:pPr>
        <w:spacing w:after="0"/>
        <w:rPr>
          <w:rFonts w:ascii="Times New Roman" w:hAnsi="Times New Roman" w:cs="Times New Roman"/>
          <w:kern w:val="0"/>
          <w:sz w:val="20"/>
          <w:szCs w:val="20"/>
          <w14:ligatures w14:val="none"/>
        </w:rPr>
      </w:pPr>
      <w:r w:rsidRPr="006C2883">
        <w:rPr>
          <w:rFonts w:ascii="Times New Roman" w:hAnsi="Times New Roman" w:cs="Times New Roman"/>
          <w:kern w:val="0"/>
          <w:sz w:val="20"/>
          <w:szCs w:val="20"/>
          <w14:ligatures w14:val="none"/>
        </w:rPr>
        <w:t xml:space="preserve">Central Institute of Technology, </w:t>
      </w:r>
      <w:proofErr w:type="spellStart"/>
      <w:r w:rsidRPr="006C2883">
        <w:rPr>
          <w:rFonts w:ascii="Times New Roman" w:hAnsi="Times New Roman" w:cs="Times New Roman"/>
          <w:kern w:val="0"/>
          <w:sz w:val="20"/>
          <w:szCs w:val="20"/>
          <w14:ligatures w14:val="none"/>
        </w:rPr>
        <w:t>Kokrajhar</w:t>
      </w:r>
      <w:proofErr w:type="spellEnd"/>
    </w:p>
    <w:p w:rsidR="006B3E8C" w:rsidRPr="006C2883" w:rsidRDefault="006B3E8C" w:rsidP="006B3E8C">
      <w:pPr>
        <w:spacing w:after="0"/>
        <w:rPr>
          <w:rFonts w:ascii="Times New Roman" w:hAnsi="Times New Roman" w:cs="Times New Roman"/>
          <w:kern w:val="0"/>
          <w:sz w:val="20"/>
          <w:szCs w:val="20"/>
          <w14:ligatures w14:val="none"/>
        </w:rPr>
      </w:pPr>
      <w:r>
        <w:rPr>
          <w:rFonts w:ascii="Times New Roman" w:hAnsi="Times New Roman" w:cs="Times New Roman"/>
          <w:kern w:val="0"/>
          <w:sz w:val="20"/>
          <w:szCs w:val="20"/>
          <w14:ligatures w14:val="none"/>
        </w:rPr>
        <w:t xml:space="preserve">Deemed to be University, </w:t>
      </w:r>
      <w:proofErr w:type="spellStart"/>
      <w:r w:rsidRPr="006C2883">
        <w:rPr>
          <w:rFonts w:ascii="Times New Roman" w:hAnsi="Times New Roman" w:cs="Times New Roman"/>
          <w:kern w:val="0"/>
          <w:sz w:val="20"/>
          <w:szCs w:val="20"/>
          <w14:ligatures w14:val="none"/>
        </w:rPr>
        <w:t>Kokrajhar</w:t>
      </w:r>
      <w:proofErr w:type="spellEnd"/>
      <w:r w:rsidRPr="006C2883">
        <w:rPr>
          <w:rFonts w:ascii="Times New Roman" w:hAnsi="Times New Roman" w:cs="Times New Roman"/>
          <w:kern w:val="0"/>
          <w:sz w:val="20"/>
          <w:szCs w:val="20"/>
          <w14:ligatures w14:val="none"/>
        </w:rPr>
        <w:t>,</w:t>
      </w:r>
      <w:r>
        <w:rPr>
          <w:rFonts w:ascii="Times New Roman" w:hAnsi="Times New Roman" w:cs="Times New Roman"/>
          <w:kern w:val="0"/>
          <w:sz w:val="20"/>
          <w:szCs w:val="20"/>
          <w14:ligatures w14:val="none"/>
        </w:rPr>
        <w:t xml:space="preserve"> BTR, Assam, </w:t>
      </w:r>
      <w:proofErr w:type="gramStart"/>
      <w:r>
        <w:rPr>
          <w:rFonts w:ascii="Times New Roman" w:hAnsi="Times New Roman" w:cs="Times New Roman"/>
          <w:kern w:val="0"/>
          <w:sz w:val="20"/>
          <w:szCs w:val="20"/>
          <w14:ligatures w14:val="none"/>
        </w:rPr>
        <w:t>India</w:t>
      </w:r>
      <w:proofErr w:type="gramEnd"/>
      <w:r>
        <w:rPr>
          <w:rFonts w:ascii="Times New Roman" w:hAnsi="Times New Roman" w:cs="Times New Roman"/>
          <w:kern w:val="0"/>
          <w:sz w:val="20"/>
          <w:szCs w:val="20"/>
          <w14:ligatures w14:val="none"/>
        </w:rPr>
        <w:t>-</w:t>
      </w:r>
      <w:r w:rsidRPr="006C2883">
        <w:rPr>
          <w:rFonts w:ascii="Times New Roman" w:hAnsi="Times New Roman" w:cs="Times New Roman"/>
          <w:kern w:val="0"/>
          <w:sz w:val="20"/>
          <w:szCs w:val="20"/>
          <w14:ligatures w14:val="none"/>
        </w:rPr>
        <w:t>783370</w:t>
      </w:r>
    </w:p>
    <w:p w:rsidR="006C2883" w:rsidRPr="006C2883" w:rsidRDefault="006C2883" w:rsidP="006B3E8C">
      <w:pPr>
        <w:spacing w:after="0" w:line="360" w:lineRule="auto"/>
        <w:rPr>
          <w:rFonts w:ascii="Times New Roman" w:hAnsi="Times New Roman" w:cs="Times New Roman"/>
          <w:kern w:val="0"/>
          <w:sz w:val="20"/>
          <w:szCs w:val="20"/>
          <w14:ligatures w14:val="none"/>
        </w:rPr>
      </w:pPr>
      <w:r w:rsidRPr="006C2883">
        <w:rPr>
          <w:rFonts w:ascii="Times New Roman" w:hAnsi="Times New Roman" w:cs="Times New Roman"/>
          <w:kern w:val="0"/>
          <w:sz w:val="20"/>
          <w:szCs w:val="20"/>
          <w14:ligatures w14:val="none"/>
        </w:rPr>
        <w:t xml:space="preserve">Email: </w:t>
      </w:r>
      <w:hyperlink r:id="rId7" w:history="1">
        <w:r w:rsidRPr="006C2883">
          <w:rPr>
            <w:rFonts w:ascii="Times New Roman" w:hAnsi="Times New Roman" w:cs="Times New Roman"/>
            <w:color w:val="0000FF"/>
            <w:kern w:val="0"/>
            <w:sz w:val="20"/>
            <w:szCs w:val="20"/>
            <w:u w:val="single"/>
            <w14:ligatures w14:val="none"/>
          </w:rPr>
          <w:t>g.sarma@cit.ac.in</w:t>
        </w:r>
      </w:hyperlink>
    </w:p>
    <w:p w:rsidR="006B3E8C" w:rsidRPr="006B3E8C" w:rsidRDefault="006C2883" w:rsidP="006B3E8C">
      <w:pPr>
        <w:spacing w:after="0" w:line="360" w:lineRule="auto"/>
        <w:rPr>
          <w:rFonts w:ascii="Times New Roman" w:hAnsi="Times New Roman" w:cs="Times New Roman"/>
          <w:kern w:val="0"/>
          <w:sz w:val="24"/>
          <w:szCs w:val="24"/>
          <w14:ligatures w14:val="none"/>
        </w:rPr>
        <w:sectPr w:rsidR="006B3E8C" w:rsidRPr="006B3E8C" w:rsidSect="006B3E8C">
          <w:type w:val="continuous"/>
          <w:pgSz w:w="11906" w:h="16838"/>
          <w:pgMar w:top="1440" w:right="1440" w:bottom="1440" w:left="1440" w:header="708" w:footer="708" w:gutter="0"/>
          <w:cols w:num="2" w:space="708"/>
          <w:docGrid w:linePitch="360"/>
        </w:sectPr>
      </w:pPr>
      <w:r w:rsidRPr="006C2883">
        <w:rPr>
          <w:rFonts w:ascii="Times New Roman" w:hAnsi="Times New Roman" w:cs="Times New Roman"/>
          <w:kern w:val="0"/>
          <w:sz w:val="20"/>
          <w:szCs w:val="20"/>
          <w14:ligatures w14:val="none"/>
        </w:rPr>
        <w:t>M. No. +917002345203</w:t>
      </w:r>
    </w:p>
    <w:p w:rsidR="0067692F" w:rsidRDefault="0067692F" w:rsidP="006C2883">
      <w:pPr>
        <w:rPr>
          <w:rFonts w:ascii="Times New Roman" w:hAnsi="Times New Roman" w:cs="Times New Roman"/>
          <w:b/>
          <w:sz w:val="48"/>
          <w:szCs w:val="48"/>
        </w:rPr>
      </w:pPr>
    </w:p>
    <w:p w:rsidR="0067692F" w:rsidRPr="0067692F" w:rsidRDefault="0067692F" w:rsidP="00BD26CF">
      <w:pPr>
        <w:jc w:val="center"/>
        <w:rPr>
          <w:rFonts w:ascii="Times New Roman" w:hAnsi="Times New Roman" w:cs="Times New Roman"/>
          <w:b/>
          <w:sz w:val="20"/>
          <w:szCs w:val="20"/>
        </w:rPr>
      </w:pPr>
      <w:r w:rsidRPr="0067692F">
        <w:rPr>
          <w:rFonts w:ascii="Times New Roman" w:hAnsi="Times New Roman" w:cs="Times New Roman"/>
          <w:b/>
          <w:sz w:val="20"/>
          <w:szCs w:val="20"/>
        </w:rPr>
        <w:t>Abstract</w:t>
      </w:r>
    </w:p>
    <w:p w:rsidR="0067692F" w:rsidRDefault="0067692F" w:rsidP="0067692F">
      <w:pPr>
        <w:spacing w:after="0" w:line="360" w:lineRule="auto"/>
        <w:ind w:firstLine="720"/>
        <w:jc w:val="both"/>
        <w:rPr>
          <w:rFonts w:ascii="Times New Roman" w:hAnsi="Times New Roman" w:cs="Times New Roman"/>
          <w:kern w:val="0"/>
          <w:sz w:val="20"/>
          <w:szCs w:val="20"/>
          <w14:ligatures w14:val="none"/>
        </w:rPr>
      </w:pPr>
      <w:r>
        <w:rPr>
          <w:rFonts w:ascii="Times New Roman" w:hAnsi="Times New Roman" w:cs="Times New Roman"/>
          <w:sz w:val="20"/>
          <w:szCs w:val="20"/>
        </w:rPr>
        <w:t>Cooking fuels transition is more important part of the sustainable development.</w:t>
      </w:r>
      <w:r>
        <w:rPr>
          <w:rFonts w:ascii="Times New Roman" w:hAnsi="Times New Roman" w:cs="Times New Roman"/>
          <w:color w:val="2A2A2A"/>
          <w:sz w:val="20"/>
          <w:szCs w:val="20"/>
          <w:shd w:val="clear" w:color="auto" w:fill="FFFFFF"/>
        </w:rPr>
        <w:t xml:space="preserve"> The fuels transition from traditional biomass to </w:t>
      </w:r>
      <w:r w:rsidRPr="00F46120">
        <w:rPr>
          <w:rFonts w:ascii="Times New Roman" w:hAnsi="Times New Roman" w:cs="Times New Roman"/>
          <w:sz w:val="20"/>
          <w:szCs w:val="20"/>
        </w:rPr>
        <w:t>clean cooking fuels secured better health for women and children and over all improves</w:t>
      </w:r>
      <w:r w:rsidRPr="00F46120">
        <w:rPr>
          <w:rFonts w:ascii="Times New Roman" w:hAnsi="Times New Roman" w:cs="Times New Roman"/>
          <w:sz w:val="20"/>
          <w:szCs w:val="20"/>
        </w:rPr>
        <w:t xml:space="preserve"> the standard of living of people in developing countries. </w:t>
      </w:r>
      <w:r>
        <w:rPr>
          <w:rFonts w:ascii="Times New Roman" w:hAnsi="Times New Roman" w:cs="Times New Roman"/>
          <w:sz w:val="20"/>
          <w:szCs w:val="20"/>
        </w:rPr>
        <w:t xml:space="preserve">The solid </w:t>
      </w:r>
      <w:r w:rsidRPr="00F46120">
        <w:rPr>
          <w:rFonts w:ascii="Times New Roman" w:hAnsi="Times New Roman" w:cs="Times New Roman"/>
          <w:sz w:val="20"/>
          <w:szCs w:val="20"/>
        </w:rPr>
        <w:t xml:space="preserve">fuels </w:t>
      </w:r>
      <w:r>
        <w:rPr>
          <w:rFonts w:ascii="Times New Roman" w:hAnsi="Times New Roman" w:cs="Times New Roman"/>
          <w:sz w:val="20"/>
          <w:szCs w:val="20"/>
        </w:rPr>
        <w:t xml:space="preserve">use for cooking </w:t>
      </w:r>
      <w:r w:rsidRPr="00F46120">
        <w:rPr>
          <w:rFonts w:ascii="Times New Roman" w:hAnsi="Times New Roman" w:cs="Times New Roman"/>
          <w:sz w:val="20"/>
          <w:szCs w:val="20"/>
        </w:rPr>
        <w:t>in households leads to household air pollution and harmful impacts on health.</w:t>
      </w:r>
      <w:r>
        <w:rPr>
          <w:rFonts w:ascii="Times New Roman" w:hAnsi="Times New Roman" w:cs="Times New Roman"/>
          <w:sz w:val="20"/>
          <w:szCs w:val="20"/>
        </w:rPr>
        <w:t xml:space="preserve"> Still most of the developing countries use traditional solid fuels even</w:t>
      </w:r>
      <w:r w:rsidRPr="00F46120">
        <w:rPr>
          <w:rFonts w:ascii="Times New Roman" w:hAnsi="Times New Roman" w:cs="Times New Roman"/>
          <w:sz w:val="20"/>
          <w:szCs w:val="20"/>
        </w:rPr>
        <w:t xml:space="preserve"> </w:t>
      </w:r>
      <w:r w:rsidRPr="00F46120">
        <w:rPr>
          <w:rFonts w:ascii="Times New Roman" w:hAnsi="Times New Roman" w:cs="Times New Roman"/>
          <w:kern w:val="0"/>
          <w:sz w:val="20"/>
          <w:szCs w:val="20"/>
          <w14:ligatures w14:val="none"/>
        </w:rPr>
        <w:t>increasing awareness and revolution on use of c</w:t>
      </w:r>
      <w:r w:rsidR="0055102C">
        <w:rPr>
          <w:rFonts w:ascii="Times New Roman" w:hAnsi="Times New Roman" w:cs="Times New Roman"/>
          <w:kern w:val="0"/>
          <w:sz w:val="20"/>
          <w:szCs w:val="20"/>
          <w14:ligatures w14:val="none"/>
        </w:rPr>
        <w:t xml:space="preserve">lean sources of energy for cook </w:t>
      </w:r>
      <w:r w:rsidRPr="00F46120">
        <w:rPr>
          <w:rFonts w:ascii="Times New Roman" w:hAnsi="Times New Roman" w:cs="Times New Roman"/>
          <w:kern w:val="0"/>
          <w:sz w:val="20"/>
          <w:szCs w:val="20"/>
          <w14:ligatures w14:val="none"/>
        </w:rPr>
        <w:t xml:space="preserve">which is harmful to both the environment and human health. In India, household air pollution which occurs from burning solid fuels is a significant contributor to the total disease burden, </w:t>
      </w:r>
      <w:r w:rsidR="0055102C">
        <w:rPr>
          <w:rFonts w:ascii="Times New Roman" w:hAnsi="Times New Roman" w:cs="Times New Roman"/>
          <w:kern w:val="0"/>
          <w:sz w:val="20"/>
          <w:szCs w:val="20"/>
          <w14:ligatures w14:val="none"/>
        </w:rPr>
        <w:t xml:space="preserve">approximately </w:t>
      </w:r>
      <w:r w:rsidRPr="00F46120">
        <w:rPr>
          <w:rFonts w:ascii="Times New Roman" w:hAnsi="Times New Roman" w:cs="Times New Roman"/>
          <w:kern w:val="0"/>
          <w:sz w:val="20"/>
          <w:szCs w:val="20"/>
          <w14:ligatures w14:val="none"/>
        </w:rPr>
        <w:t>6</w:t>
      </w:r>
      <w:r w:rsidR="0055102C">
        <w:rPr>
          <w:rFonts w:ascii="Times New Roman" w:hAnsi="Times New Roman" w:cs="Times New Roman"/>
          <w:kern w:val="0"/>
          <w:sz w:val="20"/>
          <w:szCs w:val="20"/>
          <w14:ligatures w14:val="none"/>
        </w:rPr>
        <w:t xml:space="preserve">, 00, 000 deaths in 2019. It is </w:t>
      </w:r>
      <w:r w:rsidRPr="00F46120">
        <w:rPr>
          <w:rFonts w:ascii="Times New Roman" w:hAnsi="Times New Roman" w:cs="Times New Roman"/>
          <w:kern w:val="0"/>
          <w:sz w:val="20"/>
          <w:szCs w:val="20"/>
          <w14:ligatures w14:val="none"/>
        </w:rPr>
        <w:t>68% of population access clean cooking fuels</w:t>
      </w:r>
      <w:r w:rsidR="0055102C">
        <w:rPr>
          <w:rFonts w:ascii="Times New Roman" w:hAnsi="Times New Roman" w:cs="Times New Roman"/>
          <w:kern w:val="0"/>
          <w:sz w:val="20"/>
          <w:szCs w:val="20"/>
          <w14:ligatures w14:val="none"/>
        </w:rPr>
        <w:t xml:space="preserve"> in India where </w:t>
      </w:r>
      <w:r w:rsidRPr="00F46120">
        <w:rPr>
          <w:rFonts w:ascii="Times New Roman" w:hAnsi="Times New Roman" w:cs="Times New Roman"/>
          <w:kern w:val="0"/>
          <w:sz w:val="20"/>
          <w:szCs w:val="20"/>
          <w14:ligatures w14:val="none"/>
        </w:rPr>
        <w:t xml:space="preserve">91% in urban and only 54% in rural. </w:t>
      </w:r>
      <w:r w:rsidR="0055102C">
        <w:rPr>
          <w:rFonts w:ascii="Times New Roman" w:hAnsi="Times New Roman" w:cs="Times New Roman"/>
          <w:kern w:val="0"/>
          <w:sz w:val="20"/>
          <w:szCs w:val="20"/>
          <w14:ligatures w14:val="none"/>
        </w:rPr>
        <w:t>The present paper attempted to find out the transition of cooking fuels and government policies initiatives to improve the use of clean fuels in India</w:t>
      </w:r>
      <w:r w:rsidR="006B3E8C">
        <w:rPr>
          <w:rFonts w:ascii="Times New Roman" w:hAnsi="Times New Roman" w:cs="Times New Roman"/>
          <w:kern w:val="0"/>
          <w:sz w:val="20"/>
          <w:szCs w:val="20"/>
          <w14:ligatures w14:val="none"/>
        </w:rPr>
        <w:t>.</w:t>
      </w:r>
    </w:p>
    <w:p w:rsidR="005E4B4B" w:rsidRDefault="005E4B4B" w:rsidP="0067692F">
      <w:pPr>
        <w:spacing w:after="0" w:line="360" w:lineRule="auto"/>
        <w:ind w:firstLine="720"/>
        <w:jc w:val="both"/>
        <w:rPr>
          <w:rFonts w:ascii="Times New Roman" w:hAnsi="Times New Roman" w:cs="Times New Roman"/>
          <w:kern w:val="0"/>
          <w:sz w:val="20"/>
          <w:szCs w:val="20"/>
          <w14:ligatures w14:val="none"/>
        </w:rPr>
      </w:pPr>
    </w:p>
    <w:p w:rsidR="006B3E8C" w:rsidRDefault="006B3E8C" w:rsidP="0067692F">
      <w:pPr>
        <w:spacing w:after="0" w:line="360" w:lineRule="auto"/>
        <w:ind w:firstLine="720"/>
        <w:jc w:val="both"/>
        <w:rPr>
          <w:rFonts w:ascii="Times New Roman" w:hAnsi="Times New Roman" w:cs="Times New Roman"/>
          <w:kern w:val="0"/>
          <w:sz w:val="20"/>
          <w:szCs w:val="20"/>
          <w14:ligatures w14:val="none"/>
        </w:rPr>
      </w:pPr>
    </w:p>
    <w:p w:rsidR="0069404A" w:rsidRPr="00F46120" w:rsidRDefault="0069404A" w:rsidP="0067692F">
      <w:pPr>
        <w:spacing w:after="0" w:line="360" w:lineRule="auto"/>
        <w:ind w:firstLine="720"/>
        <w:jc w:val="both"/>
        <w:rPr>
          <w:rFonts w:ascii="Times New Roman" w:hAnsi="Times New Roman" w:cs="Times New Roman"/>
          <w:spacing w:val="2"/>
          <w:kern w:val="0"/>
          <w:sz w:val="20"/>
          <w:szCs w:val="20"/>
          <w14:ligatures w14:val="none"/>
        </w:rPr>
      </w:pPr>
      <w:r w:rsidRPr="006C2883">
        <w:rPr>
          <w:rFonts w:ascii="Times New Roman" w:hAnsi="Times New Roman" w:cs="Times New Roman"/>
          <w:b/>
          <w:kern w:val="0"/>
          <w:sz w:val="20"/>
          <w:szCs w:val="20"/>
          <w14:ligatures w14:val="none"/>
        </w:rPr>
        <w:t>Key Words:</w:t>
      </w:r>
      <w:r>
        <w:rPr>
          <w:rFonts w:ascii="Times New Roman" w:hAnsi="Times New Roman" w:cs="Times New Roman"/>
          <w:kern w:val="0"/>
          <w:sz w:val="20"/>
          <w:szCs w:val="20"/>
          <w14:ligatures w14:val="none"/>
        </w:rPr>
        <w:t xml:space="preserve"> Cooking fuels, Sustainable development, Solid fuels, </w:t>
      </w:r>
      <w:r w:rsidR="006C2883">
        <w:rPr>
          <w:rFonts w:ascii="Times New Roman" w:hAnsi="Times New Roman" w:cs="Times New Roman"/>
          <w:kern w:val="0"/>
          <w:sz w:val="20"/>
          <w:szCs w:val="20"/>
          <w14:ligatures w14:val="none"/>
        </w:rPr>
        <w:t>Developing</w:t>
      </w:r>
      <w:r>
        <w:rPr>
          <w:rFonts w:ascii="Times New Roman" w:hAnsi="Times New Roman" w:cs="Times New Roman"/>
          <w:kern w:val="0"/>
          <w:sz w:val="20"/>
          <w:szCs w:val="20"/>
          <w14:ligatures w14:val="none"/>
        </w:rPr>
        <w:t>,</w:t>
      </w:r>
      <w:r w:rsidR="006C2883">
        <w:rPr>
          <w:rFonts w:ascii="Times New Roman" w:hAnsi="Times New Roman" w:cs="Times New Roman"/>
          <w:kern w:val="0"/>
          <w:sz w:val="20"/>
          <w:szCs w:val="20"/>
          <w14:ligatures w14:val="none"/>
        </w:rPr>
        <w:t xml:space="preserve"> Environment, Health.</w:t>
      </w:r>
    </w:p>
    <w:p w:rsidR="0067692F" w:rsidRDefault="0067692F" w:rsidP="00BD26CF">
      <w:pPr>
        <w:jc w:val="center"/>
        <w:rPr>
          <w:rFonts w:ascii="Times New Roman" w:hAnsi="Times New Roman" w:cs="Times New Roman"/>
          <w:b/>
          <w:sz w:val="48"/>
          <w:szCs w:val="48"/>
        </w:rPr>
      </w:pPr>
    </w:p>
    <w:p w:rsidR="006B3E8C" w:rsidRDefault="006B3E8C" w:rsidP="00BD26CF">
      <w:pPr>
        <w:jc w:val="center"/>
        <w:rPr>
          <w:rFonts w:ascii="Times New Roman" w:hAnsi="Times New Roman" w:cs="Times New Roman"/>
          <w:b/>
          <w:sz w:val="48"/>
          <w:szCs w:val="48"/>
        </w:rPr>
      </w:pPr>
    </w:p>
    <w:p w:rsidR="006B3E8C" w:rsidRDefault="006B3E8C" w:rsidP="00BD26CF">
      <w:pPr>
        <w:jc w:val="center"/>
        <w:rPr>
          <w:rFonts w:ascii="Times New Roman" w:hAnsi="Times New Roman" w:cs="Times New Roman"/>
          <w:b/>
          <w:sz w:val="48"/>
          <w:szCs w:val="48"/>
        </w:rPr>
      </w:pPr>
    </w:p>
    <w:p w:rsidR="00D658F5" w:rsidRDefault="00D658F5" w:rsidP="00D658F5">
      <w:pPr>
        <w:rPr>
          <w:rFonts w:ascii="Times New Roman" w:hAnsi="Times New Roman" w:cs="Times New Roman"/>
          <w:b/>
          <w:sz w:val="24"/>
          <w:szCs w:val="24"/>
        </w:rPr>
      </w:pPr>
    </w:p>
    <w:p w:rsidR="006B3E8C" w:rsidRDefault="006B3E8C" w:rsidP="00D658F5">
      <w:pPr>
        <w:rPr>
          <w:rFonts w:ascii="Times New Roman" w:hAnsi="Times New Roman" w:cs="Times New Roman"/>
          <w:b/>
          <w:sz w:val="24"/>
          <w:szCs w:val="24"/>
        </w:rPr>
      </w:pPr>
    </w:p>
    <w:p w:rsidR="00D658F5" w:rsidRPr="00F46120" w:rsidRDefault="005E4B4B" w:rsidP="00D658F5">
      <w:pPr>
        <w:rPr>
          <w:rFonts w:ascii="Times New Roman" w:hAnsi="Times New Roman" w:cs="Times New Roman"/>
          <w:b/>
          <w:sz w:val="20"/>
          <w:szCs w:val="20"/>
        </w:rPr>
      </w:pPr>
      <w:r>
        <w:rPr>
          <w:rFonts w:ascii="Times New Roman" w:hAnsi="Times New Roman" w:cs="Times New Roman"/>
          <w:b/>
          <w:sz w:val="20"/>
          <w:szCs w:val="20"/>
        </w:rPr>
        <w:t>I</w:t>
      </w:r>
      <w:r w:rsidR="002643C7" w:rsidRPr="00F46120">
        <w:rPr>
          <w:rFonts w:ascii="Times New Roman" w:hAnsi="Times New Roman" w:cs="Times New Roman"/>
          <w:b/>
          <w:sz w:val="20"/>
          <w:szCs w:val="20"/>
        </w:rPr>
        <w:t xml:space="preserve">. </w:t>
      </w:r>
      <w:r w:rsidR="00D658F5" w:rsidRPr="00F46120">
        <w:rPr>
          <w:rFonts w:ascii="Times New Roman" w:hAnsi="Times New Roman" w:cs="Times New Roman"/>
          <w:b/>
          <w:sz w:val="20"/>
          <w:szCs w:val="20"/>
        </w:rPr>
        <w:t>Introduction</w:t>
      </w:r>
    </w:p>
    <w:p w:rsidR="00D658F5" w:rsidRPr="00F46120" w:rsidRDefault="007C674F" w:rsidP="003544D9">
      <w:pPr>
        <w:spacing w:after="0" w:line="360" w:lineRule="auto"/>
        <w:ind w:firstLine="720"/>
        <w:jc w:val="both"/>
        <w:rPr>
          <w:rFonts w:ascii="Times New Roman" w:hAnsi="Times New Roman" w:cs="Times New Roman"/>
          <w:kern w:val="0"/>
          <w:sz w:val="20"/>
          <w:szCs w:val="20"/>
          <w14:ligatures w14:val="none"/>
        </w:rPr>
      </w:pPr>
      <w:r w:rsidRPr="00F46120">
        <w:rPr>
          <w:rFonts w:ascii="Times New Roman" w:hAnsi="Times New Roman" w:cs="Times New Roman"/>
          <w:sz w:val="20"/>
          <w:szCs w:val="20"/>
        </w:rPr>
        <w:t xml:space="preserve">Cooking fuels transition means the accessing clean sources of fuels ignoring the traditional biomass. </w:t>
      </w:r>
      <w:r w:rsidRPr="00F46120">
        <w:rPr>
          <w:rFonts w:ascii="Times New Roman" w:hAnsi="Times New Roman" w:cs="Times New Roman"/>
          <w:color w:val="2A2A2A"/>
          <w:sz w:val="20"/>
          <w:szCs w:val="20"/>
          <w:shd w:val="clear" w:color="auto" w:fill="FFFFFF"/>
        </w:rPr>
        <w:t>Clean energy has the most important role in economic,</w:t>
      </w:r>
      <w:r w:rsidR="003544D9">
        <w:rPr>
          <w:rFonts w:ascii="Times New Roman" w:hAnsi="Times New Roman" w:cs="Times New Roman"/>
          <w:color w:val="2A2A2A"/>
          <w:sz w:val="20"/>
          <w:szCs w:val="20"/>
          <w:shd w:val="clear" w:color="auto" w:fill="FFFFFF"/>
        </w:rPr>
        <w:t xml:space="preserve"> social and sustainable growth.</w:t>
      </w:r>
      <w:r w:rsidR="003544D9" w:rsidRPr="00F46120">
        <w:rPr>
          <w:rFonts w:ascii="Times New Roman" w:hAnsi="Times New Roman" w:cs="Times New Roman"/>
          <w:sz w:val="20"/>
          <w:szCs w:val="20"/>
        </w:rPr>
        <w:t xml:space="preserve"> The</w:t>
      </w:r>
      <w:r w:rsidR="00D23B36" w:rsidRPr="00F46120">
        <w:rPr>
          <w:rFonts w:ascii="Times New Roman" w:hAnsi="Times New Roman" w:cs="Times New Roman"/>
          <w:sz w:val="20"/>
          <w:szCs w:val="20"/>
        </w:rPr>
        <w:t xml:space="preserve"> uses of clean cooking fuels secured better health for women and children and over all improve the standard of living of people in developing countries. Burning of solid fuels to prepare food on simple cook stoves in households with poor ventilation leads to household air pollution and harmful impacts on health (CEEW, 2020).</w:t>
      </w:r>
      <w:r w:rsidR="00D658F5" w:rsidRPr="00F46120">
        <w:rPr>
          <w:rFonts w:ascii="Times New Roman" w:hAnsi="Times New Roman" w:cs="Times New Roman"/>
          <w:sz w:val="20"/>
          <w:szCs w:val="20"/>
        </w:rPr>
        <w:t xml:space="preserve"> </w:t>
      </w:r>
      <w:r w:rsidR="00D658F5" w:rsidRPr="00F46120">
        <w:rPr>
          <w:rFonts w:ascii="Times New Roman" w:hAnsi="Times New Roman" w:cs="Times New Roman"/>
          <w:kern w:val="0"/>
          <w:sz w:val="20"/>
          <w:szCs w:val="20"/>
          <w14:ligatures w14:val="none"/>
        </w:rPr>
        <w:t xml:space="preserve">Despite increasing awareness and revolution on use of clean sources of energy for cook, most of households in developing countries continue to use solid fuels, which is harmful to both the environment and human health. Around 3 billion people, mostly in low and middle-income countries, lacked access to clean energy services for cooking resulting nearly 4.3 million premature deaths worldwide (WHO, 2012). </w:t>
      </w:r>
      <w:r w:rsidR="00D658F5" w:rsidRPr="00F46120">
        <w:rPr>
          <w:rFonts w:ascii="Times New Roman" w:hAnsi="Times New Roman" w:cs="Times New Roman"/>
          <w:color w:val="000000"/>
          <w:kern w:val="0"/>
          <w:sz w:val="20"/>
          <w:szCs w:val="20"/>
          <w14:ligatures w14:val="none"/>
        </w:rPr>
        <w:t xml:space="preserve">Energy is at the heart of many of Sustainable Development Goals (SDGs) considering the expansion of accessing electricity, improvement of clean cooking fuels and </w:t>
      </w:r>
      <w:proofErr w:type="gramStart"/>
      <w:r w:rsidR="00D658F5" w:rsidRPr="00F46120">
        <w:rPr>
          <w:rFonts w:ascii="Times New Roman" w:hAnsi="Times New Roman" w:cs="Times New Roman"/>
          <w:color w:val="000000"/>
          <w:kern w:val="0"/>
          <w:sz w:val="20"/>
          <w:szCs w:val="20"/>
          <w14:ligatures w14:val="none"/>
        </w:rPr>
        <w:t>restrain</w:t>
      </w:r>
      <w:proofErr w:type="gramEnd"/>
      <w:r w:rsidR="00D658F5" w:rsidRPr="00F46120">
        <w:rPr>
          <w:rFonts w:ascii="Times New Roman" w:hAnsi="Times New Roman" w:cs="Times New Roman"/>
          <w:color w:val="000000"/>
          <w:kern w:val="0"/>
          <w:sz w:val="20"/>
          <w:szCs w:val="20"/>
          <w14:ligatures w14:val="none"/>
        </w:rPr>
        <w:t xml:space="preserve"> deadly air pollution which prematurely kills million every year around the world.</w:t>
      </w:r>
      <w:r w:rsidR="00D658F5" w:rsidRPr="00F46120">
        <w:rPr>
          <w:rFonts w:ascii="Times New Roman" w:hAnsi="Times New Roman" w:cs="Times New Roman"/>
          <w:kern w:val="0"/>
          <w:sz w:val="20"/>
          <w:szCs w:val="20"/>
          <w14:ligatures w14:val="none"/>
        </w:rPr>
        <w:t xml:space="preserve"> </w:t>
      </w:r>
      <w:r w:rsidR="00D658F5" w:rsidRPr="00F46120">
        <w:rPr>
          <w:rFonts w:ascii="Times New Roman" w:hAnsi="Times New Roman" w:cs="Times New Roman"/>
          <w:color w:val="000000"/>
          <w:kern w:val="0"/>
          <w:sz w:val="20"/>
          <w:szCs w:val="20"/>
          <w14:ligatures w14:val="none"/>
        </w:rPr>
        <w:t xml:space="preserve">Clean cooking is one of the target of </w:t>
      </w:r>
      <w:r w:rsidR="00D658F5" w:rsidRPr="00F46120">
        <w:rPr>
          <w:rFonts w:ascii="Times New Roman" w:hAnsi="Times New Roman" w:cs="Times New Roman"/>
          <w:kern w:val="0"/>
          <w:sz w:val="20"/>
          <w:szCs w:val="20"/>
          <w14:ligatures w14:val="none"/>
        </w:rPr>
        <w:t xml:space="preserve">SDG 7 where target 7.1 comprise of two targets i.e., 7.1.1 access to electricity and 7.1.2 access to clean cooking fuels. The global population without access to clean cooking remained largely unchanged since 2010 to 2018, standing at close to 3 billion (Tracking SDG7, 2020). </w:t>
      </w:r>
    </w:p>
    <w:p w:rsidR="00D658F5" w:rsidRPr="00F46120" w:rsidRDefault="00D658F5" w:rsidP="003544D9">
      <w:pPr>
        <w:spacing w:after="0" w:line="360" w:lineRule="auto"/>
        <w:ind w:firstLine="720"/>
        <w:jc w:val="both"/>
        <w:rPr>
          <w:rFonts w:ascii="Times New Roman" w:hAnsi="Times New Roman" w:cs="Times New Roman"/>
          <w:spacing w:val="2"/>
          <w:kern w:val="0"/>
          <w:sz w:val="20"/>
          <w:szCs w:val="20"/>
          <w14:ligatures w14:val="none"/>
        </w:rPr>
      </w:pPr>
      <w:r w:rsidRPr="00F46120">
        <w:rPr>
          <w:rFonts w:ascii="Times New Roman" w:hAnsi="Times New Roman" w:cs="Times New Roman"/>
          <w:kern w:val="0"/>
          <w:sz w:val="20"/>
          <w:szCs w:val="20"/>
          <w14:ligatures w14:val="none"/>
        </w:rPr>
        <w:t xml:space="preserve">In India, household air pollution which occurs from burning solid fuels is a significant contributor to the total disease burden, accounting for nearly 600,000 deaths in 2019 (CEEW, 2021). Around 69% of global population access clean cooking fuels where 86% in urban and 48% in rural area (WHO, 2021). In India 68% of population access clean cooking fuels and it is 91% in urban and only 54% in rural. </w:t>
      </w:r>
    </w:p>
    <w:p w:rsidR="00D658F5" w:rsidRPr="00F46120" w:rsidRDefault="005E4B4B" w:rsidP="00140B90">
      <w:pPr>
        <w:spacing w:line="360" w:lineRule="auto"/>
        <w:jc w:val="both"/>
        <w:rPr>
          <w:rFonts w:ascii="Times New Roman" w:hAnsi="Times New Roman" w:cs="Times New Roman"/>
          <w:b/>
          <w:spacing w:val="2"/>
          <w:kern w:val="0"/>
          <w:sz w:val="20"/>
          <w:szCs w:val="20"/>
          <w14:ligatures w14:val="none"/>
        </w:rPr>
      </w:pPr>
      <w:r>
        <w:rPr>
          <w:rFonts w:ascii="Times New Roman" w:hAnsi="Times New Roman" w:cs="Times New Roman"/>
          <w:b/>
          <w:spacing w:val="2"/>
          <w:kern w:val="0"/>
          <w:sz w:val="20"/>
          <w:szCs w:val="20"/>
          <w14:ligatures w14:val="none"/>
        </w:rPr>
        <w:t>II</w:t>
      </w:r>
      <w:r w:rsidR="002643C7" w:rsidRPr="00F46120">
        <w:rPr>
          <w:rFonts w:ascii="Times New Roman" w:hAnsi="Times New Roman" w:cs="Times New Roman"/>
          <w:b/>
          <w:spacing w:val="2"/>
          <w:kern w:val="0"/>
          <w:sz w:val="20"/>
          <w:szCs w:val="20"/>
          <w14:ligatures w14:val="none"/>
        </w:rPr>
        <w:t xml:space="preserve">. </w:t>
      </w:r>
      <w:r w:rsidR="008A5019" w:rsidRPr="00F46120">
        <w:rPr>
          <w:rFonts w:ascii="Times New Roman" w:hAnsi="Times New Roman" w:cs="Times New Roman"/>
          <w:b/>
          <w:spacing w:val="2"/>
          <w:kern w:val="0"/>
          <w:sz w:val="20"/>
          <w:szCs w:val="20"/>
          <w14:ligatures w14:val="none"/>
        </w:rPr>
        <w:t>Transition of cooking fuels</w:t>
      </w:r>
      <w:r w:rsidR="00140B90" w:rsidRPr="00F46120">
        <w:rPr>
          <w:rFonts w:ascii="Times New Roman" w:hAnsi="Times New Roman" w:cs="Times New Roman"/>
          <w:b/>
          <w:spacing w:val="2"/>
          <w:kern w:val="0"/>
          <w:sz w:val="20"/>
          <w:szCs w:val="20"/>
          <w14:ligatures w14:val="none"/>
        </w:rPr>
        <w:t xml:space="preserve"> in India</w:t>
      </w:r>
    </w:p>
    <w:p w:rsidR="000C4C7C" w:rsidRPr="005E4B4B" w:rsidRDefault="00140B90" w:rsidP="005E4B4B">
      <w:pPr>
        <w:spacing w:after="0"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ab/>
      </w:r>
      <w:r w:rsidR="00D73D85" w:rsidRPr="00F46120">
        <w:rPr>
          <w:rFonts w:ascii="Times New Roman" w:hAnsi="Times New Roman" w:cs="Times New Roman"/>
          <w:spacing w:val="2"/>
          <w:kern w:val="0"/>
          <w:sz w:val="20"/>
          <w:szCs w:val="20"/>
          <w14:ligatures w14:val="none"/>
        </w:rPr>
        <w:t xml:space="preserve">Generally if we observed that </w:t>
      </w:r>
      <w:r w:rsidR="002326C3" w:rsidRPr="00F46120">
        <w:rPr>
          <w:rFonts w:ascii="Times New Roman" w:hAnsi="Times New Roman" w:cs="Times New Roman"/>
          <w:spacing w:val="2"/>
          <w:kern w:val="0"/>
          <w:sz w:val="20"/>
          <w:szCs w:val="20"/>
          <w14:ligatures w14:val="none"/>
        </w:rPr>
        <w:t>cooking fuels transition have taken place in India but it was very slow in past period. Rapid transitions have taken plac</w:t>
      </w:r>
      <w:r w:rsidR="002643C7" w:rsidRPr="00F46120">
        <w:rPr>
          <w:rFonts w:ascii="Times New Roman" w:hAnsi="Times New Roman" w:cs="Times New Roman"/>
          <w:spacing w:val="2"/>
          <w:kern w:val="0"/>
          <w:sz w:val="20"/>
          <w:szCs w:val="20"/>
          <w14:ligatures w14:val="none"/>
        </w:rPr>
        <w:t xml:space="preserve">e from launching of </w:t>
      </w:r>
      <w:r w:rsidR="002643C7" w:rsidRPr="00F46120">
        <w:rPr>
          <w:rFonts w:ascii="Times New Roman" w:hAnsi="Times New Roman" w:cs="Times New Roman"/>
          <w:kern w:val="0"/>
          <w:sz w:val="20"/>
          <w:szCs w:val="20"/>
          <w14:ligatures w14:val="none"/>
        </w:rPr>
        <w:t xml:space="preserve">Pradhan </w:t>
      </w:r>
      <w:proofErr w:type="spellStart"/>
      <w:r w:rsidR="002643C7" w:rsidRPr="00F46120">
        <w:rPr>
          <w:rFonts w:ascii="Times New Roman" w:hAnsi="Times New Roman" w:cs="Times New Roman"/>
          <w:kern w:val="0"/>
          <w:sz w:val="20"/>
          <w:szCs w:val="20"/>
          <w14:ligatures w14:val="none"/>
        </w:rPr>
        <w:t>Mantri</w:t>
      </w:r>
      <w:proofErr w:type="spellEnd"/>
      <w:r w:rsidR="002643C7" w:rsidRPr="00F46120">
        <w:rPr>
          <w:rFonts w:ascii="Times New Roman" w:hAnsi="Times New Roman" w:cs="Times New Roman"/>
          <w:kern w:val="0"/>
          <w:sz w:val="20"/>
          <w:szCs w:val="20"/>
          <w14:ligatures w14:val="none"/>
        </w:rPr>
        <w:t xml:space="preserve"> </w:t>
      </w:r>
      <w:proofErr w:type="spellStart"/>
      <w:r w:rsidR="002643C7" w:rsidRPr="00F46120">
        <w:rPr>
          <w:rFonts w:ascii="Times New Roman" w:hAnsi="Times New Roman" w:cs="Times New Roman"/>
          <w:kern w:val="0"/>
          <w:sz w:val="20"/>
          <w:szCs w:val="20"/>
          <w14:ligatures w14:val="none"/>
        </w:rPr>
        <w:t>Ujjawal</w:t>
      </w:r>
      <w:proofErr w:type="spellEnd"/>
      <w:r w:rsidR="002643C7" w:rsidRPr="00F46120">
        <w:rPr>
          <w:rFonts w:ascii="Times New Roman" w:hAnsi="Times New Roman" w:cs="Times New Roman"/>
          <w:kern w:val="0"/>
          <w:sz w:val="20"/>
          <w:szCs w:val="20"/>
          <w14:ligatures w14:val="none"/>
        </w:rPr>
        <w:t xml:space="preserve"> </w:t>
      </w:r>
      <w:proofErr w:type="spellStart"/>
      <w:r w:rsidR="002643C7" w:rsidRPr="00F46120">
        <w:rPr>
          <w:rFonts w:ascii="Times New Roman" w:hAnsi="Times New Roman" w:cs="Times New Roman"/>
          <w:kern w:val="0"/>
          <w:sz w:val="20"/>
          <w:szCs w:val="20"/>
          <w14:ligatures w14:val="none"/>
        </w:rPr>
        <w:t>Yojana</w:t>
      </w:r>
      <w:proofErr w:type="spellEnd"/>
      <w:r w:rsidR="002643C7" w:rsidRPr="00F46120">
        <w:rPr>
          <w:rFonts w:ascii="Times New Roman" w:hAnsi="Times New Roman" w:cs="Times New Roman"/>
          <w:kern w:val="0"/>
          <w:sz w:val="20"/>
          <w:szCs w:val="20"/>
          <w14:ligatures w14:val="none"/>
        </w:rPr>
        <w:t xml:space="preserve"> (PMUY) </w:t>
      </w:r>
      <w:r w:rsidR="002643C7" w:rsidRPr="00F46120">
        <w:rPr>
          <w:rFonts w:ascii="Times New Roman" w:hAnsi="Times New Roman" w:cs="Times New Roman"/>
          <w:spacing w:val="2"/>
          <w:kern w:val="0"/>
          <w:sz w:val="20"/>
          <w:szCs w:val="20"/>
          <w14:ligatures w14:val="none"/>
        </w:rPr>
        <w:t>in 2016</w:t>
      </w:r>
      <w:r w:rsidR="002326C3" w:rsidRPr="00F46120">
        <w:rPr>
          <w:rFonts w:ascii="Times New Roman" w:hAnsi="Times New Roman" w:cs="Times New Roman"/>
          <w:spacing w:val="2"/>
          <w:kern w:val="0"/>
          <w:sz w:val="20"/>
          <w:szCs w:val="20"/>
          <w14:ligatures w14:val="none"/>
        </w:rPr>
        <w:t xml:space="preserve">. The following table </w:t>
      </w:r>
      <w:r w:rsidR="002643C7" w:rsidRPr="00F46120">
        <w:rPr>
          <w:rFonts w:ascii="Times New Roman" w:hAnsi="Times New Roman" w:cs="Times New Roman"/>
          <w:spacing w:val="2"/>
          <w:kern w:val="0"/>
          <w:sz w:val="20"/>
          <w:szCs w:val="20"/>
          <w14:ligatures w14:val="none"/>
        </w:rPr>
        <w:t xml:space="preserve">1 </w:t>
      </w:r>
      <w:r w:rsidR="002326C3" w:rsidRPr="00F46120">
        <w:rPr>
          <w:rFonts w:ascii="Times New Roman" w:hAnsi="Times New Roman" w:cs="Times New Roman"/>
          <w:spacing w:val="2"/>
          <w:kern w:val="0"/>
          <w:sz w:val="20"/>
          <w:szCs w:val="20"/>
          <w14:ligatures w14:val="none"/>
        </w:rPr>
        <w:t xml:space="preserve">show households </w:t>
      </w:r>
      <w:r w:rsidR="00533FA1" w:rsidRPr="00F46120">
        <w:rPr>
          <w:rFonts w:ascii="Times New Roman" w:hAnsi="Times New Roman" w:cs="Times New Roman"/>
          <w:spacing w:val="2"/>
          <w:kern w:val="0"/>
          <w:sz w:val="20"/>
          <w:szCs w:val="20"/>
          <w14:ligatures w14:val="none"/>
        </w:rPr>
        <w:t xml:space="preserve">percentage that </w:t>
      </w:r>
      <w:r w:rsidR="002326C3" w:rsidRPr="00F46120">
        <w:rPr>
          <w:rFonts w:ascii="Times New Roman" w:hAnsi="Times New Roman" w:cs="Times New Roman"/>
          <w:spacing w:val="2"/>
          <w:kern w:val="0"/>
          <w:sz w:val="20"/>
          <w:szCs w:val="20"/>
          <w14:ligatures w14:val="none"/>
        </w:rPr>
        <w:t>the primary sour</w:t>
      </w:r>
      <w:r w:rsidR="00533FA1" w:rsidRPr="00F46120">
        <w:rPr>
          <w:rFonts w:ascii="Times New Roman" w:hAnsi="Times New Roman" w:cs="Times New Roman"/>
          <w:spacing w:val="2"/>
          <w:kern w:val="0"/>
          <w:sz w:val="20"/>
          <w:szCs w:val="20"/>
          <w14:ligatures w14:val="none"/>
        </w:rPr>
        <w:t>ces of energy used for cooking all India from 1993-94 to 2021</w:t>
      </w:r>
    </w:p>
    <w:p w:rsidR="005E4B4B" w:rsidRDefault="005E4B4B" w:rsidP="00140B90">
      <w:pPr>
        <w:spacing w:line="360" w:lineRule="auto"/>
        <w:jc w:val="both"/>
        <w:rPr>
          <w:rFonts w:ascii="Times New Roman" w:hAnsi="Times New Roman" w:cs="Times New Roman"/>
          <w:b/>
          <w:sz w:val="20"/>
          <w:szCs w:val="20"/>
        </w:rPr>
      </w:pPr>
    </w:p>
    <w:p w:rsidR="00140B90" w:rsidRPr="00F46120" w:rsidRDefault="00D73D85" w:rsidP="00140B90">
      <w:pPr>
        <w:spacing w:line="360" w:lineRule="auto"/>
        <w:jc w:val="both"/>
        <w:rPr>
          <w:rFonts w:ascii="Times New Roman" w:hAnsi="Times New Roman" w:cs="Times New Roman"/>
          <w:b/>
          <w:sz w:val="20"/>
          <w:szCs w:val="20"/>
        </w:rPr>
      </w:pPr>
      <w:r w:rsidRPr="00F46120">
        <w:rPr>
          <w:rFonts w:ascii="Times New Roman" w:hAnsi="Times New Roman" w:cs="Times New Roman"/>
          <w:b/>
          <w:sz w:val="20"/>
          <w:szCs w:val="20"/>
        </w:rPr>
        <w:t>Table 1: P</w:t>
      </w:r>
      <w:r w:rsidR="00140B90" w:rsidRPr="00F46120">
        <w:rPr>
          <w:rFonts w:ascii="Times New Roman" w:hAnsi="Times New Roman" w:cs="Times New Roman"/>
          <w:b/>
          <w:sz w:val="20"/>
          <w:szCs w:val="20"/>
        </w:rPr>
        <w:t>rimary source of energy used for cookin</w:t>
      </w:r>
      <w:r w:rsidR="006809FB" w:rsidRPr="00F46120">
        <w:rPr>
          <w:rFonts w:ascii="Times New Roman" w:hAnsi="Times New Roman" w:cs="Times New Roman"/>
          <w:b/>
          <w:sz w:val="20"/>
          <w:szCs w:val="20"/>
        </w:rPr>
        <w:t>g all India from 1993-94 to 2020-21</w:t>
      </w:r>
    </w:p>
    <w:tbl>
      <w:tblPr>
        <w:tblStyle w:val="TableGrid"/>
        <w:tblW w:w="0" w:type="auto"/>
        <w:tblLook w:val="04A0" w:firstRow="1" w:lastRow="0" w:firstColumn="1" w:lastColumn="0" w:noHBand="0" w:noVBand="1"/>
      </w:tblPr>
      <w:tblGrid>
        <w:gridCol w:w="1384"/>
        <w:gridCol w:w="785"/>
        <w:gridCol w:w="1018"/>
        <w:gridCol w:w="977"/>
        <w:gridCol w:w="983"/>
        <w:gridCol w:w="1140"/>
        <w:gridCol w:w="997"/>
        <w:gridCol w:w="987"/>
        <w:gridCol w:w="971"/>
      </w:tblGrid>
      <w:tr w:rsidR="00691244" w:rsidRPr="00F46120" w:rsidTr="00691244">
        <w:tc>
          <w:tcPr>
            <w:tcW w:w="1384" w:type="dxa"/>
          </w:tcPr>
          <w:p w:rsidR="00140B90" w:rsidRPr="00F46120" w:rsidRDefault="00140B90"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Year</w:t>
            </w:r>
          </w:p>
        </w:tc>
        <w:tc>
          <w:tcPr>
            <w:tcW w:w="785" w:type="dxa"/>
          </w:tcPr>
          <w:p w:rsidR="00140B90" w:rsidRPr="00F46120" w:rsidRDefault="00691244"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z w:val="20"/>
                <w:szCs w:val="20"/>
              </w:rPr>
              <w:t>coke/ coal</w:t>
            </w:r>
          </w:p>
        </w:tc>
        <w:tc>
          <w:tcPr>
            <w:tcW w:w="1018" w:type="dxa"/>
          </w:tcPr>
          <w:p w:rsidR="00140B90" w:rsidRPr="00F46120" w:rsidRDefault="00691244"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z w:val="20"/>
                <w:szCs w:val="20"/>
              </w:rPr>
              <w:t>firewood &amp; chips</w:t>
            </w:r>
          </w:p>
        </w:tc>
        <w:tc>
          <w:tcPr>
            <w:tcW w:w="977" w:type="dxa"/>
          </w:tcPr>
          <w:p w:rsidR="00140B90" w:rsidRPr="00F46120" w:rsidRDefault="00691244"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z w:val="20"/>
                <w:szCs w:val="20"/>
              </w:rPr>
              <w:t>LPG</w:t>
            </w:r>
          </w:p>
        </w:tc>
        <w:tc>
          <w:tcPr>
            <w:tcW w:w="983" w:type="dxa"/>
          </w:tcPr>
          <w:p w:rsidR="00140B90" w:rsidRPr="00F46120" w:rsidRDefault="00691244"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z w:val="20"/>
                <w:szCs w:val="20"/>
              </w:rPr>
              <w:t>dung cake</w:t>
            </w:r>
          </w:p>
        </w:tc>
        <w:tc>
          <w:tcPr>
            <w:tcW w:w="1140" w:type="dxa"/>
          </w:tcPr>
          <w:p w:rsidR="00140B90" w:rsidRPr="00F46120" w:rsidRDefault="00691244"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z w:val="20"/>
                <w:szCs w:val="20"/>
              </w:rPr>
              <w:t>kerosene</w:t>
            </w:r>
          </w:p>
        </w:tc>
        <w:tc>
          <w:tcPr>
            <w:tcW w:w="997" w:type="dxa"/>
          </w:tcPr>
          <w:p w:rsidR="00140B90" w:rsidRPr="00F46120" w:rsidRDefault="00691244"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z w:val="20"/>
                <w:szCs w:val="20"/>
              </w:rPr>
              <w:t>no cooking</w:t>
            </w:r>
          </w:p>
        </w:tc>
        <w:tc>
          <w:tcPr>
            <w:tcW w:w="987" w:type="dxa"/>
          </w:tcPr>
          <w:p w:rsidR="00140B90" w:rsidRPr="00F46120" w:rsidRDefault="00691244"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z w:val="20"/>
                <w:szCs w:val="20"/>
              </w:rPr>
              <w:t>Other</w:t>
            </w:r>
          </w:p>
        </w:tc>
        <w:tc>
          <w:tcPr>
            <w:tcW w:w="971" w:type="dxa"/>
          </w:tcPr>
          <w:p w:rsidR="00140B90" w:rsidRPr="00F46120" w:rsidRDefault="00B074F2"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Total</w:t>
            </w:r>
          </w:p>
        </w:tc>
      </w:tr>
      <w:tr w:rsidR="00691244" w:rsidRPr="00F46120" w:rsidTr="00BE2819">
        <w:tc>
          <w:tcPr>
            <w:tcW w:w="9242" w:type="dxa"/>
            <w:gridSpan w:val="9"/>
          </w:tcPr>
          <w:p w:rsidR="00691244" w:rsidRPr="00F46120" w:rsidRDefault="00691244" w:rsidP="00691244">
            <w:pPr>
              <w:spacing w:line="360" w:lineRule="auto"/>
              <w:jc w:val="center"/>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Rural</w:t>
            </w:r>
          </w:p>
        </w:tc>
      </w:tr>
      <w:tr w:rsidR="00691244" w:rsidRPr="00F46120" w:rsidTr="00691244">
        <w:tc>
          <w:tcPr>
            <w:tcW w:w="1384" w:type="dxa"/>
          </w:tcPr>
          <w:p w:rsidR="00691244" w:rsidRPr="00F46120" w:rsidRDefault="00691244" w:rsidP="00243F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1993-94</w:t>
            </w:r>
          </w:p>
        </w:tc>
        <w:tc>
          <w:tcPr>
            <w:tcW w:w="785" w:type="dxa"/>
          </w:tcPr>
          <w:p w:rsidR="00691244" w:rsidRPr="00F46120" w:rsidRDefault="00691244"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1.4</w:t>
            </w:r>
          </w:p>
        </w:tc>
        <w:tc>
          <w:tcPr>
            <w:tcW w:w="1018" w:type="dxa"/>
          </w:tcPr>
          <w:p w:rsidR="00691244" w:rsidRPr="00F46120" w:rsidRDefault="003C3F68"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78.2</w:t>
            </w:r>
          </w:p>
        </w:tc>
        <w:tc>
          <w:tcPr>
            <w:tcW w:w="977" w:type="dxa"/>
          </w:tcPr>
          <w:p w:rsidR="00691244" w:rsidRPr="00F46120" w:rsidRDefault="003C3F68"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1.9</w:t>
            </w:r>
          </w:p>
        </w:tc>
        <w:tc>
          <w:tcPr>
            <w:tcW w:w="983" w:type="dxa"/>
          </w:tcPr>
          <w:p w:rsidR="00691244" w:rsidRPr="00F46120" w:rsidRDefault="003C3F68"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11.5</w:t>
            </w:r>
          </w:p>
        </w:tc>
        <w:tc>
          <w:tcPr>
            <w:tcW w:w="1140" w:type="dxa"/>
          </w:tcPr>
          <w:p w:rsidR="00691244" w:rsidRPr="00F46120" w:rsidRDefault="003C3F68"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2.0</w:t>
            </w:r>
          </w:p>
        </w:tc>
        <w:tc>
          <w:tcPr>
            <w:tcW w:w="997" w:type="dxa"/>
          </w:tcPr>
          <w:p w:rsidR="00691244" w:rsidRPr="00F46120" w:rsidRDefault="003C3F68"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0.7</w:t>
            </w:r>
          </w:p>
        </w:tc>
        <w:tc>
          <w:tcPr>
            <w:tcW w:w="987" w:type="dxa"/>
          </w:tcPr>
          <w:p w:rsidR="00691244" w:rsidRPr="00F46120" w:rsidRDefault="003C3F68"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4.1</w:t>
            </w:r>
          </w:p>
        </w:tc>
        <w:tc>
          <w:tcPr>
            <w:tcW w:w="971" w:type="dxa"/>
          </w:tcPr>
          <w:p w:rsidR="00691244" w:rsidRPr="00F46120" w:rsidRDefault="00B074F2"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100</w:t>
            </w:r>
          </w:p>
        </w:tc>
      </w:tr>
      <w:tr w:rsidR="00691244" w:rsidRPr="00F46120" w:rsidTr="00691244">
        <w:tc>
          <w:tcPr>
            <w:tcW w:w="1384" w:type="dxa"/>
          </w:tcPr>
          <w:p w:rsidR="00691244" w:rsidRPr="00F46120" w:rsidRDefault="00691244" w:rsidP="00243F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1999-2000</w:t>
            </w:r>
          </w:p>
        </w:tc>
        <w:tc>
          <w:tcPr>
            <w:tcW w:w="785" w:type="dxa"/>
          </w:tcPr>
          <w:p w:rsidR="00691244" w:rsidRPr="00F46120" w:rsidRDefault="003C3F68"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1.5</w:t>
            </w:r>
          </w:p>
        </w:tc>
        <w:tc>
          <w:tcPr>
            <w:tcW w:w="1018" w:type="dxa"/>
          </w:tcPr>
          <w:p w:rsidR="00691244" w:rsidRPr="00F46120" w:rsidRDefault="003C3F68"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75.5</w:t>
            </w:r>
          </w:p>
        </w:tc>
        <w:tc>
          <w:tcPr>
            <w:tcW w:w="977" w:type="dxa"/>
          </w:tcPr>
          <w:p w:rsidR="00691244" w:rsidRPr="00F46120" w:rsidRDefault="003C3F68"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5.4</w:t>
            </w:r>
          </w:p>
        </w:tc>
        <w:tc>
          <w:tcPr>
            <w:tcW w:w="983" w:type="dxa"/>
          </w:tcPr>
          <w:p w:rsidR="00691244" w:rsidRPr="00F46120" w:rsidRDefault="003C3F68"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10.6</w:t>
            </w:r>
          </w:p>
        </w:tc>
        <w:tc>
          <w:tcPr>
            <w:tcW w:w="1140" w:type="dxa"/>
          </w:tcPr>
          <w:p w:rsidR="00691244" w:rsidRPr="00F46120" w:rsidRDefault="003C3F68"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2.7</w:t>
            </w:r>
          </w:p>
        </w:tc>
        <w:tc>
          <w:tcPr>
            <w:tcW w:w="997" w:type="dxa"/>
          </w:tcPr>
          <w:p w:rsidR="00691244" w:rsidRPr="00F46120" w:rsidRDefault="003C3F68"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1.1</w:t>
            </w:r>
          </w:p>
        </w:tc>
        <w:tc>
          <w:tcPr>
            <w:tcW w:w="987" w:type="dxa"/>
          </w:tcPr>
          <w:p w:rsidR="00691244" w:rsidRPr="00F46120" w:rsidRDefault="003C3F68"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3.1</w:t>
            </w:r>
          </w:p>
        </w:tc>
        <w:tc>
          <w:tcPr>
            <w:tcW w:w="971" w:type="dxa"/>
          </w:tcPr>
          <w:p w:rsidR="00691244" w:rsidRPr="00F46120" w:rsidRDefault="00B074F2"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100</w:t>
            </w:r>
          </w:p>
        </w:tc>
      </w:tr>
      <w:tr w:rsidR="00691244" w:rsidRPr="00F46120" w:rsidTr="00691244">
        <w:tc>
          <w:tcPr>
            <w:tcW w:w="1384" w:type="dxa"/>
          </w:tcPr>
          <w:p w:rsidR="00691244" w:rsidRPr="00F46120" w:rsidRDefault="00691244" w:rsidP="00243F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2004-05</w:t>
            </w:r>
          </w:p>
        </w:tc>
        <w:tc>
          <w:tcPr>
            <w:tcW w:w="785" w:type="dxa"/>
          </w:tcPr>
          <w:p w:rsidR="00691244" w:rsidRPr="00F46120" w:rsidRDefault="003C3F68"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0.8</w:t>
            </w:r>
          </w:p>
        </w:tc>
        <w:tc>
          <w:tcPr>
            <w:tcW w:w="1018" w:type="dxa"/>
          </w:tcPr>
          <w:p w:rsidR="00691244" w:rsidRPr="00F46120" w:rsidRDefault="003C3F68"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75.0</w:t>
            </w:r>
          </w:p>
        </w:tc>
        <w:tc>
          <w:tcPr>
            <w:tcW w:w="977" w:type="dxa"/>
          </w:tcPr>
          <w:p w:rsidR="00691244" w:rsidRPr="00F46120" w:rsidRDefault="003C3F68"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8.6</w:t>
            </w:r>
          </w:p>
        </w:tc>
        <w:tc>
          <w:tcPr>
            <w:tcW w:w="983" w:type="dxa"/>
          </w:tcPr>
          <w:p w:rsidR="00691244" w:rsidRPr="00F46120" w:rsidRDefault="003C3F68"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9.1</w:t>
            </w:r>
          </w:p>
        </w:tc>
        <w:tc>
          <w:tcPr>
            <w:tcW w:w="1140" w:type="dxa"/>
          </w:tcPr>
          <w:p w:rsidR="00691244" w:rsidRPr="00F46120" w:rsidRDefault="003C3F68"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1.3</w:t>
            </w:r>
          </w:p>
        </w:tc>
        <w:tc>
          <w:tcPr>
            <w:tcW w:w="997" w:type="dxa"/>
          </w:tcPr>
          <w:p w:rsidR="00691244" w:rsidRPr="00F46120" w:rsidRDefault="003C3F68"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1.3</w:t>
            </w:r>
          </w:p>
        </w:tc>
        <w:tc>
          <w:tcPr>
            <w:tcW w:w="987" w:type="dxa"/>
          </w:tcPr>
          <w:p w:rsidR="00691244" w:rsidRPr="00F46120" w:rsidRDefault="003C3F68"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3.8</w:t>
            </w:r>
          </w:p>
        </w:tc>
        <w:tc>
          <w:tcPr>
            <w:tcW w:w="971" w:type="dxa"/>
          </w:tcPr>
          <w:p w:rsidR="00691244" w:rsidRPr="00F46120" w:rsidRDefault="00B074F2"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100</w:t>
            </w:r>
          </w:p>
        </w:tc>
      </w:tr>
      <w:tr w:rsidR="00691244" w:rsidRPr="00F46120" w:rsidTr="00691244">
        <w:tc>
          <w:tcPr>
            <w:tcW w:w="1384" w:type="dxa"/>
          </w:tcPr>
          <w:p w:rsidR="00691244" w:rsidRPr="00F46120" w:rsidRDefault="00691244" w:rsidP="00243F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2009-10</w:t>
            </w:r>
          </w:p>
        </w:tc>
        <w:tc>
          <w:tcPr>
            <w:tcW w:w="785" w:type="dxa"/>
          </w:tcPr>
          <w:p w:rsidR="00691244" w:rsidRPr="00F46120" w:rsidRDefault="003C3F68"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0.8</w:t>
            </w:r>
          </w:p>
        </w:tc>
        <w:tc>
          <w:tcPr>
            <w:tcW w:w="1018" w:type="dxa"/>
          </w:tcPr>
          <w:p w:rsidR="00691244" w:rsidRPr="00F46120" w:rsidRDefault="003C3F68"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76.3</w:t>
            </w:r>
          </w:p>
        </w:tc>
        <w:tc>
          <w:tcPr>
            <w:tcW w:w="977" w:type="dxa"/>
          </w:tcPr>
          <w:p w:rsidR="00691244" w:rsidRPr="00F46120" w:rsidRDefault="003C3F68"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11.5</w:t>
            </w:r>
          </w:p>
        </w:tc>
        <w:tc>
          <w:tcPr>
            <w:tcW w:w="983" w:type="dxa"/>
          </w:tcPr>
          <w:p w:rsidR="00691244" w:rsidRPr="00F46120" w:rsidRDefault="003C3F68"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6.3</w:t>
            </w:r>
          </w:p>
        </w:tc>
        <w:tc>
          <w:tcPr>
            <w:tcW w:w="1140" w:type="dxa"/>
          </w:tcPr>
          <w:p w:rsidR="00691244" w:rsidRPr="00F46120" w:rsidRDefault="003C3F68"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0.8</w:t>
            </w:r>
          </w:p>
        </w:tc>
        <w:tc>
          <w:tcPr>
            <w:tcW w:w="997" w:type="dxa"/>
          </w:tcPr>
          <w:p w:rsidR="00691244" w:rsidRPr="00F46120" w:rsidRDefault="003C3F68"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1.6</w:t>
            </w:r>
          </w:p>
        </w:tc>
        <w:tc>
          <w:tcPr>
            <w:tcW w:w="987" w:type="dxa"/>
          </w:tcPr>
          <w:p w:rsidR="00691244" w:rsidRPr="00F46120" w:rsidRDefault="003C3F68"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2.7</w:t>
            </w:r>
          </w:p>
        </w:tc>
        <w:tc>
          <w:tcPr>
            <w:tcW w:w="971" w:type="dxa"/>
          </w:tcPr>
          <w:p w:rsidR="00691244" w:rsidRPr="00F46120" w:rsidRDefault="00B074F2"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100</w:t>
            </w:r>
          </w:p>
        </w:tc>
      </w:tr>
      <w:tr w:rsidR="00691244" w:rsidRPr="00F46120" w:rsidTr="00691244">
        <w:tc>
          <w:tcPr>
            <w:tcW w:w="1384" w:type="dxa"/>
          </w:tcPr>
          <w:p w:rsidR="00691244" w:rsidRPr="00F46120" w:rsidRDefault="0069467D"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2011-12</w:t>
            </w:r>
          </w:p>
        </w:tc>
        <w:tc>
          <w:tcPr>
            <w:tcW w:w="785" w:type="dxa"/>
          </w:tcPr>
          <w:p w:rsidR="00691244" w:rsidRPr="00F46120" w:rsidRDefault="0069467D"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w:t>
            </w:r>
          </w:p>
        </w:tc>
        <w:tc>
          <w:tcPr>
            <w:tcW w:w="1018" w:type="dxa"/>
          </w:tcPr>
          <w:p w:rsidR="00691244" w:rsidRPr="00F46120" w:rsidRDefault="0069467D"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60</w:t>
            </w:r>
          </w:p>
        </w:tc>
        <w:tc>
          <w:tcPr>
            <w:tcW w:w="977" w:type="dxa"/>
          </w:tcPr>
          <w:p w:rsidR="00691244" w:rsidRPr="00F46120" w:rsidRDefault="0069467D"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15</w:t>
            </w:r>
          </w:p>
        </w:tc>
        <w:tc>
          <w:tcPr>
            <w:tcW w:w="983" w:type="dxa"/>
          </w:tcPr>
          <w:p w:rsidR="00691244" w:rsidRPr="00F46120" w:rsidRDefault="0069467D"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10</w:t>
            </w:r>
          </w:p>
        </w:tc>
        <w:tc>
          <w:tcPr>
            <w:tcW w:w="1140" w:type="dxa"/>
          </w:tcPr>
          <w:p w:rsidR="00691244" w:rsidRPr="00F46120" w:rsidRDefault="0069467D"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9</w:t>
            </w:r>
          </w:p>
        </w:tc>
        <w:tc>
          <w:tcPr>
            <w:tcW w:w="997" w:type="dxa"/>
          </w:tcPr>
          <w:p w:rsidR="00691244" w:rsidRPr="00F46120" w:rsidRDefault="0069467D"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1</w:t>
            </w:r>
          </w:p>
        </w:tc>
        <w:tc>
          <w:tcPr>
            <w:tcW w:w="987" w:type="dxa"/>
          </w:tcPr>
          <w:p w:rsidR="00691244" w:rsidRPr="00F46120" w:rsidRDefault="0069467D"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15</w:t>
            </w:r>
          </w:p>
        </w:tc>
        <w:tc>
          <w:tcPr>
            <w:tcW w:w="971" w:type="dxa"/>
          </w:tcPr>
          <w:p w:rsidR="00691244" w:rsidRPr="00F46120" w:rsidRDefault="00B074F2"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100</w:t>
            </w:r>
          </w:p>
        </w:tc>
      </w:tr>
      <w:tr w:rsidR="00937E91" w:rsidRPr="00F46120" w:rsidTr="00691244">
        <w:tc>
          <w:tcPr>
            <w:tcW w:w="1384"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2018</w:t>
            </w:r>
          </w:p>
        </w:tc>
        <w:tc>
          <w:tcPr>
            <w:tcW w:w="785"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p>
        </w:tc>
        <w:tc>
          <w:tcPr>
            <w:tcW w:w="1018" w:type="dxa"/>
          </w:tcPr>
          <w:p w:rsidR="00937E91" w:rsidRPr="00F46120" w:rsidRDefault="00937E91" w:rsidP="00243F90">
            <w:pPr>
              <w:spacing w:line="360" w:lineRule="auto"/>
              <w:jc w:val="center"/>
              <w:rPr>
                <w:rFonts w:ascii="Times New Roman" w:hAnsi="Times New Roman" w:cs="Times New Roman"/>
                <w:sz w:val="20"/>
                <w:szCs w:val="20"/>
              </w:rPr>
            </w:pPr>
            <w:r w:rsidRPr="00F46120">
              <w:rPr>
                <w:rFonts w:ascii="Times New Roman" w:hAnsi="Times New Roman" w:cs="Times New Roman"/>
                <w:sz w:val="20"/>
                <w:szCs w:val="20"/>
              </w:rPr>
              <w:t>44.5</w:t>
            </w:r>
          </w:p>
        </w:tc>
        <w:tc>
          <w:tcPr>
            <w:tcW w:w="977" w:type="dxa"/>
          </w:tcPr>
          <w:p w:rsidR="00937E91" w:rsidRPr="00F46120" w:rsidRDefault="00937E91" w:rsidP="00243F90">
            <w:pPr>
              <w:spacing w:line="360" w:lineRule="auto"/>
              <w:jc w:val="center"/>
              <w:rPr>
                <w:rFonts w:ascii="Times New Roman" w:hAnsi="Times New Roman" w:cs="Times New Roman"/>
                <w:sz w:val="20"/>
                <w:szCs w:val="20"/>
              </w:rPr>
            </w:pPr>
            <w:r w:rsidRPr="00F46120">
              <w:rPr>
                <w:rFonts w:ascii="Times New Roman" w:hAnsi="Times New Roman" w:cs="Times New Roman"/>
                <w:sz w:val="20"/>
                <w:szCs w:val="20"/>
              </w:rPr>
              <w:t>48.3</w:t>
            </w:r>
          </w:p>
        </w:tc>
        <w:tc>
          <w:tcPr>
            <w:tcW w:w="983" w:type="dxa"/>
          </w:tcPr>
          <w:p w:rsidR="00937E91" w:rsidRPr="00F46120" w:rsidRDefault="00937E91" w:rsidP="00243F90">
            <w:pPr>
              <w:spacing w:line="360" w:lineRule="auto"/>
              <w:jc w:val="center"/>
              <w:rPr>
                <w:rFonts w:ascii="Times New Roman" w:hAnsi="Times New Roman" w:cs="Times New Roman"/>
                <w:sz w:val="20"/>
                <w:szCs w:val="20"/>
              </w:rPr>
            </w:pPr>
            <w:r w:rsidRPr="00F46120">
              <w:rPr>
                <w:rFonts w:ascii="Times New Roman" w:hAnsi="Times New Roman" w:cs="Times New Roman"/>
                <w:sz w:val="20"/>
                <w:szCs w:val="20"/>
              </w:rPr>
              <w:t>5.5</w:t>
            </w:r>
          </w:p>
        </w:tc>
        <w:tc>
          <w:tcPr>
            <w:tcW w:w="1140" w:type="dxa"/>
          </w:tcPr>
          <w:p w:rsidR="00937E91" w:rsidRPr="00F46120" w:rsidRDefault="00937E91" w:rsidP="00243F90">
            <w:pPr>
              <w:spacing w:line="360" w:lineRule="auto"/>
              <w:jc w:val="center"/>
              <w:rPr>
                <w:rFonts w:ascii="Times New Roman" w:hAnsi="Times New Roman" w:cs="Times New Roman"/>
                <w:sz w:val="20"/>
                <w:szCs w:val="20"/>
              </w:rPr>
            </w:pPr>
            <w:r w:rsidRPr="00F46120">
              <w:rPr>
                <w:rFonts w:ascii="Times New Roman" w:hAnsi="Times New Roman" w:cs="Times New Roman"/>
                <w:sz w:val="20"/>
                <w:szCs w:val="20"/>
              </w:rPr>
              <w:t>-</w:t>
            </w:r>
          </w:p>
        </w:tc>
        <w:tc>
          <w:tcPr>
            <w:tcW w:w="997" w:type="dxa"/>
          </w:tcPr>
          <w:p w:rsidR="00937E91" w:rsidRPr="00F46120" w:rsidRDefault="00937E91" w:rsidP="00243F90">
            <w:pPr>
              <w:spacing w:line="360" w:lineRule="auto"/>
              <w:jc w:val="center"/>
              <w:rPr>
                <w:rFonts w:ascii="Times New Roman" w:hAnsi="Times New Roman" w:cs="Times New Roman"/>
                <w:sz w:val="20"/>
                <w:szCs w:val="20"/>
              </w:rPr>
            </w:pPr>
            <w:r w:rsidRPr="00F46120">
              <w:rPr>
                <w:rFonts w:ascii="Times New Roman" w:hAnsi="Times New Roman" w:cs="Times New Roman"/>
                <w:sz w:val="20"/>
                <w:szCs w:val="20"/>
              </w:rPr>
              <w:t>0.6</w:t>
            </w:r>
          </w:p>
        </w:tc>
        <w:tc>
          <w:tcPr>
            <w:tcW w:w="987"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1.1</w:t>
            </w:r>
          </w:p>
        </w:tc>
        <w:tc>
          <w:tcPr>
            <w:tcW w:w="971"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100</w:t>
            </w:r>
          </w:p>
        </w:tc>
      </w:tr>
      <w:tr w:rsidR="007931F9" w:rsidRPr="00F46120" w:rsidTr="00691244">
        <w:tc>
          <w:tcPr>
            <w:tcW w:w="1384" w:type="dxa"/>
          </w:tcPr>
          <w:p w:rsidR="007931F9" w:rsidRPr="00F46120" w:rsidRDefault="007931F9"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2020</w:t>
            </w:r>
            <w:r w:rsidR="00114E63" w:rsidRPr="00F46120">
              <w:rPr>
                <w:rFonts w:ascii="Times New Roman" w:hAnsi="Times New Roman" w:cs="Times New Roman"/>
                <w:spacing w:val="2"/>
                <w:kern w:val="0"/>
                <w:sz w:val="20"/>
                <w:szCs w:val="20"/>
                <w14:ligatures w14:val="none"/>
              </w:rPr>
              <w:t>-21</w:t>
            </w:r>
          </w:p>
        </w:tc>
        <w:tc>
          <w:tcPr>
            <w:tcW w:w="785" w:type="dxa"/>
          </w:tcPr>
          <w:p w:rsidR="007931F9" w:rsidRPr="00F46120" w:rsidRDefault="00934483"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0.3</w:t>
            </w:r>
          </w:p>
        </w:tc>
        <w:tc>
          <w:tcPr>
            <w:tcW w:w="1018" w:type="dxa"/>
          </w:tcPr>
          <w:p w:rsidR="007931F9" w:rsidRPr="00F46120" w:rsidRDefault="00114E63" w:rsidP="00243F90">
            <w:pPr>
              <w:spacing w:line="360" w:lineRule="auto"/>
              <w:jc w:val="center"/>
              <w:rPr>
                <w:rFonts w:ascii="Times New Roman" w:hAnsi="Times New Roman" w:cs="Times New Roman"/>
                <w:sz w:val="20"/>
                <w:szCs w:val="20"/>
              </w:rPr>
            </w:pPr>
            <w:r w:rsidRPr="00F46120">
              <w:rPr>
                <w:rFonts w:ascii="Times New Roman" w:hAnsi="Times New Roman" w:cs="Times New Roman"/>
                <w:sz w:val="20"/>
                <w:szCs w:val="20"/>
              </w:rPr>
              <w:t>46.7</w:t>
            </w:r>
          </w:p>
        </w:tc>
        <w:tc>
          <w:tcPr>
            <w:tcW w:w="977" w:type="dxa"/>
          </w:tcPr>
          <w:p w:rsidR="007931F9" w:rsidRPr="00F46120" w:rsidRDefault="00114E63" w:rsidP="00243F90">
            <w:pPr>
              <w:spacing w:line="360" w:lineRule="auto"/>
              <w:jc w:val="center"/>
              <w:rPr>
                <w:rFonts w:ascii="Times New Roman" w:hAnsi="Times New Roman" w:cs="Times New Roman"/>
                <w:sz w:val="20"/>
                <w:szCs w:val="20"/>
              </w:rPr>
            </w:pPr>
            <w:r w:rsidRPr="00F46120">
              <w:rPr>
                <w:rFonts w:ascii="Times New Roman" w:hAnsi="Times New Roman" w:cs="Times New Roman"/>
                <w:sz w:val="20"/>
                <w:szCs w:val="20"/>
              </w:rPr>
              <w:t>49.4</w:t>
            </w:r>
          </w:p>
        </w:tc>
        <w:tc>
          <w:tcPr>
            <w:tcW w:w="983" w:type="dxa"/>
          </w:tcPr>
          <w:p w:rsidR="007931F9" w:rsidRPr="00F46120" w:rsidRDefault="00114E63" w:rsidP="00243F90">
            <w:pPr>
              <w:spacing w:line="360" w:lineRule="auto"/>
              <w:jc w:val="center"/>
              <w:rPr>
                <w:rFonts w:ascii="Times New Roman" w:hAnsi="Times New Roman" w:cs="Times New Roman"/>
                <w:sz w:val="20"/>
                <w:szCs w:val="20"/>
              </w:rPr>
            </w:pPr>
            <w:r w:rsidRPr="00F46120">
              <w:rPr>
                <w:rFonts w:ascii="Times New Roman" w:hAnsi="Times New Roman" w:cs="Times New Roman"/>
                <w:sz w:val="20"/>
                <w:szCs w:val="20"/>
              </w:rPr>
              <w:t>3.0</w:t>
            </w:r>
          </w:p>
        </w:tc>
        <w:tc>
          <w:tcPr>
            <w:tcW w:w="1140" w:type="dxa"/>
          </w:tcPr>
          <w:p w:rsidR="007931F9" w:rsidRPr="00F46120" w:rsidRDefault="00114E63" w:rsidP="00243F90">
            <w:pPr>
              <w:spacing w:line="360" w:lineRule="auto"/>
              <w:jc w:val="center"/>
              <w:rPr>
                <w:rFonts w:ascii="Times New Roman" w:hAnsi="Times New Roman" w:cs="Times New Roman"/>
                <w:sz w:val="20"/>
                <w:szCs w:val="20"/>
              </w:rPr>
            </w:pPr>
            <w:r w:rsidRPr="00F46120">
              <w:rPr>
                <w:rFonts w:ascii="Times New Roman" w:hAnsi="Times New Roman" w:cs="Times New Roman"/>
                <w:sz w:val="20"/>
                <w:szCs w:val="20"/>
              </w:rPr>
              <w:t>0.1</w:t>
            </w:r>
          </w:p>
        </w:tc>
        <w:tc>
          <w:tcPr>
            <w:tcW w:w="997" w:type="dxa"/>
          </w:tcPr>
          <w:p w:rsidR="007931F9" w:rsidRPr="00F46120" w:rsidRDefault="00114E63" w:rsidP="00243F90">
            <w:pPr>
              <w:spacing w:line="360" w:lineRule="auto"/>
              <w:jc w:val="center"/>
              <w:rPr>
                <w:rFonts w:ascii="Times New Roman" w:hAnsi="Times New Roman" w:cs="Times New Roman"/>
                <w:sz w:val="20"/>
                <w:szCs w:val="20"/>
              </w:rPr>
            </w:pPr>
            <w:r w:rsidRPr="00F46120">
              <w:rPr>
                <w:rFonts w:ascii="Times New Roman" w:hAnsi="Times New Roman" w:cs="Times New Roman"/>
                <w:sz w:val="20"/>
                <w:szCs w:val="20"/>
              </w:rPr>
              <w:t>0.2</w:t>
            </w:r>
          </w:p>
        </w:tc>
        <w:tc>
          <w:tcPr>
            <w:tcW w:w="987" w:type="dxa"/>
          </w:tcPr>
          <w:p w:rsidR="007931F9" w:rsidRPr="00F46120" w:rsidRDefault="00934483"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0.3</w:t>
            </w:r>
          </w:p>
        </w:tc>
        <w:tc>
          <w:tcPr>
            <w:tcW w:w="971" w:type="dxa"/>
          </w:tcPr>
          <w:p w:rsidR="007931F9" w:rsidRPr="00F46120" w:rsidRDefault="008320BB"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100</w:t>
            </w:r>
          </w:p>
        </w:tc>
      </w:tr>
      <w:tr w:rsidR="00937E91" w:rsidRPr="00F46120" w:rsidTr="00E9579F">
        <w:tc>
          <w:tcPr>
            <w:tcW w:w="9242" w:type="dxa"/>
            <w:gridSpan w:val="9"/>
          </w:tcPr>
          <w:p w:rsidR="00937E91" w:rsidRPr="00F46120" w:rsidRDefault="00937E91" w:rsidP="003C3F68">
            <w:pPr>
              <w:spacing w:line="360" w:lineRule="auto"/>
              <w:jc w:val="center"/>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lastRenderedPageBreak/>
              <w:t>Urban</w:t>
            </w:r>
          </w:p>
        </w:tc>
      </w:tr>
      <w:tr w:rsidR="00937E91" w:rsidRPr="00F46120" w:rsidTr="00691244">
        <w:tc>
          <w:tcPr>
            <w:tcW w:w="1384" w:type="dxa"/>
          </w:tcPr>
          <w:p w:rsidR="00937E91" w:rsidRPr="00F46120" w:rsidRDefault="00937E91" w:rsidP="00243F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1993-94</w:t>
            </w:r>
          </w:p>
        </w:tc>
        <w:tc>
          <w:tcPr>
            <w:tcW w:w="785"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5.7</w:t>
            </w:r>
          </w:p>
        </w:tc>
        <w:tc>
          <w:tcPr>
            <w:tcW w:w="1018"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29.9</w:t>
            </w:r>
          </w:p>
        </w:tc>
        <w:tc>
          <w:tcPr>
            <w:tcW w:w="977"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29.6</w:t>
            </w:r>
          </w:p>
        </w:tc>
        <w:tc>
          <w:tcPr>
            <w:tcW w:w="983"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2.4</w:t>
            </w:r>
          </w:p>
        </w:tc>
        <w:tc>
          <w:tcPr>
            <w:tcW w:w="1140"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23.2</w:t>
            </w:r>
          </w:p>
        </w:tc>
        <w:tc>
          <w:tcPr>
            <w:tcW w:w="997"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6.3</w:t>
            </w:r>
          </w:p>
        </w:tc>
        <w:tc>
          <w:tcPr>
            <w:tcW w:w="987"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3.0</w:t>
            </w:r>
          </w:p>
        </w:tc>
        <w:tc>
          <w:tcPr>
            <w:tcW w:w="971"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100</w:t>
            </w:r>
          </w:p>
        </w:tc>
      </w:tr>
      <w:tr w:rsidR="00937E91" w:rsidRPr="00F46120" w:rsidTr="00691244">
        <w:tc>
          <w:tcPr>
            <w:tcW w:w="1384" w:type="dxa"/>
          </w:tcPr>
          <w:p w:rsidR="00937E91" w:rsidRPr="00F46120" w:rsidRDefault="00937E91" w:rsidP="00243F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1999-2000</w:t>
            </w:r>
          </w:p>
        </w:tc>
        <w:tc>
          <w:tcPr>
            <w:tcW w:w="785"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4.1</w:t>
            </w:r>
          </w:p>
        </w:tc>
        <w:tc>
          <w:tcPr>
            <w:tcW w:w="1018"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22.3</w:t>
            </w:r>
          </w:p>
        </w:tc>
        <w:tc>
          <w:tcPr>
            <w:tcW w:w="977"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44.2</w:t>
            </w:r>
          </w:p>
        </w:tc>
        <w:tc>
          <w:tcPr>
            <w:tcW w:w="983"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2.1</w:t>
            </w:r>
          </w:p>
        </w:tc>
        <w:tc>
          <w:tcPr>
            <w:tcW w:w="1140"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21.7</w:t>
            </w:r>
          </w:p>
        </w:tc>
        <w:tc>
          <w:tcPr>
            <w:tcW w:w="997"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4.3</w:t>
            </w:r>
          </w:p>
        </w:tc>
        <w:tc>
          <w:tcPr>
            <w:tcW w:w="987"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1.3</w:t>
            </w:r>
          </w:p>
        </w:tc>
        <w:tc>
          <w:tcPr>
            <w:tcW w:w="971"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100</w:t>
            </w:r>
          </w:p>
        </w:tc>
      </w:tr>
      <w:tr w:rsidR="00937E91" w:rsidRPr="00F46120" w:rsidTr="00691244">
        <w:tc>
          <w:tcPr>
            <w:tcW w:w="1384" w:type="dxa"/>
          </w:tcPr>
          <w:p w:rsidR="00937E91" w:rsidRPr="00F46120" w:rsidRDefault="00937E91" w:rsidP="00243F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2004-05</w:t>
            </w:r>
          </w:p>
        </w:tc>
        <w:tc>
          <w:tcPr>
            <w:tcW w:w="785"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2.8</w:t>
            </w:r>
          </w:p>
        </w:tc>
        <w:tc>
          <w:tcPr>
            <w:tcW w:w="1018"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21.7</w:t>
            </w:r>
          </w:p>
        </w:tc>
        <w:tc>
          <w:tcPr>
            <w:tcW w:w="977"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57.1</w:t>
            </w:r>
          </w:p>
        </w:tc>
        <w:tc>
          <w:tcPr>
            <w:tcW w:w="983"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1.7</w:t>
            </w:r>
          </w:p>
        </w:tc>
        <w:tc>
          <w:tcPr>
            <w:tcW w:w="1140"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10.2</w:t>
            </w:r>
          </w:p>
        </w:tc>
        <w:tc>
          <w:tcPr>
            <w:tcW w:w="997"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4.9</w:t>
            </w:r>
          </w:p>
        </w:tc>
        <w:tc>
          <w:tcPr>
            <w:tcW w:w="987"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1.6</w:t>
            </w:r>
          </w:p>
        </w:tc>
        <w:tc>
          <w:tcPr>
            <w:tcW w:w="971"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100</w:t>
            </w:r>
          </w:p>
        </w:tc>
      </w:tr>
      <w:tr w:rsidR="00937E91" w:rsidRPr="00F46120" w:rsidTr="00691244">
        <w:tc>
          <w:tcPr>
            <w:tcW w:w="1384" w:type="dxa"/>
          </w:tcPr>
          <w:p w:rsidR="00937E91" w:rsidRPr="00F46120" w:rsidRDefault="00937E91" w:rsidP="00243F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2009-10</w:t>
            </w:r>
          </w:p>
        </w:tc>
        <w:tc>
          <w:tcPr>
            <w:tcW w:w="785"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2.3</w:t>
            </w:r>
          </w:p>
        </w:tc>
        <w:tc>
          <w:tcPr>
            <w:tcW w:w="1018"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17.5</w:t>
            </w:r>
          </w:p>
        </w:tc>
        <w:tc>
          <w:tcPr>
            <w:tcW w:w="977"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64.5</w:t>
            </w:r>
          </w:p>
        </w:tc>
        <w:tc>
          <w:tcPr>
            <w:tcW w:w="983"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1.3</w:t>
            </w:r>
          </w:p>
        </w:tc>
        <w:tc>
          <w:tcPr>
            <w:tcW w:w="1140"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6.5</w:t>
            </w:r>
          </w:p>
        </w:tc>
        <w:tc>
          <w:tcPr>
            <w:tcW w:w="997"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6.5</w:t>
            </w:r>
          </w:p>
        </w:tc>
        <w:tc>
          <w:tcPr>
            <w:tcW w:w="987"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1.5</w:t>
            </w:r>
          </w:p>
        </w:tc>
        <w:tc>
          <w:tcPr>
            <w:tcW w:w="971"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100</w:t>
            </w:r>
          </w:p>
        </w:tc>
      </w:tr>
      <w:tr w:rsidR="00937E91" w:rsidRPr="00F46120" w:rsidTr="00691244">
        <w:tc>
          <w:tcPr>
            <w:tcW w:w="1384"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2011-12</w:t>
            </w:r>
          </w:p>
        </w:tc>
        <w:tc>
          <w:tcPr>
            <w:tcW w:w="785"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w:t>
            </w:r>
          </w:p>
        </w:tc>
        <w:tc>
          <w:tcPr>
            <w:tcW w:w="1018"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14</w:t>
            </w:r>
          </w:p>
        </w:tc>
        <w:tc>
          <w:tcPr>
            <w:tcW w:w="977"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68</w:t>
            </w:r>
          </w:p>
        </w:tc>
        <w:tc>
          <w:tcPr>
            <w:tcW w:w="983"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1</w:t>
            </w:r>
          </w:p>
        </w:tc>
        <w:tc>
          <w:tcPr>
            <w:tcW w:w="1140"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6</w:t>
            </w:r>
          </w:p>
        </w:tc>
        <w:tc>
          <w:tcPr>
            <w:tcW w:w="997"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7</w:t>
            </w:r>
          </w:p>
        </w:tc>
        <w:tc>
          <w:tcPr>
            <w:tcW w:w="987"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4</w:t>
            </w:r>
          </w:p>
        </w:tc>
        <w:tc>
          <w:tcPr>
            <w:tcW w:w="971"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100</w:t>
            </w:r>
          </w:p>
        </w:tc>
      </w:tr>
      <w:tr w:rsidR="00937E91" w:rsidRPr="00F46120" w:rsidTr="00691244">
        <w:tc>
          <w:tcPr>
            <w:tcW w:w="1384"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2018</w:t>
            </w:r>
          </w:p>
        </w:tc>
        <w:tc>
          <w:tcPr>
            <w:tcW w:w="785"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w:t>
            </w:r>
          </w:p>
        </w:tc>
        <w:tc>
          <w:tcPr>
            <w:tcW w:w="1018"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5.6</w:t>
            </w:r>
          </w:p>
        </w:tc>
        <w:tc>
          <w:tcPr>
            <w:tcW w:w="977"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86.6</w:t>
            </w:r>
          </w:p>
        </w:tc>
        <w:tc>
          <w:tcPr>
            <w:tcW w:w="983"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0.5</w:t>
            </w:r>
          </w:p>
        </w:tc>
        <w:tc>
          <w:tcPr>
            <w:tcW w:w="1140"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w:t>
            </w:r>
          </w:p>
        </w:tc>
        <w:tc>
          <w:tcPr>
            <w:tcW w:w="997"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4.1</w:t>
            </w:r>
          </w:p>
        </w:tc>
        <w:tc>
          <w:tcPr>
            <w:tcW w:w="987"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3.2</w:t>
            </w:r>
          </w:p>
        </w:tc>
        <w:tc>
          <w:tcPr>
            <w:tcW w:w="971" w:type="dxa"/>
          </w:tcPr>
          <w:p w:rsidR="00937E91" w:rsidRPr="00F46120" w:rsidRDefault="00937E91"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100</w:t>
            </w:r>
          </w:p>
        </w:tc>
      </w:tr>
      <w:tr w:rsidR="008320BB" w:rsidRPr="00F46120" w:rsidTr="00691244">
        <w:tc>
          <w:tcPr>
            <w:tcW w:w="1384" w:type="dxa"/>
          </w:tcPr>
          <w:p w:rsidR="008320BB" w:rsidRPr="00F46120" w:rsidRDefault="00934483"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2020-21</w:t>
            </w:r>
          </w:p>
        </w:tc>
        <w:tc>
          <w:tcPr>
            <w:tcW w:w="785" w:type="dxa"/>
          </w:tcPr>
          <w:p w:rsidR="008320BB" w:rsidRPr="00F46120" w:rsidRDefault="00934483"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0.5</w:t>
            </w:r>
          </w:p>
        </w:tc>
        <w:tc>
          <w:tcPr>
            <w:tcW w:w="1018" w:type="dxa"/>
          </w:tcPr>
          <w:p w:rsidR="008320BB" w:rsidRPr="00F46120" w:rsidRDefault="00934483"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6.5</w:t>
            </w:r>
          </w:p>
        </w:tc>
        <w:tc>
          <w:tcPr>
            <w:tcW w:w="977" w:type="dxa"/>
          </w:tcPr>
          <w:p w:rsidR="008320BB" w:rsidRPr="00F46120" w:rsidRDefault="00934483"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89.0</w:t>
            </w:r>
          </w:p>
        </w:tc>
        <w:tc>
          <w:tcPr>
            <w:tcW w:w="983" w:type="dxa"/>
          </w:tcPr>
          <w:p w:rsidR="008320BB" w:rsidRPr="00F46120" w:rsidRDefault="00934483"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0.3</w:t>
            </w:r>
          </w:p>
        </w:tc>
        <w:tc>
          <w:tcPr>
            <w:tcW w:w="1140" w:type="dxa"/>
          </w:tcPr>
          <w:p w:rsidR="008320BB" w:rsidRPr="00F46120" w:rsidRDefault="00934483"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0.5</w:t>
            </w:r>
          </w:p>
        </w:tc>
        <w:tc>
          <w:tcPr>
            <w:tcW w:w="997" w:type="dxa"/>
          </w:tcPr>
          <w:p w:rsidR="008320BB" w:rsidRPr="00F46120" w:rsidRDefault="00934483"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1.7</w:t>
            </w:r>
          </w:p>
        </w:tc>
        <w:tc>
          <w:tcPr>
            <w:tcW w:w="987" w:type="dxa"/>
          </w:tcPr>
          <w:p w:rsidR="008320BB" w:rsidRPr="00F46120" w:rsidRDefault="00934483"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1.5</w:t>
            </w:r>
          </w:p>
        </w:tc>
        <w:tc>
          <w:tcPr>
            <w:tcW w:w="971" w:type="dxa"/>
          </w:tcPr>
          <w:p w:rsidR="008320BB" w:rsidRPr="00F46120" w:rsidRDefault="00934483" w:rsidP="00140B90">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100</w:t>
            </w:r>
          </w:p>
        </w:tc>
      </w:tr>
    </w:tbl>
    <w:p w:rsidR="00D658F5" w:rsidRPr="00F46120" w:rsidRDefault="00533FA1" w:rsidP="00D658F5">
      <w:pPr>
        <w:spacing w:line="360" w:lineRule="auto"/>
        <w:ind w:firstLine="720"/>
        <w:jc w:val="both"/>
        <w:rPr>
          <w:rFonts w:ascii="Times New Roman" w:hAnsi="Times New Roman" w:cs="Times New Roman"/>
          <w:b/>
          <w:spacing w:val="2"/>
          <w:kern w:val="0"/>
          <w:sz w:val="20"/>
          <w:szCs w:val="20"/>
          <w14:ligatures w14:val="none"/>
        </w:rPr>
      </w:pPr>
      <w:r w:rsidRPr="00F46120">
        <w:rPr>
          <w:rFonts w:ascii="Times New Roman" w:hAnsi="Times New Roman" w:cs="Times New Roman"/>
          <w:b/>
          <w:spacing w:val="2"/>
          <w:kern w:val="0"/>
          <w:sz w:val="20"/>
          <w:szCs w:val="20"/>
          <w14:ligatures w14:val="none"/>
        </w:rPr>
        <w:t>Sources:</w:t>
      </w:r>
      <w:r w:rsidR="005774C4">
        <w:rPr>
          <w:rFonts w:ascii="Times New Roman" w:hAnsi="Times New Roman" w:cs="Times New Roman"/>
          <w:b/>
          <w:spacing w:val="2"/>
          <w:kern w:val="0"/>
          <w:sz w:val="20"/>
          <w:szCs w:val="20"/>
          <w14:ligatures w14:val="none"/>
        </w:rPr>
        <w:t xml:space="preserve"> NSSO 66</w:t>
      </w:r>
      <w:r w:rsidR="005774C4" w:rsidRPr="005774C4">
        <w:rPr>
          <w:rFonts w:ascii="Times New Roman" w:hAnsi="Times New Roman" w:cs="Times New Roman"/>
          <w:b/>
          <w:spacing w:val="2"/>
          <w:kern w:val="0"/>
          <w:sz w:val="20"/>
          <w:szCs w:val="20"/>
          <w:vertAlign w:val="superscript"/>
          <w14:ligatures w14:val="none"/>
        </w:rPr>
        <w:t>th</w:t>
      </w:r>
      <w:r w:rsidR="005774C4">
        <w:rPr>
          <w:rFonts w:ascii="Times New Roman" w:hAnsi="Times New Roman" w:cs="Times New Roman"/>
          <w:b/>
          <w:spacing w:val="2"/>
          <w:kern w:val="0"/>
          <w:sz w:val="20"/>
          <w:szCs w:val="20"/>
          <w14:ligatures w14:val="none"/>
        </w:rPr>
        <w:t>,</w:t>
      </w:r>
      <w:r w:rsidRPr="00F46120">
        <w:rPr>
          <w:rFonts w:ascii="Times New Roman" w:hAnsi="Times New Roman" w:cs="Times New Roman"/>
          <w:b/>
          <w:spacing w:val="2"/>
          <w:kern w:val="0"/>
          <w:sz w:val="20"/>
          <w:szCs w:val="20"/>
          <w14:ligatures w14:val="none"/>
        </w:rPr>
        <w:t xml:space="preserve"> </w:t>
      </w:r>
      <w:r w:rsidR="0069467D" w:rsidRPr="00F46120">
        <w:rPr>
          <w:rFonts w:ascii="Times New Roman" w:hAnsi="Times New Roman" w:cs="Times New Roman"/>
          <w:b/>
          <w:spacing w:val="2"/>
          <w:kern w:val="0"/>
          <w:sz w:val="20"/>
          <w:szCs w:val="20"/>
          <w14:ligatures w14:val="none"/>
        </w:rPr>
        <w:t>NSSO 68</w:t>
      </w:r>
      <w:r w:rsidR="0069467D" w:rsidRPr="00F46120">
        <w:rPr>
          <w:rFonts w:ascii="Times New Roman" w:hAnsi="Times New Roman" w:cs="Times New Roman"/>
          <w:b/>
          <w:spacing w:val="2"/>
          <w:kern w:val="0"/>
          <w:sz w:val="20"/>
          <w:szCs w:val="20"/>
          <w:vertAlign w:val="superscript"/>
          <w14:ligatures w14:val="none"/>
        </w:rPr>
        <w:t>th</w:t>
      </w:r>
      <w:r w:rsidR="0069467D" w:rsidRPr="00F46120">
        <w:rPr>
          <w:rFonts w:ascii="Times New Roman" w:hAnsi="Times New Roman" w:cs="Times New Roman"/>
          <w:b/>
          <w:spacing w:val="2"/>
          <w:kern w:val="0"/>
          <w:sz w:val="20"/>
          <w:szCs w:val="20"/>
          <w14:ligatures w14:val="none"/>
        </w:rPr>
        <w:t xml:space="preserve"> (2011-12)</w:t>
      </w:r>
      <w:r w:rsidR="005774C4">
        <w:rPr>
          <w:rFonts w:ascii="Times New Roman" w:hAnsi="Times New Roman" w:cs="Times New Roman"/>
          <w:b/>
          <w:spacing w:val="2"/>
          <w:kern w:val="0"/>
          <w:sz w:val="20"/>
          <w:szCs w:val="20"/>
          <w14:ligatures w14:val="none"/>
        </w:rPr>
        <w:t>,</w:t>
      </w:r>
      <w:r w:rsidR="00934483" w:rsidRPr="00F46120">
        <w:rPr>
          <w:rFonts w:ascii="Times New Roman" w:hAnsi="Times New Roman" w:cs="Times New Roman"/>
          <w:b/>
          <w:spacing w:val="2"/>
          <w:kern w:val="0"/>
          <w:sz w:val="20"/>
          <w:szCs w:val="20"/>
          <w14:ligatures w14:val="none"/>
        </w:rPr>
        <w:t xml:space="preserve"> NSSO 76</w:t>
      </w:r>
      <w:r w:rsidR="00934483" w:rsidRPr="00F46120">
        <w:rPr>
          <w:rFonts w:ascii="Times New Roman" w:hAnsi="Times New Roman" w:cs="Times New Roman"/>
          <w:b/>
          <w:spacing w:val="2"/>
          <w:kern w:val="0"/>
          <w:sz w:val="20"/>
          <w:szCs w:val="20"/>
          <w:vertAlign w:val="superscript"/>
          <w14:ligatures w14:val="none"/>
        </w:rPr>
        <w:t>th</w:t>
      </w:r>
      <w:r w:rsidR="00934483" w:rsidRPr="00F46120">
        <w:rPr>
          <w:rFonts w:ascii="Times New Roman" w:hAnsi="Times New Roman" w:cs="Times New Roman"/>
          <w:b/>
          <w:spacing w:val="2"/>
          <w:kern w:val="0"/>
          <w:sz w:val="20"/>
          <w:szCs w:val="20"/>
          <w14:ligatures w14:val="none"/>
        </w:rPr>
        <w:t xml:space="preserve"> (2018) and NSS 78</w:t>
      </w:r>
      <w:r w:rsidR="00934483" w:rsidRPr="00F46120">
        <w:rPr>
          <w:rFonts w:ascii="Times New Roman" w:hAnsi="Times New Roman" w:cs="Times New Roman"/>
          <w:b/>
          <w:spacing w:val="2"/>
          <w:kern w:val="0"/>
          <w:sz w:val="20"/>
          <w:szCs w:val="20"/>
          <w:vertAlign w:val="superscript"/>
          <w14:ligatures w14:val="none"/>
        </w:rPr>
        <w:t>th</w:t>
      </w:r>
      <w:r w:rsidR="00934483" w:rsidRPr="00F46120">
        <w:rPr>
          <w:rFonts w:ascii="Times New Roman" w:hAnsi="Times New Roman" w:cs="Times New Roman"/>
          <w:b/>
          <w:spacing w:val="2"/>
          <w:kern w:val="0"/>
          <w:sz w:val="20"/>
          <w:szCs w:val="20"/>
          <w14:ligatures w14:val="none"/>
        </w:rPr>
        <w:t xml:space="preserve"> (2020-21)</w:t>
      </w:r>
    </w:p>
    <w:p w:rsidR="003544D9" w:rsidRDefault="00533FA1" w:rsidP="003544D9">
      <w:pPr>
        <w:spacing w:after="0" w:line="360" w:lineRule="auto"/>
        <w:ind w:firstLine="720"/>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Table 1 revealed that transition of fuels is faster in urban area compare with rural area. The clean fuel (LPG), only 1.9 percent of rural households used as a primary source of cooking energy in 1</w:t>
      </w:r>
      <w:r w:rsidR="00145720" w:rsidRPr="00F46120">
        <w:rPr>
          <w:rFonts w:ascii="Times New Roman" w:hAnsi="Times New Roman" w:cs="Times New Roman"/>
          <w:spacing w:val="2"/>
          <w:kern w:val="0"/>
          <w:sz w:val="20"/>
          <w:szCs w:val="20"/>
          <w14:ligatures w14:val="none"/>
        </w:rPr>
        <w:t>993-94 and it became 49.4 percent in 2020-21. In urban area, it was 29.9 percent in 1993-94 and then 89 percent in 2020-21</w:t>
      </w:r>
      <w:r w:rsidR="003544D9">
        <w:rPr>
          <w:rFonts w:ascii="Times New Roman" w:hAnsi="Times New Roman" w:cs="Times New Roman"/>
          <w:spacing w:val="2"/>
          <w:kern w:val="0"/>
          <w:sz w:val="20"/>
          <w:szCs w:val="20"/>
          <w14:ligatures w14:val="none"/>
        </w:rPr>
        <w:t>.</w:t>
      </w:r>
    </w:p>
    <w:p w:rsidR="000D4DBB" w:rsidRPr="003544D9" w:rsidRDefault="000D4DBB" w:rsidP="003544D9">
      <w:pPr>
        <w:spacing w:line="360" w:lineRule="auto"/>
        <w:ind w:firstLine="720"/>
        <w:jc w:val="both"/>
        <w:rPr>
          <w:rFonts w:ascii="Times New Roman" w:hAnsi="Times New Roman" w:cs="Times New Roman"/>
          <w:spacing w:val="2"/>
          <w:kern w:val="0"/>
          <w:sz w:val="20"/>
          <w:szCs w:val="20"/>
          <w14:ligatures w14:val="none"/>
        </w:rPr>
      </w:pPr>
      <w:r w:rsidRPr="00F46120">
        <w:rPr>
          <w:rFonts w:ascii="Times New Roman" w:hAnsi="Times New Roman" w:cs="Times New Roman"/>
          <w:b/>
          <w:spacing w:val="2"/>
          <w:kern w:val="0"/>
          <w:sz w:val="20"/>
          <w:szCs w:val="20"/>
          <w14:ligatures w14:val="none"/>
        </w:rPr>
        <w:t>Figure 1: Transition fuels use in Rural India from 1993-94 to 2020-21</w:t>
      </w:r>
    </w:p>
    <w:p w:rsidR="006809FB" w:rsidRPr="00F46120" w:rsidRDefault="006809FB" w:rsidP="003544D9">
      <w:pPr>
        <w:spacing w:line="360" w:lineRule="auto"/>
        <w:ind w:left="720" w:firstLine="720"/>
        <w:jc w:val="both"/>
        <w:rPr>
          <w:rFonts w:ascii="Times New Roman" w:hAnsi="Times New Roman" w:cs="Times New Roman"/>
          <w:spacing w:val="2"/>
          <w:kern w:val="0"/>
          <w:sz w:val="20"/>
          <w:szCs w:val="20"/>
          <w14:ligatures w14:val="none"/>
        </w:rPr>
      </w:pPr>
      <w:r w:rsidRPr="00F46120">
        <w:rPr>
          <w:rFonts w:ascii="Times New Roman" w:hAnsi="Times New Roman" w:cs="Times New Roman"/>
          <w:noProof/>
          <w:spacing w:val="2"/>
          <w:kern w:val="0"/>
          <w:sz w:val="20"/>
          <w:szCs w:val="20"/>
          <w:lang w:eastAsia="en-IN"/>
        </w:rPr>
        <w:drawing>
          <wp:inline distT="0" distB="0" distL="0" distR="0" wp14:anchorId="63E7BF20" wp14:editId="4C9C1D12">
            <wp:extent cx="3451412" cy="1963271"/>
            <wp:effectExtent l="0" t="0" r="15875" b="1841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45720" w:rsidRPr="00F46120" w:rsidRDefault="00145720" w:rsidP="00145720">
      <w:pPr>
        <w:spacing w:line="360" w:lineRule="auto"/>
        <w:ind w:firstLine="720"/>
        <w:jc w:val="both"/>
        <w:rPr>
          <w:rFonts w:ascii="Times New Roman" w:hAnsi="Times New Roman" w:cs="Times New Roman"/>
          <w:b/>
          <w:spacing w:val="2"/>
          <w:kern w:val="0"/>
          <w:sz w:val="20"/>
          <w:szCs w:val="20"/>
          <w14:ligatures w14:val="none"/>
        </w:rPr>
      </w:pPr>
      <w:r w:rsidRPr="00F46120">
        <w:rPr>
          <w:rFonts w:ascii="Times New Roman" w:hAnsi="Times New Roman" w:cs="Times New Roman"/>
          <w:b/>
          <w:spacing w:val="2"/>
          <w:kern w:val="0"/>
          <w:sz w:val="20"/>
          <w:szCs w:val="20"/>
          <w14:ligatures w14:val="none"/>
        </w:rPr>
        <w:t>Source: Sources:</w:t>
      </w:r>
      <w:r w:rsidR="00CE6B5B">
        <w:rPr>
          <w:rFonts w:ascii="Times New Roman" w:hAnsi="Times New Roman" w:cs="Times New Roman"/>
          <w:b/>
          <w:spacing w:val="2"/>
          <w:kern w:val="0"/>
          <w:sz w:val="20"/>
          <w:szCs w:val="20"/>
          <w14:ligatures w14:val="none"/>
        </w:rPr>
        <w:t xml:space="preserve"> NSSO 66</w:t>
      </w:r>
      <w:r w:rsidR="00CE6B5B" w:rsidRPr="00CE6B5B">
        <w:rPr>
          <w:rFonts w:ascii="Times New Roman" w:hAnsi="Times New Roman" w:cs="Times New Roman"/>
          <w:b/>
          <w:spacing w:val="2"/>
          <w:kern w:val="0"/>
          <w:sz w:val="20"/>
          <w:szCs w:val="20"/>
          <w:vertAlign w:val="superscript"/>
          <w14:ligatures w14:val="none"/>
        </w:rPr>
        <w:t>th</w:t>
      </w:r>
      <w:r w:rsidR="00CE6B5B">
        <w:rPr>
          <w:rFonts w:ascii="Times New Roman" w:hAnsi="Times New Roman" w:cs="Times New Roman"/>
          <w:b/>
          <w:spacing w:val="2"/>
          <w:kern w:val="0"/>
          <w:sz w:val="20"/>
          <w:szCs w:val="20"/>
          <w14:ligatures w14:val="none"/>
        </w:rPr>
        <w:t xml:space="preserve"> (2009-10),</w:t>
      </w:r>
      <w:r w:rsidRPr="00F46120">
        <w:rPr>
          <w:rFonts w:ascii="Times New Roman" w:hAnsi="Times New Roman" w:cs="Times New Roman"/>
          <w:b/>
          <w:spacing w:val="2"/>
          <w:kern w:val="0"/>
          <w:sz w:val="20"/>
          <w:szCs w:val="20"/>
          <w14:ligatures w14:val="none"/>
        </w:rPr>
        <w:t xml:space="preserve"> NSSO 68</w:t>
      </w:r>
      <w:r w:rsidRPr="00F46120">
        <w:rPr>
          <w:rFonts w:ascii="Times New Roman" w:hAnsi="Times New Roman" w:cs="Times New Roman"/>
          <w:b/>
          <w:spacing w:val="2"/>
          <w:kern w:val="0"/>
          <w:sz w:val="20"/>
          <w:szCs w:val="20"/>
          <w:vertAlign w:val="superscript"/>
          <w14:ligatures w14:val="none"/>
        </w:rPr>
        <w:t>th</w:t>
      </w:r>
      <w:r w:rsidRPr="00F46120">
        <w:rPr>
          <w:rFonts w:ascii="Times New Roman" w:hAnsi="Times New Roman" w:cs="Times New Roman"/>
          <w:b/>
          <w:spacing w:val="2"/>
          <w:kern w:val="0"/>
          <w:sz w:val="20"/>
          <w:szCs w:val="20"/>
          <w14:ligatures w14:val="none"/>
        </w:rPr>
        <w:t xml:space="preserve"> (2011-12)</w:t>
      </w:r>
      <w:r w:rsidR="00CE6B5B">
        <w:rPr>
          <w:rFonts w:ascii="Times New Roman" w:hAnsi="Times New Roman" w:cs="Times New Roman"/>
          <w:b/>
          <w:spacing w:val="2"/>
          <w:kern w:val="0"/>
          <w:sz w:val="20"/>
          <w:szCs w:val="20"/>
          <w14:ligatures w14:val="none"/>
        </w:rPr>
        <w:t>,</w:t>
      </w:r>
      <w:r w:rsidRPr="00F46120">
        <w:rPr>
          <w:rFonts w:ascii="Times New Roman" w:hAnsi="Times New Roman" w:cs="Times New Roman"/>
          <w:b/>
          <w:spacing w:val="2"/>
          <w:kern w:val="0"/>
          <w:sz w:val="20"/>
          <w:szCs w:val="20"/>
          <w14:ligatures w14:val="none"/>
        </w:rPr>
        <w:t xml:space="preserve"> NSSO 76</w:t>
      </w:r>
      <w:r w:rsidRPr="00F46120">
        <w:rPr>
          <w:rFonts w:ascii="Times New Roman" w:hAnsi="Times New Roman" w:cs="Times New Roman"/>
          <w:b/>
          <w:spacing w:val="2"/>
          <w:kern w:val="0"/>
          <w:sz w:val="20"/>
          <w:szCs w:val="20"/>
          <w:vertAlign w:val="superscript"/>
          <w14:ligatures w14:val="none"/>
        </w:rPr>
        <w:t>th</w:t>
      </w:r>
      <w:r w:rsidRPr="00F46120">
        <w:rPr>
          <w:rFonts w:ascii="Times New Roman" w:hAnsi="Times New Roman" w:cs="Times New Roman"/>
          <w:b/>
          <w:spacing w:val="2"/>
          <w:kern w:val="0"/>
          <w:sz w:val="20"/>
          <w:szCs w:val="20"/>
          <w14:ligatures w14:val="none"/>
        </w:rPr>
        <w:t xml:space="preserve"> (2018) and NSS 78</w:t>
      </w:r>
      <w:r w:rsidRPr="00F46120">
        <w:rPr>
          <w:rFonts w:ascii="Times New Roman" w:hAnsi="Times New Roman" w:cs="Times New Roman"/>
          <w:b/>
          <w:spacing w:val="2"/>
          <w:kern w:val="0"/>
          <w:sz w:val="20"/>
          <w:szCs w:val="20"/>
          <w:vertAlign w:val="superscript"/>
          <w14:ligatures w14:val="none"/>
        </w:rPr>
        <w:t>th</w:t>
      </w:r>
      <w:r w:rsidRPr="00F46120">
        <w:rPr>
          <w:rFonts w:ascii="Times New Roman" w:hAnsi="Times New Roman" w:cs="Times New Roman"/>
          <w:b/>
          <w:spacing w:val="2"/>
          <w:kern w:val="0"/>
          <w:sz w:val="20"/>
          <w:szCs w:val="20"/>
          <w14:ligatures w14:val="none"/>
        </w:rPr>
        <w:t xml:space="preserve"> (2020-21)</w:t>
      </w:r>
    </w:p>
    <w:p w:rsidR="00761244" w:rsidRPr="00F46120" w:rsidRDefault="00145720" w:rsidP="003544D9">
      <w:pPr>
        <w:spacing w:after="0" w:line="360" w:lineRule="auto"/>
        <w:ind w:firstLine="720"/>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 xml:space="preserve">The above figure 1 show the simple trend line primary cooking fuels </w:t>
      </w:r>
      <w:r w:rsidR="00DA1604" w:rsidRPr="00F46120">
        <w:rPr>
          <w:rFonts w:ascii="Times New Roman" w:hAnsi="Times New Roman" w:cs="Times New Roman"/>
          <w:spacing w:val="2"/>
          <w:kern w:val="0"/>
          <w:sz w:val="20"/>
          <w:szCs w:val="20"/>
          <w14:ligatures w14:val="none"/>
        </w:rPr>
        <w:t xml:space="preserve">used by the rural households all India from 1993-94 to 2020-21. It is observed that only two sources of energy are main i.e. LPG and firewood that are approaching each other. The LPG is increasing and firewood is decreasing. It is also found that all other sources of energy used for cooking by the households are </w:t>
      </w:r>
      <w:r w:rsidR="00003699" w:rsidRPr="00F46120">
        <w:rPr>
          <w:rFonts w:ascii="Times New Roman" w:hAnsi="Times New Roman" w:cs="Times New Roman"/>
          <w:spacing w:val="2"/>
          <w:kern w:val="0"/>
          <w:sz w:val="20"/>
          <w:szCs w:val="20"/>
          <w14:ligatures w14:val="none"/>
        </w:rPr>
        <w:t>decreasing;</w:t>
      </w:r>
      <w:r w:rsidR="00DA1604" w:rsidRPr="00F46120">
        <w:rPr>
          <w:rFonts w:ascii="Times New Roman" w:hAnsi="Times New Roman" w:cs="Times New Roman"/>
          <w:spacing w:val="2"/>
          <w:kern w:val="0"/>
          <w:sz w:val="20"/>
          <w:szCs w:val="20"/>
          <w14:ligatures w14:val="none"/>
        </w:rPr>
        <w:t xml:space="preserve"> some of them increase t</w:t>
      </w:r>
      <w:r w:rsidR="00003699" w:rsidRPr="00F46120">
        <w:rPr>
          <w:rFonts w:ascii="Times New Roman" w:hAnsi="Times New Roman" w:cs="Times New Roman"/>
          <w:spacing w:val="2"/>
          <w:kern w:val="0"/>
          <w:sz w:val="20"/>
          <w:szCs w:val="20"/>
          <w14:ligatures w14:val="none"/>
        </w:rPr>
        <w:t>ill 2012 but they start declining from 2012. It is cleared that cooking transition has taken in India since the primary use of clean cooking fuels increase in every decade.</w:t>
      </w:r>
    </w:p>
    <w:p w:rsidR="00003699" w:rsidRDefault="00003699" w:rsidP="003544D9">
      <w:pPr>
        <w:spacing w:after="0" w:line="360" w:lineRule="auto"/>
        <w:ind w:firstLine="720"/>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 xml:space="preserve">The figure 2 indicate that the urban households use primary sources of energy used for cooking all India from 1993-94 to 2020-21. It is revealed that the used LPG is increasing </w:t>
      </w:r>
      <w:r w:rsidR="008E0B0B" w:rsidRPr="00F46120">
        <w:rPr>
          <w:rFonts w:ascii="Times New Roman" w:hAnsi="Times New Roman" w:cs="Times New Roman"/>
          <w:spacing w:val="2"/>
          <w:kern w:val="0"/>
          <w:sz w:val="20"/>
          <w:szCs w:val="20"/>
          <w14:ligatures w14:val="none"/>
        </w:rPr>
        <w:t>very rapidly but other sources of energy are declining. Firewood &amp; chips was already 29.9 percent in 1993-94 and it became only 6.5 percent. The LPG was 29.6 percent in 1993-94 and 89 percent in 2020-21. So it is observed that transition of clean cooking fuels is faster in urban area compare with rural area.</w:t>
      </w:r>
    </w:p>
    <w:p w:rsidR="00CE6B5B" w:rsidRDefault="00CE6B5B" w:rsidP="003544D9">
      <w:pPr>
        <w:spacing w:after="0" w:line="360" w:lineRule="auto"/>
        <w:ind w:firstLine="720"/>
        <w:jc w:val="both"/>
        <w:rPr>
          <w:rFonts w:ascii="Times New Roman" w:hAnsi="Times New Roman" w:cs="Times New Roman"/>
          <w:spacing w:val="2"/>
          <w:kern w:val="0"/>
          <w:sz w:val="20"/>
          <w:szCs w:val="20"/>
          <w14:ligatures w14:val="none"/>
        </w:rPr>
      </w:pPr>
    </w:p>
    <w:p w:rsidR="00CE6B5B" w:rsidRPr="00F46120" w:rsidRDefault="00CE6B5B" w:rsidP="003544D9">
      <w:pPr>
        <w:spacing w:after="0" w:line="360" w:lineRule="auto"/>
        <w:ind w:firstLine="720"/>
        <w:jc w:val="both"/>
        <w:rPr>
          <w:rFonts w:ascii="Times New Roman" w:hAnsi="Times New Roman" w:cs="Times New Roman"/>
          <w:spacing w:val="2"/>
          <w:kern w:val="0"/>
          <w:sz w:val="20"/>
          <w:szCs w:val="20"/>
          <w14:ligatures w14:val="none"/>
        </w:rPr>
      </w:pPr>
    </w:p>
    <w:p w:rsidR="006809FB" w:rsidRPr="00F46120" w:rsidRDefault="00003699" w:rsidP="00761244">
      <w:pPr>
        <w:spacing w:line="360" w:lineRule="auto"/>
        <w:ind w:firstLine="720"/>
        <w:jc w:val="both"/>
        <w:rPr>
          <w:rFonts w:ascii="Times New Roman" w:hAnsi="Times New Roman" w:cs="Times New Roman"/>
          <w:b/>
          <w:spacing w:val="2"/>
          <w:kern w:val="0"/>
          <w:sz w:val="20"/>
          <w:szCs w:val="20"/>
          <w14:ligatures w14:val="none"/>
        </w:rPr>
      </w:pPr>
      <w:r w:rsidRPr="00F46120">
        <w:rPr>
          <w:rFonts w:ascii="Times New Roman" w:hAnsi="Times New Roman" w:cs="Times New Roman"/>
          <w:b/>
          <w:spacing w:val="2"/>
          <w:kern w:val="0"/>
          <w:sz w:val="20"/>
          <w:szCs w:val="20"/>
          <w14:ligatures w14:val="none"/>
        </w:rPr>
        <w:t>Figure 2</w:t>
      </w:r>
      <w:r w:rsidR="00761244" w:rsidRPr="00F46120">
        <w:rPr>
          <w:rFonts w:ascii="Times New Roman" w:hAnsi="Times New Roman" w:cs="Times New Roman"/>
          <w:b/>
          <w:spacing w:val="2"/>
          <w:kern w:val="0"/>
          <w:sz w:val="20"/>
          <w:szCs w:val="20"/>
          <w14:ligatures w14:val="none"/>
        </w:rPr>
        <w:t>: Transit</w:t>
      </w:r>
      <w:r w:rsidRPr="00F46120">
        <w:rPr>
          <w:rFonts w:ascii="Times New Roman" w:hAnsi="Times New Roman" w:cs="Times New Roman"/>
          <w:b/>
          <w:spacing w:val="2"/>
          <w:kern w:val="0"/>
          <w:sz w:val="20"/>
          <w:szCs w:val="20"/>
          <w14:ligatures w14:val="none"/>
        </w:rPr>
        <w:t>ion fuels use in urban</w:t>
      </w:r>
      <w:r w:rsidR="00761244" w:rsidRPr="00F46120">
        <w:rPr>
          <w:rFonts w:ascii="Times New Roman" w:hAnsi="Times New Roman" w:cs="Times New Roman"/>
          <w:b/>
          <w:spacing w:val="2"/>
          <w:kern w:val="0"/>
          <w:sz w:val="20"/>
          <w:szCs w:val="20"/>
          <w14:ligatures w14:val="none"/>
        </w:rPr>
        <w:t xml:space="preserve"> India from 1993-94 to 2020-21</w:t>
      </w:r>
    </w:p>
    <w:p w:rsidR="006809FB" w:rsidRPr="00F46120" w:rsidRDefault="000D4DBB" w:rsidP="00D658F5">
      <w:pPr>
        <w:spacing w:line="360" w:lineRule="auto"/>
        <w:ind w:firstLine="720"/>
        <w:jc w:val="both"/>
        <w:rPr>
          <w:rFonts w:ascii="Times New Roman" w:hAnsi="Times New Roman" w:cs="Times New Roman"/>
          <w:spacing w:val="2"/>
          <w:kern w:val="0"/>
          <w:sz w:val="20"/>
          <w:szCs w:val="20"/>
          <w14:ligatures w14:val="none"/>
        </w:rPr>
      </w:pPr>
      <w:r w:rsidRPr="00F46120">
        <w:rPr>
          <w:rFonts w:ascii="Times New Roman" w:hAnsi="Times New Roman" w:cs="Times New Roman"/>
          <w:noProof/>
          <w:spacing w:val="2"/>
          <w:kern w:val="0"/>
          <w:sz w:val="20"/>
          <w:szCs w:val="20"/>
          <w:lang w:eastAsia="en-IN"/>
        </w:rPr>
        <w:drawing>
          <wp:inline distT="0" distB="0" distL="0" distR="0" wp14:anchorId="1C140B57" wp14:editId="4803CD3D">
            <wp:extent cx="5486400" cy="32004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A5019" w:rsidRPr="00F46120" w:rsidRDefault="008A5019" w:rsidP="003544D9">
      <w:pPr>
        <w:spacing w:after="0" w:line="360" w:lineRule="auto"/>
        <w:ind w:firstLine="720"/>
        <w:jc w:val="both"/>
        <w:rPr>
          <w:rFonts w:ascii="Times New Roman" w:hAnsi="Times New Roman" w:cs="Times New Roman"/>
          <w:b/>
          <w:spacing w:val="2"/>
          <w:kern w:val="0"/>
          <w:sz w:val="20"/>
          <w:szCs w:val="20"/>
          <w14:ligatures w14:val="none"/>
        </w:rPr>
      </w:pPr>
      <w:r w:rsidRPr="00F46120">
        <w:rPr>
          <w:rFonts w:ascii="Times New Roman" w:hAnsi="Times New Roman" w:cs="Times New Roman"/>
          <w:b/>
          <w:spacing w:val="2"/>
          <w:kern w:val="0"/>
          <w:sz w:val="20"/>
          <w:szCs w:val="20"/>
          <w14:ligatures w14:val="none"/>
        </w:rPr>
        <w:t>Source: Sources:</w:t>
      </w:r>
      <w:r w:rsidR="00CE6B5B">
        <w:rPr>
          <w:rFonts w:ascii="Times New Roman" w:hAnsi="Times New Roman" w:cs="Times New Roman"/>
          <w:b/>
          <w:spacing w:val="2"/>
          <w:kern w:val="0"/>
          <w:sz w:val="20"/>
          <w:szCs w:val="20"/>
          <w14:ligatures w14:val="none"/>
        </w:rPr>
        <w:t xml:space="preserve"> NSSO 66</w:t>
      </w:r>
      <w:r w:rsidR="00CE6B5B" w:rsidRPr="00CE6B5B">
        <w:rPr>
          <w:rFonts w:ascii="Times New Roman" w:hAnsi="Times New Roman" w:cs="Times New Roman"/>
          <w:b/>
          <w:spacing w:val="2"/>
          <w:kern w:val="0"/>
          <w:sz w:val="20"/>
          <w:szCs w:val="20"/>
          <w:vertAlign w:val="superscript"/>
          <w14:ligatures w14:val="none"/>
        </w:rPr>
        <w:t>th</w:t>
      </w:r>
      <w:r w:rsidR="00CE6B5B">
        <w:rPr>
          <w:rFonts w:ascii="Times New Roman" w:hAnsi="Times New Roman" w:cs="Times New Roman"/>
          <w:b/>
          <w:spacing w:val="2"/>
          <w:kern w:val="0"/>
          <w:sz w:val="20"/>
          <w:szCs w:val="20"/>
          <w14:ligatures w14:val="none"/>
        </w:rPr>
        <w:t xml:space="preserve"> (2009-10),</w:t>
      </w:r>
      <w:r w:rsidRPr="00F46120">
        <w:rPr>
          <w:rFonts w:ascii="Times New Roman" w:hAnsi="Times New Roman" w:cs="Times New Roman"/>
          <w:b/>
          <w:spacing w:val="2"/>
          <w:kern w:val="0"/>
          <w:sz w:val="20"/>
          <w:szCs w:val="20"/>
          <w14:ligatures w14:val="none"/>
        </w:rPr>
        <w:t xml:space="preserve"> NSSO 68</w:t>
      </w:r>
      <w:r w:rsidRPr="00F46120">
        <w:rPr>
          <w:rFonts w:ascii="Times New Roman" w:hAnsi="Times New Roman" w:cs="Times New Roman"/>
          <w:b/>
          <w:spacing w:val="2"/>
          <w:kern w:val="0"/>
          <w:sz w:val="20"/>
          <w:szCs w:val="20"/>
          <w:vertAlign w:val="superscript"/>
          <w14:ligatures w14:val="none"/>
        </w:rPr>
        <w:t>th</w:t>
      </w:r>
      <w:r w:rsidR="00CE6B5B">
        <w:rPr>
          <w:rFonts w:ascii="Times New Roman" w:hAnsi="Times New Roman" w:cs="Times New Roman"/>
          <w:b/>
          <w:spacing w:val="2"/>
          <w:kern w:val="0"/>
          <w:sz w:val="20"/>
          <w:szCs w:val="20"/>
          <w14:ligatures w14:val="none"/>
        </w:rPr>
        <w:t xml:space="preserve"> (2011-12), </w:t>
      </w:r>
      <w:r w:rsidRPr="00F46120">
        <w:rPr>
          <w:rFonts w:ascii="Times New Roman" w:hAnsi="Times New Roman" w:cs="Times New Roman"/>
          <w:b/>
          <w:spacing w:val="2"/>
          <w:kern w:val="0"/>
          <w:sz w:val="20"/>
          <w:szCs w:val="20"/>
          <w14:ligatures w14:val="none"/>
        </w:rPr>
        <w:t>NSSO 76</w:t>
      </w:r>
      <w:r w:rsidRPr="00F46120">
        <w:rPr>
          <w:rFonts w:ascii="Times New Roman" w:hAnsi="Times New Roman" w:cs="Times New Roman"/>
          <w:b/>
          <w:spacing w:val="2"/>
          <w:kern w:val="0"/>
          <w:sz w:val="20"/>
          <w:szCs w:val="20"/>
          <w:vertAlign w:val="superscript"/>
          <w14:ligatures w14:val="none"/>
        </w:rPr>
        <w:t>th</w:t>
      </w:r>
      <w:r w:rsidRPr="00F46120">
        <w:rPr>
          <w:rFonts w:ascii="Times New Roman" w:hAnsi="Times New Roman" w:cs="Times New Roman"/>
          <w:b/>
          <w:spacing w:val="2"/>
          <w:kern w:val="0"/>
          <w:sz w:val="20"/>
          <w:szCs w:val="20"/>
          <w14:ligatures w14:val="none"/>
        </w:rPr>
        <w:t xml:space="preserve"> (2018) and NSS 78</w:t>
      </w:r>
      <w:r w:rsidRPr="00F46120">
        <w:rPr>
          <w:rFonts w:ascii="Times New Roman" w:hAnsi="Times New Roman" w:cs="Times New Roman"/>
          <w:b/>
          <w:spacing w:val="2"/>
          <w:kern w:val="0"/>
          <w:sz w:val="20"/>
          <w:szCs w:val="20"/>
          <w:vertAlign w:val="superscript"/>
          <w14:ligatures w14:val="none"/>
        </w:rPr>
        <w:t>th</w:t>
      </w:r>
      <w:r w:rsidRPr="00F46120">
        <w:rPr>
          <w:rFonts w:ascii="Times New Roman" w:hAnsi="Times New Roman" w:cs="Times New Roman"/>
          <w:b/>
          <w:spacing w:val="2"/>
          <w:kern w:val="0"/>
          <w:sz w:val="20"/>
          <w:szCs w:val="20"/>
          <w14:ligatures w14:val="none"/>
        </w:rPr>
        <w:t xml:space="preserve"> (2020-21)</w:t>
      </w:r>
    </w:p>
    <w:p w:rsidR="00DA4433" w:rsidRPr="00F46120" w:rsidRDefault="00DA4433" w:rsidP="003544D9">
      <w:pPr>
        <w:spacing w:after="0" w:line="360" w:lineRule="auto"/>
        <w:ind w:firstLine="720"/>
        <w:jc w:val="both"/>
        <w:rPr>
          <w:rFonts w:ascii="Times New Roman" w:hAnsi="Times New Roman" w:cs="Times New Roman"/>
          <w:spacing w:val="2"/>
          <w:kern w:val="0"/>
          <w:sz w:val="20"/>
          <w:szCs w:val="20"/>
          <w14:ligatures w14:val="none"/>
        </w:rPr>
      </w:pPr>
      <w:r w:rsidRPr="00F46120">
        <w:rPr>
          <w:rFonts w:ascii="Times New Roman" w:hAnsi="Times New Roman" w:cs="Times New Roman"/>
          <w:spacing w:val="2"/>
          <w:kern w:val="0"/>
          <w:sz w:val="20"/>
          <w:szCs w:val="20"/>
          <w14:ligatures w14:val="none"/>
        </w:rPr>
        <w:t xml:space="preserve">The figure 3 indicate that the rate of households access different sources of cooking energy in 2020. LPG is accessed by 85 percent of households and 5 percent </w:t>
      </w:r>
      <w:r w:rsidR="00E82870" w:rsidRPr="00F46120">
        <w:rPr>
          <w:rFonts w:ascii="Times New Roman" w:hAnsi="Times New Roman" w:cs="Times New Roman"/>
          <w:spacing w:val="2"/>
          <w:kern w:val="0"/>
          <w:sz w:val="20"/>
          <w:szCs w:val="20"/>
          <w14:ligatures w14:val="none"/>
        </w:rPr>
        <w:t>electricity and firewood (49.4%), crop residue (15.4%), dunk cake (23.70%), and others (13%).</w:t>
      </w:r>
    </w:p>
    <w:p w:rsidR="00EB0F76" w:rsidRPr="00F46120" w:rsidRDefault="00EB0F76" w:rsidP="003544D9">
      <w:pPr>
        <w:ind w:firstLine="720"/>
        <w:jc w:val="both"/>
        <w:rPr>
          <w:rFonts w:ascii="Times New Roman" w:hAnsi="Times New Roman" w:cs="Times New Roman"/>
          <w:sz w:val="20"/>
          <w:szCs w:val="20"/>
        </w:rPr>
      </w:pPr>
      <w:r w:rsidRPr="00F46120">
        <w:rPr>
          <w:rFonts w:ascii="Times New Roman" w:hAnsi="Times New Roman" w:cs="Times New Roman"/>
          <w:noProof/>
          <w:sz w:val="20"/>
          <w:szCs w:val="20"/>
          <w:lang w:eastAsia="en-IN"/>
        </w:rPr>
        <w:drawing>
          <wp:inline distT="0" distB="0" distL="0" distR="0" wp14:anchorId="54E585AF" wp14:editId="04467354">
            <wp:extent cx="4849906" cy="1963271"/>
            <wp:effectExtent l="0" t="0" r="27305" b="1841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650A5" w:rsidRPr="003544D9" w:rsidRDefault="002650A5" w:rsidP="002650A5">
      <w:pPr>
        <w:ind w:firstLine="720"/>
        <w:jc w:val="center"/>
        <w:rPr>
          <w:rFonts w:ascii="Times New Roman" w:hAnsi="Times New Roman" w:cs="Times New Roman"/>
          <w:b/>
          <w:sz w:val="20"/>
          <w:szCs w:val="20"/>
        </w:rPr>
      </w:pPr>
      <w:r w:rsidRPr="003544D9">
        <w:rPr>
          <w:rFonts w:ascii="Times New Roman" w:hAnsi="Times New Roman" w:cs="Times New Roman"/>
          <w:b/>
          <w:sz w:val="20"/>
          <w:szCs w:val="20"/>
        </w:rPr>
        <w:t>Source: IRES, 2020</w:t>
      </w:r>
    </w:p>
    <w:p w:rsidR="00EB0F76" w:rsidRPr="00F46120" w:rsidRDefault="001169FC" w:rsidP="001169FC">
      <w:pPr>
        <w:jc w:val="both"/>
        <w:rPr>
          <w:rFonts w:ascii="Times New Roman" w:hAnsi="Times New Roman" w:cs="Times New Roman"/>
          <w:sz w:val="20"/>
          <w:szCs w:val="20"/>
        </w:rPr>
      </w:pPr>
      <w:r w:rsidRPr="00F46120">
        <w:rPr>
          <w:rFonts w:ascii="Times New Roman" w:hAnsi="Times New Roman" w:cs="Times New Roman"/>
          <w:sz w:val="20"/>
          <w:szCs w:val="20"/>
        </w:rPr>
        <w:t>The figure 4 indicates the rate households use primary sources of energy for cooking all India in 2020-21. The 62 percent of households use LPG as primary source of e</w:t>
      </w:r>
      <w:r w:rsidR="00BE5D17" w:rsidRPr="00F46120">
        <w:rPr>
          <w:rFonts w:ascii="Times New Roman" w:hAnsi="Times New Roman" w:cs="Times New Roman"/>
          <w:sz w:val="20"/>
          <w:szCs w:val="20"/>
        </w:rPr>
        <w:t xml:space="preserve">nergy for cooking and firewood, chips &amp; crop residue (33.8%), other natural gas (0.5%), dunk cake (2.2%), kerosene (0.2%), coke/coal (0.4%), </w:t>
      </w:r>
      <w:proofErr w:type="spellStart"/>
      <w:r w:rsidR="00BE5D17" w:rsidRPr="00F46120">
        <w:rPr>
          <w:rFonts w:ascii="Times New Roman" w:hAnsi="Times New Roman" w:cs="Times New Roman"/>
          <w:sz w:val="20"/>
          <w:szCs w:val="20"/>
        </w:rPr>
        <w:t>gobar</w:t>
      </w:r>
      <w:proofErr w:type="spellEnd"/>
      <w:r w:rsidR="00BE5D17" w:rsidRPr="00F46120">
        <w:rPr>
          <w:rFonts w:ascii="Times New Roman" w:hAnsi="Times New Roman" w:cs="Times New Roman"/>
          <w:sz w:val="20"/>
          <w:szCs w:val="20"/>
        </w:rPr>
        <w:t xml:space="preserve"> gas (0.1%), electricity (0.1%) and no cooking (0.7%).  It is found that only 62.6 percent (LPG, electricity and other natural gases) of households are using clean fuel as the primary source of energy for cooking. Observing the both figures 3 and 4, </w:t>
      </w:r>
      <w:r w:rsidR="004E19AE" w:rsidRPr="00F46120">
        <w:rPr>
          <w:rFonts w:ascii="Times New Roman" w:hAnsi="Times New Roman" w:cs="Times New Roman"/>
          <w:sz w:val="20"/>
          <w:szCs w:val="20"/>
        </w:rPr>
        <w:t>90 percent of household are assessing clean fuels for cooking ( LPG 85% and 5% electricity) but only 62.3 percent are use clean fuels as their primary for cooking. So the rate of households accessed to clean fuel is significant but primary use it for cooking is insignificant.</w:t>
      </w:r>
      <w:r w:rsidR="008273F6" w:rsidRPr="00F46120">
        <w:rPr>
          <w:rFonts w:ascii="Times New Roman" w:hAnsi="Times New Roman" w:cs="Times New Roman"/>
          <w:sz w:val="20"/>
          <w:szCs w:val="20"/>
        </w:rPr>
        <w:t xml:space="preserve"> </w:t>
      </w:r>
    </w:p>
    <w:p w:rsidR="001169FC" w:rsidRPr="00F46120" w:rsidRDefault="001169FC" w:rsidP="001169FC">
      <w:pPr>
        <w:jc w:val="both"/>
        <w:rPr>
          <w:rFonts w:ascii="Times New Roman" w:hAnsi="Times New Roman" w:cs="Times New Roman"/>
          <w:sz w:val="20"/>
          <w:szCs w:val="20"/>
        </w:rPr>
      </w:pPr>
    </w:p>
    <w:p w:rsidR="00EB0F76" w:rsidRPr="00F46120" w:rsidRDefault="00EB0F76" w:rsidP="008273F6">
      <w:pPr>
        <w:ind w:firstLine="720"/>
        <w:jc w:val="both"/>
        <w:rPr>
          <w:rFonts w:ascii="Times New Roman" w:hAnsi="Times New Roman" w:cs="Times New Roman"/>
          <w:sz w:val="20"/>
          <w:szCs w:val="20"/>
        </w:rPr>
      </w:pPr>
      <w:r w:rsidRPr="00F46120">
        <w:rPr>
          <w:rFonts w:ascii="Times New Roman" w:hAnsi="Times New Roman" w:cs="Times New Roman"/>
          <w:noProof/>
          <w:sz w:val="20"/>
          <w:szCs w:val="20"/>
          <w:lang w:eastAsia="en-IN"/>
        </w:rPr>
        <w:drawing>
          <wp:inline distT="0" distB="0" distL="0" distR="0" wp14:anchorId="1DC30E72" wp14:editId="5F0DF657">
            <wp:extent cx="5486400" cy="32004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544D9" w:rsidRDefault="002650A5" w:rsidP="005E4B4B">
      <w:pPr>
        <w:ind w:firstLine="720"/>
        <w:jc w:val="center"/>
        <w:rPr>
          <w:rFonts w:ascii="Times New Roman" w:hAnsi="Times New Roman" w:cs="Times New Roman"/>
          <w:b/>
          <w:spacing w:val="2"/>
          <w:kern w:val="0"/>
          <w:sz w:val="20"/>
          <w:szCs w:val="20"/>
          <w14:ligatures w14:val="none"/>
        </w:rPr>
      </w:pPr>
      <w:r w:rsidRPr="00F46120">
        <w:rPr>
          <w:rFonts w:ascii="Times New Roman" w:hAnsi="Times New Roman" w:cs="Times New Roman"/>
          <w:b/>
          <w:spacing w:val="2"/>
          <w:kern w:val="0"/>
          <w:sz w:val="20"/>
          <w:szCs w:val="20"/>
          <w14:ligatures w14:val="none"/>
        </w:rPr>
        <w:t>Source: NSS 78</w:t>
      </w:r>
      <w:r w:rsidRPr="00F46120">
        <w:rPr>
          <w:rFonts w:ascii="Times New Roman" w:hAnsi="Times New Roman" w:cs="Times New Roman"/>
          <w:b/>
          <w:spacing w:val="2"/>
          <w:kern w:val="0"/>
          <w:sz w:val="20"/>
          <w:szCs w:val="20"/>
          <w:vertAlign w:val="superscript"/>
          <w14:ligatures w14:val="none"/>
        </w:rPr>
        <w:t xml:space="preserve">th </w:t>
      </w:r>
      <w:r w:rsidRPr="00F46120">
        <w:rPr>
          <w:rFonts w:ascii="Times New Roman" w:hAnsi="Times New Roman" w:cs="Times New Roman"/>
          <w:b/>
          <w:spacing w:val="2"/>
          <w:kern w:val="0"/>
          <w:sz w:val="20"/>
          <w:szCs w:val="20"/>
          <w14:ligatures w14:val="none"/>
        </w:rPr>
        <w:t>round (2020-21)</w:t>
      </w:r>
    </w:p>
    <w:p w:rsidR="008A5019" w:rsidRPr="00F46120" w:rsidRDefault="005E4B4B" w:rsidP="00771CB3">
      <w:pPr>
        <w:spacing w:line="360" w:lineRule="auto"/>
        <w:jc w:val="both"/>
        <w:rPr>
          <w:rFonts w:ascii="Times New Roman" w:hAnsi="Times New Roman" w:cs="Times New Roman"/>
          <w:b/>
          <w:spacing w:val="2"/>
          <w:kern w:val="0"/>
          <w:sz w:val="20"/>
          <w:szCs w:val="20"/>
          <w14:ligatures w14:val="none"/>
        </w:rPr>
      </w:pPr>
      <w:r>
        <w:rPr>
          <w:rFonts w:ascii="Times New Roman" w:hAnsi="Times New Roman" w:cs="Times New Roman"/>
          <w:b/>
          <w:spacing w:val="2"/>
          <w:kern w:val="0"/>
          <w:sz w:val="20"/>
          <w:szCs w:val="20"/>
          <w14:ligatures w14:val="none"/>
        </w:rPr>
        <w:t>III</w:t>
      </w:r>
      <w:r w:rsidR="002643C7" w:rsidRPr="00F46120">
        <w:rPr>
          <w:rFonts w:ascii="Times New Roman" w:hAnsi="Times New Roman" w:cs="Times New Roman"/>
          <w:b/>
          <w:spacing w:val="2"/>
          <w:kern w:val="0"/>
          <w:sz w:val="20"/>
          <w:szCs w:val="20"/>
          <w14:ligatures w14:val="none"/>
        </w:rPr>
        <w:t xml:space="preserve">. </w:t>
      </w:r>
      <w:r w:rsidR="008A5019" w:rsidRPr="00F46120">
        <w:rPr>
          <w:rFonts w:ascii="Times New Roman" w:hAnsi="Times New Roman" w:cs="Times New Roman"/>
          <w:b/>
          <w:spacing w:val="2"/>
          <w:kern w:val="0"/>
          <w:sz w:val="20"/>
          <w:szCs w:val="20"/>
          <w14:ligatures w14:val="none"/>
        </w:rPr>
        <w:t xml:space="preserve">Trend of </w:t>
      </w:r>
      <w:r w:rsidR="00771CB3" w:rsidRPr="00F46120">
        <w:rPr>
          <w:rFonts w:ascii="Times New Roman" w:hAnsi="Times New Roman" w:cs="Times New Roman"/>
          <w:b/>
          <w:spacing w:val="2"/>
          <w:kern w:val="0"/>
          <w:sz w:val="20"/>
          <w:szCs w:val="20"/>
          <w14:ligatures w14:val="none"/>
        </w:rPr>
        <w:t>rate of population access to clean cooking fuels in India</w:t>
      </w:r>
    </w:p>
    <w:p w:rsidR="0024782A" w:rsidRPr="003544D9" w:rsidRDefault="00771CB3" w:rsidP="003544D9">
      <w:pPr>
        <w:spacing w:line="360" w:lineRule="auto"/>
        <w:jc w:val="both"/>
        <w:rPr>
          <w:rFonts w:ascii="Times New Roman" w:hAnsi="Times New Roman" w:cs="Times New Roman"/>
          <w:spacing w:val="2"/>
          <w:kern w:val="0"/>
          <w:sz w:val="20"/>
          <w:szCs w:val="20"/>
          <w14:ligatures w14:val="none"/>
        </w:rPr>
      </w:pPr>
      <w:r w:rsidRPr="00F46120">
        <w:rPr>
          <w:rFonts w:ascii="Times New Roman" w:hAnsi="Times New Roman" w:cs="Times New Roman"/>
          <w:b/>
          <w:spacing w:val="2"/>
          <w:kern w:val="0"/>
          <w:sz w:val="20"/>
          <w:szCs w:val="20"/>
          <w14:ligatures w14:val="none"/>
        </w:rPr>
        <w:tab/>
      </w:r>
      <w:r w:rsidRPr="00F46120">
        <w:rPr>
          <w:rFonts w:ascii="Times New Roman" w:hAnsi="Times New Roman" w:cs="Times New Roman"/>
          <w:spacing w:val="2"/>
          <w:kern w:val="0"/>
          <w:sz w:val="20"/>
          <w:szCs w:val="20"/>
          <w14:ligatures w14:val="none"/>
        </w:rPr>
        <w:t xml:space="preserve">Throughout this paper we have found transition cooking fuels all o India from 1993-94. Now we can analyse trend of rate of population access to clean cooking fuels in India. The World Bank has given the information that the different nations access to clean cooking fuels and technology basis of population. The figure 3 </w:t>
      </w:r>
      <w:r w:rsidR="00EB0F76" w:rsidRPr="00F46120">
        <w:rPr>
          <w:rFonts w:ascii="Times New Roman" w:hAnsi="Times New Roman" w:cs="Times New Roman"/>
          <w:spacing w:val="2"/>
          <w:kern w:val="0"/>
          <w:sz w:val="20"/>
          <w:szCs w:val="20"/>
          <w14:ligatures w14:val="none"/>
        </w:rPr>
        <w:t xml:space="preserve">show the simple trend line that the percentage of population access to clean cooking fuels in India. </w:t>
      </w:r>
      <w:r w:rsidR="00EB0F76" w:rsidRPr="00F46120">
        <w:rPr>
          <w:rFonts w:ascii="Times New Roman" w:hAnsi="Times New Roman" w:cs="Times New Roman"/>
          <w:kern w:val="0"/>
          <w:sz w:val="20"/>
          <w:szCs w:val="20"/>
          <w:lang w:eastAsia="en-IN"/>
          <w14:ligatures w14:val="none"/>
        </w:rPr>
        <w:t>It revealed that the percentage of urban population is more than the rural and overall that access the clean fuels over the different period.  The Indian 22% of population access clean cooking fuels in 2000, then increases to 68 % in 2020. While, in rural, area it was only 7% and 50% in urban area in 2000. In 2020, it became 54%</w:t>
      </w:r>
      <w:r w:rsidR="008273F6" w:rsidRPr="00F46120">
        <w:rPr>
          <w:rFonts w:ascii="Times New Roman" w:hAnsi="Times New Roman" w:cs="Times New Roman"/>
          <w:kern w:val="0"/>
          <w:sz w:val="20"/>
          <w:szCs w:val="20"/>
          <w:lang w:eastAsia="en-IN"/>
          <w14:ligatures w14:val="none"/>
        </w:rPr>
        <w:t xml:space="preserve"> in rural and 91% in urban area</w:t>
      </w:r>
      <w:r w:rsidR="003544D9">
        <w:rPr>
          <w:rFonts w:ascii="Times New Roman" w:hAnsi="Times New Roman" w:cs="Times New Roman"/>
          <w:spacing w:val="2"/>
          <w:kern w:val="0"/>
          <w:sz w:val="20"/>
          <w:szCs w:val="20"/>
          <w14:ligatures w14:val="none"/>
        </w:rPr>
        <w:t>.</w:t>
      </w:r>
    </w:p>
    <w:p w:rsidR="008A5019" w:rsidRPr="00F46120" w:rsidRDefault="008A5019" w:rsidP="008A5019">
      <w:pPr>
        <w:spacing w:line="360" w:lineRule="auto"/>
        <w:ind w:left="720" w:firstLine="720"/>
        <w:jc w:val="both"/>
        <w:rPr>
          <w:rFonts w:ascii="Times New Roman" w:hAnsi="Times New Roman" w:cs="Times New Roman"/>
          <w:kern w:val="0"/>
          <w:sz w:val="20"/>
          <w:szCs w:val="20"/>
          <w:lang w:eastAsia="en-IN"/>
          <w14:ligatures w14:val="none"/>
        </w:rPr>
      </w:pPr>
      <w:r w:rsidRPr="00F46120">
        <w:rPr>
          <w:rFonts w:ascii="Times New Roman" w:hAnsi="Times New Roman" w:cs="Times New Roman"/>
          <w:b/>
          <w:kern w:val="0"/>
          <w:sz w:val="20"/>
          <w:szCs w:val="20"/>
          <w14:ligatures w14:val="none"/>
        </w:rPr>
        <w:t xml:space="preserve">Figure </w:t>
      </w:r>
      <w:r w:rsidR="008273F6" w:rsidRPr="00F46120">
        <w:rPr>
          <w:rFonts w:ascii="Times New Roman" w:hAnsi="Times New Roman" w:cs="Times New Roman"/>
          <w:b/>
          <w:kern w:val="0"/>
          <w:sz w:val="20"/>
          <w:szCs w:val="20"/>
          <w14:ligatures w14:val="none"/>
        </w:rPr>
        <w:t>5</w:t>
      </w:r>
      <w:r w:rsidRPr="00F46120">
        <w:rPr>
          <w:rFonts w:ascii="Times New Roman" w:hAnsi="Times New Roman" w:cs="Times New Roman"/>
          <w:b/>
          <w:kern w:val="0"/>
          <w:sz w:val="20"/>
          <w:szCs w:val="20"/>
          <w14:ligatures w14:val="none"/>
        </w:rPr>
        <w:t>:</w:t>
      </w:r>
      <w:r w:rsidRPr="00F46120">
        <w:rPr>
          <w:rFonts w:ascii="Times New Roman" w:eastAsia="Times New Roman" w:hAnsi="Times New Roman" w:cs="Times New Roman"/>
          <w:b/>
          <w:kern w:val="0"/>
          <w:sz w:val="20"/>
          <w:szCs w:val="20"/>
          <w:lang w:eastAsia="en-IN"/>
          <w14:ligatures w14:val="none"/>
        </w:rPr>
        <w:t xml:space="preserve"> Rate of Population access to Clean Cooking fuels in India </w:t>
      </w:r>
    </w:p>
    <w:p w:rsidR="008A5019" w:rsidRPr="00F46120" w:rsidRDefault="008A5019" w:rsidP="008A5019">
      <w:pPr>
        <w:spacing w:line="360" w:lineRule="auto"/>
        <w:ind w:left="720" w:firstLine="720"/>
        <w:jc w:val="both"/>
        <w:rPr>
          <w:rFonts w:ascii="Times New Roman" w:hAnsi="Times New Roman" w:cs="Times New Roman"/>
          <w:kern w:val="0"/>
          <w:sz w:val="20"/>
          <w:szCs w:val="20"/>
          <w:lang w:eastAsia="en-IN"/>
          <w14:ligatures w14:val="none"/>
        </w:rPr>
      </w:pPr>
      <w:r w:rsidRPr="00F46120">
        <w:rPr>
          <w:rFonts w:ascii="Times New Roman" w:hAnsi="Times New Roman" w:cs="Times New Roman"/>
          <w:noProof/>
          <w:kern w:val="0"/>
          <w:sz w:val="20"/>
          <w:szCs w:val="20"/>
          <w:lang w:eastAsia="en-IN"/>
          <w14:ligatures w14:val="none"/>
        </w:rPr>
        <w:drawing>
          <wp:inline distT="0" distB="0" distL="0" distR="0" wp14:anchorId="35B05A06" wp14:editId="497A59AB">
            <wp:extent cx="3857297" cy="1912883"/>
            <wp:effectExtent l="0" t="0" r="10160" b="1143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A4433" w:rsidRPr="00F46120" w:rsidRDefault="008A5019" w:rsidP="003544D9">
      <w:pPr>
        <w:spacing w:line="360" w:lineRule="auto"/>
        <w:ind w:left="720" w:firstLine="720"/>
        <w:jc w:val="both"/>
        <w:rPr>
          <w:rFonts w:ascii="Times New Roman" w:hAnsi="Times New Roman" w:cs="Times New Roman"/>
          <w:kern w:val="0"/>
          <w:sz w:val="20"/>
          <w:szCs w:val="20"/>
          <w14:ligatures w14:val="none"/>
        </w:rPr>
      </w:pPr>
      <w:r w:rsidRPr="00F46120">
        <w:rPr>
          <w:rFonts w:ascii="Times New Roman" w:hAnsi="Times New Roman" w:cs="Times New Roman"/>
          <w:b/>
          <w:kern w:val="0"/>
          <w:sz w:val="20"/>
          <w:szCs w:val="20"/>
          <w:lang w:eastAsia="en-IN"/>
          <w14:ligatures w14:val="none"/>
        </w:rPr>
        <w:t xml:space="preserve">Source: World Bank </w:t>
      </w:r>
      <w:hyperlink r:id="rId13" w:history="1">
        <w:r w:rsidRPr="00F46120">
          <w:rPr>
            <w:rFonts w:ascii="Times New Roman" w:hAnsi="Times New Roman" w:cs="Times New Roman"/>
            <w:color w:val="0000FF"/>
            <w:kern w:val="0"/>
            <w:sz w:val="20"/>
            <w:szCs w:val="20"/>
            <w:u w:val="single"/>
            <w14:ligatures w14:val="none"/>
          </w:rPr>
          <w:t>https://data.worldbank.org/indicator/EG.CFT.ACCS.ZS</w:t>
        </w:r>
      </w:hyperlink>
    </w:p>
    <w:p w:rsidR="005E4B4B" w:rsidRDefault="005E4B4B" w:rsidP="008A5019">
      <w:pPr>
        <w:spacing w:line="360" w:lineRule="auto"/>
        <w:jc w:val="both"/>
        <w:rPr>
          <w:rFonts w:ascii="Times New Roman" w:hAnsi="Times New Roman" w:cs="Times New Roman"/>
          <w:b/>
          <w:kern w:val="0"/>
          <w:sz w:val="20"/>
          <w:szCs w:val="20"/>
          <w:shd w:val="clear" w:color="auto" w:fill="FFFFFF"/>
          <w14:ligatures w14:val="none"/>
        </w:rPr>
      </w:pPr>
    </w:p>
    <w:p w:rsidR="008A5019" w:rsidRPr="00F46120" w:rsidRDefault="005E4B4B" w:rsidP="008A5019">
      <w:pPr>
        <w:spacing w:line="360" w:lineRule="auto"/>
        <w:jc w:val="both"/>
        <w:rPr>
          <w:rFonts w:ascii="Times New Roman" w:hAnsi="Times New Roman" w:cs="Times New Roman"/>
          <w:b/>
          <w:kern w:val="0"/>
          <w:sz w:val="20"/>
          <w:szCs w:val="20"/>
          <w:shd w:val="clear" w:color="auto" w:fill="FFFFFF"/>
          <w14:ligatures w14:val="none"/>
        </w:rPr>
      </w:pPr>
      <w:r>
        <w:rPr>
          <w:rFonts w:ascii="Times New Roman" w:hAnsi="Times New Roman" w:cs="Times New Roman"/>
          <w:b/>
          <w:kern w:val="0"/>
          <w:sz w:val="20"/>
          <w:szCs w:val="20"/>
          <w:shd w:val="clear" w:color="auto" w:fill="FFFFFF"/>
          <w14:ligatures w14:val="none"/>
        </w:rPr>
        <w:t>IV</w:t>
      </w:r>
      <w:r w:rsidR="002643C7" w:rsidRPr="00F46120">
        <w:rPr>
          <w:rFonts w:ascii="Times New Roman" w:hAnsi="Times New Roman" w:cs="Times New Roman"/>
          <w:b/>
          <w:kern w:val="0"/>
          <w:sz w:val="20"/>
          <w:szCs w:val="20"/>
          <w:shd w:val="clear" w:color="auto" w:fill="FFFFFF"/>
          <w14:ligatures w14:val="none"/>
        </w:rPr>
        <w:t xml:space="preserve">. </w:t>
      </w:r>
      <w:r w:rsidR="008A5019" w:rsidRPr="00F46120">
        <w:rPr>
          <w:rFonts w:ascii="Times New Roman" w:hAnsi="Times New Roman" w:cs="Times New Roman"/>
          <w:b/>
          <w:kern w:val="0"/>
          <w:sz w:val="20"/>
          <w:szCs w:val="20"/>
          <w:shd w:val="clear" w:color="auto" w:fill="FFFFFF"/>
          <w14:ligatures w14:val="none"/>
        </w:rPr>
        <w:t>Indian Government Policies to improve clean cooking fuels</w:t>
      </w:r>
    </w:p>
    <w:p w:rsidR="008A5019" w:rsidRPr="00F46120" w:rsidRDefault="008A5019" w:rsidP="008A5019">
      <w:pPr>
        <w:spacing w:line="360" w:lineRule="auto"/>
        <w:ind w:firstLine="720"/>
        <w:jc w:val="both"/>
        <w:rPr>
          <w:rFonts w:ascii="Times New Roman" w:hAnsi="Times New Roman" w:cs="Times New Roman"/>
          <w:kern w:val="0"/>
          <w:sz w:val="20"/>
          <w:szCs w:val="20"/>
          <w14:ligatures w14:val="none"/>
        </w:rPr>
      </w:pPr>
      <w:r w:rsidRPr="00F46120">
        <w:rPr>
          <w:rFonts w:ascii="Times New Roman" w:hAnsi="Times New Roman" w:cs="Times New Roman"/>
          <w:kern w:val="0"/>
          <w:sz w:val="20"/>
          <w:szCs w:val="20"/>
          <w14:ligatures w14:val="none"/>
        </w:rPr>
        <w:t>Throughout this paper, we found that poor access to clean cooking fuels in rural areas of India in the earlier period. To improve this poor access to clean cooking fuels, the government of India has introduced various programmes about LPG to make it accessible and affordable for low-income families. DBTL (direct benefit transfer for LPG) was launched on 1</w:t>
      </w:r>
      <w:r w:rsidRPr="00F46120">
        <w:rPr>
          <w:rFonts w:ascii="Times New Roman" w:hAnsi="Times New Roman" w:cs="Times New Roman"/>
          <w:kern w:val="0"/>
          <w:sz w:val="20"/>
          <w:szCs w:val="20"/>
          <w:vertAlign w:val="superscript"/>
          <w14:ligatures w14:val="none"/>
        </w:rPr>
        <w:t>st</w:t>
      </w:r>
      <w:r w:rsidRPr="00F46120">
        <w:rPr>
          <w:rFonts w:ascii="Times New Roman" w:hAnsi="Times New Roman" w:cs="Times New Roman"/>
          <w:kern w:val="0"/>
          <w:sz w:val="20"/>
          <w:szCs w:val="20"/>
          <w14:ligatures w14:val="none"/>
        </w:rPr>
        <w:t xml:space="preserve"> June, 2013, initially in 291 districts and later it is expanded throughout the country to provide direct subsidy that can be reached to beneficiaries’ bank account (Ministry of Petroleum and Natural Gas, Government of India). The main objectives of this programme are to remove subsidy diversion and clear out the fake connections. </w:t>
      </w:r>
    </w:p>
    <w:p w:rsidR="008A5019" w:rsidRPr="00F46120" w:rsidRDefault="008A5019" w:rsidP="008A5019">
      <w:pPr>
        <w:spacing w:line="360" w:lineRule="auto"/>
        <w:ind w:firstLine="720"/>
        <w:jc w:val="both"/>
        <w:rPr>
          <w:rFonts w:ascii="Times New Roman" w:hAnsi="Times New Roman" w:cs="Times New Roman"/>
          <w:kern w:val="0"/>
          <w:sz w:val="20"/>
          <w:szCs w:val="20"/>
          <w14:ligatures w14:val="none"/>
        </w:rPr>
      </w:pPr>
      <w:r w:rsidRPr="00F46120">
        <w:rPr>
          <w:rFonts w:ascii="Times New Roman" w:hAnsi="Times New Roman" w:cs="Times New Roman"/>
          <w:kern w:val="0"/>
          <w:sz w:val="20"/>
          <w:szCs w:val="20"/>
          <w14:ligatures w14:val="none"/>
        </w:rPr>
        <w:t xml:space="preserve"> The ‘Give It Up campaign’ was launched on 27 March, 2013 and it urges middle-class families to abandon their LPG subsidy so that it could be transferred to low-income families. Since the campaign’s launch, about 1.13 crore people have left their subsidies.</w:t>
      </w:r>
    </w:p>
    <w:p w:rsidR="008A5019" w:rsidRPr="00F46120" w:rsidRDefault="008A5019" w:rsidP="008A5019">
      <w:pPr>
        <w:spacing w:line="360" w:lineRule="auto"/>
        <w:ind w:firstLine="720"/>
        <w:jc w:val="both"/>
        <w:rPr>
          <w:rFonts w:ascii="Times New Roman" w:hAnsi="Times New Roman" w:cs="Times New Roman"/>
          <w:kern w:val="0"/>
          <w:sz w:val="20"/>
          <w:szCs w:val="20"/>
          <w14:ligatures w14:val="none"/>
        </w:rPr>
      </w:pPr>
      <w:r w:rsidRPr="00F46120">
        <w:rPr>
          <w:rFonts w:ascii="Times New Roman" w:hAnsi="Times New Roman" w:cs="Times New Roman"/>
          <w:kern w:val="0"/>
          <w:sz w:val="20"/>
          <w:szCs w:val="20"/>
          <w14:ligatures w14:val="none"/>
        </w:rPr>
        <w:t xml:space="preserve"> In the year 2016, Pradhan </w:t>
      </w:r>
      <w:proofErr w:type="spellStart"/>
      <w:r w:rsidRPr="00F46120">
        <w:rPr>
          <w:rFonts w:ascii="Times New Roman" w:hAnsi="Times New Roman" w:cs="Times New Roman"/>
          <w:kern w:val="0"/>
          <w:sz w:val="20"/>
          <w:szCs w:val="20"/>
          <w14:ligatures w14:val="none"/>
        </w:rPr>
        <w:t>Mantri</w:t>
      </w:r>
      <w:proofErr w:type="spellEnd"/>
      <w:r w:rsidRPr="00F46120">
        <w:rPr>
          <w:rFonts w:ascii="Times New Roman" w:hAnsi="Times New Roman" w:cs="Times New Roman"/>
          <w:kern w:val="0"/>
          <w:sz w:val="20"/>
          <w:szCs w:val="20"/>
          <w14:ligatures w14:val="none"/>
        </w:rPr>
        <w:t xml:space="preserve"> </w:t>
      </w:r>
      <w:proofErr w:type="spellStart"/>
      <w:r w:rsidRPr="00F46120">
        <w:rPr>
          <w:rFonts w:ascii="Times New Roman" w:hAnsi="Times New Roman" w:cs="Times New Roman"/>
          <w:kern w:val="0"/>
          <w:sz w:val="20"/>
          <w:szCs w:val="20"/>
          <w14:ligatures w14:val="none"/>
        </w:rPr>
        <w:t>Ujjawal</w:t>
      </w:r>
      <w:proofErr w:type="spellEnd"/>
      <w:r w:rsidRPr="00F46120">
        <w:rPr>
          <w:rFonts w:ascii="Times New Roman" w:hAnsi="Times New Roman" w:cs="Times New Roman"/>
          <w:kern w:val="0"/>
          <w:sz w:val="20"/>
          <w:szCs w:val="20"/>
          <w14:ligatures w14:val="none"/>
        </w:rPr>
        <w:t xml:space="preserve"> </w:t>
      </w:r>
      <w:proofErr w:type="spellStart"/>
      <w:r w:rsidRPr="00F46120">
        <w:rPr>
          <w:rFonts w:ascii="Times New Roman" w:hAnsi="Times New Roman" w:cs="Times New Roman"/>
          <w:kern w:val="0"/>
          <w:sz w:val="20"/>
          <w:szCs w:val="20"/>
          <w14:ligatures w14:val="none"/>
        </w:rPr>
        <w:t>Yojana</w:t>
      </w:r>
      <w:proofErr w:type="spellEnd"/>
      <w:r w:rsidRPr="00F46120">
        <w:rPr>
          <w:rFonts w:ascii="Times New Roman" w:hAnsi="Times New Roman" w:cs="Times New Roman"/>
          <w:kern w:val="0"/>
          <w:sz w:val="20"/>
          <w:szCs w:val="20"/>
          <w14:ligatures w14:val="none"/>
        </w:rPr>
        <w:t xml:space="preserve"> (PMUY) was introduced with an aim to provide LPG connection against a female member of a below poverty level (BPL) family. To empower women and protect them from the health risks caused by solid fuel use was the main objectives of the scheme. Under this world larges clean cooking energy programme more than 80 million Indian household had benefited between 2016 and 2019. As per 76th round of NSSO, 48% rural household are using LPG in India. While North-East Indians hardly use LPG for cooking, eastern states like Jharkhand (21.5%), West Bengal (24.5%), and Odisha (23.8%) have shallow coverage. In north India like Bihar, Madhya Pradesh, Rajasthan, and Uttar Pradesh have increased LPG connection under PMUY scheme (CWWE, 2020). </w:t>
      </w:r>
    </w:p>
    <w:p w:rsidR="008A5019" w:rsidRPr="00F46120" w:rsidRDefault="008A5019" w:rsidP="008A5019">
      <w:pPr>
        <w:spacing w:line="360" w:lineRule="auto"/>
        <w:ind w:firstLine="720"/>
        <w:jc w:val="both"/>
        <w:rPr>
          <w:rFonts w:ascii="Times New Roman" w:hAnsi="Times New Roman" w:cs="Times New Roman"/>
          <w:kern w:val="0"/>
          <w:sz w:val="20"/>
          <w:szCs w:val="20"/>
          <w14:ligatures w14:val="none"/>
        </w:rPr>
      </w:pPr>
      <w:r w:rsidRPr="00F46120">
        <w:rPr>
          <w:rFonts w:ascii="Times New Roman" w:eastAsia="Times New Roman" w:hAnsi="Times New Roman" w:cs="Times New Roman"/>
          <w:kern w:val="0"/>
          <w:sz w:val="20"/>
          <w:szCs w:val="20"/>
          <w:lang w:eastAsia="en-IN"/>
          <w14:ligatures w14:val="none"/>
        </w:rPr>
        <w:t xml:space="preserve">In India, Piped Natural Gas is a cheaper option than LPG. According to the data published by the Petroleum Planning and Analysis Cell (PPAC) 8,217,913 connections were provided in the country on September 2021. However, around 29 crore households, there is still a so far way to go, to create infrastructure for providing natural gas through pipes for domestic cooking. </w:t>
      </w:r>
    </w:p>
    <w:p w:rsidR="008A5019" w:rsidRPr="00F46120" w:rsidRDefault="008A5019" w:rsidP="008A5019">
      <w:pPr>
        <w:ind w:firstLine="720"/>
        <w:jc w:val="both"/>
        <w:rPr>
          <w:rFonts w:ascii="Times New Roman" w:hAnsi="Times New Roman" w:cs="Times New Roman"/>
          <w:sz w:val="20"/>
          <w:szCs w:val="20"/>
        </w:rPr>
      </w:pPr>
      <w:r w:rsidRPr="00F46120">
        <w:rPr>
          <w:rFonts w:ascii="Times New Roman" w:eastAsia="Times New Roman" w:hAnsi="Times New Roman" w:cs="Times New Roman"/>
          <w:kern w:val="0"/>
          <w:sz w:val="20"/>
          <w:szCs w:val="20"/>
          <w:lang w:eastAsia="en-IN"/>
          <w14:ligatures w14:val="none"/>
        </w:rPr>
        <w:t>In February 2021, the Union ministry of power launched the “Go Electric” Campaign intending to create awareness among the masses about the benefits of switching over to electrical cooking using appliances such as induction cooktops, electric pressure cookers, etc.</w:t>
      </w:r>
    </w:p>
    <w:p w:rsidR="008A5019" w:rsidRPr="00F46120" w:rsidRDefault="005E4B4B" w:rsidP="008A5019">
      <w:pPr>
        <w:jc w:val="both"/>
        <w:rPr>
          <w:rFonts w:ascii="Times New Roman" w:hAnsi="Times New Roman" w:cs="Times New Roman"/>
          <w:b/>
          <w:sz w:val="20"/>
          <w:szCs w:val="20"/>
        </w:rPr>
      </w:pPr>
      <w:r>
        <w:rPr>
          <w:rFonts w:ascii="Times New Roman" w:hAnsi="Times New Roman" w:cs="Times New Roman"/>
          <w:b/>
          <w:sz w:val="20"/>
          <w:szCs w:val="20"/>
        </w:rPr>
        <w:t>V</w:t>
      </w:r>
      <w:r w:rsidR="004A4067" w:rsidRPr="00F46120">
        <w:rPr>
          <w:rFonts w:ascii="Times New Roman" w:hAnsi="Times New Roman" w:cs="Times New Roman"/>
          <w:b/>
          <w:sz w:val="20"/>
          <w:szCs w:val="20"/>
        </w:rPr>
        <w:t xml:space="preserve">. </w:t>
      </w:r>
      <w:r w:rsidR="00A87372" w:rsidRPr="00F46120">
        <w:rPr>
          <w:rFonts w:ascii="Times New Roman" w:hAnsi="Times New Roman" w:cs="Times New Roman"/>
          <w:b/>
          <w:sz w:val="20"/>
          <w:szCs w:val="20"/>
        </w:rPr>
        <w:t>Conclusion</w:t>
      </w:r>
    </w:p>
    <w:p w:rsidR="00A87372" w:rsidRDefault="00A87372" w:rsidP="00A87372">
      <w:pPr>
        <w:spacing w:line="360" w:lineRule="auto"/>
        <w:ind w:firstLine="720"/>
        <w:jc w:val="both"/>
        <w:rPr>
          <w:rFonts w:ascii="Times New Roman" w:eastAsia="Times New Roman" w:hAnsi="Times New Roman" w:cs="Times New Roman"/>
          <w:sz w:val="20"/>
          <w:szCs w:val="20"/>
          <w:lang w:eastAsia="en-IN"/>
        </w:rPr>
      </w:pPr>
      <w:r w:rsidRPr="00F46120">
        <w:rPr>
          <w:rFonts w:ascii="Times New Roman" w:hAnsi="Times New Roman" w:cs="Times New Roman"/>
          <w:sz w:val="20"/>
          <w:szCs w:val="20"/>
          <w:lang w:eastAsia="en-IN"/>
        </w:rPr>
        <w:t xml:space="preserve">Accessing clean cooking fuel is one of indicator of SDG 7 that universal access by 2030. </w:t>
      </w:r>
      <w:r w:rsidRPr="00F46120">
        <w:rPr>
          <w:rFonts w:ascii="Times New Roman" w:eastAsia="Times New Roman" w:hAnsi="Times New Roman" w:cs="Times New Roman"/>
          <w:sz w:val="20"/>
          <w:szCs w:val="20"/>
          <w:lang w:eastAsia="en-IN"/>
        </w:rPr>
        <w:t>Given the current status of adoption of clean cooking across the developing world, the target of achieving the UN Sustainable Development Goal (SDG) for universal access to clean cooking by 2030 does not appear to be on track. Its will depend different factors including large-scale investments, participation of all stakeholders, and vigorous policy support mechanism. It has been estimated that to increase access to clean cooking services globally on a large scale, investment needs are in the range of $4.4 billion annually (Sinha, 2022).</w:t>
      </w:r>
      <w:r w:rsidRPr="00F46120">
        <w:rPr>
          <w:rFonts w:ascii="Times New Roman" w:hAnsi="Times New Roman" w:cs="Times New Roman"/>
          <w:b/>
          <w:sz w:val="20"/>
          <w:szCs w:val="20"/>
          <w:lang w:eastAsia="en-IN"/>
        </w:rPr>
        <w:t xml:space="preserve"> </w:t>
      </w:r>
      <w:r w:rsidRPr="00F46120">
        <w:rPr>
          <w:rFonts w:ascii="Times New Roman" w:eastAsia="Times New Roman" w:hAnsi="Times New Roman" w:cs="Times New Roman"/>
          <w:sz w:val="20"/>
          <w:szCs w:val="20"/>
          <w:lang w:eastAsia="en-IN"/>
        </w:rPr>
        <w:t xml:space="preserve">In India most of the household use traditional solid fuels in cooking even they have LPG, which impact on environmental, economic, and personal health problems that affect women and children disproportionately. Thus effort should be given require replacing traditional solid fuels with more energy-efficient cooking solutions to reduce smoke </w:t>
      </w:r>
      <w:r w:rsidRPr="00F46120">
        <w:rPr>
          <w:rFonts w:ascii="Times New Roman" w:eastAsia="Times New Roman" w:hAnsi="Times New Roman" w:cs="Times New Roman"/>
          <w:sz w:val="20"/>
          <w:szCs w:val="20"/>
          <w:lang w:eastAsia="en-IN"/>
        </w:rPr>
        <w:lastRenderedPageBreak/>
        <w:t>emissions, time needed to procure fuel, and time spent cooking.</w:t>
      </w:r>
      <w:r w:rsidR="004A4067" w:rsidRPr="00F46120">
        <w:rPr>
          <w:rFonts w:ascii="Times New Roman" w:eastAsia="Times New Roman" w:hAnsi="Times New Roman" w:cs="Times New Roman"/>
          <w:sz w:val="20"/>
          <w:szCs w:val="20"/>
          <w:lang w:eastAsia="en-IN"/>
        </w:rPr>
        <w:t xml:space="preserve"> Most of rural women are illiterate and they don’t about adverse effect of solid fuels that so government and local agency should be given priority on women education and awareness programme on clean cooking fuels.</w:t>
      </w:r>
    </w:p>
    <w:p w:rsidR="003544D9" w:rsidRPr="00F46120" w:rsidRDefault="003544D9" w:rsidP="00A87372">
      <w:pPr>
        <w:spacing w:line="360" w:lineRule="auto"/>
        <w:ind w:firstLine="720"/>
        <w:jc w:val="both"/>
        <w:rPr>
          <w:rFonts w:ascii="Times New Roman" w:hAnsi="Times New Roman" w:cs="Times New Roman"/>
          <w:b/>
          <w:sz w:val="20"/>
          <w:szCs w:val="20"/>
          <w:lang w:eastAsia="en-IN"/>
        </w:rPr>
      </w:pPr>
    </w:p>
    <w:p w:rsidR="00A87372" w:rsidRDefault="00A87372" w:rsidP="008A5019">
      <w:pPr>
        <w:jc w:val="both"/>
        <w:rPr>
          <w:rFonts w:ascii="Times New Roman" w:hAnsi="Times New Roman" w:cs="Times New Roman"/>
          <w:sz w:val="24"/>
          <w:szCs w:val="24"/>
        </w:rPr>
      </w:pPr>
    </w:p>
    <w:p w:rsidR="00757F0E" w:rsidRPr="005E4B4B" w:rsidRDefault="00757F0E" w:rsidP="00757F0E">
      <w:pPr>
        <w:shd w:val="clear" w:color="auto" w:fill="FFFFFF"/>
        <w:spacing w:after="375" w:line="360" w:lineRule="auto"/>
        <w:ind w:left="2880" w:firstLine="720"/>
        <w:jc w:val="both"/>
        <w:textAlignment w:val="baseline"/>
        <w:rPr>
          <w:rFonts w:ascii="Times New Roman" w:hAnsi="Times New Roman" w:cs="Times New Roman"/>
          <w:b/>
          <w:kern w:val="0"/>
          <w:sz w:val="16"/>
          <w:szCs w:val="16"/>
          <w:lang w:eastAsia="en-IN"/>
          <w14:ligatures w14:val="none"/>
        </w:rPr>
      </w:pPr>
      <w:r w:rsidRPr="005E4B4B">
        <w:rPr>
          <w:rFonts w:ascii="Times New Roman" w:hAnsi="Times New Roman" w:cs="Times New Roman"/>
          <w:b/>
          <w:kern w:val="0"/>
          <w:sz w:val="16"/>
          <w:szCs w:val="16"/>
          <w:lang w:eastAsia="en-IN"/>
          <w14:ligatures w14:val="none"/>
        </w:rPr>
        <w:t xml:space="preserve">References </w:t>
      </w:r>
    </w:p>
    <w:p w:rsidR="00757F0E" w:rsidRPr="005E4B4B" w:rsidRDefault="00757F0E" w:rsidP="00757F0E">
      <w:pPr>
        <w:spacing w:line="360" w:lineRule="auto"/>
        <w:jc w:val="both"/>
        <w:rPr>
          <w:rFonts w:ascii="Times New Roman" w:hAnsi="Times New Roman" w:cs="Times New Roman"/>
          <w:color w:val="0000FF"/>
          <w:kern w:val="0"/>
          <w:sz w:val="16"/>
          <w:szCs w:val="16"/>
          <w:u w:val="single"/>
          <w14:ligatures w14:val="none"/>
        </w:rPr>
      </w:pPr>
      <w:r w:rsidRPr="005E4B4B">
        <w:rPr>
          <w:rFonts w:ascii="Times New Roman" w:hAnsi="Times New Roman" w:cs="Times New Roman"/>
          <w:kern w:val="0"/>
          <w:sz w:val="16"/>
          <w:szCs w:val="16"/>
          <w14:ligatures w14:val="none"/>
        </w:rPr>
        <w:t xml:space="preserve">1. </w:t>
      </w:r>
      <w:proofErr w:type="spellStart"/>
      <w:r w:rsidRPr="005E4B4B">
        <w:rPr>
          <w:rFonts w:ascii="Times New Roman" w:hAnsi="Times New Roman" w:cs="Times New Roman"/>
          <w:kern w:val="0"/>
          <w:sz w:val="16"/>
          <w:szCs w:val="16"/>
          <w14:ligatures w14:val="none"/>
        </w:rPr>
        <w:t>Abubakar</w:t>
      </w:r>
      <w:proofErr w:type="spellEnd"/>
      <w:r w:rsidRPr="005E4B4B">
        <w:rPr>
          <w:rFonts w:ascii="Times New Roman" w:hAnsi="Times New Roman" w:cs="Times New Roman"/>
          <w:kern w:val="0"/>
          <w:sz w:val="16"/>
          <w:szCs w:val="16"/>
          <w14:ligatures w14:val="none"/>
        </w:rPr>
        <w:t xml:space="preserve"> H. and </w:t>
      </w:r>
      <w:proofErr w:type="spellStart"/>
      <w:r w:rsidRPr="005E4B4B">
        <w:rPr>
          <w:rFonts w:ascii="Times New Roman" w:hAnsi="Times New Roman" w:cs="Times New Roman"/>
          <w:kern w:val="0"/>
          <w:sz w:val="16"/>
          <w:szCs w:val="16"/>
          <w14:ligatures w14:val="none"/>
        </w:rPr>
        <w:t>Danlami</w:t>
      </w:r>
      <w:proofErr w:type="spellEnd"/>
      <w:r w:rsidRPr="005E4B4B">
        <w:rPr>
          <w:rFonts w:ascii="Times New Roman" w:hAnsi="Times New Roman" w:cs="Times New Roman"/>
          <w:kern w:val="0"/>
          <w:sz w:val="16"/>
          <w:szCs w:val="16"/>
          <w14:ligatures w14:val="none"/>
        </w:rPr>
        <w:t xml:space="preserve"> H. (2022), “Households and the Choice of Cooking Fuel in Kano State, Nigeria” Book · April 2022 </w:t>
      </w:r>
      <w:proofErr w:type="spellStart"/>
      <w:r w:rsidRPr="005E4B4B">
        <w:rPr>
          <w:rFonts w:ascii="Times New Roman" w:hAnsi="Times New Roman" w:cs="Times New Roman"/>
          <w:kern w:val="0"/>
          <w:sz w:val="16"/>
          <w:szCs w:val="16"/>
          <w14:ligatures w14:val="none"/>
        </w:rPr>
        <w:t>Ahmadu</w:t>
      </w:r>
      <w:proofErr w:type="spellEnd"/>
      <w:r w:rsidRPr="005E4B4B">
        <w:rPr>
          <w:rFonts w:ascii="Times New Roman" w:hAnsi="Times New Roman" w:cs="Times New Roman"/>
          <w:kern w:val="0"/>
          <w:sz w:val="16"/>
          <w:szCs w:val="16"/>
          <w14:ligatures w14:val="none"/>
        </w:rPr>
        <w:t xml:space="preserve"> Bello University Press Limited, Zaria, Kaduna </w:t>
      </w:r>
      <w:proofErr w:type="spellStart"/>
      <w:r w:rsidRPr="005E4B4B">
        <w:rPr>
          <w:rFonts w:ascii="Times New Roman" w:hAnsi="Times New Roman" w:cs="Times New Roman"/>
          <w:kern w:val="0"/>
          <w:sz w:val="16"/>
          <w:szCs w:val="16"/>
          <w14:ligatures w14:val="none"/>
        </w:rPr>
        <w:t>State</w:t>
      </w:r>
      <w:proofErr w:type="gramStart"/>
      <w:r w:rsidRPr="005E4B4B">
        <w:rPr>
          <w:rFonts w:ascii="Times New Roman" w:hAnsi="Times New Roman" w:cs="Times New Roman"/>
          <w:kern w:val="0"/>
          <w:sz w:val="16"/>
          <w:szCs w:val="16"/>
          <w14:ligatures w14:val="none"/>
        </w:rPr>
        <w:t>,Nigeria</w:t>
      </w:r>
      <w:proofErr w:type="spellEnd"/>
      <w:proofErr w:type="gramEnd"/>
      <w:r w:rsidRPr="005E4B4B">
        <w:rPr>
          <w:rFonts w:ascii="Times New Roman" w:hAnsi="Times New Roman" w:cs="Times New Roman"/>
          <w:kern w:val="0"/>
          <w:sz w:val="16"/>
          <w:szCs w:val="16"/>
          <w14:ligatures w14:val="none"/>
        </w:rPr>
        <w:t xml:space="preserve"> </w:t>
      </w:r>
      <w:hyperlink r:id="rId14" w:history="1">
        <w:r w:rsidRPr="005E4B4B">
          <w:rPr>
            <w:rFonts w:ascii="Times New Roman" w:hAnsi="Times New Roman" w:cs="Times New Roman"/>
            <w:color w:val="0000FF"/>
            <w:kern w:val="0"/>
            <w:sz w:val="16"/>
            <w:szCs w:val="16"/>
            <w:u w:val="single"/>
            <w14:ligatures w14:val="none"/>
          </w:rPr>
          <w:t>https://www.researchgate.net/publication/359694734</w:t>
        </w:r>
      </w:hyperlink>
    </w:p>
    <w:p w:rsidR="00757F0E" w:rsidRPr="005E4B4B" w:rsidRDefault="00757F0E" w:rsidP="00757F0E">
      <w:pPr>
        <w:spacing w:line="360" w:lineRule="auto"/>
        <w:jc w:val="both"/>
        <w:rPr>
          <w:rFonts w:ascii="Times New Roman" w:hAnsi="Times New Roman" w:cs="Times New Roman"/>
          <w:kern w:val="0"/>
          <w:sz w:val="16"/>
          <w:szCs w:val="16"/>
          <w14:ligatures w14:val="none"/>
        </w:rPr>
      </w:pPr>
      <w:r w:rsidRPr="005E4B4B">
        <w:rPr>
          <w:rFonts w:ascii="Times New Roman" w:hAnsi="Times New Roman" w:cs="Times New Roman"/>
          <w:kern w:val="0"/>
          <w:sz w:val="16"/>
          <w:szCs w:val="16"/>
          <w14:ligatures w14:val="none"/>
        </w:rPr>
        <w:t xml:space="preserve">2. Agrawal S., Mani S., </w:t>
      </w:r>
      <w:proofErr w:type="spellStart"/>
      <w:r w:rsidRPr="005E4B4B">
        <w:rPr>
          <w:rFonts w:ascii="Times New Roman" w:hAnsi="Times New Roman" w:cs="Times New Roman"/>
          <w:kern w:val="0"/>
          <w:sz w:val="16"/>
          <w:szCs w:val="16"/>
          <w14:ligatures w14:val="none"/>
        </w:rPr>
        <w:t>Ganesan</w:t>
      </w:r>
      <w:proofErr w:type="spellEnd"/>
      <w:r w:rsidRPr="005E4B4B">
        <w:rPr>
          <w:rFonts w:ascii="Times New Roman" w:hAnsi="Times New Roman" w:cs="Times New Roman"/>
          <w:kern w:val="0"/>
          <w:sz w:val="16"/>
          <w:szCs w:val="16"/>
          <w14:ligatures w14:val="none"/>
        </w:rPr>
        <w:t xml:space="preserve"> K. and Jain A. (2021), “Are Indian Homes Ready for Electric Cooking?”,  Insights from the India Residential Energy Survey (IRES) 2020, CEEW</w:t>
      </w:r>
    </w:p>
    <w:p w:rsidR="00757F0E" w:rsidRPr="005E4B4B" w:rsidRDefault="00757F0E" w:rsidP="00757F0E">
      <w:pPr>
        <w:spacing w:line="360" w:lineRule="auto"/>
        <w:jc w:val="both"/>
        <w:rPr>
          <w:rFonts w:ascii="Times New Roman" w:hAnsi="Times New Roman" w:cs="Times New Roman"/>
          <w:color w:val="0000FF"/>
          <w:kern w:val="0"/>
          <w:sz w:val="16"/>
          <w:szCs w:val="16"/>
          <w:u w:val="single"/>
          <w14:ligatures w14:val="none"/>
        </w:rPr>
      </w:pPr>
      <w:r w:rsidRPr="005E4B4B">
        <w:rPr>
          <w:rFonts w:ascii="Times New Roman" w:hAnsi="Times New Roman" w:cs="Times New Roman"/>
          <w:kern w:val="0"/>
          <w:sz w:val="16"/>
          <w:szCs w:val="16"/>
          <w14:ligatures w14:val="none"/>
        </w:rPr>
        <w:t xml:space="preserve">3. Agrawal S., Mani S., </w:t>
      </w:r>
      <w:proofErr w:type="spellStart"/>
      <w:r w:rsidRPr="005E4B4B">
        <w:rPr>
          <w:rFonts w:ascii="Times New Roman" w:hAnsi="Times New Roman" w:cs="Times New Roman"/>
          <w:kern w:val="0"/>
          <w:sz w:val="16"/>
          <w:szCs w:val="16"/>
          <w14:ligatures w14:val="none"/>
        </w:rPr>
        <w:t>Ganesan</w:t>
      </w:r>
      <w:proofErr w:type="spellEnd"/>
      <w:r w:rsidRPr="005E4B4B">
        <w:rPr>
          <w:rFonts w:ascii="Times New Roman" w:hAnsi="Times New Roman" w:cs="Times New Roman"/>
          <w:kern w:val="0"/>
          <w:sz w:val="16"/>
          <w:szCs w:val="16"/>
          <w14:ligatures w14:val="none"/>
        </w:rPr>
        <w:t xml:space="preserve"> K. and Jain A. (2021), “State of Clean Cooking Energy Access in India”, Insights from the India Residential Energy Survey (IRES) 2020, CEEW, Report September, 2021</w:t>
      </w:r>
    </w:p>
    <w:p w:rsidR="00757F0E" w:rsidRPr="005E4B4B" w:rsidRDefault="00757F0E" w:rsidP="00757F0E">
      <w:pPr>
        <w:spacing w:line="360" w:lineRule="auto"/>
        <w:jc w:val="both"/>
        <w:rPr>
          <w:rFonts w:ascii="Times New Roman" w:hAnsi="Times New Roman" w:cs="Times New Roman"/>
          <w:kern w:val="0"/>
          <w:sz w:val="16"/>
          <w:szCs w:val="16"/>
          <w14:ligatures w14:val="none"/>
        </w:rPr>
      </w:pPr>
      <w:r w:rsidRPr="005E4B4B">
        <w:rPr>
          <w:rFonts w:ascii="Times New Roman" w:hAnsi="Times New Roman" w:cs="Times New Roman"/>
          <w:kern w:val="0"/>
          <w:sz w:val="16"/>
          <w:szCs w:val="16"/>
          <w14:ligatures w14:val="none"/>
        </w:rPr>
        <w:t>4.</w:t>
      </w:r>
      <w:r w:rsidRPr="005E4B4B">
        <w:rPr>
          <w:rFonts w:ascii="Times New Roman" w:hAnsi="Times New Roman" w:cs="Times New Roman"/>
          <w:color w:val="0000FF"/>
          <w:kern w:val="0"/>
          <w:sz w:val="16"/>
          <w:szCs w:val="16"/>
          <w14:ligatures w14:val="none"/>
        </w:rPr>
        <w:t xml:space="preserve"> </w:t>
      </w:r>
      <w:r w:rsidRPr="005E4B4B">
        <w:rPr>
          <w:rFonts w:ascii="Times New Roman" w:hAnsi="Times New Roman" w:cs="Times New Roman"/>
          <w:kern w:val="0"/>
          <w:sz w:val="16"/>
          <w:szCs w:val="16"/>
          <w14:ligatures w14:val="none"/>
        </w:rPr>
        <w:t>Banerjee M. (2022), “Towards Universal Access to Clean Cooking Fuels and Technologies: The Role of Policy, National Incomes, and Social Behaviour”, Observer Research Foundation (ORF), Issue Brief Issue no. 534 April 2022</w:t>
      </w:r>
    </w:p>
    <w:p w:rsidR="00757F0E" w:rsidRPr="005E4B4B" w:rsidRDefault="00757F0E" w:rsidP="00757F0E">
      <w:pPr>
        <w:spacing w:line="360" w:lineRule="auto"/>
        <w:jc w:val="both"/>
        <w:rPr>
          <w:rFonts w:ascii="Times New Roman" w:hAnsi="Times New Roman" w:cs="Times New Roman"/>
          <w:color w:val="0000FF"/>
          <w:kern w:val="0"/>
          <w:sz w:val="16"/>
          <w:szCs w:val="16"/>
          <w:u w:val="single"/>
          <w14:ligatures w14:val="none"/>
        </w:rPr>
      </w:pPr>
      <w:r w:rsidRPr="005E4B4B">
        <w:rPr>
          <w:rFonts w:ascii="Times New Roman" w:hAnsi="Times New Roman" w:cs="Times New Roman"/>
          <w:kern w:val="0"/>
          <w:sz w:val="16"/>
          <w:szCs w:val="16"/>
          <w14:ligatures w14:val="none"/>
        </w:rPr>
        <w:t xml:space="preserve">5. Maxim A.,  Mihai C., </w:t>
      </w:r>
      <w:proofErr w:type="spellStart"/>
      <w:r w:rsidRPr="005E4B4B">
        <w:rPr>
          <w:rFonts w:ascii="Times New Roman" w:hAnsi="Times New Roman" w:cs="Times New Roman"/>
          <w:kern w:val="0"/>
          <w:sz w:val="16"/>
          <w:szCs w:val="16"/>
          <w14:ligatures w14:val="none"/>
        </w:rPr>
        <w:t>Apostoaie</w:t>
      </w:r>
      <w:proofErr w:type="spellEnd"/>
      <w:r w:rsidRPr="005E4B4B">
        <w:rPr>
          <w:rFonts w:ascii="Times New Roman" w:hAnsi="Times New Roman" w:cs="Times New Roman"/>
          <w:kern w:val="0"/>
          <w:sz w:val="16"/>
          <w:szCs w:val="16"/>
          <w14:ligatures w14:val="none"/>
        </w:rPr>
        <w:t xml:space="preserve"> C., </w:t>
      </w:r>
      <w:proofErr w:type="spellStart"/>
      <w:r w:rsidRPr="005E4B4B">
        <w:rPr>
          <w:rFonts w:ascii="Times New Roman" w:hAnsi="Times New Roman" w:cs="Times New Roman"/>
          <w:kern w:val="0"/>
          <w:sz w:val="16"/>
          <w:szCs w:val="16"/>
          <w14:ligatures w14:val="none"/>
        </w:rPr>
        <w:t>Popescu</w:t>
      </w:r>
      <w:proofErr w:type="spellEnd"/>
      <w:r w:rsidRPr="005E4B4B">
        <w:rPr>
          <w:rFonts w:ascii="Times New Roman" w:hAnsi="Times New Roman" w:cs="Times New Roman"/>
          <w:kern w:val="0"/>
          <w:sz w:val="16"/>
          <w:szCs w:val="16"/>
          <w14:ligatures w14:val="none"/>
        </w:rPr>
        <w:t xml:space="preserve"> C., </w:t>
      </w:r>
      <w:proofErr w:type="spellStart"/>
      <w:r w:rsidRPr="005E4B4B">
        <w:rPr>
          <w:rFonts w:ascii="Times New Roman" w:hAnsi="Times New Roman" w:cs="Times New Roman"/>
          <w:kern w:val="0"/>
          <w:sz w:val="16"/>
          <w:szCs w:val="16"/>
          <w14:ligatures w14:val="none"/>
        </w:rPr>
        <w:t>Istrate</w:t>
      </w:r>
      <w:proofErr w:type="spellEnd"/>
      <w:r w:rsidRPr="005E4B4B">
        <w:rPr>
          <w:rFonts w:ascii="Times New Roman" w:hAnsi="Times New Roman" w:cs="Times New Roman"/>
          <w:kern w:val="0"/>
          <w:sz w:val="16"/>
          <w:szCs w:val="16"/>
          <w14:ligatures w14:val="none"/>
        </w:rPr>
        <w:t xml:space="preserve"> C. and </w:t>
      </w:r>
      <w:proofErr w:type="spellStart"/>
      <w:r w:rsidRPr="005E4B4B">
        <w:rPr>
          <w:rFonts w:ascii="Times New Roman" w:hAnsi="Times New Roman" w:cs="Times New Roman"/>
          <w:kern w:val="0"/>
          <w:sz w:val="16"/>
          <w:szCs w:val="16"/>
          <w14:ligatures w14:val="none"/>
        </w:rPr>
        <w:t>Bostan</w:t>
      </w:r>
      <w:proofErr w:type="spellEnd"/>
      <w:r w:rsidRPr="005E4B4B">
        <w:rPr>
          <w:rFonts w:ascii="Times New Roman" w:hAnsi="Times New Roman" w:cs="Times New Roman"/>
          <w:kern w:val="0"/>
          <w:sz w:val="16"/>
          <w:szCs w:val="16"/>
          <w14:ligatures w14:val="none"/>
        </w:rPr>
        <w:t xml:space="preserve"> I. (2016), “Implications and Measurement of Energy Poverty across the European Union”, Sustainability 2016, 8, 483; doi:10.3390/su8050483 </w:t>
      </w:r>
      <w:hyperlink r:id="rId15" w:history="1">
        <w:r w:rsidRPr="005E4B4B">
          <w:rPr>
            <w:rFonts w:ascii="Times New Roman" w:hAnsi="Times New Roman" w:cs="Times New Roman"/>
            <w:color w:val="0000FF"/>
            <w:kern w:val="0"/>
            <w:sz w:val="16"/>
            <w:szCs w:val="16"/>
            <w:u w:val="single"/>
            <w14:ligatures w14:val="none"/>
          </w:rPr>
          <w:t>www.mdpi.com/journal/sustainability</w:t>
        </w:r>
      </w:hyperlink>
    </w:p>
    <w:p w:rsidR="00757F0E" w:rsidRPr="005E4B4B" w:rsidRDefault="00757F0E" w:rsidP="00757F0E">
      <w:pPr>
        <w:spacing w:line="360" w:lineRule="auto"/>
        <w:jc w:val="both"/>
        <w:rPr>
          <w:rFonts w:ascii="Times New Roman" w:hAnsi="Times New Roman" w:cs="Times New Roman"/>
          <w:kern w:val="0"/>
          <w:sz w:val="16"/>
          <w:szCs w:val="16"/>
          <w14:ligatures w14:val="none"/>
        </w:rPr>
      </w:pPr>
      <w:r w:rsidRPr="005E4B4B">
        <w:rPr>
          <w:rFonts w:ascii="Times New Roman" w:hAnsi="Times New Roman" w:cs="Times New Roman"/>
          <w:kern w:val="0"/>
          <w:sz w:val="16"/>
          <w:szCs w:val="16"/>
          <w14:ligatures w14:val="none"/>
        </w:rPr>
        <w:t xml:space="preserve">6. Patnaik S., </w:t>
      </w:r>
      <w:proofErr w:type="spellStart"/>
      <w:r w:rsidRPr="005E4B4B">
        <w:rPr>
          <w:rFonts w:ascii="Times New Roman" w:hAnsi="Times New Roman" w:cs="Times New Roman"/>
          <w:kern w:val="0"/>
          <w:sz w:val="16"/>
          <w:szCs w:val="16"/>
          <w14:ligatures w14:val="none"/>
        </w:rPr>
        <w:t>Tripathi</w:t>
      </w:r>
      <w:proofErr w:type="spellEnd"/>
      <w:r w:rsidRPr="005E4B4B">
        <w:rPr>
          <w:rFonts w:ascii="Times New Roman" w:hAnsi="Times New Roman" w:cs="Times New Roman"/>
          <w:kern w:val="0"/>
          <w:sz w:val="16"/>
          <w:szCs w:val="16"/>
          <w14:ligatures w14:val="none"/>
        </w:rPr>
        <w:t xml:space="preserve"> S., and Jain A. (2019), “Roadmap for Access to Clean Cooking Energy in India”, Council on Energy, Environment and Water (CEEW), Report, April, 2019</w:t>
      </w:r>
    </w:p>
    <w:p w:rsidR="00757F0E" w:rsidRPr="005E4B4B" w:rsidRDefault="00757F0E" w:rsidP="00757F0E">
      <w:pPr>
        <w:spacing w:line="360" w:lineRule="auto"/>
        <w:jc w:val="both"/>
        <w:rPr>
          <w:rFonts w:ascii="Times New Roman" w:hAnsi="Times New Roman" w:cs="Times New Roman"/>
          <w:kern w:val="0"/>
          <w:sz w:val="16"/>
          <w:szCs w:val="16"/>
          <w14:ligatures w14:val="none"/>
        </w:rPr>
      </w:pPr>
      <w:r w:rsidRPr="005E4B4B">
        <w:rPr>
          <w:rFonts w:ascii="Times New Roman" w:hAnsi="Times New Roman" w:cs="Times New Roman"/>
          <w:kern w:val="0"/>
          <w:sz w:val="16"/>
          <w:szCs w:val="16"/>
          <w14:ligatures w14:val="none"/>
        </w:rPr>
        <w:t xml:space="preserve">7. </w:t>
      </w:r>
      <w:proofErr w:type="spellStart"/>
      <w:r w:rsidRPr="005E4B4B">
        <w:rPr>
          <w:rFonts w:ascii="Times New Roman" w:hAnsi="Times New Roman" w:cs="Times New Roman"/>
          <w:kern w:val="0"/>
          <w:sz w:val="16"/>
          <w:szCs w:val="16"/>
          <w14:ligatures w14:val="none"/>
        </w:rPr>
        <w:t>Rahut</w:t>
      </w:r>
      <w:proofErr w:type="spellEnd"/>
      <w:r w:rsidRPr="005E4B4B">
        <w:rPr>
          <w:rFonts w:ascii="Times New Roman" w:hAnsi="Times New Roman" w:cs="Times New Roman"/>
          <w:kern w:val="0"/>
          <w:sz w:val="16"/>
          <w:szCs w:val="16"/>
          <w14:ligatures w14:val="none"/>
        </w:rPr>
        <w:t xml:space="preserve"> D., </w:t>
      </w:r>
      <w:proofErr w:type="spellStart"/>
      <w:r w:rsidRPr="005E4B4B">
        <w:rPr>
          <w:rFonts w:ascii="Times New Roman" w:hAnsi="Times New Roman" w:cs="Times New Roman"/>
          <w:kern w:val="0"/>
          <w:sz w:val="16"/>
          <w:szCs w:val="16"/>
          <w14:ligatures w14:val="none"/>
        </w:rPr>
        <w:t>Behera</w:t>
      </w:r>
      <w:proofErr w:type="spellEnd"/>
      <w:r w:rsidRPr="005E4B4B">
        <w:rPr>
          <w:rFonts w:ascii="Times New Roman" w:hAnsi="Times New Roman" w:cs="Times New Roman"/>
          <w:kern w:val="0"/>
          <w:sz w:val="16"/>
          <w:szCs w:val="16"/>
          <w14:ligatures w14:val="none"/>
        </w:rPr>
        <w:t xml:space="preserve"> B. and Ali A. (2016), “Patterns and determinants of household use of fuels for cooking: Empirical evidence from sub-Saharan Africa”, Energy 117 (2016) 93-104</w:t>
      </w:r>
    </w:p>
    <w:p w:rsidR="00757F0E" w:rsidRPr="005E4B4B" w:rsidRDefault="00757F0E" w:rsidP="00757F0E">
      <w:pPr>
        <w:spacing w:line="360" w:lineRule="auto"/>
        <w:jc w:val="both"/>
        <w:rPr>
          <w:rFonts w:ascii="Times New Roman" w:hAnsi="Times New Roman" w:cs="Times New Roman"/>
          <w:color w:val="0000FF"/>
          <w:kern w:val="0"/>
          <w:sz w:val="16"/>
          <w:szCs w:val="16"/>
          <w:u w:val="single"/>
          <w14:ligatures w14:val="none"/>
        </w:rPr>
      </w:pPr>
      <w:r w:rsidRPr="005E4B4B">
        <w:rPr>
          <w:rFonts w:ascii="Times New Roman" w:hAnsi="Times New Roman" w:cs="Times New Roman"/>
          <w:kern w:val="0"/>
          <w:sz w:val="16"/>
          <w:szCs w:val="16"/>
          <w14:ligatures w14:val="none"/>
        </w:rPr>
        <w:t xml:space="preserve">8. </w:t>
      </w:r>
      <w:proofErr w:type="spellStart"/>
      <w:r w:rsidRPr="005E4B4B">
        <w:rPr>
          <w:rFonts w:ascii="Times New Roman" w:hAnsi="Times New Roman" w:cs="Times New Roman"/>
          <w:kern w:val="0"/>
          <w:sz w:val="16"/>
          <w:szCs w:val="16"/>
          <w14:ligatures w14:val="none"/>
        </w:rPr>
        <w:t>Ramamurthi</w:t>
      </w:r>
      <w:proofErr w:type="spellEnd"/>
      <w:r w:rsidRPr="005E4B4B">
        <w:rPr>
          <w:rFonts w:ascii="Times New Roman" w:hAnsi="Times New Roman" w:cs="Times New Roman"/>
          <w:kern w:val="0"/>
          <w:sz w:val="16"/>
          <w:szCs w:val="16"/>
          <w14:ligatures w14:val="none"/>
        </w:rPr>
        <w:t xml:space="preserve"> P., Srinivasan S., </w:t>
      </w:r>
      <w:proofErr w:type="spellStart"/>
      <w:r w:rsidRPr="005E4B4B">
        <w:rPr>
          <w:rFonts w:ascii="Times New Roman" w:hAnsi="Times New Roman" w:cs="Times New Roman"/>
          <w:kern w:val="0"/>
          <w:sz w:val="16"/>
          <w:szCs w:val="16"/>
          <w14:ligatures w14:val="none"/>
        </w:rPr>
        <w:t>Swamy</w:t>
      </w:r>
      <w:proofErr w:type="spellEnd"/>
      <w:r w:rsidRPr="005E4B4B">
        <w:rPr>
          <w:rFonts w:ascii="Times New Roman" w:hAnsi="Times New Roman" w:cs="Times New Roman"/>
          <w:kern w:val="0"/>
          <w:sz w:val="16"/>
          <w:szCs w:val="16"/>
          <w14:ligatures w14:val="none"/>
        </w:rPr>
        <w:t xml:space="preserve"> D. and </w:t>
      </w:r>
      <w:proofErr w:type="spellStart"/>
      <w:r w:rsidRPr="005E4B4B">
        <w:rPr>
          <w:rFonts w:ascii="Times New Roman" w:hAnsi="Times New Roman" w:cs="Times New Roman"/>
          <w:kern w:val="0"/>
          <w:sz w:val="16"/>
          <w:szCs w:val="16"/>
          <w14:ligatures w14:val="none"/>
        </w:rPr>
        <w:t>Kuttickat</w:t>
      </w:r>
      <w:proofErr w:type="spellEnd"/>
      <w:r w:rsidRPr="005E4B4B">
        <w:rPr>
          <w:rFonts w:ascii="Times New Roman" w:hAnsi="Times New Roman" w:cs="Times New Roman"/>
          <w:kern w:val="0"/>
          <w:sz w:val="16"/>
          <w:szCs w:val="16"/>
          <w14:ligatures w14:val="none"/>
        </w:rPr>
        <w:t xml:space="preserve"> R. (2015), “National Level Implications of the Implementation of SDG 7 - Access to Modern Cooking Fuels in India”, Southern Voice 2015 On Post-MDG International Development Goals, Occasional Paper series 36, </w:t>
      </w:r>
      <w:hyperlink r:id="rId16" w:history="1">
        <w:r w:rsidRPr="005E4B4B">
          <w:rPr>
            <w:rFonts w:ascii="Times New Roman" w:hAnsi="Times New Roman" w:cs="Times New Roman"/>
            <w:color w:val="0000FF"/>
            <w:kern w:val="0"/>
            <w:sz w:val="16"/>
            <w:szCs w:val="16"/>
            <w:u w:val="single"/>
            <w14:ligatures w14:val="none"/>
          </w:rPr>
          <w:t>https://www.researchgate.net/publication/334138964</w:t>
        </w:r>
      </w:hyperlink>
    </w:p>
    <w:p w:rsidR="00757F0E" w:rsidRPr="005E4B4B" w:rsidRDefault="00757F0E" w:rsidP="00757F0E">
      <w:pPr>
        <w:spacing w:line="360" w:lineRule="auto"/>
        <w:jc w:val="both"/>
        <w:rPr>
          <w:rFonts w:ascii="Times New Roman" w:hAnsi="Times New Roman" w:cs="Times New Roman"/>
          <w:color w:val="0000FF"/>
          <w:kern w:val="0"/>
          <w:sz w:val="16"/>
          <w:szCs w:val="16"/>
          <w:u w:val="single"/>
          <w14:ligatures w14:val="none"/>
        </w:rPr>
      </w:pPr>
      <w:r w:rsidRPr="005E4B4B">
        <w:rPr>
          <w:rFonts w:ascii="Times New Roman" w:hAnsi="Times New Roman" w:cs="Times New Roman"/>
          <w:kern w:val="0"/>
          <w:sz w:val="16"/>
          <w:szCs w:val="16"/>
          <w14:ligatures w14:val="none"/>
        </w:rPr>
        <w:t xml:space="preserve">9. Sharma A., Parikh J., Singh C. and </w:t>
      </w:r>
      <w:proofErr w:type="spellStart"/>
      <w:r w:rsidRPr="005E4B4B">
        <w:rPr>
          <w:rFonts w:ascii="Times New Roman" w:hAnsi="Times New Roman" w:cs="Times New Roman"/>
          <w:kern w:val="0"/>
          <w:sz w:val="16"/>
          <w:szCs w:val="16"/>
          <w14:ligatures w14:val="none"/>
        </w:rPr>
        <w:t>Neelakantan</w:t>
      </w:r>
      <w:proofErr w:type="spellEnd"/>
      <w:r w:rsidRPr="005E4B4B">
        <w:rPr>
          <w:rFonts w:ascii="Times New Roman" w:hAnsi="Times New Roman" w:cs="Times New Roman"/>
          <w:kern w:val="0"/>
          <w:sz w:val="16"/>
          <w:szCs w:val="16"/>
          <w14:ligatures w14:val="none"/>
        </w:rPr>
        <w:t xml:space="preserve"> S. (2016), “Providing Clean Cooking Fuel in India: Challenges and solution”, International Institute for Sustainable Development and Integrated Research and Action for Development April, 2016 </w:t>
      </w:r>
      <w:hyperlink r:id="rId17" w:history="1">
        <w:r w:rsidRPr="005E4B4B">
          <w:rPr>
            <w:rFonts w:ascii="Times New Roman" w:hAnsi="Times New Roman" w:cs="Times New Roman"/>
            <w:color w:val="0000FF"/>
            <w:kern w:val="0"/>
            <w:sz w:val="16"/>
            <w:szCs w:val="16"/>
            <w:u w:val="single"/>
            <w14:ligatures w14:val="none"/>
          </w:rPr>
          <w:t>https://www.researchgate.net/publication/327056904</w:t>
        </w:r>
      </w:hyperlink>
    </w:p>
    <w:p w:rsidR="00757F0E" w:rsidRPr="005E4B4B" w:rsidRDefault="00757F0E" w:rsidP="00757F0E">
      <w:pPr>
        <w:spacing w:line="360" w:lineRule="auto"/>
        <w:jc w:val="both"/>
        <w:rPr>
          <w:rFonts w:ascii="Times New Roman" w:eastAsia="Times New Roman" w:hAnsi="Times New Roman" w:cs="Times New Roman"/>
          <w:color w:val="0066FF"/>
          <w:kern w:val="0"/>
          <w:sz w:val="16"/>
          <w:szCs w:val="16"/>
          <w:u w:val="single"/>
          <w:lang w:eastAsia="en-IN"/>
          <w14:ligatures w14:val="none"/>
        </w:rPr>
      </w:pPr>
      <w:r w:rsidRPr="005E4B4B">
        <w:rPr>
          <w:rFonts w:ascii="Times New Roman" w:eastAsia="Times New Roman" w:hAnsi="Times New Roman" w:cs="Times New Roman"/>
          <w:color w:val="333333"/>
          <w:kern w:val="0"/>
          <w:sz w:val="16"/>
          <w:szCs w:val="16"/>
          <w:lang w:eastAsia="en-IN"/>
          <w14:ligatures w14:val="none"/>
        </w:rPr>
        <w:t xml:space="preserve">10. </w:t>
      </w:r>
      <w:r w:rsidRPr="005E4B4B">
        <w:rPr>
          <w:rFonts w:ascii="Times New Roman" w:eastAsia="Times New Roman" w:hAnsi="Times New Roman" w:cs="Times New Roman"/>
          <w:kern w:val="0"/>
          <w:sz w:val="16"/>
          <w:szCs w:val="16"/>
          <w:lang w:eastAsia="en-IN"/>
          <w14:ligatures w14:val="none"/>
        </w:rPr>
        <w:t xml:space="preserve">Sinha K. (2022), “Cheap electricity central to India’s clean cooking transition,’ Policy Circle </w:t>
      </w:r>
      <w:hyperlink r:id="rId18" w:history="1">
        <w:r w:rsidRPr="005E4B4B">
          <w:rPr>
            <w:rFonts w:ascii="Times New Roman" w:eastAsia="Times New Roman" w:hAnsi="Times New Roman" w:cs="Times New Roman"/>
            <w:color w:val="0066FF"/>
            <w:kern w:val="0"/>
            <w:sz w:val="16"/>
            <w:szCs w:val="16"/>
            <w:u w:val="single"/>
            <w:lang w:eastAsia="en-IN"/>
            <w14:ligatures w14:val="none"/>
          </w:rPr>
          <w:t>https://www.policycircle.org/life/clean-cooking-e-cooking/</w:t>
        </w:r>
      </w:hyperlink>
    </w:p>
    <w:p w:rsidR="00757F0E" w:rsidRPr="005E4B4B" w:rsidRDefault="00757F0E" w:rsidP="00757F0E">
      <w:pPr>
        <w:spacing w:line="360" w:lineRule="auto"/>
        <w:jc w:val="both"/>
        <w:rPr>
          <w:rFonts w:ascii="Times New Roman" w:hAnsi="Times New Roman" w:cs="Times New Roman"/>
          <w:kern w:val="0"/>
          <w:sz w:val="16"/>
          <w:szCs w:val="16"/>
          <w14:ligatures w14:val="none"/>
        </w:rPr>
      </w:pPr>
      <w:r w:rsidRPr="005E4B4B">
        <w:rPr>
          <w:rFonts w:ascii="Times New Roman" w:hAnsi="Times New Roman" w:cs="Times New Roman"/>
          <w:kern w:val="0"/>
          <w:sz w:val="16"/>
          <w:szCs w:val="16"/>
          <w14:ligatures w14:val="none"/>
        </w:rPr>
        <w:t xml:space="preserve">11. Viswanathan B. and Kumar K. (2005), “Cooking fuel use patterns in India: 1983–2000”, Energy Policy 33 (2005) 1021–1036  </w:t>
      </w:r>
    </w:p>
    <w:p w:rsidR="005E4B4B" w:rsidRDefault="00CE6B5B" w:rsidP="00CE6B5B">
      <w:pPr>
        <w:spacing w:line="360" w:lineRule="auto"/>
        <w:jc w:val="both"/>
        <w:rPr>
          <w:rFonts w:ascii="Times New Roman" w:hAnsi="Times New Roman" w:cs="Times New Roman"/>
          <w:kern w:val="0"/>
          <w:sz w:val="16"/>
          <w:szCs w:val="16"/>
          <w14:ligatures w14:val="none"/>
        </w:rPr>
      </w:pPr>
      <w:r>
        <w:rPr>
          <w:rFonts w:ascii="Times New Roman" w:hAnsi="Times New Roman" w:cs="Times New Roman"/>
          <w:kern w:val="0"/>
          <w:sz w:val="16"/>
          <w:szCs w:val="16"/>
          <w14:ligatures w14:val="none"/>
        </w:rPr>
        <w:t>12</w:t>
      </w:r>
      <w:r w:rsidR="005E4B4B">
        <w:rPr>
          <w:rFonts w:ascii="Times New Roman" w:hAnsi="Times New Roman" w:cs="Times New Roman"/>
          <w:kern w:val="0"/>
          <w:sz w:val="16"/>
          <w:szCs w:val="16"/>
          <w14:ligatures w14:val="none"/>
        </w:rPr>
        <w:t xml:space="preserve">. </w:t>
      </w:r>
      <w:r>
        <w:rPr>
          <w:rFonts w:ascii="Times New Roman" w:hAnsi="Times New Roman" w:cs="Times New Roman"/>
          <w:kern w:val="0"/>
          <w:sz w:val="16"/>
          <w:szCs w:val="16"/>
          <w14:ligatures w14:val="none"/>
        </w:rPr>
        <w:t>NSSO 66</w:t>
      </w:r>
      <w:r w:rsidRPr="00CE6B5B">
        <w:rPr>
          <w:rFonts w:ascii="Times New Roman" w:hAnsi="Times New Roman" w:cs="Times New Roman"/>
          <w:kern w:val="0"/>
          <w:sz w:val="16"/>
          <w:szCs w:val="16"/>
          <w:vertAlign w:val="superscript"/>
          <w14:ligatures w14:val="none"/>
        </w:rPr>
        <w:t>th</w:t>
      </w:r>
      <w:r>
        <w:rPr>
          <w:rFonts w:ascii="Times New Roman" w:hAnsi="Times New Roman" w:cs="Times New Roman"/>
          <w:kern w:val="0"/>
          <w:sz w:val="16"/>
          <w:szCs w:val="16"/>
          <w14:ligatures w14:val="none"/>
        </w:rPr>
        <w:t xml:space="preserve"> (2009-10), NSSO 68</w:t>
      </w:r>
      <w:r w:rsidRPr="00CE6B5B">
        <w:rPr>
          <w:rFonts w:ascii="Times New Roman" w:hAnsi="Times New Roman" w:cs="Times New Roman"/>
          <w:kern w:val="0"/>
          <w:sz w:val="16"/>
          <w:szCs w:val="16"/>
          <w:vertAlign w:val="superscript"/>
          <w14:ligatures w14:val="none"/>
        </w:rPr>
        <w:t>th</w:t>
      </w:r>
      <w:r>
        <w:rPr>
          <w:rFonts w:ascii="Times New Roman" w:hAnsi="Times New Roman" w:cs="Times New Roman"/>
          <w:kern w:val="0"/>
          <w:sz w:val="16"/>
          <w:szCs w:val="16"/>
          <w14:ligatures w14:val="none"/>
        </w:rPr>
        <w:t xml:space="preserve"> (2011-12), NSS0 76</w:t>
      </w:r>
      <w:r w:rsidRPr="00CE6B5B">
        <w:rPr>
          <w:rFonts w:ascii="Times New Roman" w:hAnsi="Times New Roman" w:cs="Times New Roman"/>
          <w:kern w:val="0"/>
          <w:sz w:val="16"/>
          <w:szCs w:val="16"/>
          <w:vertAlign w:val="superscript"/>
          <w14:ligatures w14:val="none"/>
        </w:rPr>
        <w:t>th</w:t>
      </w:r>
      <w:r>
        <w:rPr>
          <w:rFonts w:ascii="Times New Roman" w:hAnsi="Times New Roman" w:cs="Times New Roman"/>
          <w:kern w:val="0"/>
          <w:sz w:val="16"/>
          <w:szCs w:val="16"/>
          <w14:ligatures w14:val="none"/>
        </w:rPr>
        <w:t xml:space="preserve"> (2018) and NSS 78</w:t>
      </w:r>
      <w:r w:rsidRPr="00CE6B5B">
        <w:rPr>
          <w:rFonts w:ascii="Times New Roman" w:hAnsi="Times New Roman" w:cs="Times New Roman"/>
          <w:kern w:val="0"/>
          <w:sz w:val="16"/>
          <w:szCs w:val="16"/>
          <w:vertAlign w:val="superscript"/>
          <w14:ligatures w14:val="none"/>
        </w:rPr>
        <w:t>th</w:t>
      </w:r>
      <w:r>
        <w:rPr>
          <w:rFonts w:ascii="Times New Roman" w:hAnsi="Times New Roman" w:cs="Times New Roman"/>
          <w:kern w:val="0"/>
          <w:sz w:val="16"/>
          <w:szCs w:val="16"/>
          <w14:ligatures w14:val="none"/>
        </w:rPr>
        <w:t xml:space="preserve"> (2020-21) Reports.</w:t>
      </w:r>
    </w:p>
    <w:p w:rsidR="00CE6B5B" w:rsidRDefault="00CE6B5B" w:rsidP="00CE6B5B">
      <w:pPr>
        <w:spacing w:line="360" w:lineRule="auto"/>
        <w:jc w:val="both"/>
        <w:rPr>
          <w:rFonts w:ascii="Times New Roman" w:hAnsi="Times New Roman" w:cs="Times New Roman"/>
          <w:kern w:val="0"/>
          <w:sz w:val="16"/>
          <w:szCs w:val="16"/>
          <w14:ligatures w14:val="none"/>
        </w:rPr>
      </w:pPr>
      <w:r>
        <w:rPr>
          <w:rFonts w:ascii="Times New Roman" w:hAnsi="Times New Roman" w:cs="Times New Roman"/>
          <w:kern w:val="0"/>
          <w:sz w:val="16"/>
          <w:szCs w:val="16"/>
          <w14:ligatures w14:val="none"/>
        </w:rPr>
        <w:t>13</w:t>
      </w:r>
      <w:r w:rsidRPr="005E4B4B">
        <w:rPr>
          <w:rFonts w:ascii="Times New Roman" w:hAnsi="Times New Roman" w:cs="Times New Roman"/>
          <w:kern w:val="0"/>
          <w:sz w:val="16"/>
          <w:szCs w:val="16"/>
          <w14:ligatures w14:val="none"/>
        </w:rPr>
        <w:t>. Tracking SDG7 the Energy Progress Report 2020, A joint report of the custodian agencies IEA, IREA, UNSD, World Bank, WHO</w:t>
      </w:r>
    </w:p>
    <w:p w:rsidR="00CE6B5B" w:rsidRPr="005E4B4B" w:rsidRDefault="00CE6B5B" w:rsidP="00CE6B5B">
      <w:pPr>
        <w:spacing w:line="360" w:lineRule="auto"/>
        <w:jc w:val="both"/>
        <w:rPr>
          <w:rFonts w:ascii="Times New Roman" w:hAnsi="Times New Roman" w:cs="Times New Roman"/>
          <w:kern w:val="0"/>
          <w:sz w:val="16"/>
          <w:szCs w:val="16"/>
          <w14:ligatures w14:val="none"/>
        </w:rPr>
      </w:pPr>
    </w:p>
    <w:p w:rsidR="008A5019" w:rsidRPr="00F46120" w:rsidRDefault="008A5019" w:rsidP="00F46120">
      <w:pPr>
        <w:spacing w:before="100" w:beforeAutospacing="1" w:after="5760"/>
        <w:ind w:left="567" w:right="567"/>
        <w:jc w:val="both"/>
        <w:rPr>
          <w:rFonts w:ascii="Times New Roman" w:hAnsi="Times New Roman" w:cs="Times New Roman"/>
          <w:sz w:val="16"/>
          <w:szCs w:val="16"/>
        </w:rPr>
      </w:pPr>
    </w:p>
    <w:sectPr w:rsidR="008A5019" w:rsidRPr="00F46120" w:rsidSect="006B3E8C">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6CF"/>
    <w:rsid w:val="00003699"/>
    <w:rsid w:val="00014916"/>
    <w:rsid w:val="000211A1"/>
    <w:rsid w:val="0004391E"/>
    <w:rsid w:val="0006688D"/>
    <w:rsid w:val="000C4C7C"/>
    <w:rsid w:val="000D4DBB"/>
    <w:rsid w:val="00114E63"/>
    <w:rsid w:val="001169FC"/>
    <w:rsid w:val="00140B90"/>
    <w:rsid w:val="00145720"/>
    <w:rsid w:val="002326C3"/>
    <w:rsid w:val="0024782A"/>
    <w:rsid w:val="002643C7"/>
    <w:rsid w:val="002650A5"/>
    <w:rsid w:val="002C0D52"/>
    <w:rsid w:val="003544D9"/>
    <w:rsid w:val="003C3F68"/>
    <w:rsid w:val="00421C67"/>
    <w:rsid w:val="004A4067"/>
    <w:rsid w:val="004D79BC"/>
    <w:rsid w:val="004E19AE"/>
    <w:rsid w:val="004F0C27"/>
    <w:rsid w:val="00533FA1"/>
    <w:rsid w:val="0055102C"/>
    <w:rsid w:val="005522AE"/>
    <w:rsid w:val="005565F2"/>
    <w:rsid w:val="005774C4"/>
    <w:rsid w:val="005E4B4B"/>
    <w:rsid w:val="00603F28"/>
    <w:rsid w:val="006238F2"/>
    <w:rsid w:val="0067692F"/>
    <w:rsid w:val="006809FB"/>
    <w:rsid w:val="00691244"/>
    <w:rsid w:val="0069404A"/>
    <w:rsid w:val="0069467D"/>
    <w:rsid w:val="006B3E8C"/>
    <w:rsid w:val="006C2883"/>
    <w:rsid w:val="0070456B"/>
    <w:rsid w:val="00757F0E"/>
    <w:rsid w:val="00761244"/>
    <w:rsid w:val="00771CB3"/>
    <w:rsid w:val="00787E85"/>
    <w:rsid w:val="007931F9"/>
    <w:rsid w:val="007C674F"/>
    <w:rsid w:val="008273F6"/>
    <w:rsid w:val="008320BB"/>
    <w:rsid w:val="008A5019"/>
    <w:rsid w:val="008E0B0B"/>
    <w:rsid w:val="00934483"/>
    <w:rsid w:val="00937E91"/>
    <w:rsid w:val="00A87372"/>
    <w:rsid w:val="00B074F2"/>
    <w:rsid w:val="00BC6EBB"/>
    <w:rsid w:val="00BD26CF"/>
    <w:rsid w:val="00BE5D17"/>
    <w:rsid w:val="00CE6B5B"/>
    <w:rsid w:val="00D23B36"/>
    <w:rsid w:val="00D25213"/>
    <w:rsid w:val="00D658F5"/>
    <w:rsid w:val="00D73D85"/>
    <w:rsid w:val="00DA1604"/>
    <w:rsid w:val="00DA4433"/>
    <w:rsid w:val="00E82870"/>
    <w:rsid w:val="00EB0F76"/>
    <w:rsid w:val="00F46120"/>
    <w:rsid w:val="00FE22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140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7E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E91"/>
    <w:rPr>
      <w:rFonts w:ascii="Tahoma" w:hAnsi="Tahoma" w:cs="Tahoma"/>
      <w:sz w:val="16"/>
      <w:szCs w:val="16"/>
    </w:rPr>
  </w:style>
  <w:style w:type="table" w:customStyle="1" w:styleId="TableGrid3">
    <w:name w:val="Table Grid3"/>
    <w:basedOn w:val="TableNormal"/>
    <w:next w:val="TableGrid"/>
    <w:uiPriority w:val="59"/>
    <w:rsid w:val="00937E9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140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7E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E91"/>
    <w:rPr>
      <w:rFonts w:ascii="Tahoma" w:hAnsi="Tahoma" w:cs="Tahoma"/>
      <w:sz w:val="16"/>
      <w:szCs w:val="16"/>
    </w:rPr>
  </w:style>
  <w:style w:type="table" w:customStyle="1" w:styleId="TableGrid3">
    <w:name w:val="Table Grid3"/>
    <w:basedOn w:val="TableNormal"/>
    <w:next w:val="TableGrid"/>
    <w:uiPriority w:val="59"/>
    <w:rsid w:val="00937E9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ata.worldbank.org/indicator/EG.CFT.ACCS.ZS" TargetMode="External"/><Relationship Id="rId18" Type="http://schemas.openxmlformats.org/officeDocument/2006/relationships/hyperlink" Target="https://www.policycircle.org/life/clean-cooking-e-cooking/" TargetMode="External"/><Relationship Id="rId3" Type="http://schemas.microsoft.com/office/2007/relationships/stylesWithEffects" Target="stylesWithEffects.xml"/><Relationship Id="rId7" Type="http://schemas.openxmlformats.org/officeDocument/2006/relationships/hyperlink" Target="mailto:g.sarma@cit.ac.in" TargetMode="External"/><Relationship Id="rId12" Type="http://schemas.openxmlformats.org/officeDocument/2006/relationships/chart" Target="charts/chart5.xml"/><Relationship Id="rId17" Type="http://schemas.openxmlformats.org/officeDocument/2006/relationships/hyperlink" Target="https://www.researchgate.net/publication/327056904" TargetMode="External"/><Relationship Id="rId2" Type="http://schemas.openxmlformats.org/officeDocument/2006/relationships/styles" Target="styles.xml"/><Relationship Id="rId16" Type="http://schemas.openxmlformats.org/officeDocument/2006/relationships/hyperlink" Target="https://www.researchgate.net/publication/33413896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gwmwthaon@gmail.com" TargetMode="Externa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www.mdpi.com/journal/sustainability" TargetMode="Externa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researchgate.net/publication/359694734"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Coke/coal</c:v>
                </c:pt>
              </c:strCache>
            </c:strRef>
          </c:tx>
          <c:marker>
            <c:symbol val="none"/>
          </c:marker>
          <c:cat>
            <c:strRef>
              <c:f>Sheet1!$A$2:$A$8</c:f>
              <c:strCache>
                <c:ptCount val="7"/>
                <c:pt idx="0">
                  <c:v>1993-94</c:v>
                </c:pt>
                <c:pt idx="1">
                  <c:v>1999-2000</c:v>
                </c:pt>
                <c:pt idx="2">
                  <c:v>2004-05</c:v>
                </c:pt>
                <c:pt idx="3">
                  <c:v>2009-10</c:v>
                </c:pt>
                <c:pt idx="4">
                  <c:v>2011-12</c:v>
                </c:pt>
                <c:pt idx="5">
                  <c:v>2018</c:v>
                </c:pt>
                <c:pt idx="6">
                  <c:v>2020-21</c:v>
                </c:pt>
              </c:strCache>
            </c:strRef>
          </c:cat>
          <c:val>
            <c:numRef>
              <c:f>Sheet1!$B$2:$B$8</c:f>
              <c:numCache>
                <c:formatCode>General</c:formatCode>
                <c:ptCount val="7"/>
                <c:pt idx="0">
                  <c:v>1.4</c:v>
                </c:pt>
                <c:pt idx="1">
                  <c:v>1.5</c:v>
                </c:pt>
                <c:pt idx="2">
                  <c:v>0.8</c:v>
                </c:pt>
                <c:pt idx="3">
                  <c:v>0.8</c:v>
                </c:pt>
                <c:pt idx="4">
                  <c:v>0</c:v>
                </c:pt>
                <c:pt idx="5">
                  <c:v>0</c:v>
                </c:pt>
                <c:pt idx="6">
                  <c:v>0.3</c:v>
                </c:pt>
              </c:numCache>
            </c:numRef>
          </c:val>
          <c:smooth val="0"/>
        </c:ser>
        <c:ser>
          <c:idx val="1"/>
          <c:order val="1"/>
          <c:tx>
            <c:strRef>
              <c:f>Sheet1!$C$1</c:f>
              <c:strCache>
                <c:ptCount val="1"/>
                <c:pt idx="0">
                  <c:v>Firewood &amp; chips</c:v>
                </c:pt>
              </c:strCache>
            </c:strRef>
          </c:tx>
          <c:marker>
            <c:symbol val="none"/>
          </c:marker>
          <c:dLbls>
            <c:showLegendKey val="0"/>
            <c:showVal val="1"/>
            <c:showCatName val="0"/>
            <c:showSerName val="0"/>
            <c:showPercent val="0"/>
            <c:showBubbleSize val="0"/>
            <c:showLeaderLines val="0"/>
          </c:dLbls>
          <c:cat>
            <c:strRef>
              <c:f>Sheet1!$A$2:$A$8</c:f>
              <c:strCache>
                <c:ptCount val="7"/>
                <c:pt idx="0">
                  <c:v>1993-94</c:v>
                </c:pt>
                <c:pt idx="1">
                  <c:v>1999-2000</c:v>
                </c:pt>
                <c:pt idx="2">
                  <c:v>2004-05</c:v>
                </c:pt>
                <c:pt idx="3">
                  <c:v>2009-10</c:v>
                </c:pt>
                <c:pt idx="4">
                  <c:v>2011-12</c:v>
                </c:pt>
                <c:pt idx="5">
                  <c:v>2018</c:v>
                </c:pt>
                <c:pt idx="6">
                  <c:v>2020-21</c:v>
                </c:pt>
              </c:strCache>
            </c:strRef>
          </c:cat>
          <c:val>
            <c:numRef>
              <c:f>Sheet1!$C$2:$C$8</c:f>
              <c:numCache>
                <c:formatCode>General</c:formatCode>
                <c:ptCount val="7"/>
                <c:pt idx="0">
                  <c:v>78.2</c:v>
                </c:pt>
                <c:pt idx="1">
                  <c:v>75.5</c:v>
                </c:pt>
                <c:pt idx="2">
                  <c:v>75</c:v>
                </c:pt>
                <c:pt idx="3">
                  <c:v>76.3</c:v>
                </c:pt>
                <c:pt idx="4">
                  <c:v>60</c:v>
                </c:pt>
                <c:pt idx="5">
                  <c:v>44.5</c:v>
                </c:pt>
                <c:pt idx="6">
                  <c:v>46.7</c:v>
                </c:pt>
              </c:numCache>
            </c:numRef>
          </c:val>
          <c:smooth val="0"/>
        </c:ser>
        <c:ser>
          <c:idx val="2"/>
          <c:order val="2"/>
          <c:tx>
            <c:strRef>
              <c:f>Sheet1!$D$1</c:f>
              <c:strCache>
                <c:ptCount val="1"/>
                <c:pt idx="0">
                  <c:v>LPG</c:v>
                </c:pt>
              </c:strCache>
            </c:strRef>
          </c:tx>
          <c:marker>
            <c:symbol val="none"/>
          </c:marker>
          <c:dLbls>
            <c:showLegendKey val="0"/>
            <c:showVal val="1"/>
            <c:showCatName val="0"/>
            <c:showSerName val="0"/>
            <c:showPercent val="0"/>
            <c:showBubbleSize val="0"/>
            <c:showLeaderLines val="0"/>
          </c:dLbls>
          <c:cat>
            <c:strRef>
              <c:f>Sheet1!$A$2:$A$8</c:f>
              <c:strCache>
                <c:ptCount val="7"/>
                <c:pt idx="0">
                  <c:v>1993-94</c:v>
                </c:pt>
                <c:pt idx="1">
                  <c:v>1999-2000</c:v>
                </c:pt>
                <c:pt idx="2">
                  <c:v>2004-05</c:v>
                </c:pt>
                <c:pt idx="3">
                  <c:v>2009-10</c:v>
                </c:pt>
                <c:pt idx="4">
                  <c:v>2011-12</c:v>
                </c:pt>
                <c:pt idx="5">
                  <c:v>2018</c:v>
                </c:pt>
                <c:pt idx="6">
                  <c:v>2020-21</c:v>
                </c:pt>
              </c:strCache>
            </c:strRef>
          </c:cat>
          <c:val>
            <c:numRef>
              <c:f>Sheet1!$D$2:$D$8</c:f>
              <c:numCache>
                <c:formatCode>General</c:formatCode>
                <c:ptCount val="7"/>
                <c:pt idx="0">
                  <c:v>1.9</c:v>
                </c:pt>
                <c:pt idx="1">
                  <c:v>5.4</c:v>
                </c:pt>
                <c:pt idx="2">
                  <c:v>8.6</c:v>
                </c:pt>
                <c:pt idx="3">
                  <c:v>11.5</c:v>
                </c:pt>
                <c:pt idx="4">
                  <c:v>15</c:v>
                </c:pt>
                <c:pt idx="5">
                  <c:v>48.3</c:v>
                </c:pt>
                <c:pt idx="6">
                  <c:v>49.4</c:v>
                </c:pt>
              </c:numCache>
            </c:numRef>
          </c:val>
          <c:smooth val="0"/>
        </c:ser>
        <c:ser>
          <c:idx val="3"/>
          <c:order val="3"/>
          <c:tx>
            <c:strRef>
              <c:f>Sheet1!$E$1</c:f>
              <c:strCache>
                <c:ptCount val="1"/>
                <c:pt idx="0">
                  <c:v>Dunk cake</c:v>
                </c:pt>
              </c:strCache>
            </c:strRef>
          </c:tx>
          <c:marker>
            <c:symbol val="none"/>
          </c:marker>
          <c:dLbls>
            <c:showLegendKey val="0"/>
            <c:showVal val="1"/>
            <c:showCatName val="0"/>
            <c:showSerName val="0"/>
            <c:showPercent val="0"/>
            <c:showBubbleSize val="0"/>
            <c:showLeaderLines val="0"/>
          </c:dLbls>
          <c:cat>
            <c:strRef>
              <c:f>Sheet1!$A$2:$A$8</c:f>
              <c:strCache>
                <c:ptCount val="7"/>
                <c:pt idx="0">
                  <c:v>1993-94</c:v>
                </c:pt>
                <c:pt idx="1">
                  <c:v>1999-2000</c:v>
                </c:pt>
                <c:pt idx="2">
                  <c:v>2004-05</c:v>
                </c:pt>
                <c:pt idx="3">
                  <c:v>2009-10</c:v>
                </c:pt>
                <c:pt idx="4">
                  <c:v>2011-12</c:v>
                </c:pt>
                <c:pt idx="5">
                  <c:v>2018</c:v>
                </c:pt>
                <c:pt idx="6">
                  <c:v>2020-21</c:v>
                </c:pt>
              </c:strCache>
            </c:strRef>
          </c:cat>
          <c:val>
            <c:numRef>
              <c:f>Sheet1!$E$2:$E$8</c:f>
              <c:numCache>
                <c:formatCode>General</c:formatCode>
                <c:ptCount val="7"/>
                <c:pt idx="0">
                  <c:v>11.5</c:v>
                </c:pt>
                <c:pt idx="1">
                  <c:v>10.6</c:v>
                </c:pt>
                <c:pt idx="2">
                  <c:v>9.1</c:v>
                </c:pt>
                <c:pt idx="3">
                  <c:v>6.3</c:v>
                </c:pt>
                <c:pt idx="4">
                  <c:v>10</c:v>
                </c:pt>
                <c:pt idx="5">
                  <c:v>5.5</c:v>
                </c:pt>
                <c:pt idx="6">
                  <c:v>3</c:v>
                </c:pt>
              </c:numCache>
            </c:numRef>
          </c:val>
          <c:smooth val="0"/>
        </c:ser>
        <c:ser>
          <c:idx val="4"/>
          <c:order val="4"/>
          <c:tx>
            <c:strRef>
              <c:f>Sheet1!$F$1</c:f>
              <c:strCache>
                <c:ptCount val="1"/>
                <c:pt idx="0">
                  <c:v>Kerosene</c:v>
                </c:pt>
              </c:strCache>
            </c:strRef>
          </c:tx>
          <c:marker>
            <c:symbol val="none"/>
          </c:marker>
          <c:cat>
            <c:strRef>
              <c:f>Sheet1!$A$2:$A$8</c:f>
              <c:strCache>
                <c:ptCount val="7"/>
                <c:pt idx="0">
                  <c:v>1993-94</c:v>
                </c:pt>
                <c:pt idx="1">
                  <c:v>1999-2000</c:v>
                </c:pt>
                <c:pt idx="2">
                  <c:v>2004-05</c:v>
                </c:pt>
                <c:pt idx="3">
                  <c:v>2009-10</c:v>
                </c:pt>
                <c:pt idx="4">
                  <c:v>2011-12</c:v>
                </c:pt>
                <c:pt idx="5">
                  <c:v>2018</c:v>
                </c:pt>
                <c:pt idx="6">
                  <c:v>2020-21</c:v>
                </c:pt>
              </c:strCache>
            </c:strRef>
          </c:cat>
          <c:val>
            <c:numRef>
              <c:f>Sheet1!$F$2:$F$8</c:f>
              <c:numCache>
                <c:formatCode>General</c:formatCode>
                <c:ptCount val="7"/>
                <c:pt idx="0">
                  <c:v>2</c:v>
                </c:pt>
                <c:pt idx="1">
                  <c:v>2.7</c:v>
                </c:pt>
                <c:pt idx="2">
                  <c:v>1.3</c:v>
                </c:pt>
                <c:pt idx="3">
                  <c:v>0.8</c:v>
                </c:pt>
                <c:pt idx="4">
                  <c:v>9</c:v>
                </c:pt>
                <c:pt idx="5">
                  <c:v>0</c:v>
                </c:pt>
                <c:pt idx="6">
                  <c:v>0.1</c:v>
                </c:pt>
              </c:numCache>
            </c:numRef>
          </c:val>
          <c:smooth val="0"/>
        </c:ser>
        <c:ser>
          <c:idx val="5"/>
          <c:order val="5"/>
          <c:tx>
            <c:strRef>
              <c:f>Sheet1!$G$1</c:f>
              <c:strCache>
                <c:ptCount val="1"/>
                <c:pt idx="0">
                  <c:v>No cooking</c:v>
                </c:pt>
              </c:strCache>
            </c:strRef>
          </c:tx>
          <c:marker>
            <c:symbol val="none"/>
          </c:marker>
          <c:dLbls>
            <c:showLegendKey val="0"/>
            <c:showVal val="1"/>
            <c:showCatName val="0"/>
            <c:showSerName val="0"/>
            <c:showPercent val="0"/>
            <c:showBubbleSize val="0"/>
            <c:showLeaderLines val="0"/>
          </c:dLbls>
          <c:cat>
            <c:strRef>
              <c:f>Sheet1!$A$2:$A$8</c:f>
              <c:strCache>
                <c:ptCount val="7"/>
                <c:pt idx="0">
                  <c:v>1993-94</c:v>
                </c:pt>
                <c:pt idx="1">
                  <c:v>1999-2000</c:v>
                </c:pt>
                <c:pt idx="2">
                  <c:v>2004-05</c:v>
                </c:pt>
                <c:pt idx="3">
                  <c:v>2009-10</c:v>
                </c:pt>
                <c:pt idx="4">
                  <c:v>2011-12</c:v>
                </c:pt>
                <c:pt idx="5">
                  <c:v>2018</c:v>
                </c:pt>
                <c:pt idx="6">
                  <c:v>2020-21</c:v>
                </c:pt>
              </c:strCache>
            </c:strRef>
          </c:cat>
          <c:val>
            <c:numRef>
              <c:f>Sheet1!$G$2:$G$8</c:f>
              <c:numCache>
                <c:formatCode>General</c:formatCode>
                <c:ptCount val="7"/>
                <c:pt idx="0">
                  <c:v>0.7</c:v>
                </c:pt>
                <c:pt idx="1">
                  <c:v>1.1000000000000001</c:v>
                </c:pt>
                <c:pt idx="2">
                  <c:v>1.3</c:v>
                </c:pt>
                <c:pt idx="3">
                  <c:v>1.6</c:v>
                </c:pt>
                <c:pt idx="4">
                  <c:v>1</c:v>
                </c:pt>
                <c:pt idx="5">
                  <c:v>0.6</c:v>
                </c:pt>
                <c:pt idx="6">
                  <c:v>0.2</c:v>
                </c:pt>
              </c:numCache>
            </c:numRef>
          </c:val>
          <c:smooth val="0"/>
        </c:ser>
        <c:ser>
          <c:idx val="6"/>
          <c:order val="6"/>
          <c:tx>
            <c:strRef>
              <c:f>Sheet1!$H$1</c:f>
              <c:strCache>
                <c:ptCount val="1"/>
                <c:pt idx="0">
                  <c:v>Others</c:v>
                </c:pt>
              </c:strCache>
            </c:strRef>
          </c:tx>
          <c:marker>
            <c:symbol val="none"/>
          </c:marker>
          <c:dLbls>
            <c:showLegendKey val="0"/>
            <c:showVal val="1"/>
            <c:showCatName val="0"/>
            <c:showSerName val="0"/>
            <c:showPercent val="0"/>
            <c:showBubbleSize val="0"/>
            <c:showLeaderLines val="0"/>
          </c:dLbls>
          <c:cat>
            <c:strRef>
              <c:f>Sheet1!$A$2:$A$8</c:f>
              <c:strCache>
                <c:ptCount val="7"/>
                <c:pt idx="0">
                  <c:v>1993-94</c:v>
                </c:pt>
                <c:pt idx="1">
                  <c:v>1999-2000</c:v>
                </c:pt>
                <c:pt idx="2">
                  <c:v>2004-05</c:v>
                </c:pt>
                <c:pt idx="3">
                  <c:v>2009-10</c:v>
                </c:pt>
                <c:pt idx="4">
                  <c:v>2011-12</c:v>
                </c:pt>
                <c:pt idx="5">
                  <c:v>2018</c:v>
                </c:pt>
                <c:pt idx="6">
                  <c:v>2020-21</c:v>
                </c:pt>
              </c:strCache>
            </c:strRef>
          </c:cat>
          <c:val>
            <c:numRef>
              <c:f>Sheet1!$H$2:$H$8</c:f>
              <c:numCache>
                <c:formatCode>General</c:formatCode>
                <c:ptCount val="7"/>
                <c:pt idx="0">
                  <c:v>4.0999999999999996</c:v>
                </c:pt>
                <c:pt idx="1">
                  <c:v>3.1</c:v>
                </c:pt>
                <c:pt idx="2">
                  <c:v>3.8</c:v>
                </c:pt>
                <c:pt idx="3">
                  <c:v>2.7</c:v>
                </c:pt>
                <c:pt idx="4">
                  <c:v>15</c:v>
                </c:pt>
                <c:pt idx="5">
                  <c:v>1.1000000000000001</c:v>
                </c:pt>
                <c:pt idx="6">
                  <c:v>0.3</c:v>
                </c:pt>
              </c:numCache>
            </c:numRef>
          </c:val>
          <c:smooth val="0"/>
        </c:ser>
        <c:dLbls>
          <c:showLegendKey val="0"/>
          <c:showVal val="0"/>
          <c:showCatName val="0"/>
          <c:showSerName val="0"/>
          <c:showPercent val="0"/>
          <c:showBubbleSize val="0"/>
        </c:dLbls>
        <c:marker val="1"/>
        <c:smooth val="0"/>
        <c:axId val="155853184"/>
        <c:axId val="155854720"/>
      </c:lineChart>
      <c:catAx>
        <c:axId val="155853184"/>
        <c:scaling>
          <c:orientation val="minMax"/>
        </c:scaling>
        <c:delete val="0"/>
        <c:axPos val="b"/>
        <c:majorTickMark val="out"/>
        <c:minorTickMark val="none"/>
        <c:tickLblPos val="nextTo"/>
        <c:crossAx val="155854720"/>
        <c:crosses val="autoZero"/>
        <c:auto val="1"/>
        <c:lblAlgn val="ctr"/>
        <c:lblOffset val="100"/>
        <c:noMultiLvlLbl val="0"/>
      </c:catAx>
      <c:valAx>
        <c:axId val="155854720"/>
        <c:scaling>
          <c:orientation val="minMax"/>
        </c:scaling>
        <c:delete val="0"/>
        <c:axPos val="l"/>
        <c:majorGridlines/>
        <c:numFmt formatCode="General" sourceLinked="1"/>
        <c:majorTickMark val="out"/>
        <c:minorTickMark val="none"/>
        <c:tickLblPos val="nextTo"/>
        <c:crossAx val="15585318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coke/ coal</c:v>
                </c:pt>
              </c:strCache>
            </c:strRef>
          </c:tx>
          <c:marker>
            <c:symbol val="none"/>
          </c:marker>
          <c:cat>
            <c:strRef>
              <c:f>Sheet1!$A$2:$A$8</c:f>
              <c:strCache>
                <c:ptCount val="7"/>
                <c:pt idx="0">
                  <c:v>1993-94</c:v>
                </c:pt>
                <c:pt idx="1">
                  <c:v>1999-2000</c:v>
                </c:pt>
                <c:pt idx="2">
                  <c:v>2004-05</c:v>
                </c:pt>
                <c:pt idx="3">
                  <c:v>2009-10</c:v>
                </c:pt>
                <c:pt idx="4">
                  <c:v>2011-12</c:v>
                </c:pt>
                <c:pt idx="5">
                  <c:v>2018</c:v>
                </c:pt>
                <c:pt idx="6">
                  <c:v>2020-21</c:v>
                </c:pt>
              </c:strCache>
            </c:strRef>
          </c:cat>
          <c:val>
            <c:numRef>
              <c:f>Sheet1!$B$2:$B$8</c:f>
              <c:numCache>
                <c:formatCode>General</c:formatCode>
                <c:ptCount val="7"/>
                <c:pt idx="0">
                  <c:v>5.7</c:v>
                </c:pt>
                <c:pt idx="1">
                  <c:v>4.0999999999999996</c:v>
                </c:pt>
                <c:pt idx="2">
                  <c:v>2.8</c:v>
                </c:pt>
                <c:pt idx="3">
                  <c:v>2.2999999999999998</c:v>
                </c:pt>
                <c:pt idx="4">
                  <c:v>0</c:v>
                </c:pt>
                <c:pt idx="5">
                  <c:v>0</c:v>
                </c:pt>
                <c:pt idx="6">
                  <c:v>0.5</c:v>
                </c:pt>
              </c:numCache>
            </c:numRef>
          </c:val>
          <c:smooth val="0"/>
        </c:ser>
        <c:ser>
          <c:idx val="1"/>
          <c:order val="1"/>
          <c:tx>
            <c:strRef>
              <c:f>Sheet1!$C$1</c:f>
              <c:strCache>
                <c:ptCount val="1"/>
                <c:pt idx="0">
                  <c:v>firewood &amp; chips</c:v>
                </c:pt>
              </c:strCache>
            </c:strRef>
          </c:tx>
          <c:marker>
            <c:symbol val="none"/>
          </c:marker>
          <c:dLbls>
            <c:showLegendKey val="0"/>
            <c:showVal val="1"/>
            <c:showCatName val="0"/>
            <c:showSerName val="0"/>
            <c:showPercent val="0"/>
            <c:showBubbleSize val="0"/>
            <c:showLeaderLines val="0"/>
          </c:dLbls>
          <c:cat>
            <c:strRef>
              <c:f>Sheet1!$A$2:$A$8</c:f>
              <c:strCache>
                <c:ptCount val="7"/>
                <c:pt idx="0">
                  <c:v>1993-94</c:v>
                </c:pt>
                <c:pt idx="1">
                  <c:v>1999-2000</c:v>
                </c:pt>
                <c:pt idx="2">
                  <c:v>2004-05</c:v>
                </c:pt>
                <c:pt idx="3">
                  <c:v>2009-10</c:v>
                </c:pt>
                <c:pt idx="4">
                  <c:v>2011-12</c:v>
                </c:pt>
                <c:pt idx="5">
                  <c:v>2018</c:v>
                </c:pt>
                <c:pt idx="6">
                  <c:v>2020-21</c:v>
                </c:pt>
              </c:strCache>
            </c:strRef>
          </c:cat>
          <c:val>
            <c:numRef>
              <c:f>Sheet1!$C$2:$C$8</c:f>
              <c:numCache>
                <c:formatCode>General</c:formatCode>
                <c:ptCount val="7"/>
                <c:pt idx="0">
                  <c:v>29.9</c:v>
                </c:pt>
                <c:pt idx="1">
                  <c:v>22.3</c:v>
                </c:pt>
                <c:pt idx="2">
                  <c:v>21.7</c:v>
                </c:pt>
                <c:pt idx="3">
                  <c:v>17.5</c:v>
                </c:pt>
                <c:pt idx="4">
                  <c:v>14</c:v>
                </c:pt>
                <c:pt idx="5">
                  <c:v>5.6</c:v>
                </c:pt>
                <c:pt idx="6">
                  <c:v>6.5</c:v>
                </c:pt>
              </c:numCache>
            </c:numRef>
          </c:val>
          <c:smooth val="0"/>
        </c:ser>
        <c:ser>
          <c:idx val="2"/>
          <c:order val="2"/>
          <c:tx>
            <c:strRef>
              <c:f>Sheet1!$D$1</c:f>
              <c:strCache>
                <c:ptCount val="1"/>
                <c:pt idx="0">
                  <c:v>LPG</c:v>
                </c:pt>
              </c:strCache>
            </c:strRef>
          </c:tx>
          <c:marker>
            <c:symbol val="none"/>
          </c:marker>
          <c:dLbls>
            <c:showLegendKey val="0"/>
            <c:showVal val="1"/>
            <c:showCatName val="0"/>
            <c:showSerName val="0"/>
            <c:showPercent val="0"/>
            <c:showBubbleSize val="0"/>
            <c:showLeaderLines val="0"/>
          </c:dLbls>
          <c:cat>
            <c:strRef>
              <c:f>Sheet1!$A$2:$A$8</c:f>
              <c:strCache>
                <c:ptCount val="7"/>
                <c:pt idx="0">
                  <c:v>1993-94</c:v>
                </c:pt>
                <c:pt idx="1">
                  <c:v>1999-2000</c:v>
                </c:pt>
                <c:pt idx="2">
                  <c:v>2004-05</c:v>
                </c:pt>
                <c:pt idx="3">
                  <c:v>2009-10</c:v>
                </c:pt>
                <c:pt idx="4">
                  <c:v>2011-12</c:v>
                </c:pt>
                <c:pt idx="5">
                  <c:v>2018</c:v>
                </c:pt>
                <c:pt idx="6">
                  <c:v>2020-21</c:v>
                </c:pt>
              </c:strCache>
            </c:strRef>
          </c:cat>
          <c:val>
            <c:numRef>
              <c:f>Sheet1!$D$2:$D$8</c:f>
              <c:numCache>
                <c:formatCode>General</c:formatCode>
                <c:ptCount val="7"/>
                <c:pt idx="0">
                  <c:v>29.6</c:v>
                </c:pt>
                <c:pt idx="1">
                  <c:v>44.2</c:v>
                </c:pt>
                <c:pt idx="2">
                  <c:v>57.1</c:v>
                </c:pt>
                <c:pt idx="3">
                  <c:v>64.5</c:v>
                </c:pt>
                <c:pt idx="4">
                  <c:v>68</c:v>
                </c:pt>
                <c:pt idx="5">
                  <c:v>86.6</c:v>
                </c:pt>
                <c:pt idx="6">
                  <c:v>89</c:v>
                </c:pt>
              </c:numCache>
            </c:numRef>
          </c:val>
          <c:smooth val="0"/>
        </c:ser>
        <c:ser>
          <c:idx val="3"/>
          <c:order val="3"/>
          <c:tx>
            <c:strRef>
              <c:f>Sheet1!$E$1</c:f>
              <c:strCache>
                <c:ptCount val="1"/>
                <c:pt idx="0">
                  <c:v>dung cake</c:v>
                </c:pt>
              </c:strCache>
            </c:strRef>
          </c:tx>
          <c:marker>
            <c:symbol val="none"/>
          </c:marker>
          <c:cat>
            <c:strRef>
              <c:f>Sheet1!$A$2:$A$8</c:f>
              <c:strCache>
                <c:ptCount val="7"/>
                <c:pt idx="0">
                  <c:v>1993-94</c:v>
                </c:pt>
                <c:pt idx="1">
                  <c:v>1999-2000</c:v>
                </c:pt>
                <c:pt idx="2">
                  <c:v>2004-05</c:v>
                </c:pt>
                <c:pt idx="3">
                  <c:v>2009-10</c:v>
                </c:pt>
                <c:pt idx="4">
                  <c:v>2011-12</c:v>
                </c:pt>
                <c:pt idx="5">
                  <c:v>2018</c:v>
                </c:pt>
                <c:pt idx="6">
                  <c:v>2020-21</c:v>
                </c:pt>
              </c:strCache>
            </c:strRef>
          </c:cat>
          <c:val>
            <c:numRef>
              <c:f>Sheet1!$E$2:$E$8</c:f>
              <c:numCache>
                <c:formatCode>General</c:formatCode>
                <c:ptCount val="7"/>
                <c:pt idx="0">
                  <c:v>2.4</c:v>
                </c:pt>
                <c:pt idx="1">
                  <c:v>2.1</c:v>
                </c:pt>
                <c:pt idx="2">
                  <c:v>1.7</c:v>
                </c:pt>
                <c:pt idx="3">
                  <c:v>1.3</c:v>
                </c:pt>
                <c:pt idx="4">
                  <c:v>1</c:v>
                </c:pt>
                <c:pt idx="5">
                  <c:v>0.5</c:v>
                </c:pt>
                <c:pt idx="6">
                  <c:v>0.3</c:v>
                </c:pt>
              </c:numCache>
            </c:numRef>
          </c:val>
          <c:smooth val="0"/>
        </c:ser>
        <c:ser>
          <c:idx val="4"/>
          <c:order val="4"/>
          <c:tx>
            <c:strRef>
              <c:f>Sheet1!$F$1</c:f>
              <c:strCache>
                <c:ptCount val="1"/>
                <c:pt idx="0">
                  <c:v>kerosene</c:v>
                </c:pt>
              </c:strCache>
            </c:strRef>
          </c:tx>
          <c:marker>
            <c:symbol val="none"/>
          </c:marker>
          <c:dLbls>
            <c:showLegendKey val="0"/>
            <c:showVal val="1"/>
            <c:showCatName val="0"/>
            <c:showSerName val="0"/>
            <c:showPercent val="0"/>
            <c:showBubbleSize val="0"/>
            <c:showLeaderLines val="0"/>
          </c:dLbls>
          <c:cat>
            <c:strRef>
              <c:f>Sheet1!$A$2:$A$8</c:f>
              <c:strCache>
                <c:ptCount val="7"/>
                <c:pt idx="0">
                  <c:v>1993-94</c:v>
                </c:pt>
                <c:pt idx="1">
                  <c:v>1999-2000</c:v>
                </c:pt>
                <c:pt idx="2">
                  <c:v>2004-05</c:v>
                </c:pt>
                <c:pt idx="3">
                  <c:v>2009-10</c:v>
                </c:pt>
                <c:pt idx="4">
                  <c:v>2011-12</c:v>
                </c:pt>
                <c:pt idx="5">
                  <c:v>2018</c:v>
                </c:pt>
                <c:pt idx="6">
                  <c:v>2020-21</c:v>
                </c:pt>
              </c:strCache>
            </c:strRef>
          </c:cat>
          <c:val>
            <c:numRef>
              <c:f>Sheet1!$F$2:$F$8</c:f>
              <c:numCache>
                <c:formatCode>General</c:formatCode>
                <c:ptCount val="7"/>
                <c:pt idx="0">
                  <c:v>23.2</c:v>
                </c:pt>
                <c:pt idx="1">
                  <c:v>21.7</c:v>
                </c:pt>
                <c:pt idx="2">
                  <c:v>10.199999999999999</c:v>
                </c:pt>
                <c:pt idx="3">
                  <c:v>6.5</c:v>
                </c:pt>
                <c:pt idx="4">
                  <c:v>6</c:v>
                </c:pt>
                <c:pt idx="5">
                  <c:v>0</c:v>
                </c:pt>
                <c:pt idx="6">
                  <c:v>0.5</c:v>
                </c:pt>
              </c:numCache>
            </c:numRef>
          </c:val>
          <c:smooth val="0"/>
        </c:ser>
        <c:ser>
          <c:idx val="5"/>
          <c:order val="5"/>
          <c:tx>
            <c:strRef>
              <c:f>Sheet1!$G$1</c:f>
              <c:strCache>
                <c:ptCount val="1"/>
                <c:pt idx="0">
                  <c:v>no cooking</c:v>
                </c:pt>
              </c:strCache>
            </c:strRef>
          </c:tx>
          <c:marker>
            <c:symbol val="none"/>
          </c:marker>
          <c:dLbls>
            <c:showLegendKey val="0"/>
            <c:showVal val="1"/>
            <c:showCatName val="0"/>
            <c:showSerName val="0"/>
            <c:showPercent val="0"/>
            <c:showBubbleSize val="0"/>
            <c:showLeaderLines val="0"/>
          </c:dLbls>
          <c:cat>
            <c:strRef>
              <c:f>Sheet1!$A$2:$A$8</c:f>
              <c:strCache>
                <c:ptCount val="7"/>
                <c:pt idx="0">
                  <c:v>1993-94</c:v>
                </c:pt>
                <c:pt idx="1">
                  <c:v>1999-2000</c:v>
                </c:pt>
                <c:pt idx="2">
                  <c:v>2004-05</c:v>
                </c:pt>
                <c:pt idx="3">
                  <c:v>2009-10</c:v>
                </c:pt>
                <c:pt idx="4">
                  <c:v>2011-12</c:v>
                </c:pt>
                <c:pt idx="5">
                  <c:v>2018</c:v>
                </c:pt>
                <c:pt idx="6">
                  <c:v>2020-21</c:v>
                </c:pt>
              </c:strCache>
            </c:strRef>
          </c:cat>
          <c:val>
            <c:numRef>
              <c:f>Sheet1!$G$2:$G$8</c:f>
              <c:numCache>
                <c:formatCode>General</c:formatCode>
                <c:ptCount val="7"/>
                <c:pt idx="0">
                  <c:v>6.3</c:v>
                </c:pt>
                <c:pt idx="1">
                  <c:v>4.3</c:v>
                </c:pt>
                <c:pt idx="2">
                  <c:v>4.9000000000000004</c:v>
                </c:pt>
                <c:pt idx="3">
                  <c:v>6.5</c:v>
                </c:pt>
                <c:pt idx="4">
                  <c:v>7</c:v>
                </c:pt>
                <c:pt idx="5">
                  <c:v>4.0999999999999996</c:v>
                </c:pt>
                <c:pt idx="6">
                  <c:v>1.7</c:v>
                </c:pt>
              </c:numCache>
            </c:numRef>
          </c:val>
          <c:smooth val="0"/>
        </c:ser>
        <c:ser>
          <c:idx val="6"/>
          <c:order val="6"/>
          <c:tx>
            <c:strRef>
              <c:f>Sheet1!$H$1</c:f>
              <c:strCache>
                <c:ptCount val="1"/>
                <c:pt idx="0">
                  <c:v>Other</c:v>
                </c:pt>
              </c:strCache>
            </c:strRef>
          </c:tx>
          <c:marker>
            <c:symbol val="none"/>
          </c:marker>
          <c:dLbls>
            <c:showLegendKey val="0"/>
            <c:showVal val="1"/>
            <c:showCatName val="0"/>
            <c:showSerName val="0"/>
            <c:showPercent val="0"/>
            <c:showBubbleSize val="0"/>
            <c:showLeaderLines val="0"/>
          </c:dLbls>
          <c:cat>
            <c:strRef>
              <c:f>Sheet1!$A$2:$A$8</c:f>
              <c:strCache>
                <c:ptCount val="7"/>
                <c:pt idx="0">
                  <c:v>1993-94</c:v>
                </c:pt>
                <c:pt idx="1">
                  <c:v>1999-2000</c:v>
                </c:pt>
                <c:pt idx="2">
                  <c:v>2004-05</c:v>
                </c:pt>
                <c:pt idx="3">
                  <c:v>2009-10</c:v>
                </c:pt>
                <c:pt idx="4">
                  <c:v>2011-12</c:v>
                </c:pt>
                <c:pt idx="5">
                  <c:v>2018</c:v>
                </c:pt>
                <c:pt idx="6">
                  <c:v>2020-21</c:v>
                </c:pt>
              </c:strCache>
            </c:strRef>
          </c:cat>
          <c:val>
            <c:numRef>
              <c:f>Sheet1!$H$2:$H$8</c:f>
              <c:numCache>
                <c:formatCode>General</c:formatCode>
                <c:ptCount val="7"/>
                <c:pt idx="0">
                  <c:v>3</c:v>
                </c:pt>
                <c:pt idx="1">
                  <c:v>1.3</c:v>
                </c:pt>
                <c:pt idx="2">
                  <c:v>1.6</c:v>
                </c:pt>
                <c:pt idx="3">
                  <c:v>1.5</c:v>
                </c:pt>
                <c:pt idx="4">
                  <c:v>4</c:v>
                </c:pt>
                <c:pt idx="5">
                  <c:v>3.2</c:v>
                </c:pt>
                <c:pt idx="6">
                  <c:v>1.5</c:v>
                </c:pt>
              </c:numCache>
            </c:numRef>
          </c:val>
          <c:smooth val="0"/>
        </c:ser>
        <c:dLbls>
          <c:showLegendKey val="0"/>
          <c:showVal val="0"/>
          <c:showCatName val="0"/>
          <c:showSerName val="0"/>
          <c:showPercent val="0"/>
          <c:showBubbleSize val="0"/>
        </c:dLbls>
        <c:marker val="1"/>
        <c:smooth val="0"/>
        <c:axId val="155947776"/>
        <c:axId val="155949312"/>
      </c:lineChart>
      <c:catAx>
        <c:axId val="155947776"/>
        <c:scaling>
          <c:orientation val="minMax"/>
        </c:scaling>
        <c:delete val="0"/>
        <c:axPos val="b"/>
        <c:majorTickMark val="out"/>
        <c:minorTickMark val="none"/>
        <c:tickLblPos val="nextTo"/>
        <c:crossAx val="155949312"/>
        <c:crosses val="autoZero"/>
        <c:auto val="1"/>
        <c:lblAlgn val="ctr"/>
        <c:lblOffset val="100"/>
        <c:noMultiLvlLbl val="0"/>
      </c:catAx>
      <c:valAx>
        <c:axId val="155949312"/>
        <c:scaling>
          <c:orientation val="minMax"/>
        </c:scaling>
        <c:delete val="0"/>
        <c:axPos val="l"/>
        <c:majorGridlines/>
        <c:numFmt formatCode="General" sourceLinked="1"/>
        <c:majorTickMark val="out"/>
        <c:minorTickMark val="none"/>
        <c:tickLblPos val="nextTo"/>
        <c:crossAx val="15594777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latin typeface="Times New Roman" panose="02020603050405020304" pitchFamily="18" charset="0"/>
                <a:cs typeface="Times New Roman" panose="02020603050405020304" pitchFamily="18" charset="0"/>
              </a:rPr>
              <a:t>Figure 3:</a:t>
            </a:r>
            <a:r>
              <a:rPr lang="en-US" sz="1200" baseline="0">
                <a:latin typeface="Times New Roman" panose="02020603050405020304" pitchFamily="18" charset="0"/>
                <a:cs typeface="Times New Roman" panose="02020603050405020304" pitchFamily="18" charset="0"/>
              </a:rPr>
              <a:t> Different sources of cooking energy</a:t>
            </a:r>
            <a:endParaRPr lang="en-US" sz="1200">
              <a:latin typeface="Times New Roman" panose="02020603050405020304" pitchFamily="18" charset="0"/>
              <a:cs typeface="Times New Roman" panose="02020603050405020304" pitchFamily="18" charset="0"/>
            </a:endParaRPr>
          </a:p>
        </c:rich>
      </c:tx>
      <c:layout/>
      <c:overlay val="0"/>
    </c:title>
    <c:autoTitleDeleted val="0"/>
    <c:plotArea>
      <c:layout/>
      <c:pieChart>
        <c:varyColors val="1"/>
        <c:ser>
          <c:idx val="0"/>
          <c:order val="0"/>
          <c:tx>
            <c:strRef>
              <c:f>Sheet1!$B$1</c:f>
              <c:strCache>
                <c:ptCount val="1"/>
                <c:pt idx="0">
                  <c:v>Fuels</c:v>
                </c:pt>
              </c:strCache>
            </c:strRef>
          </c:tx>
          <c:dLbls>
            <c:showLegendKey val="0"/>
            <c:showVal val="1"/>
            <c:showCatName val="0"/>
            <c:showSerName val="0"/>
            <c:showPercent val="0"/>
            <c:showBubbleSize val="0"/>
            <c:showLeaderLines val="1"/>
          </c:dLbls>
          <c:cat>
            <c:strRef>
              <c:f>Sheet1!$A$2:$A$7</c:f>
              <c:strCache>
                <c:ptCount val="6"/>
                <c:pt idx="0">
                  <c:v>Firewood</c:v>
                </c:pt>
                <c:pt idx="1">
                  <c:v>LPG/PNG</c:v>
                </c:pt>
                <c:pt idx="2">
                  <c:v>Crop residue</c:v>
                </c:pt>
                <c:pt idx="3">
                  <c:v>Dunk cake</c:v>
                </c:pt>
                <c:pt idx="4">
                  <c:v>Electricity</c:v>
                </c:pt>
                <c:pt idx="5">
                  <c:v>Others </c:v>
                </c:pt>
              </c:strCache>
            </c:strRef>
          </c:cat>
          <c:val>
            <c:numRef>
              <c:f>Sheet1!$B$2:$B$7</c:f>
              <c:numCache>
                <c:formatCode>0.00%</c:formatCode>
                <c:ptCount val="6"/>
                <c:pt idx="0">
                  <c:v>0.49399999999999999</c:v>
                </c:pt>
                <c:pt idx="1">
                  <c:v>0.85099999999999998</c:v>
                </c:pt>
                <c:pt idx="2">
                  <c:v>0.154</c:v>
                </c:pt>
                <c:pt idx="3">
                  <c:v>0.23699999999999999</c:v>
                </c:pt>
                <c:pt idx="4" formatCode="0%">
                  <c:v>0.05</c:v>
                </c:pt>
                <c:pt idx="5" formatCode="0%">
                  <c:v>0.13</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latin typeface="Times New Roman" panose="02020603050405020304" pitchFamily="18" charset="0"/>
                <a:cs typeface="Times New Roman" panose="02020603050405020304" pitchFamily="18" charset="0"/>
              </a:rPr>
              <a:t>Figure</a:t>
            </a:r>
            <a:r>
              <a:rPr lang="en-US" sz="1200" baseline="0">
                <a:latin typeface="Times New Roman" panose="02020603050405020304" pitchFamily="18" charset="0"/>
                <a:cs typeface="Times New Roman" panose="02020603050405020304" pitchFamily="18" charset="0"/>
              </a:rPr>
              <a:t> 4: Primary sources of energy for cooking   </a:t>
            </a:r>
            <a:endParaRPr lang="en-US" sz="1200">
              <a:latin typeface="Times New Roman" panose="02020603050405020304" pitchFamily="18" charset="0"/>
              <a:cs typeface="Times New Roman" panose="02020603050405020304" pitchFamily="18" charset="0"/>
            </a:endParaRPr>
          </a:p>
        </c:rich>
      </c:tx>
      <c:layout/>
      <c:overlay val="0"/>
    </c:title>
    <c:autoTitleDeleted val="0"/>
    <c:plotArea>
      <c:layout/>
      <c:pieChart>
        <c:varyColors val="1"/>
        <c:ser>
          <c:idx val="0"/>
          <c:order val="0"/>
          <c:tx>
            <c:strRef>
              <c:f>Sheet1!$B$1</c:f>
              <c:strCache>
                <c:ptCount val="1"/>
                <c:pt idx="0">
                  <c:v>ghdhb</c:v>
                </c:pt>
              </c:strCache>
            </c:strRef>
          </c:tx>
          <c:dLbls>
            <c:showLegendKey val="0"/>
            <c:showVal val="1"/>
            <c:showCatName val="0"/>
            <c:showSerName val="0"/>
            <c:showPercent val="0"/>
            <c:showBubbleSize val="0"/>
            <c:showLeaderLines val="1"/>
          </c:dLbls>
          <c:cat>
            <c:strRef>
              <c:f>Sheet1!$A$2:$A$10</c:f>
              <c:strCache>
                <c:ptCount val="9"/>
                <c:pt idx="0">
                  <c:v>Firewood, chips &amp; crop residue</c:v>
                </c:pt>
                <c:pt idx="1">
                  <c:v>LPG</c:v>
                </c:pt>
                <c:pt idx="2">
                  <c:v>Other natural gas</c:v>
                </c:pt>
                <c:pt idx="3">
                  <c:v>Dunk cake</c:v>
                </c:pt>
                <c:pt idx="4">
                  <c:v>Kerosene</c:v>
                </c:pt>
                <c:pt idx="5">
                  <c:v>Coke/ coal</c:v>
                </c:pt>
                <c:pt idx="6">
                  <c:v>Gobar gas</c:v>
                </c:pt>
                <c:pt idx="7">
                  <c:v>Electricity</c:v>
                </c:pt>
                <c:pt idx="8">
                  <c:v>No Cooking</c:v>
                </c:pt>
              </c:strCache>
            </c:strRef>
          </c:cat>
          <c:val>
            <c:numRef>
              <c:f>Sheet1!$B$2:$B$10</c:f>
              <c:numCache>
                <c:formatCode>0%</c:formatCode>
                <c:ptCount val="9"/>
                <c:pt idx="0" formatCode="0.00%">
                  <c:v>0.33800000000000002</c:v>
                </c:pt>
                <c:pt idx="1">
                  <c:v>0.62</c:v>
                </c:pt>
                <c:pt idx="2" formatCode="0.00%">
                  <c:v>5.0000000000000001E-3</c:v>
                </c:pt>
                <c:pt idx="3" formatCode="0.00%">
                  <c:v>2.1999999999999999E-2</c:v>
                </c:pt>
                <c:pt idx="4" formatCode="0.00%">
                  <c:v>2E-3</c:v>
                </c:pt>
                <c:pt idx="5" formatCode="0.00%">
                  <c:v>4.0000000000000001E-3</c:v>
                </c:pt>
                <c:pt idx="6" formatCode="0.00%">
                  <c:v>1E-3</c:v>
                </c:pt>
                <c:pt idx="7" formatCode="0.00%">
                  <c:v>1E-3</c:v>
                </c:pt>
                <c:pt idx="8" formatCode="0.00%">
                  <c:v>7.0000000000000001E-3</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Sheet1!$B$1</c:f>
              <c:strCache>
                <c:ptCount val="1"/>
                <c:pt idx="0">
                  <c:v>Total</c:v>
                </c:pt>
              </c:strCache>
            </c:strRef>
          </c:tx>
          <c:marker>
            <c:symbol val="none"/>
          </c:marker>
          <c:dLbls>
            <c:showLegendKey val="0"/>
            <c:showVal val="1"/>
            <c:showCatName val="0"/>
            <c:showSerName val="0"/>
            <c:showPercent val="0"/>
            <c:showBubbleSize val="0"/>
            <c:showLeaderLines val="0"/>
          </c:dLbls>
          <c:cat>
            <c:numRef>
              <c:f>Sheet1!$A$2:$A$5</c:f>
              <c:numCache>
                <c:formatCode>General</c:formatCode>
                <c:ptCount val="4"/>
                <c:pt idx="0">
                  <c:v>2000</c:v>
                </c:pt>
                <c:pt idx="1">
                  <c:v>2010</c:v>
                </c:pt>
                <c:pt idx="2">
                  <c:v>2015</c:v>
                </c:pt>
                <c:pt idx="3">
                  <c:v>2020</c:v>
                </c:pt>
              </c:numCache>
            </c:numRef>
          </c:cat>
          <c:val>
            <c:numRef>
              <c:f>Sheet1!$B$2:$B$5</c:f>
              <c:numCache>
                <c:formatCode>General</c:formatCode>
                <c:ptCount val="4"/>
                <c:pt idx="0">
                  <c:v>22</c:v>
                </c:pt>
                <c:pt idx="1">
                  <c:v>35</c:v>
                </c:pt>
                <c:pt idx="2">
                  <c:v>48</c:v>
                </c:pt>
                <c:pt idx="3">
                  <c:v>68</c:v>
                </c:pt>
              </c:numCache>
            </c:numRef>
          </c:val>
          <c:smooth val="0"/>
        </c:ser>
        <c:ser>
          <c:idx val="1"/>
          <c:order val="1"/>
          <c:tx>
            <c:strRef>
              <c:f>Sheet1!$C$1</c:f>
              <c:strCache>
                <c:ptCount val="1"/>
                <c:pt idx="0">
                  <c:v>Rural</c:v>
                </c:pt>
              </c:strCache>
            </c:strRef>
          </c:tx>
          <c:marker>
            <c:symbol val="none"/>
          </c:marker>
          <c:dLbls>
            <c:showLegendKey val="0"/>
            <c:showVal val="1"/>
            <c:showCatName val="0"/>
            <c:showSerName val="0"/>
            <c:showPercent val="0"/>
            <c:showBubbleSize val="0"/>
            <c:showLeaderLines val="0"/>
          </c:dLbls>
          <c:cat>
            <c:numRef>
              <c:f>Sheet1!$A$2:$A$5</c:f>
              <c:numCache>
                <c:formatCode>General</c:formatCode>
                <c:ptCount val="4"/>
                <c:pt idx="0">
                  <c:v>2000</c:v>
                </c:pt>
                <c:pt idx="1">
                  <c:v>2010</c:v>
                </c:pt>
                <c:pt idx="2">
                  <c:v>2015</c:v>
                </c:pt>
                <c:pt idx="3">
                  <c:v>2020</c:v>
                </c:pt>
              </c:numCache>
            </c:numRef>
          </c:cat>
          <c:val>
            <c:numRef>
              <c:f>Sheet1!$C$2:$C$5</c:f>
              <c:numCache>
                <c:formatCode>General</c:formatCode>
                <c:ptCount val="4"/>
                <c:pt idx="0">
                  <c:v>7</c:v>
                </c:pt>
                <c:pt idx="1">
                  <c:v>14</c:v>
                </c:pt>
                <c:pt idx="2">
                  <c:v>27</c:v>
                </c:pt>
                <c:pt idx="3">
                  <c:v>54</c:v>
                </c:pt>
              </c:numCache>
            </c:numRef>
          </c:val>
          <c:smooth val="0"/>
        </c:ser>
        <c:ser>
          <c:idx val="2"/>
          <c:order val="2"/>
          <c:tx>
            <c:strRef>
              <c:f>Sheet1!$D$1</c:f>
              <c:strCache>
                <c:ptCount val="1"/>
                <c:pt idx="0">
                  <c:v>Urban</c:v>
                </c:pt>
              </c:strCache>
            </c:strRef>
          </c:tx>
          <c:marker>
            <c:symbol val="none"/>
          </c:marker>
          <c:dLbls>
            <c:showLegendKey val="0"/>
            <c:showVal val="1"/>
            <c:showCatName val="0"/>
            <c:showSerName val="0"/>
            <c:showPercent val="0"/>
            <c:showBubbleSize val="0"/>
            <c:showLeaderLines val="0"/>
          </c:dLbls>
          <c:cat>
            <c:numRef>
              <c:f>Sheet1!$A$2:$A$5</c:f>
              <c:numCache>
                <c:formatCode>General</c:formatCode>
                <c:ptCount val="4"/>
                <c:pt idx="0">
                  <c:v>2000</c:v>
                </c:pt>
                <c:pt idx="1">
                  <c:v>2010</c:v>
                </c:pt>
                <c:pt idx="2">
                  <c:v>2015</c:v>
                </c:pt>
                <c:pt idx="3">
                  <c:v>2020</c:v>
                </c:pt>
              </c:numCache>
            </c:numRef>
          </c:cat>
          <c:val>
            <c:numRef>
              <c:f>Sheet1!$D$2:$D$5</c:f>
              <c:numCache>
                <c:formatCode>General</c:formatCode>
                <c:ptCount val="4"/>
                <c:pt idx="0">
                  <c:v>50</c:v>
                </c:pt>
                <c:pt idx="1">
                  <c:v>71</c:v>
                </c:pt>
                <c:pt idx="2">
                  <c:v>82</c:v>
                </c:pt>
                <c:pt idx="3">
                  <c:v>91</c:v>
                </c:pt>
              </c:numCache>
            </c:numRef>
          </c:val>
          <c:smooth val="0"/>
        </c:ser>
        <c:dLbls>
          <c:showLegendKey val="0"/>
          <c:showVal val="0"/>
          <c:showCatName val="0"/>
          <c:showSerName val="0"/>
          <c:showPercent val="0"/>
          <c:showBubbleSize val="0"/>
        </c:dLbls>
        <c:marker val="1"/>
        <c:smooth val="0"/>
        <c:axId val="156103424"/>
        <c:axId val="156104960"/>
      </c:lineChart>
      <c:catAx>
        <c:axId val="156103424"/>
        <c:scaling>
          <c:orientation val="minMax"/>
        </c:scaling>
        <c:delete val="0"/>
        <c:axPos val="b"/>
        <c:numFmt formatCode="General" sourceLinked="1"/>
        <c:majorTickMark val="out"/>
        <c:minorTickMark val="none"/>
        <c:tickLblPos val="nextTo"/>
        <c:crossAx val="156104960"/>
        <c:crosses val="autoZero"/>
        <c:auto val="1"/>
        <c:lblAlgn val="ctr"/>
        <c:lblOffset val="100"/>
        <c:noMultiLvlLbl val="0"/>
      </c:catAx>
      <c:valAx>
        <c:axId val="156104960"/>
        <c:scaling>
          <c:orientation val="minMax"/>
        </c:scaling>
        <c:delete val="0"/>
        <c:axPos val="l"/>
        <c:majorGridlines/>
        <c:numFmt formatCode="General" sourceLinked="1"/>
        <c:majorTickMark val="out"/>
        <c:minorTickMark val="none"/>
        <c:tickLblPos val="nextTo"/>
        <c:crossAx val="156103424"/>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45BF6-A77B-472D-B646-5DBCB4B17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7</Pages>
  <Words>2307</Words>
  <Characters>13151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Gwmwthao Narzary</dc:creator>
  <cp:lastModifiedBy>Gwmwthao Narzary</cp:lastModifiedBy>
  <cp:revision>21</cp:revision>
  <dcterms:created xsi:type="dcterms:W3CDTF">2023-06-08T02:38:00Z</dcterms:created>
  <dcterms:modified xsi:type="dcterms:W3CDTF">2023-07-14T03:19:00Z</dcterms:modified>
</cp:coreProperties>
</file>