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98EE" w14:textId="7367A41F" w:rsidR="00F61C0A" w:rsidRPr="000F3B2B" w:rsidRDefault="00124EB5" w:rsidP="000B109F">
      <w:pPr>
        <w:shd w:val="clear" w:color="auto" w:fill="FFFFFF" w:themeFill="background1"/>
        <w:spacing w:after="0" w:line="240" w:lineRule="auto"/>
        <w:jc w:val="center"/>
        <w:outlineLvl w:val="1"/>
        <w:rPr>
          <w:rFonts w:ascii="Times New Roman" w:eastAsia="Times New Roman" w:hAnsi="Times New Roman" w:cs="Times New Roman"/>
          <w:b/>
          <w:color w:val="000000" w:themeColor="text1"/>
          <w:sz w:val="48"/>
          <w:szCs w:val="48"/>
          <w:lang w:eastAsia="en-IN"/>
        </w:rPr>
      </w:pPr>
      <w:r w:rsidRPr="000F3B2B">
        <w:rPr>
          <w:rFonts w:ascii="Times New Roman" w:eastAsia="Times New Roman" w:hAnsi="Times New Roman" w:cs="Times New Roman"/>
          <w:b/>
          <w:color w:val="000000" w:themeColor="text1"/>
          <w:sz w:val="48"/>
          <w:szCs w:val="48"/>
          <w:lang w:eastAsia="en-IN"/>
        </w:rPr>
        <w:t>Food Supply Chain System:</w:t>
      </w:r>
      <w:r w:rsidR="00A64D14" w:rsidRPr="000F3B2B">
        <w:rPr>
          <w:rFonts w:ascii="Times New Roman" w:eastAsia="Times New Roman" w:hAnsi="Times New Roman" w:cs="Times New Roman"/>
          <w:b/>
          <w:color w:val="000000" w:themeColor="text1"/>
          <w:sz w:val="48"/>
          <w:szCs w:val="48"/>
          <w:lang w:eastAsia="en-IN"/>
        </w:rPr>
        <w:t xml:space="preserve"> </w:t>
      </w:r>
      <w:r w:rsidRPr="000F3B2B">
        <w:rPr>
          <w:rFonts w:ascii="Times New Roman" w:eastAsia="Times New Roman" w:hAnsi="Times New Roman" w:cs="Times New Roman"/>
          <w:b/>
          <w:color w:val="000000" w:themeColor="text1"/>
          <w:sz w:val="48"/>
          <w:szCs w:val="48"/>
          <w:lang w:eastAsia="en-IN"/>
        </w:rPr>
        <w:t>Charting the Path to Sustainable Food Systems</w:t>
      </w:r>
    </w:p>
    <w:tbl>
      <w:tblPr>
        <w:tblStyle w:val="TableGrid"/>
        <w:tblpPr w:leftFromText="180" w:rightFromText="180" w:vertAnchor="text" w:horzAnchor="page" w:tblpX="781" w:tblpY="62"/>
        <w:tblW w:w="9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0"/>
      </w:tblGrid>
      <w:tr w:rsidR="005B5800" w:rsidRPr="008B2B2F" w14:paraId="34D4FCCF" w14:textId="77777777" w:rsidTr="000B109F">
        <w:trPr>
          <w:gridAfter w:val="1"/>
          <w:wAfter w:w="4810" w:type="dxa"/>
          <w:trHeight w:val="309"/>
        </w:trPr>
        <w:tc>
          <w:tcPr>
            <w:tcW w:w="4810" w:type="dxa"/>
          </w:tcPr>
          <w:p w14:paraId="0D49AEE4" w14:textId="77777777" w:rsidR="005B5800" w:rsidRPr="008B2B2F" w:rsidRDefault="005B5800"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p>
          <w:p w14:paraId="5EC71ECB" w14:textId="77777777" w:rsidR="005B5800" w:rsidRPr="008B2B2F" w:rsidRDefault="005B5800"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p>
          <w:p w14:paraId="17F533E8" w14:textId="02D2423F" w:rsidR="005B5800" w:rsidRPr="008B2B2F" w:rsidRDefault="005B5800"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p>
        </w:tc>
      </w:tr>
      <w:tr w:rsidR="005B5800" w:rsidRPr="008B2B2F" w14:paraId="0183A01F" w14:textId="77777777" w:rsidTr="000B109F">
        <w:trPr>
          <w:trHeight w:val="294"/>
        </w:trPr>
        <w:tc>
          <w:tcPr>
            <w:tcW w:w="4810" w:type="dxa"/>
          </w:tcPr>
          <w:p w14:paraId="69F36D82" w14:textId="2A8D7D74" w:rsidR="005B5800" w:rsidRPr="008B2B2F" w:rsidRDefault="000B109F"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Anindita Ghosh</w:t>
            </w:r>
            <w:r w:rsidRPr="008B2B2F">
              <w:rPr>
                <w:rFonts w:ascii="Times New Roman" w:eastAsia="Times New Roman" w:hAnsi="Times New Roman" w:cs="Times New Roman"/>
                <w:color w:val="000000" w:themeColor="text1"/>
                <w:sz w:val="20"/>
                <w:szCs w:val="20"/>
                <w:vertAlign w:val="superscript"/>
                <w:lang w:eastAsia="en-IN"/>
              </w:rPr>
              <w:t>1</w:t>
            </w:r>
          </w:p>
        </w:tc>
        <w:tc>
          <w:tcPr>
            <w:tcW w:w="4810" w:type="dxa"/>
          </w:tcPr>
          <w:p w14:paraId="3ABD0C0A" w14:textId="57442C5F" w:rsidR="005B5800" w:rsidRPr="008B2B2F" w:rsidRDefault="000B109F"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Pratibha Patil</w:t>
            </w:r>
            <w:r w:rsidRPr="008B2B2F">
              <w:rPr>
                <w:rFonts w:ascii="Times New Roman" w:eastAsia="Times New Roman" w:hAnsi="Times New Roman" w:cs="Times New Roman"/>
                <w:color w:val="000000" w:themeColor="text1"/>
                <w:sz w:val="20"/>
                <w:szCs w:val="20"/>
                <w:vertAlign w:val="superscript"/>
                <w:lang w:eastAsia="en-IN"/>
              </w:rPr>
              <w:t>2</w:t>
            </w:r>
          </w:p>
        </w:tc>
      </w:tr>
      <w:tr w:rsidR="005B5800" w:rsidRPr="008B2B2F" w14:paraId="564C10AD" w14:textId="77777777" w:rsidTr="000B109F">
        <w:trPr>
          <w:trHeight w:val="309"/>
        </w:trPr>
        <w:tc>
          <w:tcPr>
            <w:tcW w:w="4810" w:type="dxa"/>
          </w:tcPr>
          <w:p w14:paraId="31A2797D" w14:textId="3CDBA4EB" w:rsidR="005B5800" w:rsidRPr="008B2B2F" w:rsidRDefault="000B109F"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School of Beauty and Wellness</w:t>
            </w:r>
          </w:p>
        </w:tc>
        <w:tc>
          <w:tcPr>
            <w:tcW w:w="4810" w:type="dxa"/>
          </w:tcPr>
          <w:p w14:paraId="411B7B0A" w14:textId="111289B5" w:rsidR="005B5800" w:rsidRPr="008B2B2F" w:rsidRDefault="000B109F"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School of BFSI</w:t>
            </w:r>
          </w:p>
        </w:tc>
      </w:tr>
      <w:tr w:rsidR="005B5800" w:rsidRPr="008B2B2F" w14:paraId="744A711C" w14:textId="77777777" w:rsidTr="000B109F">
        <w:trPr>
          <w:trHeight w:val="309"/>
        </w:trPr>
        <w:tc>
          <w:tcPr>
            <w:tcW w:w="4810" w:type="dxa"/>
          </w:tcPr>
          <w:p w14:paraId="3F289D81" w14:textId="7392889B" w:rsidR="005B5800" w:rsidRPr="008B2B2F" w:rsidRDefault="000B109F"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Symbiosis Skills and Professional University</w:t>
            </w:r>
            <w:r w:rsidRPr="008B2B2F">
              <w:rPr>
                <w:rFonts w:ascii="Times New Roman" w:eastAsia="Times New Roman" w:hAnsi="Times New Roman" w:cs="Times New Roman"/>
                <w:color w:val="000000" w:themeColor="text1"/>
                <w:sz w:val="20"/>
                <w:szCs w:val="20"/>
                <w:lang w:eastAsia="en-IN"/>
              </w:rPr>
              <w:t xml:space="preserve"> </w:t>
            </w:r>
            <w:r w:rsidR="005B5800" w:rsidRPr="008B2B2F">
              <w:rPr>
                <w:rFonts w:ascii="Times New Roman" w:eastAsia="Times New Roman" w:hAnsi="Times New Roman" w:cs="Times New Roman"/>
                <w:color w:val="000000" w:themeColor="text1"/>
                <w:sz w:val="20"/>
                <w:szCs w:val="20"/>
                <w:lang w:eastAsia="en-IN"/>
              </w:rPr>
              <w:t>Pune, India</w:t>
            </w:r>
          </w:p>
        </w:tc>
        <w:tc>
          <w:tcPr>
            <w:tcW w:w="4810" w:type="dxa"/>
          </w:tcPr>
          <w:p w14:paraId="142F43D8" w14:textId="4AC0BAA7" w:rsidR="005B5800" w:rsidRPr="008B2B2F" w:rsidRDefault="000B109F"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Symbiosis Skills and Professional University</w:t>
            </w:r>
            <w:r w:rsidRPr="008B2B2F">
              <w:rPr>
                <w:rFonts w:ascii="Times New Roman" w:eastAsia="Times New Roman" w:hAnsi="Times New Roman" w:cs="Times New Roman"/>
                <w:color w:val="000000" w:themeColor="text1"/>
                <w:sz w:val="20"/>
                <w:szCs w:val="20"/>
                <w:lang w:eastAsia="en-IN"/>
              </w:rPr>
              <w:t xml:space="preserve"> </w:t>
            </w:r>
            <w:r w:rsidR="005B5800" w:rsidRPr="008B2B2F">
              <w:rPr>
                <w:rFonts w:ascii="Times New Roman" w:eastAsia="Times New Roman" w:hAnsi="Times New Roman" w:cs="Times New Roman"/>
                <w:color w:val="000000" w:themeColor="text1"/>
                <w:sz w:val="20"/>
                <w:szCs w:val="20"/>
                <w:lang w:eastAsia="en-IN"/>
              </w:rPr>
              <w:t>Pune, India</w:t>
            </w:r>
          </w:p>
        </w:tc>
      </w:tr>
      <w:tr w:rsidR="005B5800" w:rsidRPr="008B2B2F" w14:paraId="7C955E4C" w14:textId="77777777" w:rsidTr="000B109F">
        <w:trPr>
          <w:trHeight w:val="294"/>
        </w:trPr>
        <w:tc>
          <w:tcPr>
            <w:tcW w:w="4810" w:type="dxa"/>
          </w:tcPr>
          <w:p w14:paraId="66E22F7D" w14:textId="0F39B1EF" w:rsidR="005B5800" w:rsidRPr="008B2B2F" w:rsidRDefault="00000000" w:rsidP="000B109F">
            <w:pPr>
              <w:shd w:val="clear" w:color="auto" w:fill="FFFFFF" w:themeFill="background1"/>
              <w:spacing w:after="0"/>
              <w:jc w:val="center"/>
              <w:rPr>
                <w:rFonts w:ascii="Times New Roman" w:eastAsia="Times New Roman" w:hAnsi="Times New Roman" w:cs="Times New Roman"/>
                <w:color w:val="000000" w:themeColor="text1"/>
                <w:sz w:val="20"/>
                <w:szCs w:val="20"/>
                <w:lang w:eastAsia="en-IN"/>
              </w:rPr>
            </w:pPr>
            <w:hyperlink r:id="rId6" w:history="1">
              <w:r w:rsidR="005B5800" w:rsidRPr="008B2B2F">
                <w:rPr>
                  <w:rStyle w:val="Hyperlink"/>
                  <w:rFonts w:ascii="Times New Roman" w:eastAsia="Times New Roman" w:hAnsi="Times New Roman" w:cs="Times New Roman"/>
                  <w:color w:val="000000" w:themeColor="text1"/>
                  <w:sz w:val="20"/>
                  <w:szCs w:val="20"/>
                  <w:lang w:eastAsia="en-IN"/>
                </w:rPr>
                <w:t>Aninditaghosh29@gmail.com</w:t>
              </w:r>
            </w:hyperlink>
          </w:p>
        </w:tc>
        <w:tc>
          <w:tcPr>
            <w:tcW w:w="4810" w:type="dxa"/>
          </w:tcPr>
          <w:p w14:paraId="0E44B30B" w14:textId="4ACD82B2" w:rsidR="005B5800" w:rsidRPr="008B2B2F" w:rsidRDefault="005B5800" w:rsidP="000B109F">
            <w:pPr>
              <w:shd w:val="clear" w:color="auto" w:fill="FFFFFF" w:themeFill="background1"/>
              <w:tabs>
                <w:tab w:val="left" w:pos="3039"/>
              </w:tabs>
              <w:spacing w:after="0"/>
              <w:jc w:val="center"/>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pratibhapatil99@gmail.com</w:t>
            </w:r>
          </w:p>
        </w:tc>
      </w:tr>
    </w:tbl>
    <w:p w14:paraId="094F7762" w14:textId="77777777" w:rsidR="005B5800" w:rsidRPr="008B2B2F" w:rsidRDefault="005B5800" w:rsidP="008B2B2F">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                                                                              </w:t>
      </w:r>
    </w:p>
    <w:p w14:paraId="48A3A220" w14:textId="77777777" w:rsidR="005B5800" w:rsidRPr="008B2B2F" w:rsidRDefault="005B5800" w:rsidP="008B2B2F">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en-IN"/>
        </w:rPr>
      </w:pPr>
    </w:p>
    <w:p w14:paraId="488F6FF4" w14:textId="77777777" w:rsidR="006B3501" w:rsidRPr="008B2B2F" w:rsidRDefault="005B5800" w:rsidP="008B2B2F">
      <w:pPr>
        <w:shd w:val="clear" w:color="auto" w:fill="FFFFFF" w:themeFill="background1"/>
        <w:spacing w:after="0" w:line="240" w:lineRule="auto"/>
        <w:jc w:val="center"/>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                                                                                </w:t>
      </w:r>
    </w:p>
    <w:p w14:paraId="41C6C4AC" w14:textId="77777777" w:rsidR="00FE35F2" w:rsidRPr="008B2B2F" w:rsidRDefault="00FE35F2" w:rsidP="008B2B2F">
      <w:pPr>
        <w:shd w:val="clear" w:color="auto" w:fill="FFFFFF" w:themeFill="background1"/>
        <w:spacing w:after="0" w:line="240" w:lineRule="auto"/>
        <w:outlineLvl w:val="1"/>
        <w:rPr>
          <w:rFonts w:ascii="Times New Roman" w:eastAsia="Times New Roman" w:hAnsi="Times New Roman" w:cs="Times New Roman"/>
          <w:b/>
          <w:color w:val="000000" w:themeColor="text1"/>
          <w:sz w:val="20"/>
          <w:szCs w:val="20"/>
          <w:lang w:eastAsia="en-IN"/>
        </w:rPr>
      </w:pPr>
    </w:p>
    <w:p w14:paraId="0173DCF2" w14:textId="77777777" w:rsidR="00F61C0A" w:rsidRPr="008B2B2F" w:rsidRDefault="00F61C0A" w:rsidP="008B2B2F">
      <w:pPr>
        <w:shd w:val="clear" w:color="auto" w:fill="FFFFFF" w:themeFill="background1"/>
        <w:spacing w:after="0" w:line="240" w:lineRule="auto"/>
        <w:jc w:val="center"/>
        <w:outlineLvl w:val="1"/>
        <w:rPr>
          <w:rFonts w:ascii="Times New Roman" w:eastAsia="Times New Roman" w:hAnsi="Times New Roman" w:cs="Times New Roman"/>
          <w:b/>
          <w:color w:val="000000" w:themeColor="text1"/>
          <w:sz w:val="20"/>
          <w:szCs w:val="20"/>
          <w:lang w:eastAsia="en-IN"/>
        </w:rPr>
      </w:pPr>
    </w:p>
    <w:p w14:paraId="54EFD6F3" w14:textId="77777777" w:rsidR="00F61C0A" w:rsidRPr="008B2B2F" w:rsidRDefault="00124EB5" w:rsidP="008B2B2F">
      <w:pPr>
        <w:shd w:val="clear" w:color="auto" w:fill="FFFFFF" w:themeFill="background1"/>
        <w:spacing w:after="0" w:line="240" w:lineRule="auto"/>
        <w:jc w:val="center"/>
        <w:outlineLvl w:val="1"/>
        <w:rPr>
          <w:rFonts w:ascii="Times New Roman" w:eastAsia="Times New Roman" w:hAnsi="Times New Roman" w:cs="Times New Roman"/>
          <w:b/>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t>ABSTRACT</w:t>
      </w:r>
    </w:p>
    <w:p w14:paraId="10161A79" w14:textId="77777777" w:rsidR="00F61C0A" w:rsidRPr="008B2B2F" w:rsidRDefault="00F61C0A" w:rsidP="008B2B2F">
      <w:pPr>
        <w:shd w:val="clear" w:color="auto" w:fill="FFFFFF" w:themeFill="background1"/>
        <w:spacing w:after="0" w:line="240" w:lineRule="auto"/>
        <w:jc w:val="center"/>
        <w:outlineLvl w:val="1"/>
        <w:rPr>
          <w:rFonts w:ascii="Times New Roman" w:eastAsia="Times New Roman" w:hAnsi="Times New Roman" w:cs="Times New Roman"/>
          <w:b/>
          <w:color w:val="000000" w:themeColor="text1"/>
          <w:sz w:val="20"/>
          <w:szCs w:val="20"/>
          <w:lang w:eastAsia="en-IN"/>
        </w:rPr>
      </w:pPr>
    </w:p>
    <w:p w14:paraId="3B024C01" w14:textId="77777777" w:rsidR="00F61C0A" w:rsidRPr="008B2B2F" w:rsidRDefault="00124EB5" w:rsidP="008B2B2F">
      <w:pPr>
        <w:shd w:val="clear" w:color="auto" w:fill="FFFFFF" w:themeFill="background1"/>
        <w:spacing w:after="0" w:line="240" w:lineRule="auto"/>
        <w:ind w:firstLine="360"/>
        <w:jc w:val="both"/>
        <w:outlineLvl w:val="1"/>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Developing a food system capable of feeding the rapidly growing global population is an ongoing challenge, especially considering the depletion of natural resources. In the past, the Green Revolution, along with Nutri</w:t>
      </w:r>
      <w:r w:rsidR="00A64D14" w:rsidRPr="008B2B2F">
        <w:rPr>
          <w:rFonts w:ascii="Times New Roman" w:eastAsia="Times New Roman" w:hAnsi="Times New Roman" w:cs="Times New Roman"/>
          <w:color w:val="000000" w:themeColor="text1"/>
          <w:sz w:val="20"/>
          <w:szCs w:val="20"/>
          <w:lang w:eastAsia="en-IN"/>
        </w:rPr>
        <w:t>-</w:t>
      </w:r>
      <w:r w:rsidRPr="008B2B2F">
        <w:rPr>
          <w:rFonts w:ascii="Times New Roman" w:eastAsia="Times New Roman" w:hAnsi="Times New Roman" w:cs="Times New Roman"/>
          <w:color w:val="000000" w:themeColor="text1"/>
          <w:sz w:val="20"/>
          <w:szCs w:val="20"/>
          <w:lang w:eastAsia="en-IN"/>
        </w:rPr>
        <w:t xml:space="preserve">cultivation and eco-productive farming, emerged as potential solutions to address hunger and malnutrition in the latter half of the 20th century. However, to overcome the limitations associated with them, the development of food supply chains became </w:t>
      </w:r>
      <w:r w:rsidR="00A64D14" w:rsidRPr="008B2B2F">
        <w:rPr>
          <w:rFonts w:ascii="Times New Roman" w:eastAsia="Times New Roman" w:hAnsi="Times New Roman" w:cs="Times New Roman"/>
          <w:color w:val="000000" w:themeColor="text1"/>
          <w:sz w:val="20"/>
          <w:szCs w:val="20"/>
          <w:lang w:eastAsia="en-IN"/>
        </w:rPr>
        <w:t>crucial. The</w:t>
      </w:r>
      <w:r w:rsidRPr="008B2B2F">
        <w:rPr>
          <w:rFonts w:ascii="Times New Roman" w:eastAsia="Times New Roman" w:hAnsi="Times New Roman" w:cs="Times New Roman"/>
          <w:color w:val="000000" w:themeColor="text1"/>
          <w:sz w:val="20"/>
          <w:szCs w:val="20"/>
          <w:lang w:eastAsia="en-IN"/>
        </w:rPr>
        <w:t xml:space="preserve"> long food supply chain (LFSC</w:t>
      </w:r>
      <w:r w:rsidR="00A64D14" w:rsidRPr="008B2B2F">
        <w:rPr>
          <w:rFonts w:ascii="Times New Roman" w:eastAsia="Times New Roman" w:hAnsi="Times New Roman" w:cs="Times New Roman"/>
          <w:color w:val="000000" w:themeColor="text1"/>
          <w:sz w:val="20"/>
          <w:szCs w:val="20"/>
          <w:lang w:eastAsia="en-IN"/>
        </w:rPr>
        <w:t>), which</w:t>
      </w:r>
      <w:r w:rsidRPr="008B2B2F">
        <w:rPr>
          <w:rFonts w:ascii="Times New Roman" w:eastAsia="Times New Roman" w:hAnsi="Times New Roman" w:cs="Times New Roman"/>
          <w:color w:val="000000" w:themeColor="text1"/>
          <w:sz w:val="20"/>
          <w:szCs w:val="20"/>
          <w:lang w:eastAsia="en-IN"/>
        </w:rPr>
        <w:t xml:space="preserve"> is the current overly practiced reliable food system has proven inadequate in feeding the global population due to its </w:t>
      </w:r>
      <w:r w:rsidR="00A64D14" w:rsidRPr="008B2B2F">
        <w:rPr>
          <w:rFonts w:ascii="Times New Roman" w:eastAsia="Times New Roman" w:hAnsi="Times New Roman" w:cs="Times New Roman"/>
          <w:color w:val="000000" w:themeColor="text1"/>
          <w:sz w:val="20"/>
          <w:szCs w:val="20"/>
          <w:lang w:eastAsia="en-IN"/>
        </w:rPr>
        <w:t>non-eco-friendly and</w:t>
      </w:r>
      <w:r w:rsidRPr="008B2B2F">
        <w:rPr>
          <w:rFonts w:ascii="Times New Roman" w:eastAsia="Times New Roman" w:hAnsi="Times New Roman" w:cs="Times New Roman"/>
          <w:color w:val="000000" w:themeColor="text1"/>
          <w:sz w:val="20"/>
          <w:szCs w:val="20"/>
          <w:lang w:eastAsia="en-IN"/>
        </w:rPr>
        <w:t xml:space="preserve"> nutritional adversities. The short food supply chain (SFSC</w:t>
      </w:r>
      <w:r w:rsidR="00A64D14" w:rsidRPr="008B2B2F">
        <w:rPr>
          <w:rFonts w:ascii="Times New Roman" w:eastAsia="Times New Roman" w:hAnsi="Times New Roman" w:cs="Times New Roman"/>
          <w:color w:val="000000" w:themeColor="text1"/>
          <w:sz w:val="20"/>
          <w:szCs w:val="20"/>
          <w:lang w:eastAsia="en-IN"/>
        </w:rPr>
        <w:t>), has</w:t>
      </w:r>
      <w:r w:rsidRPr="008B2B2F">
        <w:rPr>
          <w:rFonts w:ascii="Times New Roman" w:eastAsia="Times New Roman" w:hAnsi="Times New Roman" w:cs="Times New Roman"/>
          <w:color w:val="000000" w:themeColor="text1"/>
          <w:sz w:val="20"/>
          <w:szCs w:val="20"/>
          <w:lang w:eastAsia="en-IN"/>
        </w:rPr>
        <w:t xml:space="preserve"> gained prominence recently for its ability to meet the demands of the present environmental and consumer </w:t>
      </w:r>
      <w:r w:rsidR="00A64D14" w:rsidRPr="008B2B2F">
        <w:rPr>
          <w:rFonts w:ascii="Times New Roman" w:eastAsia="Times New Roman" w:hAnsi="Times New Roman" w:cs="Times New Roman"/>
          <w:color w:val="000000" w:themeColor="text1"/>
          <w:sz w:val="20"/>
          <w:szCs w:val="20"/>
          <w:lang w:eastAsia="en-IN"/>
        </w:rPr>
        <w:t>landscape.</w:t>
      </w:r>
      <w:r w:rsidRPr="008B2B2F">
        <w:rPr>
          <w:rFonts w:ascii="Times New Roman" w:eastAsia="Times New Roman" w:hAnsi="Times New Roman" w:cs="Times New Roman"/>
          <w:color w:val="000000" w:themeColor="text1"/>
          <w:sz w:val="20"/>
          <w:szCs w:val="20"/>
          <w:lang w:eastAsia="en-IN"/>
        </w:rPr>
        <w:t xml:space="preserve"> However, the sustainability of SFSC in terms of environmental, economic, and social aspects is yet to be fully determined. This review aims to explore the sustainability of SFSC in terms of ecological,</w:t>
      </w:r>
      <w:r w:rsidR="00A64D14" w:rsidRPr="008B2B2F">
        <w:rPr>
          <w:rFonts w:ascii="Times New Roman" w:eastAsia="Times New Roman" w:hAnsi="Times New Roman" w:cs="Times New Roman"/>
          <w:color w:val="000000" w:themeColor="text1"/>
          <w:sz w:val="20"/>
          <w:szCs w:val="20"/>
          <w:lang w:eastAsia="en-IN"/>
        </w:rPr>
        <w:t xml:space="preserve"> </w:t>
      </w:r>
      <w:r w:rsidRPr="008B2B2F">
        <w:rPr>
          <w:rFonts w:ascii="Times New Roman" w:eastAsia="Times New Roman" w:hAnsi="Times New Roman" w:cs="Times New Roman"/>
          <w:color w:val="000000" w:themeColor="text1"/>
          <w:sz w:val="20"/>
          <w:szCs w:val="20"/>
          <w:lang w:eastAsia="en-IN"/>
        </w:rPr>
        <w:t>financial,</w:t>
      </w:r>
      <w:r w:rsidR="00A64D14" w:rsidRPr="008B2B2F">
        <w:rPr>
          <w:rFonts w:ascii="Times New Roman" w:eastAsia="Times New Roman" w:hAnsi="Times New Roman" w:cs="Times New Roman"/>
          <w:color w:val="000000" w:themeColor="text1"/>
          <w:sz w:val="20"/>
          <w:szCs w:val="20"/>
          <w:lang w:eastAsia="en-IN"/>
        </w:rPr>
        <w:t xml:space="preserve"> </w:t>
      </w:r>
      <w:r w:rsidRPr="008B2B2F">
        <w:rPr>
          <w:rFonts w:ascii="Times New Roman" w:eastAsia="Times New Roman" w:hAnsi="Times New Roman" w:cs="Times New Roman"/>
          <w:color w:val="000000" w:themeColor="text1"/>
          <w:sz w:val="20"/>
          <w:szCs w:val="20"/>
          <w:lang w:eastAsia="en-IN"/>
        </w:rPr>
        <w:t>health and societal dimensions.</w:t>
      </w:r>
    </w:p>
    <w:p w14:paraId="622A971B" w14:textId="77777777" w:rsidR="005B5800" w:rsidRPr="008B2B2F" w:rsidRDefault="005B5800" w:rsidP="008B2B2F">
      <w:pPr>
        <w:shd w:val="clear" w:color="auto" w:fill="FFFFFF" w:themeFill="background1"/>
        <w:spacing w:after="0" w:line="240" w:lineRule="auto"/>
        <w:jc w:val="both"/>
        <w:outlineLvl w:val="1"/>
        <w:rPr>
          <w:rFonts w:ascii="Times New Roman" w:eastAsia="Times New Roman" w:hAnsi="Times New Roman" w:cs="Times New Roman"/>
          <w:color w:val="000000" w:themeColor="text1"/>
          <w:sz w:val="20"/>
          <w:szCs w:val="20"/>
          <w:lang w:eastAsia="en-IN"/>
        </w:rPr>
      </w:pPr>
      <w:r w:rsidRPr="008B2B2F">
        <w:rPr>
          <w:rFonts w:ascii="Times New Roman" w:hAnsi="Times New Roman" w:cs="Times New Roman"/>
          <w:b/>
          <w:color w:val="000000" w:themeColor="text1"/>
          <w:sz w:val="20"/>
          <w:szCs w:val="20"/>
        </w:rPr>
        <w:t>Keywords</w:t>
      </w:r>
      <w:r w:rsidRPr="008B2B2F">
        <w:rPr>
          <w:rFonts w:ascii="Times New Roman" w:hAnsi="Times New Roman" w:cs="Times New Roman"/>
          <w:color w:val="000000" w:themeColor="text1"/>
          <w:sz w:val="20"/>
          <w:szCs w:val="20"/>
        </w:rPr>
        <w:t>—Food supply chain; Sustainable agriculture; Green revolution; Nutricultivation</w:t>
      </w:r>
    </w:p>
    <w:p w14:paraId="16F3D15C" w14:textId="77777777" w:rsidR="006B3501" w:rsidRPr="008B2B2F" w:rsidRDefault="006B3501" w:rsidP="008B2B2F">
      <w:pPr>
        <w:shd w:val="clear" w:color="auto" w:fill="FFFFFF" w:themeFill="background1"/>
        <w:spacing w:after="0" w:line="240" w:lineRule="auto"/>
        <w:ind w:firstLine="360"/>
        <w:jc w:val="both"/>
        <w:outlineLvl w:val="1"/>
        <w:rPr>
          <w:rFonts w:ascii="Times New Roman" w:eastAsia="Times New Roman" w:hAnsi="Times New Roman" w:cs="Times New Roman"/>
          <w:color w:val="000000" w:themeColor="text1"/>
          <w:sz w:val="20"/>
          <w:szCs w:val="20"/>
          <w:lang w:eastAsia="en-IN"/>
        </w:rPr>
      </w:pPr>
    </w:p>
    <w:p w14:paraId="22B37524" w14:textId="77777777" w:rsidR="00F61C0A" w:rsidRPr="008B2B2F" w:rsidRDefault="00124EB5" w:rsidP="008B2B2F">
      <w:pPr>
        <w:pStyle w:val="ListParagraph"/>
        <w:numPr>
          <w:ilvl w:val="0"/>
          <w:numId w:val="1"/>
        </w:numPr>
        <w:shd w:val="clear" w:color="auto" w:fill="FFFFFF" w:themeFill="background1"/>
        <w:spacing w:after="0" w:line="240" w:lineRule="auto"/>
        <w:jc w:val="center"/>
        <w:outlineLvl w:val="1"/>
        <w:rPr>
          <w:rFonts w:ascii="Times New Roman" w:eastAsia="Times New Roman" w:hAnsi="Times New Roman" w:cs="Times New Roman"/>
          <w:b/>
          <w:bCs/>
          <w:color w:val="000000" w:themeColor="text1"/>
          <w:sz w:val="20"/>
          <w:szCs w:val="20"/>
          <w:lang w:eastAsia="en-IN"/>
        </w:rPr>
      </w:pPr>
      <w:r w:rsidRPr="008B2B2F">
        <w:rPr>
          <w:rFonts w:ascii="Times New Roman" w:eastAsia="Times New Roman" w:hAnsi="Times New Roman" w:cs="Times New Roman"/>
          <w:b/>
          <w:bCs/>
          <w:color w:val="000000" w:themeColor="text1"/>
          <w:sz w:val="20"/>
          <w:szCs w:val="20"/>
          <w:lang w:eastAsia="en-IN"/>
        </w:rPr>
        <w:t>INTRODUCTION</w:t>
      </w:r>
    </w:p>
    <w:p w14:paraId="59A19AD4" w14:textId="77777777" w:rsidR="00F61C0A" w:rsidRPr="008B2B2F" w:rsidRDefault="00124EB5" w:rsidP="008B2B2F">
      <w:pPr>
        <w:pStyle w:val="ListParagraph"/>
        <w:shd w:val="clear" w:color="auto" w:fill="FFFFFF" w:themeFill="background1"/>
        <w:spacing w:after="0" w:line="240" w:lineRule="auto"/>
        <w:ind w:left="0"/>
        <w:jc w:val="both"/>
        <w:outlineLvl w:val="1"/>
        <w:rPr>
          <w:rFonts w:ascii="Times New Roman" w:hAnsi="Times New Roman" w:cs="Times New Roman"/>
          <w:color w:val="000000" w:themeColor="text1"/>
          <w:sz w:val="20"/>
          <w:szCs w:val="20"/>
        </w:rPr>
      </w:pPr>
      <w:r w:rsidRPr="008B2B2F">
        <w:rPr>
          <w:rFonts w:ascii="Times New Roman" w:eastAsia="Times New Roman" w:hAnsi="Times New Roman" w:cs="Times New Roman"/>
          <w:color w:val="000000" w:themeColor="text1"/>
          <w:sz w:val="20"/>
          <w:szCs w:val="20"/>
          <w:lang w:eastAsia="en-IN"/>
        </w:rPr>
        <w:t xml:space="preserve">The quest for sustainable food systems has emerged as one of the most critical challenges of our time, requiring a delicate balance between meeting the nutritional needs of a burgeoning global population and safeguarding the environment for future generations. This journey towards sustainability encompasses a rich historical narrative, from the transformative impact of the Green Revolution to the present-day challenges of building resilient and efficient food supply chains. </w:t>
      </w:r>
    </w:p>
    <w:p w14:paraId="27BD8C10" w14:textId="77777777" w:rsidR="00F61C0A" w:rsidRPr="008B2B2F" w:rsidRDefault="00124EB5" w:rsidP="008B2B2F">
      <w:pPr>
        <w:pStyle w:val="ListParagraph"/>
        <w:shd w:val="clear" w:color="auto" w:fill="FFFFFF" w:themeFill="background1"/>
        <w:spacing w:after="0" w:line="240" w:lineRule="auto"/>
        <w:ind w:left="0"/>
        <w:jc w:val="both"/>
        <w:outlineLvl w:val="1"/>
        <w:rPr>
          <w:rFonts w:ascii="Times New Roman" w:hAnsi="Times New Roman" w:cs="Times New Roman"/>
          <w:color w:val="000000" w:themeColor="text1"/>
          <w:sz w:val="20"/>
          <w:szCs w:val="20"/>
        </w:rPr>
      </w:pPr>
      <w:r w:rsidRPr="008B2B2F">
        <w:rPr>
          <w:rFonts w:ascii="Times New Roman" w:eastAsia="Times New Roman" w:hAnsi="Times New Roman" w:cs="Times New Roman"/>
          <w:color w:val="000000" w:themeColor="text1"/>
          <w:sz w:val="20"/>
          <w:szCs w:val="20"/>
          <w:lang w:eastAsia="en-IN"/>
        </w:rPr>
        <w:t xml:space="preserve">The Green Revolution, heralded as a turning point in agricultural history, witnessed a significant increase in food production through the widespread adoption of high-yielding crop varieties, modern agricultural techniques, and increased use of fertilizers and pesticides </w:t>
      </w:r>
      <w:r w:rsidR="003F09C5" w:rsidRPr="008B2B2F">
        <w:rPr>
          <w:rFonts w:ascii="Times New Roman" w:eastAsia="Times New Roman" w:hAnsi="Times New Roman" w:cs="Times New Roman"/>
          <w:color w:val="000000" w:themeColor="text1"/>
          <w:sz w:val="20"/>
          <w:szCs w:val="20"/>
          <w:lang w:eastAsia="en-IN"/>
        </w:rPr>
        <w:fldChar w:fldCharType="begin"/>
      </w:r>
      <w:r w:rsidR="003F09C5" w:rsidRPr="008B2B2F">
        <w:rPr>
          <w:rFonts w:ascii="Times New Roman" w:eastAsia="Times New Roman" w:hAnsi="Times New Roman" w:cs="Times New Roman"/>
          <w:color w:val="000000" w:themeColor="text1"/>
          <w:sz w:val="20"/>
          <w:szCs w:val="20"/>
          <w:lang w:eastAsia="en-IN"/>
        </w:rPr>
        <w:instrText xml:space="preserve"> ADDIN ZOTERO_ITEM CSL_CITATION {"citationID":"Gh4BSPuj","properties":{"formattedCitation":"\\super 1\\nosupersub{}","plainCitation":"1","noteIndex":0},"citationItems":[{"id":572,"uris":["http://zotero.org/users/10868288/items/MEUW2LPV"],"itemData":{"id":572,"type":"webpage","abstract":"The Nobel Peace Prize 1970 was awarded to Norman E. Borlaug \"for having given a well-founded hope - the green revolution\"","container-title":"NobelPrize.org","language":"en-US","title":"The Nobel Peace Prize 1970","URL":"https://www.nobelprize.org/prizes/peace/1970/borlaug/lecture/","accessed":{"date-parts":[["2023",7,31]]}}}],"schema":"https://github.com/citation-style-language/schema/raw/master/csl-citation.json"} </w:instrText>
      </w:r>
      <w:r w:rsidR="003F09C5" w:rsidRPr="008B2B2F">
        <w:rPr>
          <w:rFonts w:ascii="Times New Roman" w:eastAsia="Times New Roman" w:hAnsi="Times New Roman" w:cs="Times New Roman"/>
          <w:color w:val="000000" w:themeColor="text1"/>
          <w:sz w:val="20"/>
          <w:szCs w:val="20"/>
          <w:lang w:eastAsia="en-IN"/>
        </w:rPr>
        <w:fldChar w:fldCharType="separate"/>
      </w:r>
      <w:r w:rsidR="003F09C5" w:rsidRPr="008B2B2F">
        <w:rPr>
          <w:rFonts w:ascii="Times New Roman" w:hAnsi="Times New Roman" w:cs="Times New Roman"/>
          <w:color w:val="000000" w:themeColor="text1"/>
          <w:sz w:val="20"/>
          <w:szCs w:val="20"/>
          <w:vertAlign w:val="superscript"/>
        </w:rPr>
        <w:t>1</w:t>
      </w:r>
      <w:r w:rsidR="003F09C5"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By the 1960s and 1970s, the Green Revolution had played a crucial role in averting widespread famine and feeding millions in developing countries</w:t>
      </w:r>
      <w:r w:rsidR="003F09C5" w:rsidRPr="008B2B2F">
        <w:rPr>
          <w:rFonts w:ascii="Times New Roman" w:eastAsia="Times New Roman" w:hAnsi="Times New Roman" w:cs="Times New Roman"/>
          <w:color w:val="000000" w:themeColor="text1"/>
          <w:sz w:val="20"/>
          <w:szCs w:val="20"/>
          <w:lang w:eastAsia="en-IN"/>
        </w:rPr>
        <w:fldChar w:fldCharType="begin"/>
      </w:r>
      <w:r w:rsidR="003F09C5" w:rsidRPr="008B2B2F">
        <w:rPr>
          <w:rFonts w:ascii="Times New Roman" w:eastAsia="Times New Roman" w:hAnsi="Times New Roman" w:cs="Times New Roman"/>
          <w:color w:val="000000" w:themeColor="text1"/>
          <w:sz w:val="20"/>
          <w:szCs w:val="20"/>
          <w:lang w:eastAsia="en-IN"/>
        </w:rPr>
        <w:instrText xml:space="preserve"> ADDIN ZOTERO_ITEM CSL_CITATION {"citationID":"gvJtERqq","properties":{"formattedCitation":"\\super 2\\nosupersub{}","plainCitation":"2","noteIndex":0},"citationItems":[{"id":425,"uris":["http://zotero.org/users/10868288/items/IBDJIFIG"],"itemData":{"id":425,"type":"article-journal","abstract":"A detailed retrospective of the Green Revolution, its achievement and limits in terms of agricultural productivity improvement, and its broader impact at social, environmental, and economic levels is provided. Lessons learned and the strategic insights are reviewed as the world is preparing a “redux” version of the Green Revolution with more integrative environmental and social impact combined with agricultural and economic development. Core policy directions for Green Revolution 2.0 that enhance the spread and sustainable adoption of productivity enhancing technologies are specified.","container-title":"Proceedings of the National Academy of Sciences","DOI":"10.1073/pnas.0912953109","ISSN":"0027-8424, 1091-6490","issue":"31","journalAbbreviation":"Proc. Natl. Acad. Sci. U.S.A.","language":"en","page":"12302-12308","source":"DOI.org (Crossref)","title":"Green Revolution: Impacts, limits, and the path ahead","title-short":"Green Revolution","volume":"109","author":[{"family":"Pingali","given":"Prabhu L."}],"issued":{"date-parts":[["2012",7,31]]}}}],"schema":"https://github.com/citation-style-language/schema/raw/master/csl-citation.json"} </w:instrText>
      </w:r>
      <w:r w:rsidR="003F09C5" w:rsidRPr="008B2B2F">
        <w:rPr>
          <w:rFonts w:ascii="Times New Roman" w:eastAsia="Times New Roman" w:hAnsi="Times New Roman" w:cs="Times New Roman"/>
          <w:color w:val="000000" w:themeColor="text1"/>
          <w:sz w:val="20"/>
          <w:szCs w:val="20"/>
          <w:lang w:eastAsia="en-IN"/>
        </w:rPr>
        <w:fldChar w:fldCharType="separate"/>
      </w:r>
      <w:r w:rsidR="003F09C5" w:rsidRPr="008B2B2F">
        <w:rPr>
          <w:rFonts w:ascii="Times New Roman" w:hAnsi="Times New Roman" w:cs="Times New Roman"/>
          <w:color w:val="000000" w:themeColor="text1"/>
          <w:sz w:val="20"/>
          <w:szCs w:val="20"/>
          <w:vertAlign w:val="superscript"/>
        </w:rPr>
        <w:t>2</w:t>
      </w:r>
      <w:r w:rsidR="003F09C5"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However, this intensive approach to agriculture also gave rise to unintended consequences, including environmental degradation, loss of biodiversity, and socio-economic disparities.</w:t>
      </w:r>
    </w:p>
    <w:p w14:paraId="2DB2FB82" w14:textId="77777777" w:rsidR="00F61C0A" w:rsidRPr="008B2B2F" w:rsidRDefault="00124EB5" w:rsidP="008B2B2F">
      <w:pPr>
        <w:pStyle w:val="ListParagraph"/>
        <w:shd w:val="clear" w:color="auto" w:fill="FFFFFF" w:themeFill="background1"/>
        <w:spacing w:after="0" w:line="240" w:lineRule="auto"/>
        <w:ind w:left="0"/>
        <w:jc w:val="both"/>
        <w:outlineLvl w:val="1"/>
        <w:rPr>
          <w:rFonts w:ascii="Times New Roman" w:hAnsi="Times New Roman" w:cs="Times New Roman"/>
          <w:color w:val="000000" w:themeColor="text1"/>
          <w:sz w:val="20"/>
          <w:szCs w:val="20"/>
        </w:rPr>
      </w:pPr>
      <w:r w:rsidRPr="008B2B2F">
        <w:rPr>
          <w:rFonts w:ascii="Times New Roman" w:eastAsia="Times New Roman" w:hAnsi="Times New Roman" w:cs="Times New Roman"/>
          <w:color w:val="000000" w:themeColor="text1"/>
          <w:sz w:val="20"/>
          <w:szCs w:val="20"/>
          <w:lang w:eastAsia="en-IN"/>
        </w:rPr>
        <w:t>As we navigate the complexities of achieving sustainable food systems, we must reflect on the lessons learned from the Green Revolution era, to ensure that current and future solutions address its challenges more effectively. Today, the world faces an unprecedented convergence of environmental challenges, such as climate change, water scarcity, and soil degradation, which threaten food security and jeopardize the resilience of agricultural production systems</w:t>
      </w:r>
      <w:r w:rsidR="00256886" w:rsidRPr="008B2B2F">
        <w:rPr>
          <w:rFonts w:ascii="Times New Roman" w:eastAsia="Times New Roman" w:hAnsi="Times New Roman" w:cs="Times New Roman"/>
          <w:color w:val="000000" w:themeColor="text1"/>
          <w:sz w:val="20"/>
          <w:szCs w:val="20"/>
          <w:lang w:eastAsia="en-IN"/>
        </w:rPr>
        <w:fldChar w:fldCharType="begin"/>
      </w:r>
      <w:r w:rsidR="00256886" w:rsidRPr="008B2B2F">
        <w:rPr>
          <w:rFonts w:ascii="Times New Roman" w:eastAsia="Times New Roman" w:hAnsi="Times New Roman" w:cs="Times New Roman"/>
          <w:color w:val="000000" w:themeColor="text1"/>
          <w:sz w:val="20"/>
          <w:szCs w:val="20"/>
          <w:lang w:eastAsia="en-IN"/>
        </w:rPr>
        <w:instrText xml:space="preserve"> ADDIN ZOTERO_ITEM CSL_CITATION {"citationID":"jAvVyQWe","properties":{"formattedCitation":"\\super 3\\nosupersub{}","plainCitation":"3","noteIndex":0},"citationItems":[{"id":540,"uris":["http://zotero.org/users/10868288/items/2KMMSINC"],"itemData":{"id":540,"type":"webpage","abstract":"How can we overcome water challenges in agriculture? Find out with our State of Food and Agriculture report 2020 report. #SOFA2020","container-title":"www.fao.org","language":"en","note":"DOI: 10.4060/cb1447en","title":"The State of Food and Agriculture 2020","URL":"http://www.fao.org/state-of-food-agriculture/en/","accessed":{"date-parts":[["2023",7,24]]}}}],"schema":"https://github.com/citation-style-language/schema/raw/master/csl-citation.json"} </w:instrText>
      </w:r>
      <w:r w:rsidR="00256886" w:rsidRPr="008B2B2F">
        <w:rPr>
          <w:rFonts w:ascii="Times New Roman" w:eastAsia="Times New Roman" w:hAnsi="Times New Roman" w:cs="Times New Roman"/>
          <w:color w:val="000000" w:themeColor="text1"/>
          <w:sz w:val="20"/>
          <w:szCs w:val="20"/>
          <w:lang w:eastAsia="en-IN"/>
        </w:rPr>
        <w:fldChar w:fldCharType="separate"/>
      </w:r>
      <w:r w:rsidR="00256886" w:rsidRPr="008B2B2F">
        <w:rPr>
          <w:rFonts w:ascii="Times New Roman" w:hAnsi="Times New Roman" w:cs="Times New Roman"/>
          <w:color w:val="000000" w:themeColor="text1"/>
          <w:sz w:val="20"/>
          <w:szCs w:val="20"/>
          <w:vertAlign w:val="superscript"/>
        </w:rPr>
        <w:t>3</w:t>
      </w:r>
      <w:r w:rsidR="00256886"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Climate-related events, such as extreme weather events and shifting rainfall patterns, continue to disrupt agricultural productivity and exacerbate food crises in vulnerable regions</w:t>
      </w:r>
      <w:r w:rsidR="00256886" w:rsidRPr="008B2B2F">
        <w:rPr>
          <w:rFonts w:ascii="Times New Roman" w:eastAsia="Times New Roman" w:hAnsi="Times New Roman" w:cs="Times New Roman"/>
          <w:color w:val="000000" w:themeColor="text1"/>
          <w:sz w:val="20"/>
          <w:szCs w:val="20"/>
          <w:lang w:eastAsia="en-IN"/>
        </w:rPr>
        <w:t xml:space="preserve"> </w:t>
      </w:r>
      <w:r w:rsidR="00256886" w:rsidRPr="008B2B2F">
        <w:rPr>
          <w:rFonts w:ascii="Times New Roman" w:eastAsia="Times New Roman" w:hAnsi="Times New Roman" w:cs="Times New Roman"/>
          <w:color w:val="000000" w:themeColor="text1"/>
          <w:sz w:val="20"/>
          <w:szCs w:val="20"/>
          <w:lang w:eastAsia="en-IN"/>
        </w:rPr>
        <w:fldChar w:fldCharType="begin"/>
      </w:r>
      <w:r w:rsidR="00256886" w:rsidRPr="008B2B2F">
        <w:rPr>
          <w:rFonts w:ascii="Times New Roman" w:eastAsia="Times New Roman" w:hAnsi="Times New Roman" w:cs="Times New Roman"/>
          <w:color w:val="000000" w:themeColor="text1"/>
          <w:sz w:val="20"/>
          <w:szCs w:val="20"/>
          <w:lang w:eastAsia="en-IN"/>
        </w:rPr>
        <w:instrText xml:space="preserve"> ADDIN ZOTERO_ITEM CSL_CITATION {"citationID":"m6p1FMZY","properties":{"formattedCitation":"\\super 4\\nosupersub{}","plainCitation":"4","noteIndex":0},"citationItems":[{"id":577,"uris":["http://zotero.org/users/10868288/items/NHJTAWUV"],"itemData":{"id":577,"type":"article-journal","abstract":"Climate change could potentially interrupt progress toward a world without hunger. A robust and coherent global pattern is discernible of the impacts of climate change on crop productivity that could have consequences for food availability. The stability of whole food systems may be at risk under climate change because of short-term variability in supply. However, the potential impact is less clear at regional scales, but it is likely that climate variability and change will exacerbate food insecurity in areas currently vulnerable to hunger and undernutrition. Likewise, it can be anticipated that food access and utilization will be affected indirectly via collateral effects on household and individual incomes, and food utilization could be impaired by loss of access to drinking water and damage to health. The evidence supports the need for considerable investment in adaptation and mitigation actions toward a \"climate-smart food system\" that is more resilient to climate change influences on food security.","container-title":"Science (New York, N.Y.)","DOI":"10.1126/science.1239402","ISSN":"1095-9203","issue":"6145","journalAbbreviation":"Science","language":"eng","note":"PMID: 23908229","page":"508-513","source":"PubMed","title":"Climate change impacts on global food security","volume":"341","author":[{"family":"Wheeler","given":"Tim"},{"family":"Braun","given":"Joachim","non-dropping-particle":"von"}],"issued":{"date-parts":[["2013",8,2]]}}}],"schema":"https://github.com/citation-style-language/schema/raw/master/csl-citation.json"} </w:instrText>
      </w:r>
      <w:r w:rsidR="00256886" w:rsidRPr="008B2B2F">
        <w:rPr>
          <w:rFonts w:ascii="Times New Roman" w:eastAsia="Times New Roman" w:hAnsi="Times New Roman" w:cs="Times New Roman"/>
          <w:color w:val="000000" w:themeColor="text1"/>
          <w:sz w:val="20"/>
          <w:szCs w:val="20"/>
          <w:lang w:eastAsia="en-IN"/>
        </w:rPr>
        <w:fldChar w:fldCharType="separate"/>
      </w:r>
      <w:r w:rsidR="00256886" w:rsidRPr="008B2B2F">
        <w:rPr>
          <w:rFonts w:ascii="Times New Roman" w:hAnsi="Times New Roman" w:cs="Times New Roman"/>
          <w:color w:val="000000" w:themeColor="text1"/>
          <w:sz w:val="20"/>
          <w:szCs w:val="20"/>
          <w:vertAlign w:val="superscript"/>
        </w:rPr>
        <w:t>4</w:t>
      </w:r>
      <w:r w:rsidR="00256886"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.In this context, the urgent need to build resilience into food supply chains becomes apparent. Efficient and robust supply chains are vital to ensure food security, minimize food losses, and enhance the ability of communities to cope with shocks and stresses</w:t>
      </w:r>
      <w:r w:rsidR="00256886" w:rsidRPr="008B2B2F">
        <w:rPr>
          <w:rFonts w:ascii="Times New Roman" w:eastAsia="Times New Roman" w:hAnsi="Times New Roman" w:cs="Times New Roman"/>
          <w:color w:val="000000" w:themeColor="text1"/>
          <w:sz w:val="20"/>
          <w:szCs w:val="20"/>
          <w:lang w:eastAsia="en-IN"/>
        </w:rPr>
        <w:fldChar w:fldCharType="begin"/>
      </w:r>
      <w:r w:rsidR="00256886" w:rsidRPr="008B2B2F">
        <w:rPr>
          <w:rFonts w:ascii="Times New Roman" w:eastAsia="Times New Roman" w:hAnsi="Times New Roman" w:cs="Times New Roman"/>
          <w:color w:val="000000" w:themeColor="text1"/>
          <w:sz w:val="20"/>
          <w:szCs w:val="20"/>
          <w:lang w:eastAsia="en-IN"/>
        </w:rPr>
        <w:instrText xml:space="preserve"> ADDIN ZOTERO_ITEM CSL_CITATION {"citationID":"FG4ViFUC","properties":{"formattedCitation":"\\super 5\\nosupersub{}","plainCitation":"5","noteIndex":0},"citationItems":[{"id":536,"uris":["http://zotero.org/users/10868288/items/ULPG477W"],"itemData":{"id":536,"type":"article-journal","abstract":"Consumers increasingly prefer more direct and more transparent food distribution channels, such as short food supply chains (SFSCs). Nonetheless, SFSCs face a variety of issues and challenges in their creation and functioning, resulting in limited performance and sustainability, as well as in difficulties of upscaling. This study aims at improving our understanding of SFSCs’ issues/challenges through a systematic review of the most recent literature. We perform a full-text content analysis of 44 studies, looking for answers to the research questions: At which parts of the SFSCs do the issues/challenges occur? How can we characterize the issues/challenges in SFSCs? While doing so, we offer a holistic perspective on SFSCs. We make use of the SCOR model to define SFSC processes as well as to describe the nature of these issues/challenges. The findings of this study shed light on the nature and strategic-tactical-operational level of the issues/challenges in SFSCs and point out the limitations in the existing literature such as the SFSC processes that are neglected. The holistic approach we suggest and the insight on SFSCs’ issues/challenges we provide can help researchers offer effective solutions and strategies to support the overall development of SFSCs.","container-title":"Sustainability","DOI":"10.3390/su14053029","ISSN":"2071-1050","issue":"5","language":"en","license":"http://creativecommons.org/licenses/by/3.0/","note":"number: 5\npublisher: Multidisciplinary Digital Publishing Institute","page":"3029","source":"www.mdpi.com","title":"Issues and Challenges in Short Food Supply Chains: A Systematic Literature Review","title-short":"Issues and Challenges in Short Food Supply Chains","volume":"14","author":[{"family":"Bayir","given":"Bilgesu"},{"family":"Charles","given":"Aurélie"},{"family":"Sekhari","given":"Aicha"},{"family":"Ouzrout","given":"Yacine"}],"issued":{"date-parts":[["2022",1]]}}}],"schema":"https://github.com/citation-style-language/schema/raw/master/csl-citation.json"} </w:instrText>
      </w:r>
      <w:r w:rsidR="00256886" w:rsidRPr="008B2B2F">
        <w:rPr>
          <w:rFonts w:ascii="Times New Roman" w:eastAsia="Times New Roman" w:hAnsi="Times New Roman" w:cs="Times New Roman"/>
          <w:color w:val="000000" w:themeColor="text1"/>
          <w:sz w:val="20"/>
          <w:szCs w:val="20"/>
          <w:lang w:eastAsia="en-IN"/>
        </w:rPr>
        <w:fldChar w:fldCharType="separate"/>
      </w:r>
      <w:r w:rsidR="00256886" w:rsidRPr="008B2B2F">
        <w:rPr>
          <w:rFonts w:ascii="Times New Roman" w:hAnsi="Times New Roman" w:cs="Times New Roman"/>
          <w:color w:val="000000" w:themeColor="text1"/>
          <w:sz w:val="20"/>
          <w:szCs w:val="20"/>
          <w:vertAlign w:val="superscript"/>
        </w:rPr>
        <w:t>5</w:t>
      </w:r>
      <w:r w:rsidR="00256886"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However, ensuring the resilience of food supply chains is a complex challenge that requires coordinated efforts from various stakeholders, including governments, private sectors, and non-governmental organizations (NGOs) </w:t>
      </w:r>
      <w:r w:rsidR="00256886" w:rsidRPr="008B2B2F">
        <w:rPr>
          <w:rFonts w:ascii="Times New Roman" w:eastAsia="Times New Roman" w:hAnsi="Times New Roman" w:cs="Times New Roman"/>
          <w:color w:val="000000" w:themeColor="text1"/>
          <w:sz w:val="20"/>
          <w:szCs w:val="20"/>
          <w:lang w:eastAsia="en-IN"/>
        </w:rPr>
        <w:fldChar w:fldCharType="begin"/>
      </w:r>
      <w:r w:rsidR="00256886" w:rsidRPr="008B2B2F">
        <w:rPr>
          <w:rFonts w:ascii="Times New Roman" w:eastAsia="Times New Roman" w:hAnsi="Times New Roman" w:cs="Times New Roman"/>
          <w:color w:val="000000" w:themeColor="text1"/>
          <w:sz w:val="20"/>
          <w:szCs w:val="20"/>
          <w:lang w:eastAsia="en-IN"/>
        </w:rPr>
        <w:instrText xml:space="preserve"> ADDIN ZOTERO_ITEM CSL_CITATION {"citationID":"0XUQ7rIm","properties":{"formattedCitation":"\\super 6\\nosupersub{}","plainCitation":"6","noteIndex":0},"citationItems":[{"id":581,"uris":["http://zotero.org/users/10868288/items/3J279C73"],"itemData":{"id":581,"type":"article-journal","abstract":"A year into the COVID‐19 pandemic, this paper reflects on the changes that occurred in agrifood supply chains in Canada and the United States. The sudden shift in food consumption patterns from food service to food retail required realignment of food supply chains. For the most part, food supply chains have performed remarkably well during the pandemic. Cross‐border food supply chains have continued to function effectively. The most significant disruptions emerged from workforce outbreaks of COVID‐19 in the meat processing sector and in fruit and vegetable production. The paper discusses supply chain resilience and argues that agrifood supply chains are characterized by several important differences that need to be taken into consideration when evaluating resilience. Economies of scale and scope offer economic efficiency advantages in normal times, while investments in adaptability and flexibility can enhance resilience for abnormal times. Potential long‐run changes within supply chains include increased automation and digitalization in food supply chains, while investments in infrastructure for online delivery services have permanently altered the food retailing landscape.","container-title":"Canadian Journal of Agricultural Economics/Revue canadienne d'agroeconomie","DOI":"10.1111/cjag.12279","ISSN":"0008-3976","issue":"2","note":"PMID: null\nPMCID: PMC8250571","page":"189-196","source":"PubMed Central","title":"Food supply chain resilience and the COVID‐19 pandemic: What have we learned?","title-short":"Food supply chain resilience and the COVID‐19 pandemic","volume":"69","author":[{"family":"Hobbs","given":"Jill E."}],"issued":{"date-parts":[["2021",6]]}}}],"schema":"https://github.com/citation-style-language/schema/raw/master/csl-citation.json"} </w:instrText>
      </w:r>
      <w:r w:rsidR="00256886" w:rsidRPr="008B2B2F">
        <w:rPr>
          <w:rFonts w:ascii="Times New Roman" w:eastAsia="Times New Roman" w:hAnsi="Times New Roman" w:cs="Times New Roman"/>
          <w:color w:val="000000" w:themeColor="text1"/>
          <w:sz w:val="20"/>
          <w:szCs w:val="20"/>
          <w:lang w:eastAsia="en-IN"/>
        </w:rPr>
        <w:fldChar w:fldCharType="separate"/>
      </w:r>
      <w:r w:rsidR="00256886" w:rsidRPr="008B2B2F">
        <w:rPr>
          <w:rFonts w:ascii="Times New Roman" w:hAnsi="Times New Roman" w:cs="Times New Roman"/>
          <w:color w:val="000000" w:themeColor="text1"/>
          <w:sz w:val="20"/>
          <w:szCs w:val="20"/>
          <w:vertAlign w:val="superscript"/>
        </w:rPr>
        <w:t>6</w:t>
      </w:r>
      <w:r w:rsidR="00256886"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46677ED2" w14:textId="77777777" w:rsidR="00F61C0A" w:rsidRPr="008B2B2F" w:rsidRDefault="00124EB5" w:rsidP="008B2B2F">
      <w:pPr>
        <w:pStyle w:val="ListParagraph"/>
        <w:shd w:val="clear" w:color="auto" w:fill="FFFFFF" w:themeFill="background1"/>
        <w:spacing w:after="0" w:line="240" w:lineRule="auto"/>
        <w:ind w:left="0"/>
        <w:jc w:val="both"/>
        <w:outlineLvl w:val="1"/>
        <w:rPr>
          <w:rFonts w:ascii="Times New Roman" w:hAnsi="Times New Roman" w:cs="Times New Roman"/>
          <w:color w:val="000000" w:themeColor="text1"/>
          <w:sz w:val="20"/>
          <w:szCs w:val="20"/>
        </w:rPr>
      </w:pPr>
      <w:r w:rsidRPr="008B2B2F">
        <w:rPr>
          <w:rFonts w:ascii="Times New Roman" w:eastAsia="Times New Roman" w:hAnsi="Times New Roman" w:cs="Times New Roman"/>
          <w:color w:val="000000" w:themeColor="text1"/>
          <w:sz w:val="20"/>
          <w:szCs w:val="20"/>
          <w:lang w:eastAsia="en-IN"/>
        </w:rPr>
        <w:lastRenderedPageBreak/>
        <w:t>To navigate these contemporary challenges, a multifaceted approach is indispensable. It involves embracing innovative technologies, sustainable farming practices, and inclusive policies that prioritize both environmental stewardship and social equity</w:t>
      </w:r>
      <w:r w:rsidR="00256886" w:rsidRPr="008B2B2F">
        <w:rPr>
          <w:rFonts w:ascii="Times New Roman" w:eastAsia="Times New Roman" w:hAnsi="Times New Roman" w:cs="Times New Roman"/>
          <w:color w:val="000000" w:themeColor="text1"/>
          <w:sz w:val="20"/>
          <w:szCs w:val="20"/>
          <w:lang w:eastAsia="en-IN"/>
        </w:rPr>
        <w:fldChar w:fldCharType="begin"/>
      </w:r>
      <w:r w:rsidR="00256886" w:rsidRPr="008B2B2F">
        <w:rPr>
          <w:rFonts w:ascii="Times New Roman" w:eastAsia="Times New Roman" w:hAnsi="Times New Roman" w:cs="Times New Roman"/>
          <w:color w:val="000000" w:themeColor="text1"/>
          <w:sz w:val="20"/>
          <w:szCs w:val="20"/>
          <w:lang w:eastAsia="en-IN"/>
        </w:rPr>
        <w:instrText xml:space="preserve"> ADDIN ZOTERO_ITEM CSL_CITATION {"citationID":"zLSoBGvd","properties":{"formattedCitation":"\\super 7\\nosupersub{}","plainCitation":"7","noteIndex":0},"citationItems":[{"id":453,"uris":["http://zotero.org/users/10868288/items/VYMDTW32"],"itemData":{"id":453,"type":"article-journal","abstract":"Concerns about sustainability in agricultural systems centre on the need to develop technologies and practices that do not have adverse effects on environmental goods and services, are accessible to and effective for farmers, and lead to improvements in food productivity. Despite great progress in agricultural productivity in the past half-century, with crop and livestock productivity strongly driven by increased use of fertilizers, irrigation water, agricultural machinery, pesticides and land, it would be over-optimistic to assume that these relationships will remain linear in the future. New approaches are needed that will integrate biological and ecological processes into food production, minimize the use of those non-renewable inputs that cause harm to the environment or to the health of farmers and consumers, make productive use of the knowledge and skills of farmers, so substituting human capital for costly external inputs, and make productive use of people's collective capacities to work together to solve common agricultural and natural resource problems, such as for pest, watershed, irrigation, forest and credit management. These principles help to build important capital assets for agricultural systems: natural; social; human; physical; and financial capital. Improving natural capital is a central aim, and dividends can come from making the best use of the genotypes of crops and animals and the ecological conditions under which they are grown or raised. Agricultural sustainability suggests a focus on both genotype improvements through the full range of modern biological approaches and improved understanding of the benefits of ecological and agronomic management, manipulation and redesign. The ecological management of agroecosystems that addresses energy flows, nutrient cycling, population-regulating mechanisms and system resilience can lead to the redesign of agriculture at a landscape scale. Sustainable agriculture outcomes can be positive for food productivity, reduced pesticide use and carbon balances. Significant challenges, however, remain to develop national and international policies to support the wider emergence of more sustainable forms of agricultural production across both industrialized and developing countries.","container-title":"Philosophical Transactions of the Royal Society B: Biological Sciences","DOI":"10.1098/rstb.2007.2163","ISSN":"0962-8436, 1471-2970","issue":"1491","journalAbbreviation":"Phil. Trans. R. Soc. B","language":"en","page":"447-465","source":"DOI.org (Crossref)","title":"Agricultural sustainability: concepts, principles and evidence","title-short":"Agricultural sustainability","volume":"363","author":[{"family":"Pretty","given":"Jules"}],"issued":{"date-parts":[["2008",2,12]]}}}],"schema":"https://github.com/citation-style-language/schema/raw/master/csl-citation.json"} </w:instrText>
      </w:r>
      <w:r w:rsidR="00256886" w:rsidRPr="008B2B2F">
        <w:rPr>
          <w:rFonts w:ascii="Times New Roman" w:eastAsia="Times New Roman" w:hAnsi="Times New Roman" w:cs="Times New Roman"/>
          <w:color w:val="000000" w:themeColor="text1"/>
          <w:sz w:val="20"/>
          <w:szCs w:val="20"/>
          <w:lang w:eastAsia="en-IN"/>
        </w:rPr>
        <w:fldChar w:fldCharType="separate"/>
      </w:r>
      <w:r w:rsidR="00256886" w:rsidRPr="008B2B2F">
        <w:rPr>
          <w:rFonts w:ascii="Times New Roman" w:hAnsi="Times New Roman" w:cs="Times New Roman"/>
          <w:color w:val="000000" w:themeColor="text1"/>
          <w:sz w:val="20"/>
          <w:szCs w:val="20"/>
          <w:vertAlign w:val="superscript"/>
        </w:rPr>
        <w:t>7</w:t>
      </w:r>
      <w:r w:rsidR="00256886"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By harnessing the power of data-driven decision-making, emerging agricultural technologies, and precision farming, we can optimize resource usage and minimize waste </w:t>
      </w:r>
      <w:r w:rsidR="009F0BD2" w:rsidRPr="008B2B2F">
        <w:rPr>
          <w:rFonts w:ascii="Times New Roman" w:eastAsia="Times New Roman" w:hAnsi="Times New Roman" w:cs="Times New Roman"/>
          <w:color w:val="000000" w:themeColor="text1"/>
          <w:sz w:val="20"/>
          <w:szCs w:val="20"/>
          <w:lang w:eastAsia="en-IN"/>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{"citationID":"ki0w0ySH","properties":{"formattedCitation":"\\super 8\\nosupersub{}","plainCitation":"8","noteIndex":0},"citationItems":[{"id":555,"uris":["http://zotero.org/users/10868288/items/DW9UV5FX"],"itemData":{"id":555,"type":"article-journal","abstract":"This book reports the results of the International Food Policy Research Institute's projections of global food supply and demand and child malnutrition up to year 2020. The authors assess what the future food situation will be in the baseline scenario. Then they examine the effects of changes in policy, technology, and lifestyles through 2 sets of alternative scenarios. One set explores changes...","container-title":"Global food projections to 2020: emerging trends and alternative futures.","language":"English","note":"publisher: International Food Policy Research Institute","source":"www.cabdirect.org","title":"Global food projections to 2020: emerging trends and alternative futures.","title-short":"Global food projections to 2020","URL":"https://www.cabdirect.org/cabdirect/abstract/20013160659","author":[{"family":"Rosegrant","given":"M. W."},{"family":"Paisner","given":"M. S."},{"family":"Meijer","given":"S."},{"family":"Witcover","given":"J."}],"accessed":{"date-parts":[["2023",7,24]]},"issued":{"date-parts":[["2001"]]}}}],"schema":"https://github.com/citation-style-language/schema/raw/master/csl-citation.json"} </w:instrText>
      </w:r>
      <w:r w:rsidR="009F0BD2"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8</w:t>
      </w:r>
      <w:r w:rsidR="009F0BD2"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Moreover, public-private partnerships can foster knowledge exchange, create enabling policy environments, and spur investment in sustainable agricultural practices and supply chain infrastructu</w:t>
      </w:r>
      <w:r w:rsidR="009F0BD2" w:rsidRPr="008B2B2F">
        <w:rPr>
          <w:rFonts w:ascii="Times New Roman" w:eastAsia="Times New Roman" w:hAnsi="Times New Roman" w:cs="Times New Roman"/>
          <w:color w:val="000000" w:themeColor="text1"/>
          <w:sz w:val="20"/>
          <w:szCs w:val="20"/>
          <w:lang w:eastAsia="en-IN"/>
        </w:rPr>
        <w:t>re</w:t>
      </w:r>
      <w:r w:rsidR="009F0BD2" w:rsidRPr="008B2B2F">
        <w:rPr>
          <w:rFonts w:ascii="Times New Roman" w:eastAsia="Times New Roman" w:hAnsi="Times New Roman" w:cs="Times New Roman"/>
          <w:color w:val="000000" w:themeColor="text1"/>
          <w:sz w:val="20"/>
          <w:szCs w:val="20"/>
          <w:lang w:eastAsia="en-IN"/>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{"citationID":"SNaFR1M8","properties":{"formattedCitation":"\\super 9\\nosupersub{}","plainCitation":"9","noteIndex":0},"citationItems":[{"id":584,"uris":["http://zotero.org/users/10868288/items/7SQB9TLN"],"itemData":{"id":584,"type":"article-journal","abstract":"Well-designed and supported innovation niches may facilitate transitions towards sustainable agricultural futures, which may follow different approaches and paradigms such as agroecology, local place-based food systems, vertical farming, bioeconomy, urban agriculture, and smart farming or digital farming. In this paper we consider how the existing agricultural innovation systems (AIS) approach might be opened up to better support the creation of innovation niches. We engage with Innovation Ecosystems thinking to consider the ways in which it might enhance efforts to create multi-actor, cross-sectoral innovation niches that are capable of supporting transitions to sustainable agricultural systems across multiple scales. While sharing many similarities with AIS thinking, Innovation Ecosystems thinking has the potential to broaden AIS by: emphasizing the role of power in shaping directionality in innovation platforms or innovation communities that are connected to niches and their interaction with regimes; highlighting the plurality of actors and actants and the integral role of ecological actants in innovation; and offering an umbrella concept through which to cross scalar and paradigmatic or sector boundaries in order to engage with a variety of innovation systems affecting multifunctional agricultural landscapes and systems. To this end, an Agricultural Innovation Ecosystems approach may help design and support development of transboundary, inter-sectoral innovation niches that can realize more collective and integrated innovation in support of sustainability transitions, and help enact mission oriented agricultural innovation policy.","container-title":"Agricultural Systems","DOI":"10.1016/j.agsy.2018.04.007","ISSN":"0308-521X","journalAbbreviation":"Agricultural Systems","language":"en","page":"116-121","source":"ScienceDirect","title":"Beyond agricultural innovation systems? Exploring an agricultural innovation ecosystems approach for niche design and development in sustainability transitions","title-short":"Beyond agricultural innovation systems?","volume":"164","author":[{"family":"Pigford","given":"Ashlee-Ann E."},{"family":"Hickey","given":"Gordon M."},{"family":"Klerkx","given":"Laurens"}],"issued":{"date-parts":[["2018",7,1]]}}}],"schema":"https://github.com/citation-style-language/schema/raw/master/csl-citation.json"} </w:instrText>
      </w:r>
      <w:r w:rsidR="009F0BD2"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9</w:t>
      </w:r>
      <w:r w:rsidR="009F0BD2"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0B791AE7" w14:textId="77777777" w:rsidR="00F61C0A" w:rsidRPr="008B2B2F" w:rsidRDefault="00F61C0A" w:rsidP="008B2B2F">
      <w:pPr>
        <w:pStyle w:val="ListParagraph"/>
        <w:shd w:val="clear" w:color="auto" w:fill="FFFFFF" w:themeFill="background1"/>
        <w:spacing w:after="0" w:line="240" w:lineRule="auto"/>
        <w:ind w:left="1080"/>
        <w:jc w:val="both"/>
        <w:outlineLvl w:val="1"/>
        <w:rPr>
          <w:rFonts w:ascii="Times New Roman" w:eastAsia="Times New Roman" w:hAnsi="Times New Roman" w:cs="Times New Roman"/>
          <w:color w:val="000000" w:themeColor="text1"/>
          <w:sz w:val="20"/>
          <w:szCs w:val="20"/>
          <w:lang w:eastAsia="en-IN"/>
        </w:rPr>
      </w:pPr>
    </w:p>
    <w:p w14:paraId="4009D6E0" w14:textId="77777777" w:rsidR="00F61C0A" w:rsidRPr="008B2B2F" w:rsidRDefault="00124EB5" w:rsidP="008B2B2F">
      <w:pPr>
        <w:pStyle w:val="ListParagraph"/>
        <w:shd w:val="clear" w:color="auto" w:fill="FFFFFF" w:themeFill="background1"/>
        <w:spacing w:after="0" w:line="240" w:lineRule="auto"/>
        <w:ind w:left="0"/>
        <w:jc w:val="both"/>
        <w:outlineLvl w:val="1"/>
        <w:rPr>
          <w:rFonts w:ascii="Times New Roman" w:hAnsi="Times New Roman" w:cs="Times New Roman"/>
          <w:color w:val="000000" w:themeColor="text1"/>
          <w:sz w:val="20"/>
          <w:szCs w:val="20"/>
        </w:rPr>
      </w:pPr>
      <w:r w:rsidRPr="008B2B2F">
        <w:rPr>
          <w:rFonts w:ascii="Times New Roman" w:eastAsia="Times New Roman" w:hAnsi="Times New Roman" w:cs="Times New Roman"/>
          <w:color w:val="000000" w:themeColor="text1"/>
          <w:sz w:val="20"/>
          <w:szCs w:val="20"/>
          <w:lang w:eastAsia="en-IN"/>
        </w:rPr>
        <w:t>This paper embarks on a comprehensive exploration of the pivotal elements that shape the trajectory towards sustainable food systems. Through critical analysis and evidence-based insights, we will uncover the potential solutions that address the challenges inherited from the Green Revolution while establishing resilient and equitable food supply chains for the future. By examining historical context and contemporary developments, we aim to contribute to the growing body of knowledge that paves the way for a more sustainable, secure, and prosperous global food system.</w:t>
      </w:r>
    </w:p>
    <w:p w14:paraId="548529BD" w14:textId="77777777" w:rsidR="00F61C0A" w:rsidRPr="008B2B2F" w:rsidRDefault="00F61C0A" w:rsidP="008B2B2F">
      <w:pPr>
        <w:shd w:val="clear" w:color="auto" w:fill="FFFFFF" w:themeFill="background1"/>
        <w:spacing w:after="0" w:line="240" w:lineRule="auto"/>
        <w:ind w:firstLine="360"/>
        <w:jc w:val="both"/>
        <w:outlineLvl w:val="1"/>
        <w:rPr>
          <w:rFonts w:ascii="Times New Roman" w:eastAsia="Times New Roman" w:hAnsi="Times New Roman" w:cs="Times New Roman"/>
          <w:color w:val="000000" w:themeColor="text1"/>
          <w:sz w:val="20"/>
          <w:szCs w:val="20"/>
          <w:lang w:eastAsia="en-IN"/>
        </w:rPr>
      </w:pPr>
    </w:p>
    <w:p w14:paraId="139F13C0" w14:textId="77777777" w:rsidR="00F61C0A" w:rsidRPr="008B2B2F" w:rsidRDefault="00124EB5" w:rsidP="008B2B2F">
      <w:pPr>
        <w:pStyle w:val="ListParagraph"/>
        <w:numPr>
          <w:ilvl w:val="0"/>
          <w:numId w:val="1"/>
        </w:numPr>
        <w:shd w:val="clear" w:color="auto" w:fill="FFFFFF" w:themeFill="background1"/>
        <w:spacing w:after="0" w:line="240" w:lineRule="auto"/>
        <w:jc w:val="center"/>
        <w:outlineLvl w:val="1"/>
        <w:rPr>
          <w:rFonts w:ascii="Times New Roman" w:eastAsia="Times New Roman" w:hAnsi="Times New Roman" w:cs="Times New Roman"/>
          <w:b/>
          <w:bCs/>
          <w:color w:val="000000" w:themeColor="text1"/>
          <w:sz w:val="20"/>
          <w:szCs w:val="20"/>
          <w:lang w:eastAsia="en-IN"/>
        </w:rPr>
      </w:pPr>
      <w:r w:rsidRPr="008B2B2F">
        <w:rPr>
          <w:rFonts w:ascii="Times New Roman" w:eastAsia="Times New Roman" w:hAnsi="Times New Roman" w:cs="Times New Roman"/>
          <w:b/>
          <w:bCs/>
          <w:color w:val="000000" w:themeColor="text1"/>
          <w:sz w:val="20"/>
          <w:szCs w:val="20"/>
          <w:lang w:eastAsia="en-IN"/>
        </w:rPr>
        <w:t>"EXPLORING GLOBAL NUTRITION THROUGH A HISTORICAL LENS"</w:t>
      </w:r>
    </w:p>
    <w:p w14:paraId="58C5694A" w14:textId="77777777" w:rsidR="00F61C0A" w:rsidRPr="008B2B2F" w:rsidRDefault="00F61C0A" w:rsidP="008B2B2F">
      <w:pPr>
        <w:pStyle w:val="ListParagraph"/>
        <w:shd w:val="clear" w:color="auto" w:fill="FFFFFF" w:themeFill="background1"/>
        <w:spacing w:after="0" w:line="240" w:lineRule="auto"/>
        <w:ind w:left="1080"/>
        <w:outlineLvl w:val="1"/>
        <w:rPr>
          <w:rFonts w:ascii="Times New Roman" w:eastAsia="Times New Roman" w:hAnsi="Times New Roman" w:cs="Times New Roman"/>
          <w:b/>
          <w:bCs/>
          <w:color w:val="000000" w:themeColor="text1"/>
          <w:sz w:val="20"/>
          <w:szCs w:val="20"/>
          <w:lang w:eastAsia="en-IN"/>
        </w:rPr>
      </w:pPr>
    </w:p>
    <w:p w14:paraId="28653318"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Agricultural practices have undergone a significant shift since the early 20th century, transitioning from traditional systems reliant on natural resources and ecosystem services to modern approaches characterized by the use of advanced technologies, engineered methods for crop production, the application of fertilizers, and the artificial control of pests. These modern agricultural systems were expected to meet the nutritional needs of the growing global population, projected to reach 9.7 billion people by 2050 (United Nations, 2022). However, none of the existing food production systems, including both long and short food chains, are deemed capable of meeting the requirements for high throughput while providing healthy and environmentally sustainable products. Food systems must effectively respond to economic and sociocultural shocks, address stagnation in rural economies, prevent the depletion of natural resources, promote ecosystem restoration, and minimize actions that contribute to climate change</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{"citationID":"aS1CBEpY","properties":{"formattedCitation":"\\super 10\\nosupersub{}","plainCitation":"10","noteIndex":0},"citationItems":[{"id":489,"uris":["http://zotero.org/users/10868288/items/X2WZ4MA6"],"itemData":{"id":489,"type":"article-journal","container-title":"Current Developments in Nutrition","DOI":"10.1093/cdn/nzaa083","ISSN":"24752991","issue":"6","journalAbbreviation":"Current Developments in Nutrition","language":"en","page":"nzaa083","source":"DOI.org (Crossref)","title":"Toward Healthy Diets from Sustainable Food Systems","volume":"4","author":[{"family":"Drewnowski","given":"Adam"},{"family":"Finley","given":"John"},{"family":"Hess","given":"Julie M"},{"family":"Ingram","given":"John"},{"family":"Miller","given":"Gregory"},{"family":"Peters","given":"Christian"}],"issued":{"date-parts":[["2020",6]]}}}],"schema":"https://github.com/citation-style-language/schema/raw/master/csl-citation.json"}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10</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4D65F92F"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Therefore, the objectives that must be achieved include developing and implementing new methods to close the yield gaps between countries, enhancing food production, improving the economic accessibility to food resources, and maintaining environmental integrity and preservation</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{"citationID":"29eEtfMg","properties":{"formattedCitation":"\\super 11\\nosupersub{}","plainCitation":"11","noteIndex":0},"citationItems":[{"id":496,"uris":["http://zotero.org/users/10868288/items/UMQ3SNGF"],"itemData":{"id":496,"type":"article-journal","container-title":"Review of Agricultural Economics","DOI":"10.1111/j.1467-9353.2004.00172.x","ISSN":"1058-7195, 1467-9353","issue":"2","journalAbbreviation":"Rev Agricultural Economics","language":"en","page":"220-237","source":"DOI.org (Crossref)","title":"Agri-Environmental Stewardship Schemes and \"Multifunctionality\"","volume":"26","author":[{"family":"Dobbs","given":"Thomas L."},{"family":"Pretty","given":"Jules N."}],"issued":{"date-parts":[["2004",6]]}}}],"schema":"https://github.com/citation-style-language/schema/raw/master/csl-citation.json"}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11</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vertAlign w:val="superscript"/>
          <w:lang w:eastAsia="en-IN"/>
        </w:rPr>
        <w:t>,</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vertAlign w:val="superscript"/>
          <w:lang w:eastAsia="en-IN"/>
        </w:rPr>
        <w:instrText xml:space="preserve"> ADDIN ZOTERO_ITEM CSL_CITATION {"citationID":"A7oUn5YS","properties":{"formattedCitation":"\\super 12\\nosupersub{}","plainCitation":"12","noteIndex":0},"citationItems":[{"id":521,"uris":["http://zotero.org/users/10868288/items/MQUVJATL"],"itemData":{"id":521,"type":"article-journal","abstract":"The author proposes, as in past decades, the government of the most industrialized countries have used scientific reports to legitimize their positions in negotiations within international regimes, to establish as priorities cooperation in development or to influence the actions of multilateral organizations. The article discusses the report entitled The Economy of Climate Change, presented to the British Government by Nicholas Stern, to outline some elements of this dimension of environmental governance.","container-title":"Comentario Internacional. Revista del Centro Andino de Estudios Internacionales","ISSN":"2631-2549","issue":"8","language":"es","license":"Derechos de autor 2016 Comentario Internacional. Revista del Centro Andino de Estudios Internacionales","note":"number: 8","page":"169-186","source":"revistas.uasb.edu.ec","title":"El Informe Stern y la despolitización de la “economía del cambio climático”","author":[{"family":"Terán","given":"Juan Fernando"}],"issued":{"date-parts":[["2008"]]}}}],"schema":"https://github.com/citation-style-language/schema/raw/master/csl-citation.json"} </w:instrText>
      </w:r>
      <w:r w:rsidRPr="008B2B2F">
        <w:rPr>
          <w:rFonts w:ascii="Times New Roman" w:eastAsia="Times New Roman" w:hAnsi="Times New Roman" w:cs="Times New Roman"/>
          <w:color w:val="000000" w:themeColor="text1"/>
          <w:sz w:val="20"/>
          <w:szCs w:val="20"/>
          <w:vertAlign w:val="superscript"/>
          <w:lang w:eastAsia="en-IN"/>
        </w:rPr>
        <w:fldChar w:fldCharType="separate"/>
      </w:r>
      <w:r w:rsidR="009F0BD2" w:rsidRPr="008B2B2F">
        <w:rPr>
          <w:rFonts w:ascii="Times New Roman" w:hAnsi="Times New Roman" w:cs="Times New Roman"/>
          <w:color w:val="000000" w:themeColor="text1"/>
          <w:sz w:val="20"/>
          <w:szCs w:val="20"/>
          <w:vertAlign w:val="superscript"/>
        </w:rPr>
        <w:t>12</w:t>
      </w:r>
      <w:r w:rsidRPr="008B2B2F">
        <w:rPr>
          <w:rFonts w:ascii="Times New Roman" w:eastAsia="Times New Roman" w:hAnsi="Times New Roman" w:cs="Times New Roman"/>
          <w:color w:val="000000" w:themeColor="text1"/>
          <w:sz w:val="20"/>
          <w:szCs w:val="20"/>
          <w:vertAlign w:val="superscript"/>
          <w:lang w:eastAsia="en-IN"/>
        </w:rPr>
        <w:fldChar w:fldCharType="end"/>
      </w:r>
      <w:r w:rsidRPr="008B2B2F">
        <w:rPr>
          <w:rFonts w:ascii="Times New Roman" w:eastAsia="Times New Roman" w:hAnsi="Times New Roman" w:cs="Times New Roman"/>
          <w:color w:val="000000" w:themeColor="text1"/>
          <w:sz w:val="20"/>
          <w:szCs w:val="20"/>
          <w:vertAlign w:val="superscript"/>
          <w:lang w:eastAsia="en-IN"/>
        </w:rPr>
        <w:t>,</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vertAlign w:val="superscript"/>
          <w:lang w:eastAsia="en-IN"/>
        </w:rPr>
        <w:instrText xml:space="preserve"> ADDIN ZOTERO_ITEM CSL_CITATION {"citationID":"fV0Kri1l","properties":{"formattedCitation":"\\super 13\\nosupersub{}","plainCitation":"13","noteIndex":0},"citationItems":[{"id":492,"uris":["http://zotero.org/users/10868288/items/WSXTC5IZ"],"itemData":{"id":492,"type":"document","title":"EAT-Lancet_Commission_Summary_Report.pdf","URL":"https://eatforum.org/content/uploads/2019/07/EAT-Lancet_Commission_Summary_Report.pdf","accessed":{"date-parts":[["2023",7,22]]}}}],"schema":"https://github.com/citation-style-language/schema/raw/master/csl-citation.json"} </w:instrText>
      </w:r>
      <w:r w:rsidRPr="008B2B2F">
        <w:rPr>
          <w:rFonts w:ascii="Times New Roman" w:eastAsia="Times New Roman" w:hAnsi="Times New Roman" w:cs="Times New Roman"/>
          <w:color w:val="000000" w:themeColor="text1"/>
          <w:sz w:val="20"/>
          <w:szCs w:val="20"/>
          <w:vertAlign w:val="superscript"/>
          <w:lang w:eastAsia="en-IN"/>
        </w:rPr>
        <w:fldChar w:fldCharType="separate"/>
      </w:r>
      <w:r w:rsidR="009F0BD2" w:rsidRPr="008B2B2F">
        <w:rPr>
          <w:rFonts w:ascii="Times New Roman" w:hAnsi="Times New Roman" w:cs="Times New Roman"/>
          <w:color w:val="000000" w:themeColor="text1"/>
          <w:sz w:val="20"/>
          <w:szCs w:val="20"/>
          <w:vertAlign w:val="superscript"/>
        </w:rPr>
        <w:t>13</w:t>
      </w:r>
      <w:r w:rsidRPr="008B2B2F">
        <w:rPr>
          <w:rFonts w:ascii="Times New Roman" w:eastAsia="Times New Roman" w:hAnsi="Times New Roman" w:cs="Times New Roman"/>
          <w:color w:val="000000" w:themeColor="text1"/>
          <w:sz w:val="20"/>
          <w:szCs w:val="20"/>
          <w:vertAlign w:val="superscript"/>
          <w:lang w:eastAsia="en-IN"/>
        </w:rPr>
        <w:fldChar w:fldCharType="end"/>
      </w:r>
      <w:r w:rsidRPr="008B2B2F">
        <w:rPr>
          <w:rFonts w:ascii="Times New Roman" w:eastAsia="Times New Roman" w:hAnsi="Times New Roman" w:cs="Times New Roman"/>
          <w:color w:val="000000" w:themeColor="text1"/>
          <w:sz w:val="20"/>
          <w:szCs w:val="20"/>
          <w:lang w:eastAsia="en-IN"/>
        </w:rPr>
        <w:t xml:space="preserve">. In pursuit of these goals, three major approaches have been established for agricultural-mediated improvements in global food supply and production: </w:t>
      </w:r>
    </w:p>
    <w:p w14:paraId="5C155544"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Technological Advancements: Recent studies emphasize the crucial role of technology in boosting agricultural productivity and food supply. Innovations such as precision agriculture, drone technology, IoT devices, and advanced machinery enable farmers to optimize resource use, increase crop yields, and reduce production costs.</w:t>
      </w:r>
    </w:p>
    <w:p w14:paraId="3974FFB3"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Genetic Improvement and Biotechnology: Advances in genetics and biotechnology have led to the development of genetically modified organisms (GMOs) and gene editing techniques. These approaches offer opportunities to enhance crop resilience, nutrient content, and pest resistance, contributing to increased food production and quality.</w:t>
      </w:r>
    </w:p>
    <w:p w14:paraId="58824261"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Sustainable Farming Practices: Research highlights the significance of sustainable farming methods like agroecology, organic farming, and permaculture. By promoting biodiversity, reducing chemical inputs, and focusing on ecological balance, these practices contribute to long-term food security while minimizing environmental impacts.</w:t>
      </w:r>
    </w:p>
    <w:p w14:paraId="1839609A"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Climate-Resilient Crops: As climate change poses challenges to food production, studies emphasize the importance of developing and adopting climate-resilient crop varieties. Breeding crops that can withstand drought, heat stress, and other extreme weather conditions is crucial for ensuring food security in the face of a changing climate.</w:t>
      </w:r>
    </w:p>
    <w:p w14:paraId="6C3BB3DB"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Improved Water Management: Efficient water management practices, such as drip irrigation and rainwater harvesting, have been identified as essential for optimizing water usage in agriculture. These approaches help conserve water resources and increase agricultural productivity, especially in water-scarce regions.</w:t>
      </w:r>
    </w:p>
    <w:p w14:paraId="496FD670"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Enhanced Supply Chain Infrastructure: Strengthening supply chain infrastructure is critical for reducing food losses and ensuring timely delivery of produce to consumers. Investments in transportation, storage facilities, and cold chains can improve food supply chain efficiency and minimize post-harvest losses.</w:t>
      </w:r>
    </w:p>
    <w:p w14:paraId="62826685"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Data-Driven Decision Making: The use of data analytics and remote sensing technologies enables evidence-based decision-making in agriculture. Access to real-time data on weather patterns, soil conditions, and market trends empowers farmers to make informed choices and improve their overall productivity.</w:t>
      </w:r>
    </w:p>
    <w:p w14:paraId="3FA3E25E"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Knowledge Transfer and Capacity Building: Studies highlight the importance of knowledge transfer and capacity building among farmers, especially in developing regions. Training programs, extension services, and farmer-to-farmer knowledge sharing can enhance agricultural practices and productivity.</w:t>
      </w:r>
    </w:p>
    <w:p w14:paraId="0D301920"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Public-Private Partnerships: Collaboration between governments, research institutions, and private sector entities plays a pivotal role in driving agricultural-mediated improvements in food supply and production. Public-private </w:t>
      </w:r>
      <w:r w:rsidRPr="008B2B2F">
        <w:rPr>
          <w:rFonts w:ascii="Times New Roman" w:eastAsia="Times New Roman" w:hAnsi="Times New Roman" w:cs="Times New Roman"/>
          <w:color w:val="000000" w:themeColor="text1"/>
          <w:sz w:val="20"/>
          <w:szCs w:val="20"/>
          <w:lang w:eastAsia="en-IN"/>
        </w:rPr>
        <w:lastRenderedPageBreak/>
        <w:t>partnerships can foster innovation, facilitate technology transfer, and promote sustainable agricultural practices on a larger scale.</w:t>
      </w:r>
    </w:p>
    <w:p w14:paraId="0940A676" w14:textId="77777777" w:rsidR="00F61C0A" w:rsidRPr="008B2B2F" w:rsidRDefault="00F61C0A"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p>
    <w:p w14:paraId="21CCED4F" w14:textId="77777777" w:rsidR="000B109F" w:rsidRDefault="000B109F" w:rsidP="008B2B2F">
      <w:pPr>
        <w:shd w:val="clear" w:color="auto" w:fill="FFFFFF" w:themeFill="background1"/>
        <w:spacing w:after="0" w:line="240" w:lineRule="auto"/>
        <w:jc w:val="both"/>
        <w:outlineLvl w:val="2"/>
        <w:rPr>
          <w:rFonts w:ascii="Times New Roman" w:eastAsia="Times New Roman" w:hAnsi="Times New Roman" w:cs="Times New Roman"/>
          <w:b/>
          <w:color w:val="000000" w:themeColor="text1"/>
          <w:sz w:val="20"/>
          <w:szCs w:val="20"/>
          <w:lang w:eastAsia="en-IN"/>
        </w:rPr>
      </w:pPr>
    </w:p>
    <w:p w14:paraId="440A50F6" w14:textId="77777777" w:rsidR="000B109F" w:rsidRDefault="000B109F" w:rsidP="008B2B2F">
      <w:pPr>
        <w:shd w:val="clear" w:color="auto" w:fill="FFFFFF" w:themeFill="background1"/>
        <w:spacing w:after="0" w:line="240" w:lineRule="auto"/>
        <w:jc w:val="both"/>
        <w:outlineLvl w:val="2"/>
        <w:rPr>
          <w:rFonts w:ascii="Times New Roman" w:eastAsia="Times New Roman" w:hAnsi="Times New Roman" w:cs="Times New Roman"/>
          <w:b/>
          <w:color w:val="000000" w:themeColor="text1"/>
          <w:sz w:val="20"/>
          <w:szCs w:val="20"/>
          <w:lang w:eastAsia="en-IN"/>
        </w:rPr>
      </w:pPr>
    </w:p>
    <w:p w14:paraId="103EBB70" w14:textId="4DB8C27F" w:rsidR="00F61C0A" w:rsidRPr="008B2B2F" w:rsidRDefault="00124EB5" w:rsidP="008B2B2F">
      <w:pPr>
        <w:shd w:val="clear" w:color="auto" w:fill="FFFFFF" w:themeFill="background1"/>
        <w:spacing w:after="0" w:line="240" w:lineRule="auto"/>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t>A. Green Revolution's Enduring Impact: Tracing the Agrarian Transformation</w:t>
      </w:r>
    </w:p>
    <w:p w14:paraId="51A95E80"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t xml:space="preserve"> </w:t>
      </w:r>
      <w:r w:rsidRPr="008B2B2F">
        <w:rPr>
          <w:rFonts w:ascii="Times New Roman" w:eastAsia="Times New Roman" w:hAnsi="Times New Roman" w:cs="Times New Roman"/>
          <w:color w:val="000000" w:themeColor="text1"/>
          <w:sz w:val="20"/>
          <w:szCs w:val="20"/>
          <w:lang w:eastAsia="en-IN"/>
        </w:rPr>
        <w:t xml:space="preserve">The Green Revolution of the mid-20th century significantly increased global food production, but it also led to some unintended consequences such as environmental degradation, loss of biodiversity, and overreliance on chemical inputs. Understanding and addressing these historical challenges is crucial for shaping future food </w:t>
      </w:r>
      <w:r w:rsidR="009F0BD2" w:rsidRPr="008B2B2F">
        <w:rPr>
          <w:rFonts w:ascii="Times New Roman" w:eastAsia="Times New Roman" w:hAnsi="Times New Roman" w:cs="Times New Roman"/>
          <w:color w:val="000000" w:themeColor="text1"/>
          <w:sz w:val="20"/>
          <w:szCs w:val="20"/>
          <w:lang w:eastAsia="en-IN"/>
        </w:rPr>
        <w:t>systems. The</w:t>
      </w:r>
      <w:r w:rsidRPr="008B2B2F">
        <w:rPr>
          <w:rFonts w:ascii="Times New Roman" w:eastAsia="Times New Roman" w:hAnsi="Times New Roman" w:cs="Times New Roman"/>
          <w:color w:val="000000" w:themeColor="text1"/>
          <w:sz w:val="20"/>
          <w:szCs w:val="20"/>
          <w:lang w:eastAsia="en-IN"/>
        </w:rPr>
        <w:t xml:space="preserve"> Green Revolution refers to the significant increase in agricultural productivity that took place in the United States and Europe during the 1960s. It was seen as a potential solution to combat hunger by rapidly increasing the production of specific crops</w:t>
      </w:r>
      <w:r w:rsidRPr="008B2B2F">
        <w:rPr>
          <w:rFonts w:ascii="Times New Roman" w:hAnsi="Times New Roman" w:cs="Times New Roman"/>
          <w:color w:val="000000" w:themeColor="text1"/>
          <w:sz w:val="20"/>
          <w:szCs w:val="20"/>
        </w:rPr>
        <w:fldChar w:fldCharType="begin"/>
      </w:r>
      <w:r w:rsidR="003F09C5" w:rsidRPr="008B2B2F">
        <w:rPr>
          <w:rFonts w:ascii="Times New Roman" w:eastAsia="Times New Roman" w:hAnsi="Times New Roman" w:cs="Times New Roman"/>
          <w:color w:val="000000" w:themeColor="text1"/>
          <w:sz w:val="20"/>
          <w:szCs w:val="20"/>
          <w:lang w:eastAsia="en-IN"/>
        </w:rPr>
        <w:instrText xml:space="preserve"> ADDIN ZOTERO_ITEM CSL_CITATION {"citationID":"8OmOlKBA","properties":{"formattedCitation":"\\super 2\\nosupersub{}","plainCitation":"2","noteIndex":0},"citationItems":[{"id":425,"uris":["http://zotero.org/users/10868288/items/IBDJIFIG"],"itemData":{"id":425,"type":"article-journal","abstract":"A detailed retrospective of the Green Revolution, its achievement and limits in terms of agricultural productivity improvement, and its broader impact at social, environmental, and economic levels is provided. Lessons learned and the strategic insights are reviewed as the world is preparing a “redux” version of the Green Revolution with more integrative environmental and social impact combined with agricultural and economic development. Core policy directions for Green Revolution 2.0 that enhance the spread and sustainable adoption of productivity enhancing technologies are specified.","container-title":"Proceedings of the National Academy of Sciences","DOI":"10.1073/pnas.0912953109","ISSN":"0027-8424, 1091-6490","issue":"31","journalAbbreviation":"Proc. Natl. Acad. Sci. U.S.A.","language":"en","page":"12302-12308","source":"DOI.org (Crossref)","title":"Green Revolution: Impacts, limits, and the path ahead","title-short":"Green Revolution","volume":"109","author":[{"family":"Pingali","given":"Prabhu L."}],"issued":{"date-parts":[["2012",7,31]]}}}],"schema":"https://github.com/citation-style-language/schema/raw/master/csl-citation.json"}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3F09C5" w:rsidRPr="008B2B2F">
        <w:rPr>
          <w:rFonts w:ascii="Times New Roman" w:hAnsi="Times New Roman" w:cs="Times New Roman"/>
          <w:color w:val="000000" w:themeColor="text1"/>
          <w:sz w:val="20"/>
          <w:szCs w:val="20"/>
          <w:vertAlign w:val="superscript"/>
        </w:rPr>
        <w:t>2</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To achieve this, new farming techniques were adopted, including the installation of irrigation systems, large-scale mechanization, and the use of fertilizers and agrochemicals. The widespread implementation of these methods, along with advancements in crop genetics, brought about a substantial transformation in the food supply chain. It resulted in a decrease in food prices and a subsequent increase in global food availability</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{"citationID":"pSBEQvWq","properties":{"formattedCitation":"\\super 14\\nosupersub{}","plainCitation":"14","noteIndex":0},"citationItems":[{"id":508,"uris":["http://zotero.org/users/10868288/items/CEHXR8HH"],"itemData":{"id":508,"type":"article-journal","abstract":"A national rice r.-search program adapted and developed modem rice varieties for\n irrigated culture. Their rapid and widespread adoption led 2o substantial increases in\n production, and a concomitant fall in the price of rice. This paper examines the incidence\n of both the gross benefits and the costs of the research program, by income level. As rice\n is a principal foodstuff, the net benefits, both absolute and relative, accrued\n disproportionately to the poorest households.","container-title":"American Journal of Agricultural Economics","DOI":"10.2307/1240164","ISSN":"0002-9092, 1467-8276","issue":"1","journalAbbreviation":"American Journal of Agricultural Economics","language":"en","page":"85-92","source":"DOI.org (Crossref)","title":"The Impact of Technical Change on Income Distribution: The Case of Rice in Colombia","title-short":"The Impact of Technical Change on Income Distribution","volume":"60","author":[{"family":"Scobie","given":"Grant M."},{"family":"T.","given":"Rafael Posada"}],"issued":{"date-parts":[["1978",2]]}}}],"schema":"https://github.com/citation-style-language/schema/raw/master/csl-citation.json"}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14</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These strategies had a positive impact on consumers worldwide, particularly in underdeveloped countries, by initially reducing malnutrition rates, especially in Asia and Latin America </w:t>
      </w:r>
      <w:r w:rsidRPr="008B2B2F">
        <w:rPr>
          <w:rFonts w:ascii="Times New Roman" w:hAnsi="Times New Roman" w:cs="Times New Roman"/>
          <w:color w:val="000000" w:themeColor="text1"/>
          <w:sz w:val="20"/>
          <w:szCs w:val="20"/>
        </w:rPr>
        <w:fldChar w:fldCharType="begin"/>
      </w:r>
      <w:r w:rsidR="003F09C5" w:rsidRPr="008B2B2F">
        <w:rPr>
          <w:rFonts w:ascii="Times New Roman" w:eastAsia="Times New Roman" w:hAnsi="Times New Roman" w:cs="Times New Roman"/>
          <w:color w:val="000000" w:themeColor="text1"/>
          <w:sz w:val="20"/>
          <w:szCs w:val="20"/>
          <w:lang w:eastAsia="en-IN"/>
        </w:rPr>
        <w:instrText xml:space="preserve"> ADDIN ZOTERO_ITEM CSL_CITATION {"citationID":"8nGPWv89","properties":{"formattedCitation":"\\super 2\\nosupersub{}","plainCitation":"2","noteIndex":0},"citationItems":[{"id":425,"uris":["http://zotero.org/users/10868288/items/IBDJIFIG"],"itemData":{"id":425,"type":"article-journal","abstract":"A detailed retrospective of the Green Revolution, its achievement and limits in terms of agricultural productivity improvement, and its broader impact at social, environmental, and economic levels is provided. Lessons learned and the strategic insights are reviewed as the world is preparing a “redux” version of the Green Revolution with more integrative environmental and social impact combined with agricultural and economic development. Core policy directions for Green Revolution 2.0 that enhance the spread and sustainable adoption of productivity enhancing technologies are specified.","container-title":"Proceedings of the National Academy of Sciences","DOI":"10.1073/pnas.0912953109","ISSN":"0027-8424, 1091-6490","issue":"31","journalAbbreviation":"Proc. Natl. Acad. Sci. U.S.A.","language":"en","page":"12302-12308","source":"DOI.org (Crossref)","title":"Green Revolution: Impacts, limits, and the path ahead","title-short":"Green Revolution","volume":"109","author":[{"family":"Pingali","given":"Prabhu L."}],"issued":{"date-parts":[["2012",7,31]]}}}],"schema":"https://github.com/citation-style-language/schema/raw/master/csl-citation.json"}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3F09C5" w:rsidRPr="008B2B2F">
        <w:rPr>
          <w:rFonts w:ascii="Times New Roman" w:hAnsi="Times New Roman" w:cs="Times New Roman"/>
          <w:color w:val="000000" w:themeColor="text1"/>
          <w:sz w:val="20"/>
          <w:szCs w:val="20"/>
          <w:vertAlign w:val="superscript"/>
        </w:rPr>
        <w:t>2</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Cereal crops, such as corn, wheat, and rice, experienced significant improvements in production during the Green Revolution, playing a crucial role in alleviating hunger-related malnutrition due to their caloric nature </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{"citationID":"rGMBPt6a","properties":{"formattedCitation":"\\super 15\\nosupersub{}","plainCitation":"15","noteIndex":0},"citationItems":[{"id":488,"uris":["http://zotero.org/users/10868288/items/CD96PWL5"],"itemData":{"id":488,"type":"article-journal","abstract":"We summarize the findings of a recently completed study of the productivity impacts of international crop genetic improvement research in developing countries. Over the period 1960 to 2000, international agricultural research centers, in collaboration with national research programs, contributed to the development of “modern varieties” for many crops. These varieties have contributed to large increases in crop production. Productivity gains, however, have been uneven across crops and regions. Consumers generally benefited from declines in food prices. Farmers benefited only where cost reductions exceeded price reductions.","container-title":"Science","DOI":"10.1126/science.1078710","ISSN":"0036-8075, 1095-9203","issue":"5620","journalAbbreviation":"Science","language":"en","page":"758-762","source":"DOI.org (Crossref)","title":"Assessing the Impact of the Green Revolution, 1960 to 2000","volume":"300","author":[{"family":"Evenson","given":"R. E."},{"family":"Gollin","given":"D."}],"issued":{"date-parts":[["2003",5,2]]}}}],"schema":"https://github.com/citation-style-language/schema/raw/master/csl-citation.json"}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15</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699B31C9" w14:textId="77777777" w:rsidR="00F61C0A" w:rsidRPr="008B2B2F" w:rsidRDefault="00124EB5" w:rsidP="008B2B2F">
      <w:pPr>
        <w:shd w:val="clear" w:color="auto" w:fill="FFFFFF" w:themeFill="background1"/>
        <w:spacing w:after="0" w:line="240" w:lineRule="auto"/>
        <w:ind w:firstLine="720"/>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However, the Green Revolution also brought about unintended consequences in various areas, including environmental, geographical, and nutritional concerns, which limited its effectiveness as a sustainable food system. From an environmental standpoint, the intensive use of Green Revolution practices contributed to water resource depletion, soil degradation in cultivated areas, and chemical runoff </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{"citationID":"xQxJeMy3","properties":{"formattedCitation":"\\super 16\\nosupersub{}","plainCitation":"16","noteIndex":0},"citationItems":[{"id":469,"uris":["http://zotero.org/users/10868288/items/F2UPWDT9"],"itemData":{"id":469,"type":"article-journal","abstract":"As efforts to mitigate climate change increase, there is a need to identify cost-effective ways to avoid emissions of greenhouse gases (GHGs). Agriculture is rightly recognized as a source of considerable emissions, with concomitant opportunities for mitigation. Although future agricultural productivity is critical, as it will shape emissions from conversion of native landscapes to food and biofuel crops, investment in agricultural research is rarely mentioned as a mitigation strategy. Here we estimate the net effect on GHG emissions of historical agricultural intensification between 1961 and 2005. We find that while emissions from factors such as fertilizer production and application have increased, the net effect of higher yields has avoided emissions of up to 161 gigatons of carbon (GtC) (590 GtCO\n              2\n              e) since 1961. We estimate that each dollar invested in agricultural yields has resulted in 68 fewer kgC (249 kgCO\n              2\n              e) emissions relative to 1961 technology ($14.74/tC, or </w:instrText>
      </w:r>
      <w:r w:rsidR="009F0BD2" w:rsidRPr="008B2B2F">
        <w:rPr>
          <w:rFonts w:ascii="Cambria Math" w:eastAsia="Times New Roman" w:hAnsi="Cambria Math" w:cs="Cambria Math"/>
          <w:color w:val="000000" w:themeColor="text1"/>
          <w:sz w:val="20"/>
          <w:szCs w:val="20"/>
          <w:lang w:eastAsia="en-IN"/>
        </w:rPr>
        <w:instrText>∼</w:instrText>
      </w:r>
      <w:r w:rsidR="009F0BD2" w:rsidRPr="008B2B2F">
        <w:rPr>
          <w:rFonts w:ascii="Times New Roman" w:eastAsia="Times New Roman" w:hAnsi="Times New Roman" w:cs="Times New Roman"/>
          <w:color w:val="000000" w:themeColor="text1"/>
          <w:sz w:val="20"/>
          <w:szCs w:val="20"/>
          <w:lang w:eastAsia="en-IN"/>
        </w:rPr>
        <w:instrText xml:space="preserve">$4/tCO\n              2\n              e), avoiding 3.6 GtC (13.1 GtCO\n              2\n              e) per year. Our analysis indicates that investment in yield improvements compares favorably with other commonly proposed mitigation strategies. Further yield improvements should therefore be prominent among efforts to reduce future GHG emissions.","container-title":"Proceedings of the National Academy of Sciences","DOI":"10.1073/pnas.0914216107","ISSN":"0027-8424, 1091-6490","issue":"26","journalAbbreviation":"Proc. Natl. Acad. Sci. U.S.A.","language":"en","page":"12052-12057","source":"DOI.org (Crossref)","title":"Greenhouse gas mitigation by agricultural intensification","volume":"107","author":[{"family":"Burney","given":"Jennifer A."},{"family":"Davis","given":"Steven J."},{"family":"Lobell","given":"David B."}],"issued":{"date-parts":[["2010",6,29]]}}}],"schema":"https://github.com/citation-style-language/schema/raw/master/csl-citation.json"}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16</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vertAlign w:val="superscript"/>
          <w:lang w:eastAsia="en-IN"/>
        </w:rPr>
        <w:t>,</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vertAlign w:val="superscript"/>
          <w:lang w:eastAsia="en-IN"/>
        </w:rPr>
        <w:instrText xml:space="preserve"> ADDIN ZOTERO_ITEM CSL_CITATION {"citationID":"qauygTdc","properties":{"formattedCitation":"\\super 17\\nosupersub{}","plainCitation":"17","noteIndex":0},"citationItems":[{"id":415,"uris":["http://zotero.org/users/10868288/items/EQ362GHY"],"itemData":{"id":415,"type":"article-journal","abstract":"Food production has seen various advancements globally in developing countries, such as India. One such advancement was the green revolution. Notably, the World Bank applauds the introduction of the green revolution as it reduced the rural poverty in India for a certain time. Despite the success of the green revolution, the World Bank reported that health outcomes have not been improved. During the post-green revolution period, several notable negative impacts arose. Exclusive studies were not conducted on the benefits and harms before the introduction of the green revolution. Some of such interventions deviate from the natural laws of balance and functioning and are unsustainable practices. To avoid the adverse effects of some of these developments, a review of these interventions is necessary.","container-title":"Frontiers in Sustainable Food Systems","DOI":"10.3389/fsufs.2021.644559","ISSN":"2571-581X","journalAbbreviation":"Front. Sustain. Food Syst.","page":"644559","source":"DOI.org (Crossref)","title":"Lessons From the Aftermaths of Green Revolution on Food System and Health","volume":"5","author":[{"family":"John","given":"Daisy A."},{"family":"Babu","given":"Giridhara R."}],"issued":{"date-parts":[["2021",2,22]]}}}],"schema":"https://github.com/citation-style-language/schema/raw/master/csl-citation.json"} </w:instrText>
      </w:r>
      <w:r w:rsidRPr="008B2B2F">
        <w:rPr>
          <w:rFonts w:ascii="Times New Roman" w:eastAsia="Times New Roman" w:hAnsi="Times New Roman" w:cs="Times New Roman"/>
          <w:color w:val="000000" w:themeColor="text1"/>
          <w:sz w:val="20"/>
          <w:szCs w:val="20"/>
          <w:vertAlign w:val="superscript"/>
          <w:lang w:eastAsia="en-IN"/>
        </w:rPr>
        <w:fldChar w:fldCharType="separate"/>
      </w:r>
      <w:r w:rsidR="009F0BD2" w:rsidRPr="008B2B2F">
        <w:rPr>
          <w:rFonts w:ascii="Times New Roman" w:hAnsi="Times New Roman" w:cs="Times New Roman"/>
          <w:color w:val="000000" w:themeColor="text1"/>
          <w:sz w:val="20"/>
          <w:szCs w:val="20"/>
          <w:vertAlign w:val="superscript"/>
        </w:rPr>
        <w:t>17</w:t>
      </w:r>
      <w:r w:rsidRPr="008B2B2F">
        <w:rPr>
          <w:rFonts w:ascii="Times New Roman" w:eastAsia="Times New Roman" w:hAnsi="Times New Roman" w:cs="Times New Roman"/>
          <w:color w:val="000000" w:themeColor="text1"/>
          <w:sz w:val="20"/>
          <w:szCs w:val="20"/>
          <w:vertAlign w:val="superscript"/>
          <w:lang w:eastAsia="en-IN"/>
        </w:rPr>
        <w:fldChar w:fldCharType="end"/>
      </w:r>
      <w:r w:rsidRPr="008B2B2F">
        <w:rPr>
          <w:rFonts w:ascii="Times New Roman" w:eastAsia="Times New Roman" w:hAnsi="Times New Roman" w:cs="Times New Roman"/>
          <w:color w:val="000000" w:themeColor="text1"/>
          <w:sz w:val="20"/>
          <w:szCs w:val="20"/>
          <w:lang w:eastAsia="en-IN"/>
        </w:rPr>
        <w:t>. These factors hindered further yield growth and posed long-term threats to the sustainability and replicability of the Green Revolution's success</w:t>
      </w:r>
      <w:r w:rsidRPr="008B2B2F">
        <w:rPr>
          <w:rFonts w:ascii="Times New Roman" w:hAnsi="Times New Roman" w:cs="Times New Roman"/>
          <w:color w:val="000000" w:themeColor="text1"/>
          <w:sz w:val="20"/>
          <w:szCs w:val="20"/>
        </w:rPr>
        <w:fldChar w:fldCharType="begin"/>
      </w:r>
      <w:r w:rsidR="003F09C5" w:rsidRPr="008B2B2F">
        <w:rPr>
          <w:rFonts w:ascii="Times New Roman" w:eastAsia="Times New Roman" w:hAnsi="Times New Roman" w:cs="Times New Roman"/>
          <w:color w:val="000000" w:themeColor="text1"/>
          <w:sz w:val="20"/>
          <w:szCs w:val="20"/>
          <w:lang w:eastAsia="en-IN"/>
        </w:rPr>
        <w:instrText xml:space="preserve"> ADDIN ZOTERO_ITEM CSL_CITATION {"citationID":"pT2IrSFU","properties":{"formattedCitation":"\\super 2\\nosupersub{}","plainCitation":"2","noteIndex":0},"citationItems":[{"id":425,"uris":["http://zotero.org/users/10868288/items/IBDJIFIG"],"itemData":{"id":425,"type":"article-journal","abstract":"A detailed retrospective of the Green Revolution, its achievement and limits in terms of agricultural productivity improvement, and its broader impact at social, environmental, and economic levels is provided. Lessons learned and the strategic insights are reviewed as the world is preparing a “redux” version of the Green Revolution with more integrative environmental and social impact combined with agricultural and economic development. Core policy directions for Green Revolution 2.0 that enhance the spread and sustainable adoption of productivity enhancing technologies are specified.","container-title":"Proceedings of the National Academy of Sciences","DOI":"10.1073/pnas.0912953109","ISSN":"0027-8424, 1091-6490","issue":"31","journalAbbreviation":"Proc. Natl. Acad. Sci. U.S.A.","language":"en","page":"12302-12308","source":"DOI.org (Crossref)","title":"Green Revolution: Impacts, limits, and the path ahead","title-short":"Green Revolution","volume":"109","author":[{"family":"Pingali","given":"Prabhu L."}],"issued":{"date-parts":[["2012",7,31]]}}}],"schema":"https://github.com/citation-style-language/schema/raw/master/csl-citation.json"}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3F09C5" w:rsidRPr="008B2B2F">
        <w:rPr>
          <w:rFonts w:ascii="Times New Roman" w:hAnsi="Times New Roman" w:cs="Times New Roman"/>
          <w:color w:val="000000" w:themeColor="text1"/>
          <w:sz w:val="20"/>
          <w:szCs w:val="20"/>
          <w:vertAlign w:val="superscript"/>
        </w:rPr>
        <w:t>2</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Additionally, the geographical impact was uneven, as the revolution mainly focused on areas with favourable conditions for intensification, neglecting marginal lands and exacerbating regional disparities. This approach overlooked environmental and geographical constraints, failing to address climate-related challenges and poverty in marginal cultivation areas</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{"citationID":"BecwA9fT","properties":{"formattedCitation":"\\super 18\\nosupersub{}","plainCitation":"18","noteIndex":0},"citationItems":[{"id":542,"uris":["http://zotero.org/users/10868288/items/NPNMAATS"],"itemData":{"id":542,"type":"article-journal","abstract":"Asia has made significant progress in increasing its agricultural productivity and reducing poverty since the 1960s. Yet real world food prices of most cereals and meats are now projected to rise, reversing a long-established downward trend with adverse impacts on poor consumers in Asia and elsewhere. Growing resource scarcity, particularly of water, will increasingly constrain food production growth, and climatic stresses will likely shrink Asian farmers’ abilities to produce grains, as is predicted for the Indo-Gangetic plains. Meanwhile, growing demand for high-value foods, such as livestock, fish, vegetables, and fruits will put further pressure on the natural resource base. Moreover, bioenergy demands will compete with the land and water resources that are used for food. The consequences of these pressures will adversely affect food security and goals for human well-being, slowing progress in reducing childhood malnutrition. Drawing on projections of the International Model for Policy Analysis of Agricultural Commodities and Trade (IMPACT), we find that changes in investments in agricultural research and knowledge (ARK) are required to boost crop yields and growth in livestock numbers. If aggressive investments in ARK are combined with advances in other, complementary sectors, such as access to water and secondary education, then positive impacts could be further strengthened.","container-title":"Journal of SAT Agricultural Research","journalAbbreviation":"Journal of SAT Agricultural Research","source":"ResearchGate","title":"Agriculture and food security in Asia: the role of agricultural research and knowledge in a changing environment","title-short":"Agriculture and food security in Asia","author":[{"family":"Mark","given":"Rosegrant"},{"family":"Ringler","given":"Claudia"},{"family":"Zhu","given":"Tingju"},{"family":"Sulser","given":"Timothy"},{"family":"Santos","given":"Rowena Andrea"},{"family":"Stanley","given":"Wood"}],"issued":{"date-parts":[["2007",1,1]]}}}],"schema":"https://github.com/citation-style-language/schema/raw/master/csl-citation.json"}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18</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vertAlign w:val="superscript"/>
          <w:lang w:eastAsia="en-IN"/>
        </w:rPr>
        <w:t>,</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vertAlign w:val="superscript"/>
          <w:lang w:eastAsia="en-IN"/>
        </w:rPr>
        <w:instrText xml:space="preserve"> ADDIN ZOTERO_ITEM CSL_CITATION {"citationID":"mUNLfrIF","properties":{"formattedCitation":"\\super 8\\nosupersub{}","plainCitation":"8","noteIndex":0},"citationItems":[{"id":555,"uris":["http://zotero.org/users/10868288/items/DW9UV5FX"],"itemData":{"id":555,"type":"article-journal","abstract":"This book reports the results of the International Food Policy Research Institute's projections of global food supply and demand and child malnutrition up to year 2020. The authors assess what the future food situation will be in the baseline scenario. Then they examine the effects of changes in policy, technology, and lifestyles through 2 sets of alternative scenarios. One set explores changes...","container-title":"Global food projections to 2020: emerging trends and alternative futures.","language":"English","note":"publisher: International Food Policy Research Institute","source":"www.cabdirect.org","title":"Global food projections to 2020: emerging trends and alternative futures.","title-short":"Global food projections to 2020","URL":"https://www.cabdirect.org/cabdirect/abstract/20013160659","author":[{"family":"Rosegrant","given":"M. W."},{"family":"Paisner","given":"M. S."},{"family":"Meijer","given":"S."},{"family":"Witcover","given":"J."}],"accessed":{"date-parts":[["2023",7,24]]},"issued":{"date-parts":[["2001"]]}}}],"schema":"https://github.com/citation-style-language/schema/raw/master/csl-citation.json"} </w:instrText>
      </w:r>
      <w:r w:rsidRPr="008B2B2F">
        <w:rPr>
          <w:rFonts w:ascii="Times New Roman" w:eastAsia="Times New Roman" w:hAnsi="Times New Roman" w:cs="Times New Roman"/>
          <w:color w:val="000000" w:themeColor="text1"/>
          <w:sz w:val="20"/>
          <w:szCs w:val="20"/>
          <w:vertAlign w:val="superscript"/>
          <w:lang w:eastAsia="en-IN"/>
        </w:rPr>
        <w:fldChar w:fldCharType="separate"/>
      </w:r>
      <w:r w:rsidR="009F0BD2" w:rsidRPr="008B2B2F">
        <w:rPr>
          <w:rFonts w:ascii="Times New Roman" w:hAnsi="Times New Roman" w:cs="Times New Roman"/>
          <w:color w:val="000000" w:themeColor="text1"/>
          <w:sz w:val="20"/>
          <w:szCs w:val="20"/>
          <w:vertAlign w:val="superscript"/>
        </w:rPr>
        <w:t>8</w:t>
      </w:r>
      <w:r w:rsidRPr="008B2B2F">
        <w:rPr>
          <w:rFonts w:ascii="Times New Roman" w:eastAsia="Times New Roman" w:hAnsi="Times New Roman" w:cs="Times New Roman"/>
          <w:color w:val="000000" w:themeColor="text1"/>
          <w:sz w:val="20"/>
          <w:szCs w:val="20"/>
          <w:vertAlign w:val="superscript"/>
          <w:lang w:eastAsia="en-IN"/>
        </w:rPr>
        <w:fldChar w:fldCharType="end"/>
      </w:r>
      <w:r w:rsidRPr="008B2B2F">
        <w:rPr>
          <w:rFonts w:ascii="Times New Roman" w:eastAsia="Times New Roman" w:hAnsi="Times New Roman" w:cs="Times New Roman"/>
          <w:color w:val="000000" w:themeColor="text1"/>
          <w:sz w:val="20"/>
          <w:szCs w:val="20"/>
          <w:lang w:eastAsia="en-IN"/>
        </w:rPr>
        <w:t>. Furthermore, the initial goal of countering hunger was overshadowed by various malnutrition issues. The emphasis on grain crops with low nutritional value displaced traditional crops with higher nutritional content, leading to a decline in the cultivation of legumes, vegetables, and fruits, which are important sources of critical micronutrients like iron, vitamin A, and zinc. As a result, despite the introduction of novel technologies, the Green Revolution ultimately fell short of its long-term objectives. It not only failed to effectively address hunger, poverty, and food security but also had significant negative environmental impacts</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{"citationID":"ekUtPCQG","properties":{"formattedCitation":"\\super 19\\nosupersub{}","plainCitation":"19","noteIndex":0},"citationItems":[{"id":304,"uris":["http://zotero.org/users/10868288/items/B6926RUC"],"itemData":{"id":304,"type":"article-journal","abstract":"Finding a food system to feed the growing worldwide population remains a challenge, especially in the current era, where natural resources are being dramatically depleted. From a historical point of view, the Green Revolution, together with biofortification and sustainable intensification, was established as a possible solution to counter hunger and malnutrition during the second half of the 20th century. As a solution, to overcome the limitations attributed to the Green Revolution, food supply chains were developed. The current food system, based on the long food supply chain (LFSC), is characterized by globalization, promoting several advantages for both producers and consumers. However, LFSC has been demonstrated to be unable to feed the global population and, furthermore, it generates negative ecological, environmental, logistical, and nutritional pressures. Thus, novel efficient food systems are required to respond to current environmental and consumers' demands, as is the case of short food supply chain (SFSC). As a recently emerging food system, the evaluation of SFSC sustainability in terms of environmental, economic, and social assessment is yet to be determined. This review is focused on the evolution of food supply systems, starting from the Green Revolution to food supply chains, providing a significant perspective on sustainability.","container-title":"FOOD FRONTIERS","DOI":"10.1002/fft2.173","ISSN":"2643-8429","issue":"1","journalAbbreviation":"Food Frontiers","language":"English","note":"number-of-pages: 12\npublisher-place: Hoboken\npublisher: Wiley\nWeb of Science ID: WOS:001016333500002","page":"9-20","source":"Clarivate Analytics Web of Science","title":"Challenges for future food systems: From the Green Revolution to food supply chains with a special focus on sustainability","title-short":"Challenges for future food systems","volume":"4","author":[{"family":"Soria-Lopez","given":"A."},{"family":"Garcia-Perez","given":"P."},{"family":"Carpena","given":"M."},{"family":"Garcia-Oliveira","given":"P."},{"family":"Otero","given":"Paz"},{"family":"Fraga-Corral","given":"M."},{"family":"Cao","given":"Hui"},{"family":"Prieto","given":"M. A."},{"family":"Simal-Gandara","given":"J."}],"issued":{"date-parts":[["2023",3]]}}}],"schema":"https://github.com/citation-style-language/schema/raw/master/csl-citation.json"}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19</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01D1CB55" w14:textId="77777777" w:rsidR="00F61C0A" w:rsidRPr="008B2B2F" w:rsidRDefault="00F61C0A" w:rsidP="008B2B2F">
      <w:pPr>
        <w:shd w:val="clear" w:color="auto" w:fill="FFFFFF" w:themeFill="background1"/>
        <w:spacing w:after="0" w:line="240" w:lineRule="auto"/>
        <w:ind w:firstLine="720"/>
        <w:jc w:val="both"/>
        <w:rPr>
          <w:rFonts w:ascii="Times New Roman" w:eastAsia="Times New Roman" w:hAnsi="Times New Roman" w:cs="Times New Roman"/>
          <w:color w:val="000000" w:themeColor="text1"/>
          <w:sz w:val="20"/>
          <w:szCs w:val="20"/>
          <w:lang w:eastAsia="en-IN"/>
        </w:rPr>
      </w:pPr>
    </w:p>
    <w:p w14:paraId="68723127" w14:textId="77777777" w:rsidR="00F61C0A" w:rsidRPr="008B2B2F" w:rsidRDefault="00124EB5" w:rsidP="008B2B2F">
      <w:pPr>
        <w:pStyle w:val="ListParagraph"/>
        <w:shd w:val="clear" w:color="auto" w:fill="FFFFFF" w:themeFill="background1"/>
        <w:spacing w:after="0" w:line="240" w:lineRule="auto"/>
        <w:ind w:left="0"/>
        <w:rPr>
          <w:rFonts w:ascii="Times New Roman" w:eastAsia="Times New Roman" w:hAnsi="Times New Roman" w:cs="Times New Roman"/>
          <w:b/>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t>B.</w:t>
      </w:r>
      <w:r w:rsidR="009F0BD2" w:rsidRPr="008B2B2F">
        <w:rPr>
          <w:rFonts w:ascii="Times New Roman" w:eastAsia="Times New Roman" w:hAnsi="Times New Roman" w:cs="Times New Roman"/>
          <w:b/>
          <w:color w:val="000000" w:themeColor="text1"/>
          <w:sz w:val="20"/>
          <w:szCs w:val="20"/>
          <w:lang w:eastAsia="en-IN"/>
        </w:rPr>
        <w:t xml:space="preserve"> </w:t>
      </w:r>
      <w:r w:rsidRPr="008B2B2F">
        <w:rPr>
          <w:rFonts w:ascii="Times New Roman" w:eastAsia="Times New Roman" w:hAnsi="Times New Roman" w:cs="Times New Roman"/>
          <w:b/>
          <w:color w:val="000000" w:themeColor="text1"/>
          <w:sz w:val="20"/>
          <w:szCs w:val="20"/>
          <w:lang w:eastAsia="en-IN"/>
        </w:rPr>
        <w:t>NutriCultivation: Augmenting Crop Nutrition for Enhanced Human Health</w:t>
      </w:r>
    </w:p>
    <w:p w14:paraId="7FD484A0" w14:textId="77777777" w:rsidR="00F61C0A" w:rsidRPr="008B2B2F" w:rsidRDefault="00124EB5" w:rsidP="008B2B2F">
      <w:pPr>
        <w:shd w:val="clear" w:color="auto" w:fill="FFFFFF" w:themeFill="background1"/>
        <w:spacing w:after="0" w:line="240" w:lineRule="auto"/>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The Green Revolution, while successful in increasing grain yields, also led to a loss of dietary diversity and a decline in the mineral concentrations of grains</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{"citationID":"go21Ru7G","properties":{"formattedCitation":"\\super 20\\nosupersub{}","plainCitation":"20","noteIndex":0},"citationItems":[{"id":490,"uris":["http://zotero.org/users/10868288/items/CHIUCVQ3"],"itemData":{"id":490,"type":"article-journal","container-title":"Journal of Trace Elements in Medicine and Biology","DOI":"10.1016/j.jtemb.2008.07.002","ISSN":"0946672X","issue":"4","journalAbbreviation":"Journal of Trace Elements in Medicine and Biology","language":"en","page":"315-324","source":"DOI.org (Crossref)","title":"Evidence of decreasing mineral density in wheat grain over the last 160 years","volume":"22","author":[{"family":"Fan","given":"Ming-Sheng"},{"family":"Zhao","given":"Fang-Jie"},{"family":"Fairweather-Tait","given":"Susan J."},{"family":"Poulton","given":"Paul R."},{"family":"Dunham","given":"Sarah J."},{"family":"McGrath","given":"Steve P."}],"issued":{"date-parts":[["2008",11]]}}}],"schema":"https://github.com/citation-style-language/schema/raw/master/csl-citation.json"}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20</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To address this issue, Nutricultivation emerged as a potential solution. Nutricultivation is a process that aims to enhance the nutritional value of crops by increasing the content of micronutrients in the edible parts of plants through conventional breeding techniques or genetic engineering. It was designed as a cost-effective approach to alleviate micronutrient deficiencies, particularly in rural populations of developing countries where the problem is prevalent</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{"citationID":"XpEZm4P9","properties":{"formattedCitation":"\\super 21\\nosupersub{}","plainCitation":"21","noteIndex":0},"citationItems":[{"id":445,"uris":["http://zotero.org/users/10868288/items/EWPMZC49"],"itemData":{"id":445,"type":"article-journal","abstract":"Deficiencies of vitamin A, iron, and zinc affect over one-half of the world's population. Progress has been made to control micronutrient deficiencies through supplementation and food fortification, but new approaches are needed, especially to reach the rural poor. Biofortification (enriching the nutrition contribution of staple crops through plant breeding) is one option. Scientific evidence shows this is technically feasible without compromising agronomic productivity. Predictive cost-benefit analyses also support biofortification as being important in the armamentarium for controlling micronutrient deficiencies. The challenge is to get producers and consumers to accept biofortified crops and increase their intake of the target nutrients. With the advent of good seed systems, the development of markets and products, and demand creation, this can be achieved.","container-title":"The Journal of Nutrition","DOI":"10.1093/jn/136.4.1064","ISSN":"0022-3166","issue":"4","journalAbbreviation":"The Journal of Nutrition","page":"1064-1067","source":"Silverchair","title":"Biofortification of Staple Food Crops","volume":"136","author":[{"family":"Nestel","given":"Penelope"},{"family":"Bouis","given":"Howarth E."},{"family":"Meenakshi","given":"J. V."},{"family":"Pfeiffer","given":"Wolfgang"}],"issued":{"date-parts":[["2006",4,1]]}}}],"schema":"https://github.com/citation-style-language/schema/raw/master/csl-citation.json"}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21</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The implementation of Nutricultivation offers several advantages, including increased production of staple crops, positive environmental impact through the promotion of environmentally resistant products, cost-effectiveness in terms of maintenance, and improved accessibility to rural and underserved areas</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{"citationID":"fgFxRagq","properties":{"formattedCitation":"\\super 22\\nosupersub{}","plainCitation":"22","noteIndex":0},"citationItems":[{"id":499,"uris":["http://zotero.org/users/10868288/items/D4WPZQCT"],"itemData":{"id":499,"type":"article-journal","abstract":"Globally, many developing countries are facing silent epidemics of nutritional deficiencies in human beings and animals. The lack of diversity in diet, i.e., cereal-based crops deficient in mineral nutrients is an additional threat to nutritional quality. The present review accounts for the significance of biofortification as a process to enhance the productivity of crops and also an agricultural solution to address the issues of nutritional security. In this endeavor, different innovative and specific biofortification approaches have been discussed for nutrient enrichment of field crops including cereals, pulses, oilseeds and fodder crops. The agronomic approach increases the micronutrient density in crops with soil and foliar application of fertilizers including amendments. The biofortification through conventional breeding approach includes the selection of efficient genotypes, practicing crossing of plants with desirable nutritional traits without sacrificing agricultural and economic productivity. However, the transgenic/biotechnological approach involves the synthesis of transgenes for micronutrient re-translocation between tissues to enhance their bioavailability. Soil microorganisms enhance nutrient content in the rhizosphere through diverse mechanisms such as synthesis, mobilization, transformations and siderophore production which accumulate more minerals in plants. Different sources of micronutrients viz. mineral solutions, chelates and nanoparticles play a pivotal role in the process of biofortification as it regulates the absorption rates and mechanisms in plants. Apart from the quality parameters, biofortification also improved the crop yield to alleviate hidden hunger thus proving to be a sustainable and cost-effective approach. Thus, this review article conveys a message for researchers about the adequate potential of biofortification to increase crop productivity and nourish the crop with additional nutrient content to provide food security and nutritional quality to humans and livestock.","container-title":"Molecules","DOI":"10.3390/molecules27041340","ISSN":"1420-3049","issue":"4","journalAbbreviation":"Molecules","language":"en","page":"1340","source":"DOI.org (Crossref)","title":"Biofortification—A Frontier Novel Approach to Enrich Micronutrients in Field Crops to Encounter the Nutritional Security","volume":"27","author":[{"family":"Dhaliwal","given":"Salwinder Singh"},{"family":"Sharma","given":"Vivek"},{"family":"Shukla","given":"Arvind Kumar"},{"family":"Verma","given":"Vibha"},{"family":"Kaur","given":"Manmeet"},{"family":"Shivay","given":"Yashbir Singh"},{"family":"Nisar","given":"Shahida"},{"family":"Gaber","given":"Ahmed"},{"family":"Brestic","given":"Marian"},{"family":"Barek","given":"Viliam"},{"family":"Skalicky","given":"Milan"},{"family":"Ondrisik","given":"Peter"},{"family":"Hossain","given":"Akbar"}],"issued":{"date-parts":[["2022",2,16]]}}}],"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22</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16F0EEB4" w14:textId="77777777" w:rsidR="00F61C0A" w:rsidRPr="008B2B2F" w:rsidRDefault="00124EB5" w:rsidP="008B2B2F">
      <w:pPr>
        <w:shd w:val="clear" w:color="auto" w:fill="FFFFFF" w:themeFill="background1"/>
        <w:spacing w:after="0" w:line="240" w:lineRule="auto"/>
        <w:ind w:firstLine="72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While the theoretical principles of Nutricultivation are well established, practical examples in the agri-food market remain limited. Notable examples include zinc fortification of rice and wheat in Asia, and provitamin A fortification of sweet potatoes and maize in Africa. Transgenic golden rice, fortified with provitamin A, and multivitamin corn, engineered to biosynthesize higher levels of carotenoids, ascorbic acid, and folate, while also being resistant to Bacillus thuringiensis, are among the pioneering examples. Although these examples are few, Nutricultivation holds promise as a sustainable approach to improve the nutritional status of developing countries, provided that the newly incorporated nutrients exhibit comparable bio accessibility and bioavailability to those naturally present in plants</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{"citationID":"MXVHoNgb","properties":{"formattedCitation":"\\super 23\\nosupersub{}","plainCitation":"23","noteIndex":0},"citationItems":[{"id":544,"uris":["http://zotero.org/users/10868288/items/5SZFZQBS"],"itemData":{"id":544,"type":"webpage","title":"Frontiers | Anti-Cancer Activity of Maize Bioactive Peptides","URL":"https://www.frontiersin.org/articles/10.3389/fchem.2017.00044/full","accessed":{"date-parts":[["2023",7,24]]}}}],"schema":"https://github.com/citation-style-language/schema/raw/master/csl-citation.json"}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23</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However, Nutricultivation faces certain limitations, primarily associated with the genetic modification of crops. Concerns include the potential for cross-contamination and loss of biodiversity, which could result in the destruction of existing ecosystems to maximize cultivation areas</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{"citationID":"EpdqhMfZ","properties":{"formattedCitation":"\\super 24\\nosupersub{}","plainCitation":"24","noteIndex":0},"citationItems":[{"id":420,"uris":["http://zotero.org/users/10868288/items/JK3KNAHR"],"itemData":{"id":420,"type":"article-journal","container-title":"Journal of Food Composition and Analysis","DOI":"10.1016/j.jfca.2016.11.012","ISSN":"08891575","journalAbbreviation":"Journal of Food Composition and Analysis","language":"en","page":"93-103","source":"DOI.org (Crossref)","title":"Mineral nutrient composition of vegetables, fruits and grains: The context of reports of apparent historical declines","title-short":"Mineral nutrient composition of vegetables, fruits and grains","volume":"56","author":[{"family":"Marles","given":"Robin J."}],"issued":{"date-parts":[["2017",3]]}}}],"schema":"https://github.com/citation-style-language/schema/raw/master/csl-citation.json"}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24</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34023D8B" w14:textId="77777777" w:rsidR="00F61C0A" w:rsidRPr="008B2B2F" w:rsidRDefault="00F61C0A" w:rsidP="008B2B2F">
      <w:pPr>
        <w:shd w:val="clear" w:color="auto" w:fill="FFFFFF" w:themeFill="background1"/>
        <w:spacing w:after="0" w:line="240" w:lineRule="auto"/>
        <w:ind w:firstLine="720"/>
        <w:jc w:val="both"/>
        <w:outlineLvl w:val="2"/>
        <w:rPr>
          <w:rFonts w:ascii="Times New Roman" w:eastAsia="Times New Roman" w:hAnsi="Times New Roman" w:cs="Times New Roman"/>
          <w:color w:val="000000" w:themeColor="text1"/>
          <w:sz w:val="20"/>
          <w:szCs w:val="20"/>
          <w:lang w:eastAsia="en-IN"/>
        </w:rPr>
      </w:pPr>
    </w:p>
    <w:p w14:paraId="54FFC248" w14:textId="77777777" w:rsidR="00F61C0A" w:rsidRPr="008B2B2F" w:rsidRDefault="00124EB5" w:rsidP="008B2B2F">
      <w:pPr>
        <w:pStyle w:val="ListParagraph"/>
        <w:shd w:val="clear" w:color="auto" w:fill="FFFFFF" w:themeFill="background1"/>
        <w:spacing w:after="0" w:line="240" w:lineRule="auto"/>
        <w:ind w:left="0"/>
        <w:jc w:val="both"/>
        <w:outlineLvl w:val="2"/>
        <w:rPr>
          <w:rFonts w:ascii="Times New Roman" w:eastAsia="Times New Roman" w:hAnsi="Times New Roman" w:cs="Times New Roman"/>
          <w:b/>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t>C. Eco-Productive Farming: Striking a Harmony between Yield and Environmental Stewardship</w:t>
      </w:r>
    </w:p>
    <w:p w14:paraId="72CD1440" w14:textId="77777777" w:rsidR="00F61C0A" w:rsidRPr="008B2B2F" w:rsidRDefault="00124EB5"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lastRenderedPageBreak/>
        <w:t xml:space="preserve">The process of industrialization and urbanization in extensive regions worldwide has led to accelerated soil degradation and a significant reduction in available land for agricultural cultivation </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{"citationID":"AKY2x8Kf","properties":{"formattedCitation":"\\super 25\\nosupersub{}","plainCitation":"25","noteIndex":0},"citationItems":[{"id":479,"uris":["http://zotero.org/users/10868288/items/Q4H6TKVH"],"itemData":{"id":479,"type":"article-journal","container-title":"Nature Climate Change","DOI":"10.1038/nclimate2834","ISSN":"1758-678X, 1758-6798","issue":"1","journalAbbreviation":"Nature Clim Change","language":"en","page":"10-13","source":"DOI.org (Crossref)","title":"Food security under climate change","volume":"6","author":[{"family":"Hertel","given":"Thomas W."}],"issued":{"date-parts":[["2016",1]]}}}],"schema":"https://github.com/citation-style-language/schema/raw/master/csl-citation.json"}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25</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In response, eco-productive farming has emerged as an effective and sustainable approach to increase agricultural yields without causing harmful environmental impacts or requiring the conversion of additional non-agricultural land. This approach aims to support the accessibility of crop-derived products in rural areas and communities with limited resources </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{"citationID":"wpjYpvAU","properties":{"formattedCitation":"\\super 26\\nosupersub{}","plainCitation":"26","noteIndex":0},"citationItems":[{"id":429,"uris":["http://zotero.org/users/10868288/items/UWYUDP4Z"],"itemData":{"id":429,"type":"article-journal","container-title":"Geoforum","DOI":"10.1016/j.geoforum.2018.02.030","ISSN":"00167185","journalAbbreviation":"Geoforum","language":"en","page":"73-77","source":"DOI.org (Crossref)","title":"Food security: The challenge of the present","title-short":"Food security","volume":"91","author":[{"family":"Prosekov","given":"Alexander Y."},{"family":"Ivanova","given":"Svetlana A."}],"issued":{"date-parts":[["2018",5]]}}}],"schema":"https://github.com/citation-style-language/schema/raw/master/csl-citation.json"}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26</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408EE21F" w14:textId="77777777" w:rsidR="00F61C0A" w:rsidRPr="008B2B2F" w:rsidRDefault="00124EB5"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Sustainable intensification is a comprehensive approach to natural resource management that encompasses a range of scientifically based environmental, institutional, and social principles, which can be implemented throughout the entire food chain to enhance its efficiency</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{"citationID":"heo4Af3g","properties":{"formattedCitation":"\\super 16\\nosupersub{}","plainCitation":"16","noteIndex":0},"citationItems":[{"id":469,"uris":["http://zotero.org/users/10868288/items/F2UPWDT9"],"itemData":{"id":469,"type":"article-journal","abstract":"As efforts to mitigate climate change increase, there is a need to identify cost-effective ways to avoid emissions of greenhouse gases (GHGs). Agriculture is rightly recognized as a source of considerable emissions, with concomitant opportunities for mitigation. Although future agricultural productivity is critical, as it will shape emissions from conversion of native landscapes to food and biofuel crops, investment in agricultural research is rarely mentioned as a mitigation strategy. Here we estimate the net effect on GHG emissions of historical agricultural intensification between 1961 and 2005. We find that while emissions from factors such as fertilizer production and application have increased, the net effect of higher yields has avoided emissions of up to 161 gigatons of carbon (GtC) (590 GtCO\n              2\n              e) since 1961. We estimate that each dollar invested in agricultural yields has resulted in 68 fewer kgC (249 kgCO\n              2\n              e) emissions relative to 1961 technology ($14.74/tC, or </w:instrText>
      </w:r>
      <w:r w:rsidR="009F0BD2" w:rsidRPr="008B2B2F">
        <w:rPr>
          <w:rFonts w:ascii="Cambria Math" w:eastAsia="Times New Roman" w:hAnsi="Cambria Math" w:cs="Cambria Math"/>
          <w:color w:val="000000" w:themeColor="text1"/>
          <w:sz w:val="20"/>
          <w:szCs w:val="20"/>
          <w:lang w:eastAsia="en-IN"/>
        </w:rPr>
        <w:instrText>∼</w:instrText>
      </w:r>
      <w:r w:rsidR="009F0BD2" w:rsidRPr="008B2B2F">
        <w:rPr>
          <w:rFonts w:ascii="Times New Roman" w:eastAsia="Times New Roman" w:hAnsi="Times New Roman" w:cs="Times New Roman"/>
          <w:color w:val="000000" w:themeColor="text1"/>
          <w:sz w:val="20"/>
          <w:szCs w:val="20"/>
          <w:lang w:eastAsia="en-IN"/>
        </w:rPr>
        <w:instrText xml:space="preserve">$4/tCO\n              2\n              e), avoiding 3.6 GtC (13.1 GtCO\n              2\n              e) per year. Our analysis indicates that investment in yield improvements compares favorably with other commonly proposed mitigation strategies. Further yield improvements should therefore be prominent among efforts to reduce future GHG emissions.","container-title":"Proceedings of the National Academy of Sciences","DOI":"10.1073/pnas.0914216107","ISSN":"0027-8424, 1091-6490","issue":"26","journalAbbreviation":"Proc. Natl. Acad. Sci. U.S.A.","language":"en","page":"12052-12057","source":"DOI.org (Crossref)","title":"Greenhouse gas mitigation by agricultural intensification","volume":"107","author":[{"family":"Burney","given":"Jennifer A."},{"family":"Davis","given":"Steven J."},{"family":"Lobell","given":"David B."}],"issued":{"date-parts":[["2010",6,29]]}}}],"schema":"https://github.com/citation-style-language/schema/raw/master/csl-citation.json"}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16</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.The ultimate goal of eco-productive farming is to transform the entire food chain into a fully sustainable process by implementing sound management practices that optimize natural resource utilization and minimize the negative impacts associated with agricultural activities</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{"citationID":"WFrqlbHz","properties":{"formattedCitation":"\\super 27\\nosupersub{}","plainCitation":"27","noteIndex":0},"citationItems":[{"id":501,"uris":["http://zotero.org/users/10868288/items/HAEHVK6H"],"itemData":{"id":501,"type":"article-journal","container-title":"Nature Sustainability","DOI":"10.1038/s41893-020-0507-8","ISSN":"2398-9629","issue":"4","journalAbbreviation":"Nat Sustain","language":"en","page":"262-268","source":"DOI.org (Crossref)","title":"A global perspective on sustainable intensification research","volume":"3","author":[{"family":"Cassman","given":"Kenneth G."},{"family":"Grassini","given":"Patricio"}],"issued":{"date-parts":[["2020",4,16]]}}}],"schema":"https://github.com/citation-style-language/schema/raw/master/csl-citation.json"}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27</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vertAlign w:val="superscript"/>
          <w:lang w:eastAsia="en-IN"/>
        </w:rPr>
        <w:t>,</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vertAlign w:val="superscript"/>
          <w:lang w:eastAsia="en-IN"/>
        </w:rPr>
        <w:instrText xml:space="preserve"> ADDIN ZOTERO_ITEM CSL_CITATION {"citationID":"JtAsnekD","properties":{"formattedCitation":"\\super 28\\nosupersub{}","plainCitation":"28","noteIndex":0},"citationItems":[{"id":422,"uris":["http://zotero.org/users/10868288/items/S5UW2JBS"],"itemData":{"id":422,"type":"article-journal","abstract":"Agricultural ecosystems provide humans with food, forage, bioenergy and pharmaceuticals and are essential to human wellbeing. These systems rely on ecosystem services provided by natural ecosystems, including pollination, biological pest control, maintenance of soil structure and fertility, nutrient cycling and hydrological services. Preliminary assessments indicate that the value of these ecosystem services to agriculture is enormous and often underappreciated. Agroecosystems also produce a variety of ecosystem services, such as regulation of soil and water quality, carbon sequestration, support for biodiversity and cultural services. Depending on management practices, agriculture can also be the source of numerous disservices, including loss of wildlife habitat, nutrient runoff, sedimentation of waterways, greenhouse gas emissions, and pesticide poisoning of humans and non-target species. The tradeoffs that may occur between provisioning services and other ecosystem services and disservices should be evaluated in terms of spatial scale, temporal scale and reversibility. As more effective methods for valuing ecosystem services become available, the potential for ‘win–win’ scenarios increases. Under all scenarios, appropriate agricultural management practices are critical to realizing the benefits of ecosystem services and reducing disservices from agricultural activities.","container-title":"Philosophical Transactions of the Royal Society B: Biological Sciences","DOI":"10.1098/rstb.2010.0143","ISSN":"0962-8436, 1471-2970","issue":"1554","journalAbbreviation":"Phil. Trans. R. Soc. B","language":"en","page":"2959-2971","source":"DOI.org (Crossref)","title":"Ecosystem services and agriculture: tradeoffs and synergies","title-short":"Ecosystem services and agriculture","volume":"365","author":[{"family":"Power","given":"Alison G."}],"issued":{"date-parts":[["2010",9,27]]}}}],"schema":"https://github.com/citation-style-language/schema/raw/master/csl-citation.json"} </w:instrText>
      </w:r>
      <w:r w:rsidRPr="008B2B2F">
        <w:rPr>
          <w:rFonts w:ascii="Times New Roman" w:eastAsia="Times New Roman" w:hAnsi="Times New Roman" w:cs="Times New Roman"/>
          <w:color w:val="000000" w:themeColor="text1"/>
          <w:sz w:val="20"/>
          <w:szCs w:val="20"/>
          <w:vertAlign w:val="superscript"/>
          <w:lang w:eastAsia="en-IN"/>
        </w:rPr>
        <w:fldChar w:fldCharType="separate"/>
      </w:r>
      <w:r w:rsidR="009F0BD2" w:rsidRPr="008B2B2F">
        <w:rPr>
          <w:rFonts w:ascii="Times New Roman" w:hAnsi="Times New Roman" w:cs="Times New Roman"/>
          <w:color w:val="000000" w:themeColor="text1"/>
          <w:sz w:val="20"/>
          <w:szCs w:val="20"/>
          <w:vertAlign w:val="superscript"/>
        </w:rPr>
        <w:t>28</w:t>
      </w:r>
      <w:r w:rsidRPr="008B2B2F">
        <w:rPr>
          <w:rFonts w:ascii="Times New Roman" w:eastAsia="Times New Roman" w:hAnsi="Times New Roman" w:cs="Times New Roman"/>
          <w:color w:val="000000" w:themeColor="text1"/>
          <w:sz w:val="20"/>
          <w:szCs w:val="20"/>
          <w:vertAlign w:val="superscript"/>
          <w:lang w:eastAsia="en-IN"/>
        </w:rPr>
        <w:fldChar w:fldCharType="end"/>
      </w:r>
      <w:r w:rsidRPr="008B2B2F">
        <w:rPr>
          <w:rFonts w:ascii="Times New Roman" w:eastAsia="Times New Roman" w:hAnsi="Times New Roman" w:cs="Times New Roman"/>
          <w:color w:val="000000" w:themeColor="text1"/>
          <w:sz w:val="20"/>
          <w:szCs w:val="20"/>
          <w:lang w:eastAsia="en-IN"/>
        </w:rPr>
        <w:t>. To achieve this, eco-productive farming involves the application of various agricultural measures</w:t>
      </w:r>
      <w:r w:rsidRPr="008B2B2F">
        <w:rPr>
          <w:rFonts w:ascii="Times New Roman" w:hAnsi="Times New Roman" w:cs="Times New Roman"/>
          <w:color w:val="000000" w:themeColor="text1"/>
          <w:sz w:val="20"/>
          <w:szCs w:val="20"/>
        </w:rPr>
        <w:fldChar w:fldCharType="begin"/>
      </w:r>
      <w:r w:rsidR="00256886" w:rsidRPr="008B2B2F">
        <w:rPr>
          <w:rFonts w:ascii="Times New Roman" w:eastAsia="Times New Roman" w:hAnsi="Times New Roman" w:cs="Times New Roman"/>
          <w:color w:val="000000" w:themeColor="text1"/>
          <w:sz w:val="20"/>
          <w:szCs w:val="20"/>
          <w:lang w:eastAsia="en-IN"/>
        </w:rPr>
        <w:instrText xml:space="preserve"> ADDIN ZOTERO_ITEM CSL_CITATION {"citationID":"reCZWySJ","properties":{"formattedCitation":"\\super 7\\nosupersub{}","plainCitation":"7","noteIndex":0},"citationItems":[{"id":453,"uris":["http://zotero.org/users/10868288/items/VYMDTW32"],"itemData":{"id":453,"type":"article-journal","abstract":"Concerns about sustainability in agricultural systems centre on the need to develop technologies and practices that do not have adverse effects on environmental goods and services, are accessible to and effective for farmers, and lead to improvements in food productivity. Despite great progress in agricultural productivity in the past half-century, with crop and livestock productivity strongly driven by increased use of fertilizers, irrigation water, agricultural machinery, pesticides and land, it would be over-optimistic to assume that these relationships will remain linear in the future. New approaches are needed that will integrate biological and ecological processes into food production, minimize the use of those non-renewable inputs that cause harm to the environment or to the health of farmers and consumers, make productive use of the knowledge and skills of farmers, so substituting human capital for costly external inputs, and make productive use of people's collective capacities to work together to solve common agricultural and natural resource problems, such as for pest, watershed, irrigation, forest and credit management. These principles help to build important capital assets for agricultural systems: natural; social; human; physical; and financial capital. Improving natural capital is a central aim, and dividends can come from making the best use of the genotypes of crops and animals and the ecological conditions under which they are grown or raised. Agricultural sustainability suggests a focus on both genotype improvements through the full range of modern biological approaches and improved understanding of the benefits of ecological and agronomic management, manipulation and redesign. The ecological management of agroecosystems that addresses energy flows, nutrient cycling, population-regulating mechanisms and system resilience can lead to the redesign of agriculture at a landscape scale. Sustainable agriculture outcomes can be positive for food productivity, reduced pesticide use and carbon balances. Significant challenges, however, remain to develop national and international policies to support the wider emergence of more sustainable forms of agricultural production across both industrialized and developing countries.","container-title":"Philosophical Transactions of the Royal Society B: Biological Sciences","DOI":"10.1098/rstb.2007.2163","ISSN":"0962-8436, 1471-2970","issue":"1491","journalAbbreviation":"Phil. Trans. R. Soc. B","language":"en","page":"447-465","source":"DOI.org (Crossref)","title":"Agricultural sustainability: concepts, principles and evidence","title-short":"Agricultural sustainability","volume":"363","author":[{"family":"Pretty","given":"Jules"}],"issued":{"date-parts":[["2008",2,12]]}}}],"schema":"https://github.com/citation-style-language/schema/raw/master/csl-citation.json"}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256886" w:rsidRPr="008B2B2F">
        <w:rPr>
          <w:rFonts w:ascii="Times New Roman" w:hAnsi="Times New Roman" w:cs="Times New Roman"/>
          <w:color w:val="000000" w:themeColor="text1"/>
          <w:sz w:val="20"/>
          <w:szCs w:val="20"/>
          <w:vertAlign w:val="superscript"/>
        </w:rPr>
        <w:t>7</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4485974D" w14:textId="77777777" w:rsidR="00F61C0A" w:rsidRPr="008B2B2F" w:rsidRDefault="00124EB5"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Soil management: Recognizing soil as a living organism and utilizing natural sources of nutrients while practicing rational and responsible soil exploitation.</w:t>
      </w:r>
    </w:p>
    <w:p w14:paraId="540A4F38" w14:textId="77777777" w:rsidR="00F61C0A" w:rsidRPr="008B2B2F" w:rsidRDefault="00124EB5"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Genetic techniques: Enhancing the suitability of genetic techniques to support the integrity of diverse agroecosystems and improve the performance of agricultural practices, particularly in terms of climate change resilience.</w:t>
      </w:r>
    </w:p>
    <w:p w14:paraId="2A8E06EA" w14:textId="77777777" w:rsidR="00F61C0A" w:rsidRPr="008B2B2F" w:rsidRDefault="00124EB5"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Irrigation efficiency: Utilizing efficient irrigation technologies to minimize water waste and consumption while maximizing cultivated areas.</w:t>
      </w:r>
    </w:p>
    <w:p w14:paraId="25AC043E" w14:textId="77777777" w:rsidR="00F61C0A" w:rsidRPr="008B2B2F" w:rsidRDefault="00124EB5"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Integrated pest management: Implementing integrated pest management systems to mitigate potential risks to food safety and agroecosystem health.</w:t>
      </w:r>
    </w:p>
    <w:p w14:paraId="532B9211" w14:textId="77777777" w:rsidR="00F61C0A" w:rsidRPr="008B2B2F" w:rsidRDefault="00124EB5"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By adopting these measures, eco-productive farming aims to enhance agricultural productivity while minimizing environmental impacts, promoting long-term sustainability in food production</w:t>
      </w:r>
      <w:r w:rsidRPr="008B2B2F">
        <w:rPr>
          <w:rFonts w:ascii="Times New Roman" w:hAnsi="Times New Roman" w:cs="Times New Roman"/>
          <w:color w:val="000000" w:themeColor="text1"/>
          <w:sz w:val="20"/>
          <w:szCs w:val="20"/>
        </w:rPr>
        <w:fldChar w:fldCharType="begin"/>
      </w:r>
      <w:r w:rsidR="009F0BD2" w:rsidRPr="008B2B2F">
        <w:rPr>
          <w:rFonts w:ascii="Times New Roman" w:eastAsia="Times New Roman" w:hAnsi="Times New Roman" w:cs="Times New Roman"/>
          <w:color w:val="000000" w:themeColor="text1"/>
          <w:sz w:val="20"/>
          <w:szCs w:val="20"/>
          <w:lang w:eastAsia="en-IN"/>
        </w:rPr>
        <w:instrText xml:space="preserve"> ADDIN ZOTERO_ITEM CSL_CITATION {"citationID":"o3A6hfJ6","properties":{"formattedCitation":"\\super 19\\nosupersub{}","plainCitation":"19","noteIndex":0},"citationItems":[{"id":304,"uris":["http://zotero.org/users/10868288/items/B6926RUC"],"itemData":{"id":304,"type":"article-journal","abstract":"Finding a food system to feed the growing worldwide population remains a challenge, especially in the current era, where natural resources are being dramatically depleted. From a historical point of view, the Green Revolution, together with biofortification and sustainable intensification, was established as a possible solution to counter hunger and malnutrition during the second half of the 20th century. As a solution, to overcome the limitations attributed to the Green Revolution, food supply chains were developed. The current food system, based on the long food supply chain (LFSC), is characterized by globalization, promoting several advantages for both producers and consumers. However, LFSC has been demonstrated to be unable to feed the global population and, furthermore, it generates negative ecological, environmental, logistical, and nutritional pressures. Thus, novel efficient food systems are required to respond to current environmental and consumers' demands, as is the case of short food supply chain (SFSC). As a recently emerging food system, the evaluation of SFSC sustainability in terms of environmental, economic, and social assessment is yet to be determined. This review is focused on the evolution of food supply systems, starting from the Green Revolution to food supply chains, providing a significant perspective on sustainability.","container-title":"FOOD FRONTIERS","DOI":"10.1002/fft2.173","ISSN":"2643-8429","issue":"1","journalAbbreviation":"Food Frontiers","language":"English","note":"number-of-pages: 12\npublisher-place: Hoboken\npublisher: Wiley\nWeb of Science ID: WOS:001016333500002","page":"9-20","source":"Clarivate Analytics Web of Science","title":"Challenges for future food systems: From the Green Revolution to food supply chains with a special focus on sustainability","title-short":"Challenges for future food systems","volume":"4","author":[{"family":"Soria-Lopez","given":"A."},{"family":"Garcia-Perez","given":"P."},{"family":"Carpena","given":"M."},{"family":"Garcia-Oliveira","given":"P."},{"family":"Otero","given":"Paz"},{"family":"Fraga-Corral","given":"M."},{"family":"Cao","given":"Hui"},{"family":"Prieto","given":"M. A."},{"family":"Simal-Gandara","given":"J."}],"issued":{"date-parts":[["2023",3]]}}}],"schema":"https://github.com/citation-style-language/schema/raw/master/csl-citation.json"}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9F0BD2" w:rsidRPr="008B2B2F">
        <w:rPr>
          <w:rFonts w:ascii="Times New Roman" w:hAnsi="Times New Roman" w:cs="Times New Roman"/>
          <w:color w:val="000000" w:themeColor="text1"/>
          <w:sz w:val="20"/>
          <w:szCs w:val="20"/>
          <w:vertAlign w:val="superscript"/>
        </w:rPr>
        <w:t>19</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w:t>
      </w:r>
    </w:p>
    <w:p w14:paraId="21D41814" w14:textId="77777777" w:rsidR="00F61C0A" w:rsidRPr="008B2B2F" w:rsidRDefault="00F61C0A"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p>
    <w:p w14:paraId="60AC8C62" w14:textId="77777777" w:rsidR="00F61C0A" w:rsidRPr="008B2B2F" w:rsidRDefault="00124EB5" w:rsidP="008B2B2F">
      <w:pPr>
        <w:pStyle w:val="ListParagraph"/>
        <w:numPr>
          <w:ilvl w:val="0"/>
          <w:numId w:val="1"/>
        </w:numPr>
        <w:shd w:val="clear" w:color="auto" w:fill="FFFFFF" w:themeFill="background1"/>
        <w:spacing w:after="0" w:line="240" w:lineRule="auto"/>
        <w:jc w:val="both"/>
        <w:rPr>
          <w:rFonts w:ascii="Times New Roman" w:eastAsia="Times New Roman" w:hAnsi="Times New Roman" w:cs="Times New Roman"/>
          <w:b/>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t xml:space="preserve">FOOD SUPPLY CHAIN SYSTEMS </w:t>
      </w:r>
    </w:p>
    <w:p w14:paraId="569272A0" w14:textId="77777777" w:rsidR="00F61C0A" w:rsidRPr="008B2B2F" w:rsidRDefault="00F61C0A" w:rsidP="008B2B2F">
      <w:pPr>
        <w:pStyle w:val="ListParagraph"/>
        <w:shd w:val="clear" w:color="auto" w:fill="FFFFFF" w:themeFill="background1"/>
        <w:spacing w:after="0" w:line="240" w:lineRule="auto"/>
        <w:jc w:val="both"/>
        <w:rPr>
          <w:rFonts w:ascii="Times New Roman" w:hAnsi="Times New Roman" w:cs="Times New Roman"/>
          <w:color w:val="000000" w:themeColor="text1"/>
          <w:sz w:val="20"/>
          <w:szCs w:val="20"/>
        </w:rPr>
      </w:pPr>
    </w:p>
    <w:p w14:paraId="4B445AF6" w14:textId="77777777" w:rsidR="00671374" w:rsidRPr="008B2B2F" w:rsidRDefault="00124EB5" w:rsidP="008B2B2F">
      <w:pPr>
        <w:shd w:val="clear" w:color="auto" w:fill="FFFFFF" w:themeFill="background1"/>
        <w:spacing w:after="0" w:line="240" w:lineRule="auto"/>
        <w:ind w:firstLine="360"/>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Food supply chains can be categorized into two main types: short food supply chains (SFSCs) and long food supply chains (LFSCs). </w:t>
      </w:r>
    </w:p>
    <w:p w14:paraId="7083DB76" w14:textId="16BD3F3A" w:rsidR="00F61C0A" w:rsidRPr="008B2B2F" w:rsidRDefault="00124EB5" w:rsidP="000B109F">
      <w:pPr>
        <w:shd w:val="clear" w:color="auto" w:fill="FFFFFF" w:themeFill="background1"/>
        <w:spacing w:after="0" w:line="240" w:lineRule="auto"/>
        <w:ind w:firstLine="360"/>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SFSCs refer to localized or regionalized food systems where the distance between producers and consumers is relatively short</w:t>
      </w:r>
      <w:r w:rsidR="000B109F">
        <w:rPr>
          <w:rFonts w:ascii="Times New Roman" w:eastAsia="Times New Roman" w:hAnsi="Times New Roman" w:cs="Times New Roman"/>
          <w:color w:val="000000" w:themeColor="text1"/>
          <w:sz w:val="20"/>
          <w:szCs w:val="20"/>
          <w:lang w:eastAsia="en-IN"/>
        </w:rPr>
        <w:t>.</w:t>
      </w:r>
      <w:r w:rsidR="006F22DC">
        <w:rPr>
          <w:rFonts w:ascii="Times New Roman" w:eastAsia="Times New Roman" w:hAnsi="Times New Roman" w:cs="Times New Roman"/>
          <w:color w:val="000000" w:themeColor="text1"/>
          <w:sz w:val="20"/>
          <w:szCs w:val="20"/>
          <w:lang w:eastAsia="en-IN"/>
        </w:rPr>
        <w:t xml:space="preserve"> </w:t>
      </w:r>
      <w:proofErr w:type="gramStart"/>
      <w:r w:rsidRPr="008B2B2F">
        <w:rPr>
          <w:rFonts w:ascii="Times New Roman" w:eastAsia="Times New Roman" w:hAnsi="Times New Roman" w:cs="Times New Roman"/>
          <w:color w:val="000000" w:themeColor="text1"/>
          <w:sz w:val="20"/>
          <w:szCs w:val="20"/>
          <w:lang w:eastAsia="en-IN"/>
        </w:rPr>
        <w:t>LFSCs</w:t>
      </w:r>
      <w:proofErr w:type="gramEnd"/>
      <w:r w:rsidRPr="008B2B2F">
        <w:rPr>
          <w:rFonts w:ascii="Times New Roman" w:eastAsia="Times New Roman" w:hAnsi="Times New Roman" w:cs="Times New Roman"/>
          <w:color w:val="000000" w:themeColor="text1"/>
          <w:sz w:val="20"/>
          <w:szCs w:val="20"/>
          <w:lang w:eastAsia="en-IN"/>
        </w:rPr>
        <w:t xml:space="preserve"> involve complex networks and extended distances between producers and consumers, often crossing national or international </w:t>
      </w:r>
      <w:r w:rsidR="00A64D14" w:rsidRPr="008B2B2F">
        <w:rPr>
          <w:rFonts w:ascii="Times New Roman" w:eastAsia="Times New Roman" w:hAnsi="Times New Roman" w:cs="Times New Roman"/>
          <w:color w:val="000000" w:themeColor="text1"/>
          <w:sz w:val="20"/>
          <w:szCs w:val="20"/>
          <w:lang w:eastAsia="en-IN"/>
        </w:rPr>
        <w:t>boundaries. Each</w:t>
      </w:r>
      <w:r w:rsidRPr="008B2B2F">
        <w:rPr>
          <w:rFonts w:ascii="Times New Roman" w:eastAsia="Times New Roman" w:hAnsi="Times New Roman" w:cs="Times New Roman"/>
          <w:color w:val="000000" w:themeColor="text1"/>
          <w:sz w:val="20"/>
          <w:szCs w:val="20"/>
          <w:lang w:eastAsia="en-IN"/>
        </w:rPr>
        <w:t xml:space="preserve"> type has its unique characteristics, advantages, and </w:t>
      </w:r>
      <w:r w:rsidR="00A64D14" w:rsidRPr="008B2B2F">
        <w:rPr>
          <w:rFonts w:ascii="Times New Roman" w:eastAsia="Times New Roman" w:hAnsi="Times New Roman" w:cs="Times New Roman"/>
          <w:color w:val="000000" w:themeColor="text1"/>
          <w:sz w:val="20"/>
          <w:szCs w:val="20"/>
          <w:lang w:eastAsia="en-IN"/>
        </w:rPr>
        <w:t>challenges. In</w:t>
      </w:r>
      <w:r w:rsidRPr="008B2B2F">
        <w:rPr>
          <w:rFonts w:ascii="Times New Roman" w:eastAsia="Times New Roman" w:hAnsi="Times New Roman" w:cs="Times New Roman"/>
          <w:color w:val="000000" w:themeColor="text1"/>
          <w:sz w:val="20"/>
          <w:szCs w:val="20"/>
          <w:lang w:eastAsia="en-IN"/>
        </w:rPr>
        <w:t xml:space="preserve"> the below table the following are narrated.</w:t>
      </w:r>
    </w:p>
    <w:p w14:paraId="0D874138" w14:textId="77777777" w:rsidR="006757C9" w:rsidRPr="008B2B2F" w:rsidRDefault="006757C9" w:rsidP="008B2B2F">
      <w:pPr>
        <w:shd w:val="clear" w:color="auto" w:fill="FFFFFF" w:themeFill="background1"/>
        <w:spacing w:after="0" w:line="240" w:lineRule="auto"/>
        <w:ind w:firstLine="720"/>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The establishment of SFSC primarily stems from the limitations associated with LFSC, including increasing consumer awareness of sustainability and animal welfare, the global trend towards adopting healthier lifestyles, and a heightened interest in information regarding the origin and quality assessment of food products </w:t>
      </w:r>
      <w:r w:rsidRPr="008B2B2F">
        <w:rPr>
          <w:rFonts w:ascii="Times New Roman" w:hAnsi="Times New Roman" w:cs="Times New Roman"/>
          <w:color w:val="000000" w:themeColor="text1"/>
          <w:sz w:val="20"/>
          <w:szCs w:val="20"/>
        </w:rPr>
        <w:fldChar w:fldCharType="begin"/>
      </w:r>
      <w:r w:rsidR="00124EB5" w:rsidRPr="008B2B2F">
        <w:rPr>
          <w:rFonts w:ascii="Times New Roman" w:eastAsia="Times New Roman" w:hAnsi="Times New Roman" w:cs="Times New Roman"/>
          <w:color w:val="000000" w:themeColor="text1"/>
          <w:sz w:val="20"/>
          <w:szCs w:val="20"/>
          <w:lang w:eastAsia="en-IN"/>
        </w:rPr>
        <w:instrText xml:space="preserve"> ADDIN ZOTERO_ITEM CSL_CITATION {"citationID":"tphCQDUZ","properties":{"formattedCitation":"\\super 33\\nosupersub{}","plainCitation":"33","noteIndex":0},"citationItems":[{"id":520,"uris":["http://zotero.org/users/10868288/items/BSSLLRWI"],"itemData":{"id":520,"type":"article-journal","container-title":"Journal of Cleaner Production","DOI":"10.1016/j.jclepro.2020.123207","ISSN":"09596526","journalAbbreviation":"Journal of Cleaner Production","language":"en","page":"123207","source":"DOI.org (Crossref)","title":"Food Supply Chains and Short Food Supply Chains: Coexistence conceptual framework","title-short":"Food Supply Chains and Short Food Supply Chains","volume":"278","author":[{"family":"Thomé","given":"Karim Marini"},{"family":"Cappellesso","given":"Giselle"},{"family":"Ramos","given":"Eduardo Luiz Alves"},{"family":"Duarte","given":"Sthefane Cristina De Lima"}],"issued":{"date-parts":[["2021",1]]}}}],"schema":"https://github.com/citation-style-language/schema/raw/master/csl-citation.json"}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124EB5" w:rsidRPr="008B2B2F">
        <w:rPr>
          <w:rFonts w:ascii="Times New Roman" w:hAnsi="Times New Roman" w:cs="Times New Roman"/>
          <w:color w:val="000000" w:themeColor="text1"/>
          <w:sz w:val="20"/>
          <w:szCs w:val="20"/>
          <w:vertAlign w:val="superscript"/>
        </w:rPr>
        <w:t>33</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w:t>
      </w:r>
    </w:p>
    <w:p w14:paraId="0ED5D24A" w14:textId="752F63C1" w:rsidR="006757C9" w:rsidRPr="008B2B2F" w:rsidRDefault="006757C9" w:rsidP="006F22DC">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Long food supply chain (LFSC) is a globalized production chain, where multiple intermediates are involved between producers and consumers. The four major principles of LFSC are as follows: production, transformation, logistic distribution, and retail delivery</w:t>
      </w:r>
      <w:r w:rsidRPr="008B2B2F">
        <w:rPr>
          <w:rFonts w:ascii="Times New Roman" w:hAnsi="Times New Roman" w:cs="Times New Roman"/>
          <w:color w:val="000000" w:themeColor="text1"/>
          <w:sz w:val="20"/>
          <w:szCs w:val="20"/>
        </w:rPr>
        <w:fldChar w:fldCharType="begin"/>
      </w:r>
      <w:r w:rsidR="00124EB5" w:rsidRPr="008B2B2F">
        <w:rPr>
          <w:rFonts w:ascii="Times New Roman" w:eastAsia="Times New Roman" w:hAnsi="Times New Roman" w:cs="Times New Roman"/>
          <w:color w:val="000000" w:themeColor="text1"/>
          <w:sz w:val="20"/>
          <w:szCs w:val="20"/>
          <w:lang w:eastAsia="en-IN"/>
        </w:rPr>
        <w:instrText xml:space="preserve"> ADDIN ZOTERO_ITEM CSL_CITATION {"citationID":"ceAb6lKh","properties":{"formattedCitation":"\\super 31\\nosupersub{}","plainCitation":"31","noteIndex":0},"citationItems":[{"id":416,"uris":["http://zotero.org/users/10868288/items/QGFUD2L4"],"itemData":{"id":416,"type":"article-journal","container-title":"Sociologia Ruralis","DOI":"10.1111/soru.12305","ISSN":"0038-0199, 1467-9523","issue":"3","journalAbbreviation":"Sociologia Ruralis","language":"en","page":"680-697","source":"DOI.org (Crossref)","title":"&lt;i&gt;Short&lt;/i&gt; Versus &lt;i&gt;Long&lt;/i&gt; Supply Chains in Agri‐Food Sectors: Peaceful Coexistence or Political Domination? The Case of &lt;i&gt;foie gras&lt;/i&gt; in South‐West France","title-short":"&lt;i&gt;Short&lt;/i&gt; Versus &lt;i&gt;Long&lt;/i&gt; Supply Chains in Agri‐Food Sectors","volume":"60","author":[{"family":"Joltreau","given":"Thibaut"},{"family":"Smith","given":"Andy"}],"issued":{"date-parts":[["2020",7]]}}}],"schema":"https://github.com/citation-style-language/schema/raw/master/csl-citation.json"}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124EB5" w:rsidRPr="008B2B2F">
        <w:rPr>
          <w:rFonts w:ascii="Times New Roman" w:hAnsi="Times New Roman" w:cs="Times New Roman"/>
          <w:color w:val="000000" w:themeColor="text1"/>
          <w:sz w:val="20"/>
          <w:szCs w:val="20"/>
          <w:vertAlign w:val="superscript"/>
        </w:rPr>
        <w:t>31</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vertAlign w:val="superscript"/>
          <w:lang w:eastAsia="en-IN"/>
        </w:rPr>
        <w:t>,</w:t>
      </w:r>
      <w:r w:rsidRPr="008B2B2F">
        <w:rPr>
          <w:rFonts w:ascii="Times New Roman" w:hAnsi="Times New Roman" w:cs="Times New Roman"/>
          <w:color w:val="000000" w:themeColor="text1"/>
          <w:sz w:val="20"/>
          <w:szCs w:val="20"/>
        </w:rPr>
        <w:fldChar w:fldCharType="begin"/>
      </w:r>
      <w:r w:rsidR="00124EB5" w:rsidRPr="008B2B2F">
        <w:rPr>
          <w:rFonts w:ascii="Times New Roman" w:eastAsia="Times New Roman" w:hAnsi="Times New Roman" w:cs="Times New Roman"/>
          <w:color w:val="000000" w:themeColor="text1"/>
          <w:sz w:val="20"/>
          <w:szCs w:val="20"/>
          <w:vertAlign w:val="superscript"/>
          <w:lang w:eastAsia="en-IN"/>
        </w:rPr>
        <w:instrText xml:space="preserve"> ADDIN ZOTERO_ITEM CSL_CITATION {"citationID":"nI7kVy4e","properties":{"formattedCitation":"\\super 36\\nosupersub{}","plainCitation":"36","noteIndex":0},"citationItems":[{"id":451,"uris":["http://zotero.org/users/10868288/items/JZVJJR38"],"itemData":{"id":451,"type":"webpage","title":"DEFINING SUPPLY CHAIN MANAGEMENT - Mentzer - 2001 - Journal of Business Logistics - Wiley Online Library","URL":"https://onlinelibrary.wiley.com/doi/10.1002/j.2158-1592.2001.tb00001.x","accessed":{"date-parts":[["2023",7,22]]}}}],"schema":"https://github.com/citation-style-language/schema/raw/master/csl-citation.json"} </w:instrText>
      </w:r>
      <w:r w:rsidRPr="008B2B2F">
        <w:rPr>
          <w:rFonts w:ascii="Times New Roman" w:eastAsia="Times New Roman" w:hAnsi="Times New Roman" w:cs="Times New Roman"/>
          <w:color w:val="000000" w:themeColor="text1"/>
          <w:sz w:val="20"/>
          <w:szCs w:val="20"/>
          <w:vertAlign w:val="superscript"/>
          <w:lang w:eastAsia="en-IN"/>
        </w:rPr>
        <w:fldChar w:fldCharType="separate"/>
      </w:r>
      <w:r w:rsidR="00124EB5" w:rsidRPr="008B2B2F">
        <w:rPr>
          <w:rFonts w:ascii="Times New Roman" w:hAnsi="Times New Roman" w:cs="Times New Roman"/>
          <w:color w:val="000000" w:themeColor="text1"/>
          <w:sz w:val="20"/>
          <w:szCs w:val="20"/>
          <w:vertAlign w:val="superscript"/>
        </w:rPr>
        <w:t>36</w:t>
      </w:r>
      <w:r w:rsidRPr="008B2B2F">
        <w:rPr>
          <w:rFonts w:ascii="Times New Roman" w:eastAsia="Times New Roman" w:hAnsi="Times New Roman" w:cs="Times New Roman"/>
          <w:color w:val="000000" w:themeColor="text1"/>
          <w:sz w:val="20"/>
          <w:szCs w:val="20"/>
          <w:vertAlign w:val="superscript"/>
          <w:lang w:eastAsia="en-IN"/>
        </w:rPr>
        <w:fldChar w:fldCharType="end"/>
      </w:r>
      <w:r w:rsidRPr="008B2B2F">
        <w:rPr>
          <w:rFonts w:ascii="Times New Roman" w:eastAsia="Times New Roman" w:hAnsi="Times New Roman" w:cs="Times New Roman"/>
          <w:color w:val="000000" w:themeColor="text1"/>
          <w:sz w:val="20"/>
          <w:szCs w:val="20"/>
          <w:lang w:eastAsia="en-IN"/>
        </w:rPr>
        <w:t xml:space="preserve">. However, the dramatic growth of the world population and the subsequent increased pressure on the natural environment to meet the consumption demands have caused several implications of different nature attributed to LFSC </w:t>
      </w:r>
      <w:r w:rsidRPr="008B2B2F">
        <w:rPr>
          <w:rFonts w:ascii="Times New Roman" w:hAnsi="Times New Roman" w:cs="Times New Roman"/>
          <w:color w:val="000000" w:themeColor="text1"/>
          <w:sz w:val="20"/>
          <w:szCs w:val="20"/>
        </w:rPr>
        <w:fldChar w:fldCharType="begin"/>
      </w:r>
      <w:r w:rsidR="00124EB5" w:rsidRPr="008B2B2F">
        <w:rPr>
          <w:rFonts w:ascii="Times New Roman" w:eastAsia="Times New Roman" w:hAnsi="Times New Roman" w:cs="Times New Roman"/>
          <w:color w:val="000000" w:themeColor="text1"/>
          <w:sz w:val="20"/>
          <w:szCs w:val="20"/>
          <w:lang w:eastAsia="en-IN"/>
        </w:rPr>
        <w:instrText xml:space="preserve"> ADDIN ZOTERO_ITEM CSL_CITATION {"citationID":"03eUb12O","properties":{"formattedCitation":"\\super 37\\nosupersub{}","plainCitation":"37","noteIndex":0},"citationItems":[{"id":546,"uris":["http://zotero.org/users/10868288/items/DTLRHKMC"],"itemData":{"id":546,"type":"article-journal","abstract":"Due to the increasing population, there is high concern about whether the current food system will be able to provide enough healthy food for 10 billion people by 2050. The general opinion is that it is possible to feed this population, but the food system requires major transformations on behalf of promoting sustainability, reducing food waste and stimulating a change toward diets healthy for humans and also sustainable for the planet. This article will review some detected problems in food production and consumption. In food production, current problems like destruction of land ecosystems, overfishing or generation of high amounts of residues stand out. Some solutions have been described, such as implement the agroecology, improve productivity of aquaculture or re-valorization of by-products. In food consumption, the main problems are the food fraud and the unhealthy dietary patters, whose main solutions are the standardization along food chain and education on healthy lifestyles. Concluding, food system should change toward more sustainable practices and behaviors in other to ensure the subsistence of the present and the future generations.","container-title":"Critical Reviews in Food Science and Nutrition","DOI":"10.1080/10408398.2020.1847028","ISSN":"1040-8398","issue":"7","note":"publisher: Taylor &amp; Francis\n_eprint: https://doi.org/10.1080/10408398.2020.1847028\nPMID: 33242978","page":"1765-1781","source":"Taylor and Francis+NEJM","title":"Solutions for the sustainability of the food production and consumption system","volume":"62","author":[{"family":"García-Oliveira","given":"P."},{"family":"Fraga-Corral","given":"M."},{"family":"Pereira","given":"A. G."},{"family":"Prieto","given":"M. A."},{"family":"Simal-Gandara","given":"J."}],"issued":{"date-parts":[["2022",3,12]]}}}],"schema":"https://github.com/citation-style-language/schema/raw/master/csl-citation.json"}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124EB5" w:rsidRPr="008B2B2F">
        <w:rPr>
          <w:rFonts w:ascii="Times New Roman" w:hAnsi="Times New Roman" w:cs="Times New Roman"/>
          <w:color w:val="000000" w:themeColor="text1"/>
          <w:sz w:val="20"/>
          <w:szCs w:val="20"/>
          <w:vertAlign w:val="superscript"/>
        </w:rPr>
        <w:t>37</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whose responsibility relies on all the actors of the chain, including farmers, food suppliers, distributors, retailers, and consumers</w:t>
      </w:r>
      <w:r w:rsidRPr="008B2B2F">
        <w:rPr>
          <w:rFonts w:ascii="Times New Roman" w:hAnsi="Times New Roman" w:cs="Times New Roman"/>
          <w:color w:val="000000" w:themeColor="text1"/>
          <w:sz w:val="20"/>
          <w:szCs w:val="20"/>
        </w:rPr>
        <w:fldChar w:fldCharType="begin"/>
      </w:r>
      <w:r w:rsidR="00124EB5" w:rsidRPr="008B2B2F">
        <w:rPr>
          <w:rFonts w:ascii="Times New Roman" w:eastAsia="Times New Roman" w:hAnsi="Times New Roman" w:cs="Times New Roman"/>
          <w:color w:val="000000" w:themeColor="text1"/>
          <w:sz w:val="20"/>
          <w:szCs w:val="20"/>
          <w:lang w:eastAsia="en-IN"/>
        </w:rPr>
        <w:instrText xml:space="preserve"> ADDIN ZOTERO_ITEM CSL_CITATION {"citationID":"x3McS5bc","properties":{"formattedCitation":"\\super 38\\nosupersub{}","plainCitation":"38","noteIndex":0},"citationItems":[{"id":449,"uris":["http://zotero.org/users/10868288/items/4GY6QBSY"],"itemData":{"id":449,"type":"article-journal","container-title":"Journal of Cleaner Production","DOI":"10.1016/j.jclepro.2016.06.071","ISSN":"09596526","journalAbbreviation":"Journal of Cleaner Production","language":"en","page":"399-409","source":"DOI.org (Crossref)","title":"The role of life cycle assessment in supporting sustainable agri-food systems: A review of the challenges","title-short":"The role of life cycle assessment in supporting sustainable agri-food systems","volume":"140","author":[{"family":"Notarnicola","given":"Bruno"},{"family":"Sala","given":"Serenella"},{"family":"Anton","given":"Assumpció"},{"family":"McLaren","given":"Sarah J."},{"family":"Saouter","given":"Erwan"},{"family":"Sonesson","given":"Ulf"}],"issued":{"date-parts":[["2017",1]]}}}],"schema":"https://github.com/citation-style-language/schema/raw/master/csl-citation.json"}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124EB5" w:rsidRPr="008B2B2F">
        <w:rPr>
          <w:rFonts w:ascii="Times New Roman" w:hAnsi="Times New Roman" w:cs="Times New Roman"/>
          <w:color w:val="000000" w:themeColor="text1"/>
          <w:sz w:val="20"/>
          <w:szCs w:val="20"/>
          <w:vertAlign w:val="superscript"/>
        </w:rPr>
        <w:t>38</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Overall, LFSC presents a high number of problems associated with its ecological, environmental, logistical, and nutritional implications and, consequently, several solutions have been proposed to counter the negative impact of this globalized chain </w:t>
      </w:r>
      <w:r w:rsidRPr="008B2B2F">
        <w:rPr>
          <w:rFonts w:ascii="Times New Roman" w:hAnsi="Times New Roman" w:cs="Times New Roman"/>
          <w:color w:val="000000" w:themeColor="text1"/>
          <w:sz w:val="20"/>
          <w:szCs w:val="20"/>
        </w:rPr>
        <w:fldChar w:fldCharType="begin"/>
      </w:r>
      <w:r w:rsidRPr="008B2B2F">
        <w:rPr>
          <w:rFonts w:ascii="Times New Roman" w:eastAsia="Times New Roman" w:hAnsi="Times New Roman" w:cs="Times New Roman"/>
          <w:color w:val="000000" w:themeColor="text1"/>
          <w:sz w:val="20"/>
          <w:szCs w:val="20"/>
          <w:lang w:eastAsia="en-IN"/>
        </w:rPr>
        <w:instrText xml:space="preserve"> ADDIN ZOTERO_ITEM CSL_CITATION {"citationID":"nWZ7emqt","properties":{"formattedCitation":"\\super 19\\nosupersub{}","plainCitation":"19","noteIndex":0},"citationItems":[{"id":304,"uris":["http://zotero.org/users/10868288/items/B6926RUC"],"itemData":{"id":304,"type":"article-journal","abstract":"Finding a food system to feed the growing worldwide population remains a challenge, especially in the current era, where natural resources are being dramatically depleted. From a historical point of view, the Green Revolution, together with biofortification and sustainable intensification, was established as a possible solution to counter hunger and malnutrition during the second half of the 20th century. As a solution, to overcome the limitations attributed to the Green Revolution, food supply chains were developed. The current food system, based on the long food supply chain (LFSC), is characterized by globalization, promoting several advantages for both producers and consumers. However, LFSC has been demonstrated to be unable to feed the global population and, furthermore, it generates negative ecological, environmental, logistical, and nutritional pressures. Thus, novel efficient food systems are required to respond to current environmental and consumers' demands, as is the case of short food supply chain (SFSC). As a recently emerging food system, the evaluation of SFSC sustainability in terms of environmental, economic, and social assessment is yet to be determined. This review is focused on the evolution of food supply systems, starting from the Green Revolution to food supply chains, providing a significant perspective on sustainability.","container-title":"FOOD FRONTIERS","DOI":"10.1002/fft2.173","ISSN":"2643-8429","issue":"1","journalAbbreviation":"Food Frontiers","language":"English","note":"number-of-pages: 12\npublisher-place: Hoboken\npublisher: Wiley\nWeb of Science ID: WOS:001016333500002","page":"9-20","source":"Clarivate Analytics Web of Science","title":"Challenges for future food systems: From the Green Revolution to food supply chains with a special focus on sustainability","title-short":"Challenges for future food systems","volume":"4","author":[{"family":"Soria-Lopez","given":"A."},{"family":"Garcia-Perez","given":"P."},{"family":"Carpena","given":"M."},{"family":"Garcia-Oliveira","given":"P."},{"family":"Otero","given":"Paz"},{"family":"Fraga-Corral","given":"M."},{"family":"Cao","given":"Hui"},{"family":"Prieto","given":"M. A."},{"family":"Simal-Gandara","given":"J."}],"issued":{"date-parts":[["2023",3]]}}}],"schema":"https://github.com/citation-style-language/schema/raw/master/csl-citation.json"}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Pr="008B2B2F">
        <w:rPr>
          <w:rFonts w:ascii="Times New Roman" w:hAnsi="Times New Roman" w:cs="Times New Roman"/>
          <w:color w:val="000000" w:themeColor="text1"/>
          <w:sz w:val="20"/>
          <w:szCs w:val="20"/>
          <w:vertAlign w:val="superscript"/>
        </w:rPr>
        <w:t>19</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2AA6DF18" w14:textId="77777777" w:rsidR="006757C9" w:rsidRPr="008B2B2F" w:rsidRDefault="006757C9"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Both food supply chains, LFSC and SFSC are strongly relevant, but none of them represent an ideal approach which could meet the current and upcoming requirements of food systems.</w:t>
      </w:r>
    </w:p>
    <w:p w14:paraId="5EC9751B" w14:textId="77777777" w:rsidR="00F61C0A" w:rsidRPr="008B2B2F" w:rsidRDefault="00124EB5" w:rsidP="008B2B2F">
      <w:pPr>
        <w:shd w:val="clear" w:color="auto" w:fill="FFFFFF" w:themeFill="background1"/>
        <w:spacing w:after="0" w:line="240" w:lineRule="auto"/>
        <w:jc w:val="both"/>
        <w:rPr>
          <w:rFonts w:ascii="Times New Roman" w:eastAsia="Times New Roman" w:hAnsi="Times New Roman" w:cs="Times New Roman"/>
          <w:b/>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t xml:space="preserve">  </w:t>
      </w:r>
    </w:p>
    <w:p w14:paraId="719E8165" w14:textId="77777777" w:rsidR="00F61C0A" w:rsidRPr="008B2B2F" w:rsidRDefault="00124EB5" w:rsidP="008B2B2F">
      <w:pPr>
        <w:pStyle w:val="ListParagraph"/>
        <w:shd w:val="clear" w:color="auto" w:fill="FFFFFF" w:themeFill="background1"/>
        <w:spacing w:after="0" w:line="240" w:lineRule="auto"/>
        <w:ind w:left="0"/>
        <w:jc w:val="both"/>
        <w:rPr>
          <w:rFonts w:ascii="Times New Roman" w:eastAsia="Times New Roman" w:hAnsi="Times New Roman" w:cs="Times New Roman"/>
          <w:b/>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t xml:space="preserve">Table </w:t>
      </w:r>
      <w:r w:rsidR="00A64D14" w:rsidRPr="008B2B2F">
        <w:rPr>
          <w:rFonts w:ascii="Times New Roman" w:eastAsia="Times New Roman" w:hAnsi="Times New Roman" w:cs="Times New Roman"/>
          <w:b/>
          <w:color w:val="000000" w:themeColor="text1"/>
          <w:sz w:val="20"/>
          <w:szCs w:val="20"/>
          <w:lang w:eastAsia="en-IN"/>
        </w:rPr>
        <w:t>1: Characteristics, Advantages</w:t>
      </w:r>
      <w:r w:rsidRPr="008B2B2F">
        <w:rPr>
          <w:rFonts w:ascii="Times New Roman" w:eastAsia="Times New Roman" w:hAnsi="Times New Roman" w:cs="Times New Roman"/>
          <w:b/>
          <w:color w:val="000000" w:themeColor="text1"/>
          <w:sz w:val="20"/>
          <w:szCs w:val="20"/>
          <w:lang w:eastAsia="en-IN"/>
        </w:rPr>
        <w:t xml:space="preserve"> and Disadvantages of LFCs and SFCs</w:t>
      </w:r>
    </w:p>
    <w:p w14:paraId="68D6F1CE" w14:textId="77777777" w:rsidR="006757C9" w:rsidRPr="008B2B2F" w:rsidRDefault="006757C9" w:rsidP="008B2B2F">
      <w:pPr>
        <w:pStyle w:val="ListParagraph"/>
        <w:shd w:val="clear" w:color="auto" w:fill="FFFFFF" w:themeFill="background1"/>
        <w:spacing w:after="0" w:line="240" w:lineRule="auto"/>
        <w:ind w:left="0"/>
        <w:jc w:val="both"/>
        <w:rPr>
          <w:rFonts w:ascii="Times New Roman" w:hAnsi="Times New Roman" w:cs="Times New Roman"/>
          <w:b/>
          <w:color w:val="000000" w:themeColor="text1"/>
          <w:sz w:val="20"/>
          <w:szCs w:val="20"/>
        </w:rPr>
      </w:pPr>
    </w:p>
    <w:tbl>
      <w:tblPr>
        <w:tblW w:w="5222" w:type="pct"/>
        <w:tblInd w:w="-5" w:type="dxa"/>
        <w:tblLayout w:type="fixed"/>
        <w:tblCellMar>
          <w:top w:w="55" w:type="dxa"/>
          <w:left w:w="55" w:type="dxa"/>
          <w:bottom w:w="55" w:type="dxa"/>
          <w:right w:w="55" w:type="dxa"/>
        </w:tblCellMar>
        <w:tblLook w:val="04A0" w:firstRow="1" w:lastRow="0" w:firstColumn="1" w:lastColumn="0" w:noHBand="0" w:noVBand="1"/>
      </w:tblPr>
      <w:tblGrid>
        <w:gridCol w:w="1502"/>
        <w:gridCol w:w="4172"/>
        <w:gridCol w:w="4091"/>
      </w:tblGrid>
      <w:tr w:rsidR="00F61C0A" w:rsidRPr="008B2B2F" w14:paraId="451E827D" w14:textId="77777777" w:rsidTr="0030340D">
        <w:trPr>
          <w:trHeight w:val="384"/>
        </w:trPr>
        <w:tc>
          <w:tcPr>
            <w:tcW w:w="1449" w:type="dxa"/>
            <w:tcBorders>
              <w:top w:val="single" w:sz="4" w:space="0" w:color="000000"/>
              <w:left w:val="single" w:sz="4" w:space="0" w:color="000000"/>
              <w:bottom w:val="single" w:sz="4" w:space="0" w:color="000000"/>
            </w:tcBorders>
          </w:tcPr>
          <w:p w14:paraId="19075E41" w14:textId="77777777" w:rsidR="00F61C0A" w:rsidRPr="008B2B2F" w:rsidRDefault="00F61C0A" w:rsidP="008B2B2F">
            <w:pPr>
              <w:pStyle w:val="TableContents"/>
              <w:shd w:val="clear" w:color="auto" w:fill="FFFFFF" w:themeFill="background1"/>
              <w:rPr>
                <w:rFonts w:ascii="Times New Roman" w:hAnsi="Times New Roman" w:cs="Times New Roman"/>
                <w:color w:val="000000" w:themeColor="text1"/>
                <w:sz w:val="20"/>
                <w:szCs w:val="20"/>
              </w:rPr>
            </w:pPr>
          </w:p>
        </w:tc>
        <w:tc>
          <w:tcPr>
            <w:tcW w:w="4023" w:type="dxa"/>
            <w:tcBorders>
              <w:top w:val="single" w:sz="4" w:space="0" w:color="000000"/>
              <w:left w:val="single" w:sz="4" w:space="0" w:color="000000"/>
              <w:bottom w:val="single" w:sz="4" w:space="0" w:color="000000"/>
            </w:tcBorders>
          </w:tcPr>
          <w:p w14:paraId="4AB7A51A" w14:textId="77777777" w:rsidR="00F61C0A" w:rsidRPr="008B2B2F" w:rsidRDefault="0030340D" w:rsidP="008B2B2F">
            <w:pPr>
              <w:pStyle w:val="TableContents"/>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     </w:t>
            </w:r>
            <w:r w:rsidR="00124EB5" w:rsidRPr="008B2B2F">
              <w:rPr>
                <w:rFonts w:ascii="Times New Roman" w:eastAsia="Times New Roman" w:hAnsi="Times New Roman" w:cs="Times New Roman"/>
                <w:color w:val="000000" w:themeColor="text1"/>
                <w:sz w:val="20"/>
                <w:szCs w:val="20"/>
                <w:lang w:eastAsia="en-IN"/>
              </w:rPr>
              <w:t>Short Food Supply Chains (SFSCs)</w:t>
            </w:r>
          </w:p>
        </w:tc>
        <w:tc>
          <w:tcPr>
            <w:tcW w:w="3945" w:type="dxa"/>
            <w:tcBorders>
              <w:top w:val="single" w:sz="4" w:space="0" w:color="000000"/>
              <w:left w:val="single" w:sz="4" w:space="0" w:color="000000"/>
              <w:bottom w:val="single" w:sz="4" w:space="0" w:color="000000"/>
              <w:right w:val="single" w:sz="4" w:space="0" w:color="000000"/>
            </w:tcBorders>
          </w:tcPr>
          <w:p w14:paraId="0245A6D9" w14:textId="77777777" w:rsidR="00F61C0A" w:rsidRPr="008B2B2F" w:rsidRDefault="0030340D" w:rsidP="008B2B2F">
            <w:pPr>
              <w:pStyle w:val="TableContents"/>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      </w:t>
            </w:r>
            <w:r w:rsidR="00124EB5" w:rsidRPr="008B2B2F">
              <w:rPr>
                <w:rFonts w:ascii="Times New Roman" w:eastAsia="Times New Roman" w:hAnsi="Times New Roman" w:cs="Times New Roman"/>
                <w:color w:val="000000" w:themeColor="text1"/>
                <w:sz w:val="20"/>
                <w:szCs w:val="20"/>
                <w:lang w:eastAsia="en-IN"/>
              </w:rPr>
              <w:t>Long Food Supply Chains (LFSCs)</w:t>
            </w:r>
          </w:p>
        </w:tc>
      </w:tr>
      <w:tr w:rsidR="00F61C0A" w:rsidRPr="008B2B2F" w14:paraId="29678BD7" w14:textId="77777777" w:rsidTr="0030340D">
        <w:trPr>
          <w:trHeight w:val="4123"/>
        </w:trPr>
        <w:tc>
          <w:tcPr>
            <w:tcW w:w="1449" w:type="dxa"/>
            <w:tcBorders>
              <w:left w:val="single" w:sz="4" w:space="0" w:color="000000"/>
              <w:bottom w:val="single" w:sz="4" w:space="0" w:color="000000"/>
            </w:tcBorders>
          </w:tcPr>
          <w:p w14:paraId="3E80BCF8" w14:textId="77777777" w:rsidR="00F61C0A" w:rsidRPr="008B2B2F" w:rsidRDefault="00124EB5" w:rsidP="008B2B2F">
            <w:pPr>
              <w:pStyle w:val="TableContents"/>
              <w:shd w:val="clear" w:color="auto" w:fill="FFFFFF" w:themeFill="background1"/>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lastRenderedPageBreak/>
              <w:t>Characteristics</w:t>
            </w:r>
          </w:p>
        </w:tc>
        <w:tc>
          <w:tcPr>
            <w:tcW w:w="4023" w:type="dxa"/>
            <w:tcBorders>
              <w:left w:val="single" w:sz="4" w:space="0" w:color="000000"/>
              <w:bottom w:val="single" w:sz="4" w:space="0" w:color="000000"/>
            </w:tcBorders>
          </w:tcPr>
          <w:p w14:paraId="6BDE527A" w14:textId="77777777" w:rsidR="00F61C0A" w:rsidRPr="008B2B2F" w:rsidRDefault="00124EB5" w:rsidP="008B2B2F">
            <w:pPr>
              <w:pStyle w:val="BodyText"/>
              <w:numPr>
                <w:ilvl w:val="0"/>
                <w:numId w:val="9"/>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Direct Producer-Consumer Link: SFSCs often involve direct relationships between farmers, producers, and consumers. This direct link enables transparency and accountability in the food production process.</w:t>
            </w:r>
          </w:p>
          <w:p w14:paraId="4B0F1119" w14:textId="77777777" w:rsidR="00F61C0A" w:rsidRPr="008B2B2F" w:rsidRDefault="00124EB5" w:rsidP="008B2B2F">
            <w:pPr>
              <w:pStyle w:val="BodyText"/>
              <w:numPr>
                <w:ilvl w:val="0"/>
                <w:numId w:val="9"/>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Reduced Carbon Footprint: Since the transportation distances are short, SFSCs generally have a lower carbon footprint, leading to reduced greenhouse gas emissions.</w:t>
            </w:r>
          </w:p>
          <w:p w14:paraId="1C0FD2D0" w14:textId="77777777" w:rsidR="00F61C0A" w:rsidRPr="008B2B2F" w:rsidRDefault="00124EB5" w:rsidP="008B2B2F">
            <w:pPr>
              <w:pStyle w:val="BodyText"/>
              <w:numPr>
                <w:ilvl w:val="0"/>
                <w:numId w:val="9"/>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Emphasis on Local Produce: SFSCs prioritize locally grown or sourced food items, supporting local economies and fostering community connections.</w:t>
            </w:r>
          </w:p>
        </w:tc>
        <w:tc>
          <w:tcPr>
            <w:tcW w:w="3945" w:type="dxa"/>
            <w:tcBorders>
              <w:left w:val="single" w:sz="4" w:space="0" w:color="000000"/>
              <w:bottom w:val="single" w:sz="4" w:space="0" w:color="auto"/>
              <w:right w:val="single" w:sz="4" w:space="0" w:color="000000"/>
            </w:tcBorders>
          </w:tcPr>
          <w:p w14:paraId="26172A2A" w14:textId="77777777" w:rsidR="00F61C0A" w:rsidRPr="008B2B2F" w:rsidRDefault="00124EB5" w:rsidP="008B2B2F">
            <w:pPr>
              <w:pStyle w:val="BodyText"/>
              <w:numPr>
                <w:ilvl w:val="0"/>
                <w:numId w:val="8"/>
              </w:numPr>
              <w:shd w:val="clear" w:color="auto" w:fill="FFFFFF" w:themeFill="background1"/>
              <w:spacing w:line="0" w:lineRule="atLeast"/>
              <w:rPr>
                <w:rFonts w:ascii="Times New Roman" w:hAnsi="Times New Roman" w:cs="Times New Roman"/>
                <w:color w:val="000000" w:themeColor="text1"/>
                <w:sz w:val="20"/>
                <w:szCs w:val="20"/>
              </w:rPr>
            </w:pPr>
            <w:r w:rsidRPr="008B2B2F">
              <w:rPr>
                <w:rFonts w:ascii="Times New Roman" w:eastAsia="Times New Roman" w:hAnsi="Times New Roman" w:cs="Times New Roman"/>
                <w:color w:val="000000" w:themeColor="text1"/>
                <w:sz w:val="20"/>
                <w:szCs w:val="20"/>
                <w:lang w:eastAsia="en-IN"/>
              </w:rPr>
              <w:t>Globalized Trade: LFSCs facilitate the global exchange of agricultural commodities and processed food products.</w:t>
            </w:r>
          </w:p>
          <w:p w14:paraId="61B9545D" w14:textId="77777777" w:rsidR="00F61C0A" w:rsidRPr="008B2B2F" w:rsidRDefault="00124EB5" w:rsidP="008B2B2F">
            <w:pPr>
              <w:pStyle w:val="TableContents"/>
              <w:numPr>
                <w:ilvl w:val="0"/>
                <w:numId w:val="8"/>
              </w:numPr>
              <w:shd w:val="clear" w:color="auto" w:fill="FFFFFF" w:themeFill="background1"/>
              <w:spacing w:line="0" w:lineRule="atLeast"/>
              <w:rPr>
                <w:rFonts w:ascii="Times New Roman" w:hAnsi="Times New Roman" w:cs="Times New Roman"/>
                <w:color w:val="000000" w:themeColor="text1"/>
                <w:sz w:val="20"/>
                <w:szCs w:val="20"/>
              </w:rPr>
            </w:pPr>
            <w:r w:rsidRPr="008B2B2F">
              <w:rPr>
                <w:rFonts w:ascii="Times New Roman" w:eastAsia="Times New Roman" w:hAnsi="Times New Roman" w:cs="Times New Roman"/>
                <w:color w:val="000000" w:themeColor="text1"/>
                <w:sz w:val="20"/>
                <w:szCs w:val="20"/>
                <w:lang w:eastAsia="en-IN"/>
              </w:rPr>
              <w:t>Economies of Scale: Large-scale production and distribution in LFSCs can lead to cost efficiencies and lower prices for consumers.</w:t>
            </w:r>
          </w:p>
          <w:p w14:paraId="1DE65C16" w14:textId="77777777" w:rsidR="00F61C0A" w:rsidRPr="008B2B2F" w:rsidRDefault="00124EB5" w:rsidP="008B2B2F">
            <w:pPr>
              <w:pStyle w:val="TableContents"/>
              <w:numPr>
                <w:ilvl w:val="0"/>
                <w:numId w:val="8"/>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Diverse Food Choices: LFSCs offer consumers access to a wide variety of food items from different regions and seasons.</w:t>
            </w:r>
          </w:p>
        </w:tc>
      </w:tr>
      <w:tr w:rsidR="00F61C0A" w:rsidRPr="008B2B2F" w14:paraId="3C3E638E" w14:textId="77777777" w:rsidTr="0030340D">
        <w:trPr>
          <w:trHeight w:val="3180"/>
        </w:trPr>
        <w:tc>
          <w:tcPr>
            <w:tcW w:w="1449" w:type="dxa"/>
            <w:tcBorders>
              <w:left w:val="single" w:sz="4" w:space="0" w:color="000000"/>
              <w:bottom w:val="single" w:sz="4" w:space="0" w:color="auto"/>
            </w:tcBorders>
          </w:tcPr>
          <w:p w14:paraId="046C7467" w14:textId="77777777" w:rsidR="00F61C0A" w:rsidRPr="008B2B2F" w:rsidRDefault="00124EB5" w:rsidP="008B2B2F">
            <w:pPr>
              <w:pStyle w:val="TableContents"/>
              <w:shd w:val="clear" w:color="auto" w:fill="FFFFFF" w:themeFill="background1"/>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Advantages</w:t>
            </w:r>
          </w:p>
        </w:tc>
        <w:tc>
          <w:tcPr>
            <w:tcW w:w="4023" w:type="dxa"/>
            <w:tcBorders>
              <w:left w:val="single" w:sz="4" w:space="0" w:color="000000"/>
              <w:bottom w:val="single" w:sz="4" w:space="0" w:color="auto"/>
              <w:right w:val="single" w:sz="4" w:space="0" w:color="auto"/>
            </w:tcBorders>
          </w:tcPr>
          <w:p w14:paraId="4FBA36DC" w14:textId="77777777" w:rsidR="00F61C0A" w:rsidRPr="008B2B2F" w:rsidRDefault="00124EB5" w:rsidP="008B2B2F">
            <w:pPr>
              <w:pStyle w:val="BodyText"/>
              <w:numPr>
                <w:ilvl w:val="0"/>
                <w:numId w:val="5"/>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Fresher and More Nutritious: With shorter supply chains, fresh produce can reach consumers faster, retaining more nutrients and flavor.</w:t>
            </w:r>
          </w:p>
          <w:p w14:paraId="35D76C8A" w14:textId="77777777" w:rsidR="00F61C0A" w:rsidRPr="008B2B2F" w:rsidRDefault="00124EB5" w:rsidP="008B2B2F">
            <w:pPr>
              <w:pStyle w:val="BodyText"/>
              <w:numPr>
                <w:ilvl w:val="0"/>
                <w:numId w:val="5"/>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Increased Resilience: SFSCs are more resilient to disruptions in global supply chains, such as pandemics or natural disasters, as they rely less on international trade.</w:t>
            </w:r>
          </w:p>
          <w:p w14:paraId="246BC313" w14:textId="77777777" w:rsidR="00F61C0A" w:rsidRPr="008B2B2F" w:rsidRDefault="00124EB5" w:rsidP="008B2B2F">
            <w:pPr>
              <w:pStyle w:val="BodyText"/>
              <w:numPr>
                <w:ilvl w:val="0"/>
                <w:numId w:val="5"/>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Strengthened Food Security: Localized food systems can enhance food security by reducing dependency on external markets and imports.</w:t>
            </w:r>
          </w:p>
        </w:tc>
        <w:tc>
          <w:tcPr>
            <w:tcW w:w="3945" w:type="dxa"/>
            <w:tcBorders>
              <w:top w:val="single" w:sz="4" w:space="0" w:color="auto"/>
              <w:left w:val="single" w:sz="4" w:space="0" w:color="auto"/>
              <w:bottom w:val="single" w:sz="4" w:space="0" w:color="auto"/>
              <w:right w:val="single" w:sz="4" w:space="0" w:color="auto"/>
            </w:tcBorders>
          </w:tcPr>
          <w:p w14:paraId="55277AAE" w14:textId="77777777" w:rsidR="00F61C0A" w:rsidRPr="008B2B2F" w:rsidRDefault="00124EB5" w:rsidP="008B2B2F">
            <w:pPr>
              <w:pStyle w:val="BodyText"/>
              <w:numPr>
                <w:ilvl w:val="0"/>
                <w:numId w:val="6"/>
              </w:numPr>
              <w:shd w:val="clear" w:color="auto" w:fill="FFFFFF" w:themeFill="background1"/>
              <w:spacing w:line="0" w:lineRule="atLeast"/>
              <w:rPr>
                <w:rFonts w:ascii="Times New Roman" w:hAnsi="Times New Roman" w:cs="Times New Roman"/>
                <w:color w:val="000000" w:themeColor="text1"/>
                <w:sz w:val="20"/>
                <w:szCs w:val="20"/>
              </w:rPr>
            </w:pPr>
            <w:r w:rsidRPr="008B2B2F">
              <w:rPr>
                <w:rFonts w:ascii="Times New Roman" w:eastAsia="Times New Roman" w:hAnsi="Times New Roman" w:cs="Times New Roman"/>
                <w:color w:val="000000" w:themeColor="text1"/>
                <w:sz w:val="20"/>
                <w:szCs w:val="20"/>
                <w:lang w:eastAsia="en-IN"/>
              </w:rPr>
              <w:t>Market Access: LFSCs enable producers to reach a broader consumer base, expanding their market opportunities.</w:t>
            </w:r>
          </w:p>
          <w:p w14:paraId="669A49B0" w14:textId="77777777" w:rsidR="00F61C0A" w:rsidRPr="008B2B2F" w:rsidRDefault="00124EB5" w:rsidP="008B2B2F">
            <w:pPr>
              <w:pStyle w:val="BodyText"/>
              <w:numPr>
                <w:ilvl w:val="0"/>
                <w:numId w:val="6"/>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Seasonal Availability: Consumers can access out-of-season produce from regions with different climates through LFSCs.</w:t>
            </w:r>
          </w:p>
          <w:p w14:paraId="4809D508" w14:textId="77777777" w:rsidR="00F61C0A" w:rsidRPr="008B2B2F" w:rsidRDefault="00124EB5" w:rsidP="008B2B2F">
            <w:pPr>
              <w:pStyle w:val="BodyText"/>
              <w:numPr>
                <w:ilvl w:val="0"/>
                <w:numId w:val="6"/>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Technological Advancements: LFSCs often benefit from advanced logistics and </w:t>
            </w:r>
            <w:r w:rsidR="00A64D14" w:rsidRPr="008B2B2F">
              <w:rPr>
                <w:rFonts w:ascii="Times New Roman" w:eastAsia="Times New Roman" w:hAnsi="Times New Roman" w:cs="Times New Roman"/>
                <w:color w:val="000000" w:themeColor="text1"/>
                <w:sz w:val="20"/>
                <w:szCs w:val="20"/>
                <w:lang w:eastAsia="en-IN"/>
              </w:rPr>
              <w:t>preservation technologies, reducing food waste.</w:t>
            </w:r>
          </w:p>
        </w:tc>
      </w:tr>
      <w:tr w:rsidR="00F61C0A" w:rsidRPr="008B2B2F" w14:paraId="135FAB6D" w14:textId="77777777" w:rsidTr="0030340D">
        <w:trPr>
          <w:trHeight w:val="3554"/>
        </w:trPr>
        <w:tc>
          <w:tcPr>
            <w:tcW w:w="1449" w:type="dxa"/>
            <w:tcBorders>
              <w:top w:val="single" w:sz="4" w:space="0" w:color="auto"/>
              <w:left w:val="single" w:sz="4" w:space="0" w:color="auto"/>
              <w:bottom w:val="single" w:sz="4" w:space="0" w:color="auto"/>
              <w:right w:val="single" w:sz="4" w:space="0" w:color="auto"/>
            </w:tcBorders>
          </w:tcPr>
          <w:p w14:paraId="407E1BA6" w14:textId="77777777" w:rsidR="00F61C0A" w:rsidRPr="008B2B2F" w:rsidRDefault="00124EB5" w:rsidP="008B2B2F">
            <w:pPr>
              <w:pStyle w:val="TableContents"/>
              <w:shd w:val="clear" w:color="auto" w:fill="FFFFFF" w:themeFill="background1"/>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Challenges</w:t>
            </w:r>
          </w:p>
        </w:tc>
        <w:tc>
          <w:tcPr>
            <w:tcW w:w="4023" w:type="dxa"/>
            <w:tcBorders>
              <w:top w:val="single" w:sz="4" w:space="0" w:color="auto"/>
              <w:left w:val="single" w:sz="4" w:space="0" w:color="auto"/>
              <w:bottom w:val="single" w:sz="4" w:space="0" w:color="auto"/>
              <w:right w:val="single" w:sz="4" w:space="0" w:color="auto"/>
            </w:tcBorders>
          </w:tcPr>
          <w:p w14:paraId="40F779B5" w14:textId="77777777" w:rsidR="00F61C0A" w:rsidRPr="008B2B2F" w:rsidRDefault="00124EB5" w:rsidP="008B2B2F">
            <w:pPr>
              <w:pStyle w:val="BodyText"/>
              <w:numPr>
                <w:ilvl w:val="0"/>
                <w:numId w:val="10"/>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Limited Variety: SFSCs might have a narrower selection of food items compared to the extensive range available in global markets.</w:t>
            </w:r>
          </w:p>
          <w:p w14:paraId="7104FCC0" w14:textId="77777777" w:rsidR="00F61C0A" w:rsidRPr="008B2B2F" w:rsidRDefault="00124EB5" w:rsidP="008B2B2F">
            <w:pPr>
              <w:pStyle w:val="BodyText"/>
              <w:numPr>
                <w:ilvl w:val="0"/>
                <w:numId w:val="10"/>
              </w:numPr>
              <w:shd w:val="clear" w:color="auto" w:fill="FFFFFF" w:themeFill="background1"/>
              <w:spacing w:line="0" w:lineRule="atLeast"/>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Scale and Efficiency: Scaling up SFSCs to meet the demands of larger populations can be challenging, as it requires overcoming logistical and organizational barriers.</w:t>
            </w:r>
          </w:p>
        </w:tc>
        <w:tc>
          <w:tcPr>
            <w:tcW w:w="3945" w:type="dxa"/>
            <w:tcBorders>
              <w:top w:val="single" w:sz="4" w:space="0" w:color="auto"/>
              <w:left w:val="single" w:sz="4" w:space="0" w:color="auto"/>
              <w:bottom w:val="single" w:sz="4" w:space="0" w:color="auto"/>
              <w:right w:val="single" w:sz="4" w:space="0" w:color="auto"/>
            </w:tcBorders>
          </w:tcPr>
          <w:p w14:paraId="67615672" w14:textId="77777777" w:rsidR="00F61C0A" w:rsidRPr="008B2B2F" w:rsidRDefault="00124EB5" w:rsidP="008B2B2F">
            <w:pPr>
              <w:pStyle w:val="BodyText"/>
              <w:numPr>
                <w:ilvl w:val="0"/>
                <w:numId w:val="7"/>
              </w:numPr>
              <w:shd w:val="clear" w:color="auto" w:fill="FFFFFF" w:themeFill="background1"/>
              <w:spacing w:line="0" w:lineRule="atLeast"/>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Food Waste: Complex supply chains increase the likelihood of food losses due to spoilage and inefficiencies.</w:t>
            </w:r>
          </w:p>
          <w:p w14:paraId="1C3E47A1" w14:textId="77777777" w:rsidR="00F61C0A" w:rsidRPr="008B2B2F" w:rsidRDefault="00124EB5" w:rsidP="008B2B2F">
            <w:pPr>
              <w:pStyle w:val="BodyText"/>
              <w:numPr>
                <w:ilvl w:val="0"/>
                <w:numId w:val="7"/>
              </w:numPr>
              <w:shd w:val="clear" w:color="auto" w:fill="FFFFFF" w:themeFill="background1"/>
              <w:spacing w:line="0" w:lineRule="atLeast"/>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Environmental Impact: Long transportation distances in LFSCs contribute to higher carbon emissions and environmental degradation.</w:t>
            </w:r>
          </w:p>
          <w:p w14:paraId="1C4EBAC4" w14:textId="77777777" w:rsidR="00F61C0A" w:rsidRPr="008B2B2F" w:rsidRDefault="00124EB5" w:rsidP="008B2B2F">
            <w:pPr>
              <w:pStyle w:val="BodyText"/>
              <w:numPr>
                <w:ilvl w:val="0"/>
                <w:numId w:val="7"/>
              </w:numPr>
              <w:shd w:val="clear" w:color="auto" w:fill="FFFFFF" w:themeFill="background1"/>
              <w:spacing w:line="0" w:lineRule="atLeast"/>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Vulnerability to Disruptions: LFSCs can be more susceptible to disruptions caused by trade conflicts, political issues, or global events.</w:t>
            </w:r>
          </w:p>
        </w:tc>
      </w:tr>
    </w:tbl>
    <w:p w14:paraId="58402D3E" w14:textId="77777777" w:rsidR="00F61C0A" w:rsidRPr="008B2B2F" w:rsidRDefault="00F61C0A" w:rsidP="008B2B2F">
      <w:pPr>
        <w:pStyle w:val="ListParagraph"/>
        <w:shd w:val="clear" w:color="auto" w:fill="FFFFFF" w:themeFill="background1"/>
        <w:spacing w:after="0" w:line="240" w:lineRule="auto"/>
        <w:ind w:left="0"/>
        <w:jc w:val="both"/>
        <w:rPr>
          <w:rFonts w:ascii="Times New Roman" w:eastAsia="Times New Roman" w:hAnsi="Times New Roman" w:cs="Times New Roman"/>
          <w:color w:val="000000" w:themeColor="text1"/>
          <w:sz w:val="20"/>
          <w:szCs w:val="20"/>
          <w:lang w:eastAsia="en-IN"/>
        </w:rPr>
      </w:pPr>
    </w:p>
    <w:p w14:paraId="311489A7" w14:textId="77777777" w:rsidR="00F61C0A" w:rsidRPr="008B2B2F" w:rsidRDefault="00124EB5" w:rsidP="008B2B2F">
      <w:pPr>
        <w:pStyle w:val="ListParagraph"/>
        <w:numPr>
          <w:ilvl w:val="0"/>
          <w:numId w:val="1"/>
        </w:numPr>
        <w:shd w:val="clear" w:color="auto" w:fill="FFFFFF" w:themeFill="background1"/>
        <w:spacing w:after="0" w:line="240" w:lineRule="auto"/>
        <w:jc w:val="center"/>
        <w:outlineLvl w:val="2"/>
        <w:rPr>
          <w:rFonts w:ascii="Times New Roman" w:eastAsia="Times New Roman" w:hAnsi="Times New Roman" w:cs="Times New Roman"/>
          <w:b/>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t>I</w:t>
      </w:r>
      <w:r w:rsidR="00C125E0" w:rsidRPr="008B2B2F">
        <w:rPr>
          <w:rFonts w:ascii="Times New Roman" w:eastAsia="Times New Roman" w:hAnsi="Times New Roman" w:cs="Times New Roman"/>
          <w:b/>
          <w:color w:val="000000" w:themeColor="text1"/>
          <w:sz w:val="20"/>
          <w:szCs w:val="20"/>
          <w:lang w:eastAsia="en-IN"/>
        </w:rPr>
        <w:t>MPACTS ON NATURE AND ECOSYSTEM</w:t>
      </w:r>
    </w:p>
    <w:p w14:paraId="7BF1953F" w14:textId="77777777" w:rsidR="00124EB5" w:rsidRPr="008B2B2F" w:rsidRDefault="00124EB5" w:rsidP="000B109F">
      <w:pPr>
        <w:pStyle w:val="ListParagraph"/>
        <w:shd w:val="clear" w:color="auto" w:fill="FFFFFF" w:themeFill="background1"/>
        <w:spacing w:after="0" w:line="240" w:lineRule="auto"/>
        <w:ind w:left="1080"/>
        <w:outlineLvl w:val="2"/>
        <w:rPr>
          <w:rFonts w:ascii="Times New Roman" w:eastAsia="Times New Roman" w:hAnsi="Times New Roman" w:cs="Times New Roman"/>
          <w:b/>
          <w:color w:val="000000" w:themeColor="text1"/>
          <w:sz w:val="20"/>
          <w:szCs w:val="20"/>
          <w:lang w:eastAsia="en-IN"/>
        </w:rPr>
      </w:pPr>
    </w:p>
    <w:p w14:paraId="7DF779F5"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Agroecology focuses on producing food through regenerative and sustainable systems, utilizing resources more efficiently to enhance the productivity of biotic and abiotic components</w:t>
      </w:r>
      <w:r w:rsidRPr="008B2B2F">
        <w:rPr>
          <w:rFonts w:ascii="Times New Roman" w:hAnsi="Times New Roman" w:cs="Times New Roman"/>
          <w:color w:val="000000" w:themeColor="text1"/>
          <w:sz w:val="20"/>
          <w:szCs w:val="20"/>
        </w:rPr>
        <w:fldChar w:fldCharType="begin"/>
      </w:r>
      <w:r w:rsidRPr="008B2B2F">
        <w:rPr>
          <w:rFonts w:ascii="Times New Roman" w:eastAsia="Times New Roman" w:hAnsi="Times New Roman" w:cs="Times New Roman"/>
          <w:color w:val="000000" w:themeColor="text1"/>
          <w:sz w:val="20"/>
          <w:szCs w:val="20"/>
          <w:lang w:eastAsia="en-IN"/>
        </w:rPr>
        <w:instrText xml:space="preserve"> ADDIN ZOTERO_ITEM CSL_CITATION {"citationID":"Dunj6wGa","properties":{"formattedCitation":"\\super 41\\nosupersub{}","plainCitation":"41","noteIndex":0},"citationItems":[{"id":443,"uris":["http://zotero.org/users/10868288/items/FCBI8AY6"],"itemData":{"id":443,"type":"article-journal","container-title":"Agronomy for Sustainable Development","DOI":"10.1007/s13593-017-0472-4","ISSN":"1774-0746, 1773-0155","issue":"6","journalAbbreviation":"Agron. Sustain. Dev.","language":"en","page":"63","source":"DOI.org (Crossref)","title":"Converging and diverging principles and practices of organic agriculture regulations and agroecology. A review","volume":"37","author":[{"family":"Migliorini","given":"Paola"},{"family":"Wezel","given":"Alexander"}],"issued":{"date-parts":[["2017",12]]}}}],"schema":"https://github.com/citation-style-language/schema/raw/master/csl-citation.json"}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Pr="008B2B2F">
        <w:rPr>
          <w:rFonts w:ascii="Times New Roman" w:hAnsi="Times New Roman" w:cs="Times New Roman"/>
          <w:color w:val="000000" w:themeColor="text1"/>
          <w:sz w:val="20"/>
          <w:szCs w:val="20"/>
          <w:vertAlign w:val="superscript"/>
        </w:rPr>
        <w:t>41</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Agroecological practices involve the reduction of pesticides and fertilizers, the reliance on compost, the implementation of renewable resources and energy, </w:t>
      </w:r>
      <w:r w:rsidRPr="008B2B2F">
        <w:rPr>
          <w:rFonts w:ascii="Times New Roman" w:eastAsia="Times New Roman" w:hAnsi="Times New Roman" w:cs="Times New Roman"/>
          <w:color w:val="000000" w:themeColor="text1"/>
          <w:sz w:val="20"/>
          <w:szCs w:val="20"/>
          <w:lang w:eastAsia="en-IN"/>
        </w:rPr>
        <w:lastRenderedPageBreak/>
        <w:t>the adoption of crop rotation, and the control of soil erosion. As a result, agroecology offers economic and social benefits, including stable profits and increased employment rates</w:t>
      </w:r>
      <w:r w:rsidRPr="008B2B2F">
        <w:rPr>
          <w:rFonts w:ascii="Times New Roman" w:hAnsi="Times New Roman" w:cs="Times New Roman"/>
          <w:color w:val="000000" w:themeColor="text1"/>
          <w:sz w:val="20"/>
          <w:szCs w:val="20"/>
        </w:rPr>
        <w:fldChar w:fldCharType="begin"/>
      </w:r>
      <w:r w:rsidRPr="008B2B2F">
        <w:rPr>
          <w:rFonts w:ascii="Times New Roman" w:eastAsia="Times New Roman" w:hAnsi="Times New Roman" w:cs="Times New Roman"/>
          <w:color w:val="000000" w:themeColor="text1"/>
          <w:sz w:val="20"/>
          <w:szCs w:val="20"/>
          <w:lang w:eastAsia="en-IN"/>
        </w:rPr>
        <w:instrText xml:space="preserve"> ADDIN ZOTERO_ITEM CSL_CITATION {"citationID":"l1VPr1uT","properties":{"formattedCitation":"\\super 42\\nosupersub{}","plainCitation":"42","noteIndex":0},"citationItems":[{"id":529,"uris":["http://zotero.org/users/10868288/items/3K3YND2L"],"itemData":{"id":529,"type":"article-journal","container-title":"Journal of Rural Studies","DOI":"10.1016/j.jrurstud.2019.09.003","ISSN":"07430167","journalAbbreviation":"Journal of Rural Studies","language":"en","page":"46-61","source":"DOI.org (Crossref)","title":"The economic potential of agroecology: Empirical evidence from Europe","title-short":"The economic potential of agroecology","volume":"71","author":[{"family":"Van Der Ploeg","given":"Jan Douwe"},{"family":"Barjolle","given":"Dominique"},{"family":"Bruil","given":"Janneke"},{"family":"Brunori","given":"Gianluca"},{"family":"Costa Madureira","given":"Livia Maria"},{"family":"Dessein","given":"Joost"},{"family":"Drąg","given":"Zbigniew"},{"family":"Fink-Kessler","given":"Andrea"},{"family":"Gasselin","given":"Pierre"},{"family":"Gonzalez De Molina","given":"Manuel"},{"family":"Gorlach","given":"Krzysztof"},{"family":"Jürgens","given":"Karin"},{"family":"Kinsella","given":"Jim"},{"family":"Kirwan","given":"James"},{"family":"Knickel","given":"Karlheinz"},{"family":"Lucas","given":"Veronique"},{"family":"Marsden","given":"Terry"},{"family":"Maye","given":"Damian"},{"family":"Migliorini","given":"Paola"},{"family":"Milone","given":"Pierluigi"},{"family":"Noe","given":"Egon"},{"family":"Nowak","given":"Piotr"},{"family":"Parrott","given":"Nicholas"},{"family":"Peeters","given":"Alain"},{"family":"Rossi","given":"Adanella"},{"family":"Schermer","given":"Markus"},{"family":"Ventura","given":"Flaminia"},{"family":"Visser","given":"Marjolein"},{"family":"Wezel","given":"Alexander"}],"issued":{"date-parts":[["2019",10]]}}}],"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Pr="008B2B2F">
        <w:rPr>
          <w:rFonts w:ascii="Times New Roman" w:hAnsi="Times New Roman" w:cs="Times New Roman"/>
          <w:color w:val="000000" w:themeColor="text1"/>
          <w:sz w:val="20"/>
          <w:szCs w:val="20"/>
          <w:vertAlign w:val="superscript"/>
        </w:rPr>
        <w:t>42</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Additionally, the depletion of resources extends to marine ecosystems, with overfishing being a growing concern associated with intensive livestock practices within LFSC. To address this issue, sustainable solutions such as the implementation of catch shares and the promotion of aquaculture have been proposed </w:t>
      </w:r>
      <w:r w:rsidRPr="008B2B2F">
        <w:rPr>
          <w:rFonts w:ascii="Times New Roman" w:hAnsi="Times New Roman" w:cs="Times New Roman"/>
          <w:color w:val="000000" w:themeColor="text1"/>
          <w:sz w:val="20"/>
          <w:szCs w:val="20"/>
        </w:rPr>
        <w:fldChar w:fldCharType="begin"/>
      </w:r>
      <w:r w:rsidRPr="008B2B2F">
        <w:rPr>
          <w:rFonts w:ascii="Times New Roman" w:eastAsia="Times New Roman" w:hAnsi="Times New Roman" w:cs="Times New Roman"/>
          <w:color w:val="000000" w:themeColor="text1"/>
          <w:sz w:val="20"/>
          <w:szCs w:val="20"/>
          <w:lang w:eastAsia="en-IN"/>
        </w:rPr>
        <w:instrText xml:space="preserve"> ADDIN ZOTERO_ITEM CSL_CITATION {"citationID":"FNHVO6w2","properties":{"formattedCitation":"\\super 43\\nosupersub{}","plainCitation":"43","noteIndex":0},"citationItems":[{"id":480,"uris":["http://zotero.org/users/10868288/items/89P2AMN6"],"itemData":{"id":480,"type":"article-journal","container-title":"Critical Reviews in Food Science and Nutrition","DOI":"10.1080/10408398.2020.1847028","ISSN":"1040-8398, 1549-7852","issue":"7","journalAbbreviation":"Critical Reviews in Food Science and Nutrition","language":"en","page":"1765-1781","source":"DOI.org (Crossref)","title":"Solutions for the sustainability of the food production and consumption system","volume":"62","author":[{"family":"García-Oliveira","given":"P."},{"family":"Fraga-Corral","given":"M."},{"family":"Pereira","given":"A. G."},{"family":"Prieto","given":"M. A."},{"family":"Simal-Gandara","given":"J."}],"issued":{"date-parts":[["2022",3,12]]}}}],"schema":"https://github.com/citation-style-language/schema/raw/master/csl-citation.json"}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Pr="008B2B2F">
        <w:rPr>
          <w:rFonts w:ascii="Times New Roman" w:hAnsi="Times New Roman" w:cs="Times New Roman"/>
          <w:color w:val="000000" w:themeColor="text1"/>
          <w:sz w:val="20"/>
          <w:szCs w:val="20"/>
          <w:vertAlign w:val="superscript"/>
        </w:rPr>
        <w:t>43</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1A0EB7BF" w14:textId="77777777" w:rsidR="00F61C0A" w:rsidRPr="008B2B2F" w:rsidRDefault="00124EB5" w:rsidP="008B2B2F">
      <w:pPr>
        <w:shd w:val="clear" w:color="auto" w:fill="FFFFFF" w:themeFill="background1"/>
        <w:spacing w:after="0" w:line="240" w:lineRule="auto"/>
        <w:ind w:firstLine="360"/>
        <w:jc w:val="both"/>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The depletion and mismanagement of natural resources, combined with the significant greenhouse gas (GHG) emissions associated with LFSC, have resulted in climate change-related challenges that undermine its sustainability. Moreover, the livestock sector, particularly ruminants like cattle, significantly contributes to LFSC's environmental impact through enteric fermentation, which produces methane—a potent greenhouse gas </w:t>
      </w:r>
      <w:r w:rsidRPr="008B2B2F">
        <w:rPr>
          <w:rFonts w:ascii="Times New Roman" w:hAnsi="Times New Roman" w:cs="Times New Roman"/>
          <w:color w:val="000000" w:themeColor="text1"/>
          <w:sz w:val="20"/>
          <w:szCs w:val="20"/>
        </w:rPr>
        <w:fldChar w:fldCharType="begin"/>
      </w:r>
      <w:r w:rsidRPr="008B2B2F">
        <w:rPr>
          <w:rFonts w:ascii="Times New Roman" w:eastAsia="Times New Roman" w:hAnsi="Times New Roman" w:cs="Times New Roman"/>
          <w:color w:val="000000" w:themeColor="text1"/>
          <w:sz w:val="20"/>
          <w:szCs w:val="20"/>
          <w:lang w:eastAsia="en-IN"/>
        </w:rPr>
        <w:instrText xml:space="preserve"> ADDIN ZOTERO_ITEM CSL_CITATION {"citationID":"MrcKD2Ed","properties":{"formattedCitation":"\\super 44\\nosupersub{}","plainCitation":"44","noteIndex":0},"citationItems":[{"id":494,"uris":["http://zotero.org/users/10868288/items/63EWQYVI"],"itemData":{"id":494,"type":"article-journal","container-title":"Frontiers in Microbiology","DOI":"10.3389/fmicb.2019.02207","ISSN":"1664-302X","journalAbbreviation":"Front. Microbiol.","page":"2207","source":"DOI.org (Crossref)","title":"Use of Lactic Acid Bacteria to Reduce Methane Production in Ruminants, a Critical Review","volume":"10","author":[{"family":"Doyle","given":"Natasha"},{"family":"Mbandlwa","given":"Philiswa"},{"family":"Kelly","given":"William J."},{"family":"Attwood","given":"Graeme"},{"family":"Li","given":"Yang"},{"family":"Ross","given":"R. Paul"},{"family":"Stanton","given":"Catherine"},{"family":"Leahy","given":"Sinead"}],"issued":{"date-parts":[["2019",10,1]]}}}],"schema":"https://github.com/citation-style-language/schema/raw/master/csl-citation.json"}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Pr="008B2B2F">
        <w:rPr>
          <w:rFonts w:ascii="Times New Roman" w:hAnsi="Times New Roman" w:cs="Times New Roman"/>
          <w:color w:val="000000" w:themeColor="text1"/>
          <w:sz w:val="20"/>
          <w:szCs w:val="20"/>
          <w:vertAlign w:val="superscript"/>
        </w:rPr>
        <w:t>44</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Furthermore, the transportation of products within LFSC also contributes to harmful emissions, primarily carbon dioxide</w:t>
      </w:r>
      <w:r w:rsidRPr="008B2B2F">
        <w:rPr>
          <w:rFonts w:ascii="Times New Roman" w:hAnsi="Times New Roman" w:cs="Times New Roman"/>
          <w:color w:val="000000" w:themeColor="text1"/>
          <w:sz w:val="20"/>
          <w:szCs w:val="20"/>
        </w:rPr>
        <w:fldChar w:fldCharType="begin"/>
      </w:r>
      <w:r w:rsidRPr="008B2B2F">
        <w:rPr>
          <w:rFonts w:ascii="Times New Roman" w:eastAsia="Times New Roman" w:hAnsi="Times New Roman" w:cs="Times New Roman"/>
          <w:color w:val="000000" w:themeColor="text1"/>
          <w:sz w:val="20"/>
          <w:szCs w:val="20"/>
          <w:lang w:eastAsia="en-IN"/>
        </w:rPr>
        <w:instrText xml:space="preserve"> ADDIN ZOTERO_ITEM CSL_CITATION {"citationID":"5fHV0fYB","properties":{"formattedCitation":"\\super 40\\nosupersub{}","plainCitation":"40","noteIndex":0},"citationItems":[{"id":432,"uris":["http://zotero.org/users/10868288/items/6P5BIHU2"],"itemData":{"id":432,"type":"article-journal","container-title":"Sustainable Production and Consumption","DOI":"10.1016/j.spc.2020.10.002","ISSN":"23525509","journalAbbreviation":"Sustainable Production and Consumption","language":"en","page":"428-442","source":"DOI.org (Crossref)","title":"The logistics of the short food supply chain: A literature review","title-short":"The logistics of the short food supply chain","volume":"26","author":[{"family":"Paciarotti","given":"Claudia"},{"family":"Torregiani","given":"Francesco"}],"issued":{"date-parts":[["2021",4]]}}}],"schema":"https://github.com/citation-style-language/schema/raw/master/csl-citation.json"}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Pr="008B2B2F">
        <w:rPr>
          <w:rFonts w:ascii="Times New Roman" w:hAnsi="Times New Roman" w:cs="Times New Roman"/>
          <w:color w:val="000000" w:themeColor="text1"/>
          <w:sz w:val="20"/>
          <w:szCs w:val="20"/>
          <w:vertAlign w:val="superscript"/>
        </w:rPr>
        <w:t>40</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To ensure the long-term viability of LFSC, two major approaches are crucial: the development of resilient crop varieties and the reduction of GHG emissions. Resilient crops can be achieved through molecular modifications, such as genetic engineering to enhance resistance against pathogens and adaptability to abiotic stresses associated with climate change, such as droughts, floods, and high salinity</w:t>
      </w:r>
      <w:r w:rsidRPr="008B2B2F">
        <w:rPr>
          <w:rFonts w:ascii="Times New Roman" w:hAnsi="Times New Roman" w:cs="Times New Roman"/>
          <w:color w:val="000000" w:themeColor="text1"/>
          <w:sz w:val="20"/>
          <w:szCs w:val="20"/>
        </w:rPr>
        <w:fldChar w:fldCharType="begin"/>
      </w:r>
      <w:r w:rsidRPr="008B2B2F">
        <w:rPr>
          <w:rFonts w:ascii="Times New Roman" w:eastAsia="Times New Roman" w:hAnsi="Times New Roman" w:cs="Times New Roman"/>
          <w:color w:val="000000" w:themeColor="text1"/>
          <w:sz w:val="20"/>
          <w:szCs w:val="20"/>
          <w:lang w:eastAsia="en-IN"/>
        </w:rPr>
        <w:instrText xml:space="preserve"> ADDIN ZOTERO_ITEM CSL_CITATION {"citationID":"En1ZA18r","properties":{"formattedCitation":"\\super 45\\nosupersub{}","plainCitation":"45","noteIndex":0},"citationItems":[{"id":463,"uris":["http://zotero.org/users/10868288/items/FUBREAXK"],"itemData":{"id":463,"type":"article-journal","container-title":"Nature","DOI":"10.1038/s41586-019-1679-0","ISSN":"0028-0836, 1476-4687","issue":"7781","journalAbbreviation":"Nature","language":"en","page":"109-118","source":"DOI.org (Crossref)","title":"Genetic strategies for improving crop yields","volume":"575","author":[{"family":"Bailey-Serres","given":"Julia"},{"family":"Parker","given":"Jane E."},{"family":"Ainsworth","given":"Elizabeth A."},{"family":"Oldroyd","given":"Giles E. D."},{"family":"Schroeder","given":"Julian I."}],"issued":{"date-parts":[["2019",11,7]]}}}],"schema":"https://github.com/citation-style-language/schema/raw/master/csl-citation.json"}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Pr="008B2B2F">
        <w:rPr>
          <w:rFonts w:ascii="Times New Roman" w:hAnsi="Times New Roman" w:cs="Times New Roman"/>
          <w:color w:val="000000" w:themeColor="text1"/>
          <w:sz w:val="20"/>
          <w:szCs w:val="20"/>
          <w:vertAlign w:val="superscript"/>
        </w:rPr>
        <w:t>45</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To mitigate GHG emissions from LFSC, reducing enteric fermentation in ruminants is a valuable option, primarily through dietary variation and supplementation for cattle. Additionally, biological control methods and the development of anti-methanogenesis vaccines are being explored </w:t>
      </w:r>
      <w:r w:rsidRPr="008B2B2F">
        <w:rPr>
          <w:rFonts w:ascii="Times New Roman" w:hAnsi="Times New Roman" w:cs="Times New Roman"/>
          <w:color w:val="000000" w:themeColor="text1"/>
          <w:sz w:val="20"/>
          <w:szCs w:val="20"/>
        </w:rPr>
        <w:fldChar w:fldCharType="begin"/>
      </w:r>
      <w:r w:rsidRPr="008B2B2F">
        <w:rPr>
          <w:rFonts w:ascii="Times New Roman" w:eastAsia="Times New Roman" w:hAnsi="Times New Roman" w:cs="Times New Roman"/>
          <w:color w:val="000000" w:themeColor="text1"/>
          <w:sz w:val="20"/>
          <w:szCs w:val="20"/>
          <w:lang w:eastAsia="en-IN"/>
        </w:rPr>
        <w:instrText xml:space="preserve"> ADDIN ZOTERO_ITEM CSL_CITATION {"citationID":"9Apg2Qsx","properties":{"formattedCitation":"\\super 44\\nosupersub{}","plainCitation":"44","noteIndex":0},"citationItems":[{"id":494,"uris":["http://zotero.org/users/10868288/items/63EWQYVI"],"itemData":{"id":494,"type":"article-journal","container-title":"Frontiers in Microbiology","DOI":"10.3389/fmicb.2019.02207","ISSN":"1664-302X","journalAbbreviation":"Front. Microbiol.","page":"2207","source":"DOI.org (Crossref)","title":"Use of Lactic Acid Bacteria to Reduce Methane Production in Ruminants, a Critical Review","volume":"10","author":[{"family":"Doyle","given":"Natasha"},{"family":"Mbandlwa","given":"Philiswa"},{"family":"Kelly","given":"William J."},{"family":"Attwood","given":"Graeme"},{"family":"Li","given":"Yang"},{"family":"Ross","given":"R. Paul"},{"family":"Stanton","given":"Catherine"},{"family":"Leahy","given":"Sinead"}],"issued":{"date-parts":[["2019",10,1]]}}}],"schema":"https://github.com/citation-style-language/schema/raw/master/csl-citation.json"}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Pr="008B2B2F">
        <w:rPr>
          <w:rFonts w:ascii="Times New Roman" w:hAnsi="Times New Roman" w:cs="Times New Roman"/>
          <w:color w:val="000000" w:themeColor="text1"/>
          <w:sz w:val="20"/>
          <w:szCs w:val="20"/>
          <w:vertAlign w:val="superscript"/>
        </w:rPr>
        <w:t>44</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Furthermore, reducing meat consumption is an effective strategy to address the environmental implications of LFSC. Plant-based diets, including vegetarian and vegan options, offer protein-rich alternatives with lower environmental impacts </w:t>
      </w:r>
      <w:r w:rsidRPr="008B2B2F">
        <w:rPr>
          <w:rFonts w:ascii="Times New Roman" w:hAnsi="Times New Roman" w:cs="Times New Roman"/>
          <w:color w:val="000000" w:themeColor="text1"/>
          <w:sz w:val="20"/>
          <w:szCs w:val="20"/>
        </w:rPr>
        <w:fldChar w:fldCharType="begin"/>
      </w:r>
      <w:r w:rsidRPr="008B2B2F">
        <w:rPr>
          <w:rFonts w:ascii="Times New Roman" w:eastAsia="Times New Roman" w:hAnsi="Times New Roman" w:cs="Times New Roman"/>
          <w:color w:val="000000" w:themeColor="text1"/>
          <w:sz w:val="20"/>
          <w:szCs w:val="20"/>
          <w:lang w:eastAsia="en-IN"/>
        </w:rPr>
        <w:instrText xml:space="preserve"> ADDIN ZOTERO_ITEM CSL_CITATION {"citationID":"RqB4U44V","properties":{"formattedCitation":"\\super 46\\nosupersub{}","plainCitation":"46","noteIndex":0},"citationItems":[{"id":438,"uris":["http://zotero.org/users/10868288/items/E84W839I"],"itemData":{"id":438,"type":"article-journal","container-title":"Nutrients","DOI":"10.3390/nu10030360","ISSN":"2072-6643","issue":"3","journalAbbreviation":"Nutrients","language":"en","page":"360","source":"DOI.org (Crossref)","title":"Protein for Life: Review of Optimal Protein Intake, Sustainable Dietary Sources and the Effect on Appetite in Ageing Adults","title-short":"Protein for Life","volume":"10","author":[{"family":"Lonnie","given":"Marta"},{"family":"Hooker","given":"Emma"},{"family":"Brunstrom","given":"Jeffrey"},{"family":"Corfe","given":"Bernard"},{"family":"Green","given":"Mark"},{"family":"Watson","given":"Anthony"},{"family":"Williams","given":"Elizabeth"},{"family":"Stevenson","given":"Emma"},{"family":"Penson","given":"Simon"},{"family":"Johnstone","given":"Alexandra"}],"issued":{"date-parts":[["2018",3,16]]}}}],"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Pr="008B2B2F">
        <w:rPr>
          <w:rFonts w:ascii="Times New Roman" w:hAnsi="Times New Roman" w:cs="Times New Roman"/>
          <w:color w:val="000000" w:themeColor="text1"/>
          <w:sz w:val="20"/>
          <w:szCs w:val="20"/>
          <w:vertAlign w:val="superscript"/>
        </w:rPr>
        <w:t>46</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Alongside plant-based diets, innovative food formulations and products, such as algae, insect, and synthetic proteins, are being explored as means to reduce the excessive consumption of animal protein </w:t>
      </w:r>
      <w:r w:rsidRPr="008B2B2F">
        <w:rPr>
          <w:rFonts w:ascii="Times New Roman" w:hAnsi="Times New Roman" w:cs="Times New Roman"/>
          <w:color w:val="000000" w:themeColor="text1"/>
          <w:sz w:val="20"/>
          <w:szCs w:val="20"/>
        </w:rPr>
        <w:fldChar w:fldCharType="begin"/>
      </w:r>
      <w:r w:rsidRPr="008B2B2F">
        <w:rPr>
          <w:rFonts w:ascii="Times New Roman" w:eastAsia="Times New Roman" w:hAnsi="Times New Roman" w:cs="Times New Roman"/>
          <w:color w:val="000000" w:themeColor="text1"/>
          <w:sz w:val="20"/>
          <w:szCs w:val="20"/>
          <w:lang w:eastAsia="en-IN"/>
        </w:rPr>
        <w:instrText xml:space="preserve"> ADDIN ZOTERO_ITEM CSL_CITATION {"citationID":"H5nh1BQ5","properties":{"formattedCitation":"\\super 46\\nosupersub{}","plainCitation":"46","noteIndex":0},"citationItems":[{"id":438,"uris":["http://zotero.org/users/10868288/items/E84W839I"],"itemData":{"id":438,"type":"article-journal","container-title":"Nutrients","DOI":"10.3390/nu10030360","ISSN":"2072-6643","issue":"3","journalAbbreviation":"Nutrients","language":"en","page":"360","source":"DOI.org (Crossref)","title":"Protein for Life: Review of Optimal Protein Intake, Sustainable Dietary Sources and the Effect on Appetite in Ageing Adults","title-short":"Protein for Life","volume":"10","author":[{"family":"Lonnie","given":"Marta"},{"family":"Hooker","given":"Emma"},{"family":"Brunstrom","given":"Jeffrey"},{"family":"Corfe","given":"Bernard"},{"family":"Green","given":"Mark"},{"family":"Watson","given":"Anthony"},{"family":"Williams","given":"Elizabeth"},{"family":"Stevenson","given":"Emma"},{"family":"Penson","given":"Simon"},{"family":"Johnstone","given":"Alexandra"}],"issued":{"date-parts":[["2018",3,16]]}}}],"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Pr="008B2B2F">
        <w:rPr>
          <w:rFonts w:ascii="Times New Roman" w:hAnsi="Times New Roman" w:cs="Times New Roman"/>
          <w:color w:val="000000" w:themeColor="text1"/>
          <w:sz w:val="20"/>
          <w:szCs w:val="20"/>
          <w:vertAlign w:val="superscript"/>
        </w:rPr>
        <w:t>46</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24DDA9C1" w14:textId="77777777" w:rsidR="00C125E0" w:rsidRPr="008B2B2F" w:rsidRDefault="00C125E0" w:rsidP="008B2B2F">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Globalization has had considerable impact on the food supply systems. In the LFSC model, it caused the separation between producers and consumers which affected the traceability. Besides, it increased the dependence on exportations and, consequently, transport trade got also increased</w:t>
      </w:r>
      <w:r w:rsidRPr="008B2B2F">
        <w:rPr>
          <w:rFonts w:ascii="Times New Roman" w:hAnsi="Times New Roman" w:cs="Times New Roman"/>
          <w:color w:val="000000" w:themeColor="text1"/>
          <w:sz w:val="20"/>
          <w:szCs w:val="20"/>
        </w:rPr>
        <w:fldChar w:fldCharType="begin"/>
      </w:r>
      <w:r w:rsidR="00124EB5" w:rsidRPr="008B2B2F">
        <w:rPr>
          <w:rFonts w:ascii="Times New Roman" w:eastAsia="Times New Roman" w:hAnsi="Times New Roman" w:cs="Times New Roman"/>
          <w:color w:val="000000" w:themeColor="text1"/>
          <w:sz w:val="20"/>
          <w:szCs w:val="20"/>
          <w:lang w:eastAsia="en-IN"/>
        </w:rPr>
        <w:instrText xml:space="preserve"> ADDIN ZOTERO_ITEM CSL_CITATION {"citationID":"FcBnte97","properties":{"formattedCitation":"\\super 47\\nosupersub{}","plainCitation":"47","noteIndex":0},"citationItems":[{"id":528,"uris":["http://zotero.org/users/10868288/items/VLS3AIXI"],"itemData":{"id":528,"type":"article-journal","container-title":"Local Environment","DOI":"10.1080/13549830600558598","ISSN":"1354-9839, 1469-6711","issue":"2","journalAbbreviation":"Local Environment","language":"en","page":"233-251","source":"DOI.org (Crossref)","title":"Local or global food markets: A comparison of energy use for transport","title-short":"Local or global food markets","volume":"11","author":[{"family":"Wallgren","given":"Christine"}],"issued":{"date-parts":[["2006",4]]}}}],"schema":"https://github.com/citation-style-language/schema/raw/master/csl-citation.json"}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124EB5" w:rsidRPr="008B2B2F">
        <w:rPr>
          <w:rFonts w:ascii="Times New Roman" w:hAnsi="Times New Roman" w:cs="Times New Roman"/>
          <w:color w:val="000000" w:themeColor="text1"/>
          <w:sz w:val="20"/>
          <w:szCs w:val="20"/>
          <w:vertAlign w:val="superscript"/>
        </w:rPr>
        <w:t>47</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In contrast, the short geographical distance between producers and consumers offered by SFSC may be essential for reducing the negative externalities connected to transport, such as GHG </w:t>
      </w:r>
      <w:r w:rsidR="00C32750" w:rsidRPr="008B2B2F">
        <w:rPr>
          <w:rFonts w:ascii="Times New Roman" w:eastAsia="Times New Roman" w:hAnsi="Times New Roman" w:cs="Times New Roman"/>
          <w:color w:val="000000" w:themeColor="text1"/>
          <w:sz w:val="20"/>
          <w:szCs w:val="20"/>
          <w:lang w:eastAsia="en-IN"/>
        </w:rPr>
        <w:t>emissions. Several</w:t>
      </w:r>
      <w:r w:rsidRPr="008B2B2F">
        <w:rPr>
          <w:rFonts w:ascii="Times New Roman" w:eastAsia="Times New Roman" w:hAnsi="Times New Roman" w:cs="Times New Roman"/>
          <w:color w:val="000000" w:themeColor="text1"/>
          <w:sz w:val="20"/>
          <w:szCs w:val="20"/>
          <w:lang w:eastAsia="en-IN"/>
        </w:rPr>
        <w:t xml:space="preserve"> authors confirmed that the shorter the food mile, the lower GHG emissions and fewer distribution stages along the chain</w:t>
      </w:r>
      <w:r w:rsidRPr="008B2B2F">
        <w:rPr>
          <w:rFonts w:ascii="Times New Roman" w:hAnsi="Times New Roman" w:cs="Times New Roman"/>
          <w:color w:val="000000" w:themeColor="text1"/>
          <w:sz w:val="20"/>
          <w:szCs w:val="20"/>
        </w:rPr>
        <w:fldChar w:fldCharType="begin"/>
      </w:r>
      <w:r w:rsidR="00124EB5" w:rsidRPr="008B2B2F">
        <w:rPr>
          <w:rFonts w:ascii="Times New Roman" w:eastAsia="Times New Roman" w:hAnsi="Times New Roman" w:cs="Times New Roman"/>
          <w:color w:val="000000" w:themeColor="text1"/>
          <w:sz w:val="20"/>
          <w:szCs w:val="20"/>
          <w:lang w:eastAsia="en-IN"/>
        </w:rPr>
        <w:instrText xml:space="preserve"> ADDIN ZOTERO_ITEM CSL_CITATION {"citationID":"eKE6cZkv","properties":{"formattedCitation":"\\super 48\\nosupersub{}","plainCitation":"48","noteIndex":0},"citationItems":[{"id":442,"uris":["http://zotero.org/users/10868288/items/VNDJMD3D"],"itemData":{"id":442,"type":"article-journal","container-title":"Environmental Management","DOI":"10.1007/s00267-002-2383-6","ISSN":"0364-152X, 1432-1009","issue":"4","journalAbbreviation":"Environmental Management","page":"560-576","source":"DOI.org (Crossref)","title":"An Environmental Assessment of Food Supply Chains: A Case Study on Dessert Apples","title-short":"An Environmental Assessment of Food Supply Chains","volume":"30","author":[{"family":"Jones","given":"Andy"}],"issued":{"date-parts":[["2002",10,1]]}}}],"schema":"https://github.com/citation-style-language/schema/raw/master/csl-citation.json"}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124EB5" w:rsidRPr="008B2B2F">
        <w:rPr>
          <w:rFonts w:ascii="Times New Roman" w:hAnsi="Times New Roman" w:cs="Times New Roman"/>
          <w:color w:val="000000" w:themeColor="text1"/>
          <w:sz w:val="20"/>
          <w:szCs w:val="20"/>
          <w:vertAlign w:val="superscript"/>
        </w:rPr>
        <w:t>48</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vertAlign w:val="superscript"/>
          <w:lang w:eastAsia="en-IN"/>
        </w:rPr>
        <w:t>,</w:t>
      </w:r>
      <w:r w:rsidRPr="008B2B2F">
        <w:rPr>
          <w:rFonts w:ascii="Times New Roman" w:hAnsi="Times New Roman" w:cs="Times New Roman"/>
          <w:color w:val="000000" w:themeColor="text1"/>
          <w:sz w:val="20"/>
          <w:szCs w:val="20"/>
        </w:rPr>
        <w:fldChar w:fldCharType="begin"/>
      </w:r>
      <w:r w:rsidR="00124EB5" w:rsidRPr="008B2B2F">
        <w:rPr>
          <w:rFonts w:ascii="Times New Roman" w:eastAsia="Times New Roman" w:hAnsi="Times New Roman" w:cs="Times New Roman"/>
          <w:color w:val="000000" w:themeColor="text1"/>
          <w:sz w:val="20"/>
          <w:szCs w:val="20"/>
          <w:vertAlign w:val="superscript"/>
          <w:lang w:eastAsia="en-IN"/>
        </w:rPr>
        <w:instrText xml:space="preserve"> ADDIN ZOTERO_ITEM CSL_CITATION {"citationID":"NynKdF9r","properties":{"formattedCitation":"\\super 49\\nosupersub{}","plainCitation":"49","noteIndex":0},"citationItems":[{"id":428,"uris":["http://zotero.org/users/10868288/items/TLNDMWCK"],"itemData":{"id":428,"type":"article-journal","abstract":"Most consumers do not understand today’s highly complex global food system. Much of the food production and processing occurs far away from where they live and buy groceries. External environmental and community costs related to the production, processing, storage, and transportation of the food are seldom accounted for in the food’s price, nor are consumers made aware of these external costs. Examples of external environmental costs are the increased amount of fossil fuel used to transport food long distances, and the increase in greenhouse gas emissions resulting from the burning of these fuels.","language":"en","source":"Zotero","title":"Food, Fuel, and Freeways: An Iowa perspective on how far food travels, fuel usage, and greenhouse gas emissions","author":[{"family":"Pirog","given":"Rich S"},{"family":"Pelt","given":"Timothy Van"},{"family":"Enshayan","given":"Kamyar"},{"family":"Cook","given":"Ellen"}]}}],"schema":"https://github.com/citation-style-language/schema/raw/master/csl-citation.json"} </w:instrText>
      </w:r>
      <w:r w:rsidRPr="008B2B2F">
        <w:rPr>
          <w:rFonts w:ascii="Times New Roman" w:eastAsia="Times New Roman" w:hAnsi="Times New Roman" w:cs="Times New Roman"/>
          <w:color w:val="000000" w:themeColor="text1"/>
          <w:sz w:val="20"/>
          <w:szCs w:val="20"/>
          <w:vertAlign w:val="superscript"/>
          <w:lang w:eastAsia="en-IN"/>
        </w:rPr>
        <w:fldChar w:fldCharType="separate"/>
      </w:r>
      <w:r w:rsidR="00124EB5" w:rsidRPr="008B2B2F">
        <w:rPr>
          <w:rFonts w:ascii="Times New Roman" w:hAnsi="Times New Roman" w:cs="Times New Roman"/>
          <w:color w:val="000000" w:themeColor="text1"/>
          <w:sz w:val="20"/>
          <w:szCs w:val="20"/>
          <w:vertAlign w:val="superscript"/>
        </w:rPr>
        <w:t>49</w:t>
      </w:r>
      <w:r w:rsidRPr="008B2B2F">
        <w:rPr>
          <w:rFonts w:ascii="Times New Roman" w:eastAsia="Times New Roman" w:hAnsi="Times New Roman" w:cs="Times New Roman"/>
          <w:color w:val="000000" w:themeColor="text1"/>
          <w:sz w:val="20"/>
          <w:szCs w:val="20"/>
          <w:vertAlign w:val="superscript"/>
          <w:lang w:eastAsia="en-IN"/>
        </w:rPr>
        <w:fldChar w:fldCharType="end"/>
      </w:r>
      <w:r w:rsidRPr="008B2B2F">
        <w:rPr>
          <w:rFonts w:ascii="Times New Roman" w:eastAsia="Times New Roman" w:hAnsi="Times New Roman" w:cs="Times New Roman"/>
          <w:color w:val="000000" w:themeColor="text1"/>
          <w:sz w:val="20"/>
          <w:szCs w:val="20"/>
          <w:lang w:eastAsia="en-IN"/>
        </w:rPr>
        <w:t>. Some authors have reported that despite the significantly higher food distance for LFSC, food mile values were similar for both food chains</w:t>
      </w:r>
      <w:r w:rsidRPr="008B2B2F">
        <w:rPr>
          <w:rFonts w:ascii="Times New Roman" w:hAnsi="Times New Roman" w:cs="Times New Roman"/>
          <w:color w:val="000000" w:themeColor="text1"/>
          <w:sz w:val="20"/>
          <w:szCs w:val="20"/>
        </w:rPr>
        <w:fldChar w:fldCharType="begin"/>
      </w:r>
      <w:r w:rsidR="00124EB5" w:rsidRPr="008B2B2F">
        <w:rPr>
          <w:rFonts w:ascii="Times New Roman" w:eastAsia="Times New Roman" w:hAnsi="Times New Roman" w:cs="Times New Roman"/>
          <w:color w:val="000000" w:themeColor="text1"/>
          <w:sz w:val="20"/>
          <w:szCs w:val="20"/>
          <w:lang w:eastAsia="en-IN"/>
        </w:rPr>
        <w:instrText xml:space="preserve"> ADDIN ZOTERO_ITEM CSL_CITATION {"citationID":"jWAG6b6Q","properties":{"formattedCitation":"\\super 47\\nosupersub{}","plainCitation":"47","noteIndex":0},"citationItems":[{"id":528,"uris":["http://zotero.org/users/10868288/items/VLS3AIXI"],"itemData":{"id":528,"type":"article-journal","container-title":"Local Environment","DOI":"10.1080/13549830600558598","ISSN":"1354-9839, 1469-6711","issue":"2","journalAbbreviation":"Local Environment","language":"en","page":"233-251","source":"DOI.org (Crossref)","title":"Local or global food markets: A comparison of energy use for transport","title-short":"Local or global food markets","volume":"11","author":[{"family":"Wallgren","given":"Christine"}],"issued":{"date-parts":[["2006",4]]}}}],"schema":"https://github.com/citation-style-language/schema/raw/master/csl-citation.json"}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124EB5" w:rsidRPr="008B2B2F">
        <w:rPr>
          <w:rFonts w:ascii="Times New Roman" w:hAnsi="Times New Roman" w:cs="Times New Roman"/>
          <w:color w:val="000000" w:themeColor="text1"/>
          <w:sz w:val="20"/>
          <w:szCs w:val="20"/>
          <w:vertAlign w:val="superscript"/>
        </w:rPr>
        <w:t>47</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Indeed, higher food mile values were reported for SFSC because SFSC products are transported in small quantities and require the participation of different individual transports</w:t>
      </w:r>
      <w:r w:rsidRPr="008B2B2F">
        <w:rPr>
          <w:rFonts w:ascii="Times New Roman" w:hAnsi="Times New Roman" w:cs="Times New Roman"/>
          <w:color w:val="000000" w:themeColor="text1"/>
          <w:sz w:val="20"/>
          <w:szCs w:val="20"/>
        </w:rPr>
        <w:fldChar w:fldCharType="begin"/>
      </w:r>
      <w:r w:rsidR="00124EB5" w:rsidRPr="008B2B2F">
        <w:rPr>
          <w:rFonts w:ascii="Times New Roman" w:eastAsia="Times New Roman" w:hAnsi="Times New Roman" w:cs="Times New Roman"/>
          <w:color w:val="000000" w:themeColor="text1"/>
          <w:sz w:val="20"/>
          <w:szCs w:val="20"/>
          <w:lang w:eastAsia="en-IN"/>
        </w:rPr>
        <w:instrText xml:space="preserve"> ADDIN ZOTERO_ITEM CSL_CITATION {"citationID":"MtERhCcu","properties":{"formattedCitation":"\\super 50\\nosupersub{}","plainCitation":"50","noteIndex":0},"citationItems":[{"id":418,"uris":["http://zotero.org/users/10868288/items/6JPRE9W6"],"itemData":{"id":418,"type":"article-journal","abstract":"Recent literature has highlighted the importance of testing the sustainability performances of supply chains. Nevertheless, this field of research is still in its early stages, in particular with reference to short food supply chains (SFSCs). This research analyzed producers’ and consumers’ perception of the economic, social and environmental sustainability of two SFSCs of a specific quality of cheese (Parmigiano Reggiano PDO) placed in two different contexts: the first is a rural area in the Appennino Tosco-Emiliano National Park mountains and the second is a peri-urban area in Parma surroundings, both in Italy. The case study also analyzed the carbon emissions of shopping for Parmigiano Reggiano at dairy shops. Qualitative and quantitative methodologies were employed to achieve the aims of the present study. For producers in both areas, the SFSC is a successful strategy to sell a part of their output in their own outlets, gain reputation, reduce costs and at the same time increase their levels of self-esteem. Product quality is the biggest factor attracting consumers to the outlet; moreover, it is associated with trust in the producers and the idea of combining “leisure with pleasure”. However, the environmental impact of the consumers’ purchase activities is a drawback.","container-title":"Sustainability","DOI":"10.3390/su11030721","ISSN":"2071-1050","issue":"3","journalAbbreviation":"Sustainability","language":"en","page":"721","source":"DOI.org (Crossref)","title":"Producers’ and Consumers’ Perception of the Sustainability of Short Food Supply Chains: The Case of Parmigiano Reggiano PDO","title-short":"Producers’ and Consumers’ Perception of the Sustainability of Short Food Supply Chains","volume":"11","author":[{"family":"Mancini","given":"Maria"},{"family":"Menozzi","given":"Davide"},{"family":"Donati","given":"Michele"},{"family":"Biasini","given":"Beatrice"},{"family":"Veneziani","given":"Mario"},{"family":"Arfini","given":"Filippo"}],"issued":{"date-parts":[["2019",1,30]]}}}],"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00124EB5" w:rsidRPr="008B2B2F">
        <w:rPr>
          <w:rFonts w:ascii="Times New Roman" w:hAnsi="Times New Roman" w:cs="Times New Roman"/>
          <w:color w:val="000000" w:themeColor="text1"/>
          <w:sz w:val="20"/>
          <w:szCs w:val="20"/>
          <w:vertAlign w:val="superscript"/>
        </w:rPr>
        <w:t>50</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vertAlign w:val="superscript"/>
          <w:lang w:eastAsia="en-IN"/>
        </w:rPr>
        <w:t>,</w:t>
      </w:r>
      <w:r w:rsidRPr="008B2B2F">
        <w:rPr>
          <w:rFonts w:ascii="Times New Roman" w:hAnsi="Times New Roman" w:cs="Times New Roman"/>
          <w:color w:val="000000" w:themeColor="text1"/>
          <w:sz w:val="20"/>
          <w:szCs w:val="20"/>
        </w:rPr>
        <w:fldChar w:fldCharType="begin"/>
      </w:r>
      <w:r w:rsidR="00124EB5" w:rsidRPr="008B2B2F">
        <w:rPr>
          <w:rFonts w:ascii="Times New Roman" w:eastAsia="Times New Roman" w:hAnsi="Times New Roman" w:cs="Times New Roman"/>
          <w:color w:val="000000" w:themeColor="text1"/>
          <w:sz w:val="20"/>
          <w:szCs w:val="20"/>
          <w:vertAlign w:val="superscript"/>
          <w:lang w:eastAsia="en-IN"/>
        </w:rPr>
        <w:instrText xml:space="preserve"> ADDIN ZOTERO_ITEM CSL_CITATION {"citationID":"OLCueOM2","properties":{"formattedCitation":"\\super 51\\nosupersub{}","plainCitation":"51","noteIndex":0},"citationItems":[{"id":430,"uris":["http://zotero.org/users/10868288/items/WP5N5NSY"],"itemData":{"id":430,"type":"article-journal","container-title":"Environmental Science &amp; Technology","DOI":"10.1021/acs.est.0c02739","ISSN":"0013-936X, 1520-5851","issue":"17","journalAbbreviation":"Environ. Sci. Technol.","language":"en","page":"10551-10560","source":"DOI.org (Crossref)","title":"Urban Food Systems: How Regionalization Can Contribute to Climate Change Mitigation","title-short":"Urban Food Systems","volume":"54","author":[{"family":"Pradhan","given":"Prajal"},{"family":"Kriewald","given":"Steffen"},{"family":"Costa","given":"Luís"},{"family":"Rybski","given":"Diego"},{"family":"Benton","given":"Tim G."},{"family":"Fischer","given":"Günther"},{"family":"Kropp","given":"Jürgen P."}],"issued":{"date-parts":[["2020",9,1]]}}}],"schema":"https://github.com/citation-style-language/schema/raw/master/csl-citation.json"} </w:instrText>
      </w:r>
      <w:r w:rsidRPr="008B2B2F">
        <w:rPr>
          <w:rFonts w:ascii="Times New Roman" w:eastAsia="Times New Roman" w:hAnsi="Times New Roman" w:cs="Times New Roman"/>
          <w:color w:val="000000" w:themeColor="text1"/>
          <w:sz w:val="20"/>
          <w:szCs w:val="20"/>
          <w:vertAlign w:val="superscript"/>
          <w:lang w:eastAsia="en-IN"/>
        </w:rPr>
        <w:fldChar w:fldCharType="separate"/>
      </w:r>
      <w:r w:rsidR="00124EB5" w:rsidRPr="008B2B2F">
        <w:rPr>
          <w:rFonts w:ascii="Times New Roman" w:hAnsi="Times New Roman" w:cs="Times New Roman"/>
          <w:color w:val="000000" w:themeColor="text1"/>
          <w:sz w:val="20"/>
          <w:szCs w:val="20"/>
          <w:vertAlign w:val="superscript"/>
        </w:rPr>
        <w:t>51</w:t>
      </w:r>
      <w:r w:rsidRPr="008B2B2F">
        <w:rPr>
          <w:rFonts w:ascii="Times New Roman" w:eastAsia="Times New Roman" w:hAnsi="Times New Roman" w:cs="Times New Roman"/>
          <w:color w:val="000000" w:themeColor="text1"/>
          <w:sz w:val="20"/>
          <w:szCs w:val="20"/>
          <w:vertAlign w:val="superscript"/>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17DE2E02" w14:textId="77777777" w:rsidR="00C125E0" w:rsidRPr="008B2B2F" w:rsidRDefault="00C125E0" w:rsidP="008B2B2F">
      <w:pPr>
        <w:shd w:val="clear" w:color="auto" w:fill="FFFFFF" w:themeFill="background1"/>
        <w:spacing w:after="0" w:line="240" w:lineRule="auto"/>
        <w:outlineLvl w:val="2"/>
        <w:rPr>
          <w:rFonts w:ascii="Times New Roman" w:eastAsia="Times New Roman" w:hAnsi="Times New Roman" w:cs="Times New Roman"/>
          <w:color w:val="000000" w:themeColor="text1"/>
          <w:sz w:val="20"/>
          <w:szCs w:val="20"/>
          <w:lang w:eastAsia="en-IN"/>
        </w:rPr>
      </w:pPr>
    </w:p>
    <w:p w14:paraId="4197BF45" w14:textId="77777777" w:rsidR="00C125E0" w:rsidRPr="008B2B2F" w:rsidRDefault="00C125E0" w:rsidP="008B2B2F">
      <w:pPr>
        <w:pStyle w:val="ListParagraph"/>
        <w:numPr>
          <w:ilvl w:val="0"/>
          <w:numId w:val="1"/>
        </w:numPr>
        <w:shd w:val="clear" w:color="auto" w:fill="FFFFFF" w:themeFill="background1"/>
        <w:spacing w:after="0" w:line="240" w:lineRule="auto"/>
        <w:jc w:val="center"/>
        <w:outlineLvl w:val="2"/>
        <w:rPr>
          <w:rFonts w:ascii="Times New Roman" w:eastAsia="Times New Roman" w:hAnsi="Times New Roman" w:cs="Times New Roman"/>
          <w:b/>
          <w:color w:val="000000" w:themeColor="text1"/>
          <w:sz w:val="20"/>
          <w:szCs w:val="20"/>
          <w:lang w:eastAsia="en-IN"/>
        </w:rPr>
      </w:pPr>
      <w:r w:rsidRPr="008B2B2F">
        <w:rPr>
          <w:rFonts w:ascii="Times New Roman" w:eastAsia="Times New Roman" w:hAnsi="Times New Roman" w:cs="Times New Roman"/>
          <w:b/>
          <w:color w:val="000000" w:themeColor="text1"/>
          <w:sz w:val="20"/>
          <w:szCs w:val="20"/>
          <w:lang w:eastAsia="en-IN"/>
        </w:rPr>
        <w:t>EFFECTS ON HUMAN NUTRITION AND HEALTH</w:t>
      </w:r>
    </w:p>
    <w:p w14:paraId="75918AE9" w14:textId="77777777" w:rsidR="00F61C0A" w:rsidRPr="008B2B2F" w:rsidRDefault="00124EB5" w:rsidP="008B2B2F">
      <w:pPr>
        <w:shd w:val="clear" w:color="auto" w:fill="FFFFFF" w:themeFill="background1"/>
        <w:spacing w:after="0" w:line="240" w:lineRule="auto"/>
        <w:ind w:firstLine="360"/>
        <w:outlineLvl w:val="2"/>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Developed countries have witnessed an increase in the consumption of processed and fast foods that are high in calories but low in nutritional value, leading to a rise in chronic diseases such as obesity, dyslipidaemia, and cardiovascular disorders</w:t>
      </w:r>
      <w:r w:rsidRPr="008B2B2F">
        <w:rPr>
          <w:rFonts w:ascii="Times New Roman" w:hAnsi="Times New Roman" w:cs="Times New Roman"/>
          <w:color w:val="000000" w:themeColor="text1"/>
          <w:sz w:val="20"/>
          <w:szCs w:val="20"/>
        </w:rPr>
        <w:fldChar w:fldCharType="begin"/>
      </w:r>
      <w:r w:rsidRPr="008B2B2F">
        <w:rPr>
          <w:rFonts w:ascii="Times New Roman" w:eastAsia="Times New Roman" w:hAnsi="Times New Roman" w:cs="Times New Roman"/>
          <w:color w:val="000000" w:themeColor="text1"/>
          <w:sz w:val="20"/>
          <w:szCs w:val="20"/>
          <w:lang w:eastAsia="en-IN"/>
        </w:rPr>
        <w:instrText xml:space="preserve"> ADDIN ZOTERO_ITEM CSL_CITATION {"citationID":"Lx87k1Ua","properties":{"formattedCitation":"\\super 53\\nosupersub{}","plainCitation":"53","noteIndex":0},"citationItems":[{"id":549,"uris":["http://zotero.org/users/10868288/items/ZUZJ5NQY"],"itemData":{"id":549,"type":"article-journal","abstract":"The concept of food system has gained prominence in recent years amongst both scholars and policy-makers. Experts from diverse disciplines and backgrounds have in particular discussed the nature and origin of the “unsustainability” of our modern food systems. These efforts tend, however, to be framed within distinctive disciplinary narratives. In this paper we propose to explore these narratives and to shed light on the explicit -or implicit- epistemological assumptions, mental models, and disciplinary paradigms that underpin those. The analysis indicates that different views and interpretations prevail amongst experts about the nature of the “crisis”, and consequently about the research and priorities needed to “fix” the problem. We then explore how sustainability is included in these different narratives and the link to the question of healthy diets. The analysis reveals that the concept of sustainability, although widely used by all the different communities of practice, remains poorly defined, and applied in different ways and usually based on a relatively narrow interpretation. In so doing we argue that current attempts to equate or subsume healthy diets within sustainability in the context of food system may be misleading and need to be challenged. We stress that trade-offs between different dimensions of food system sustainability are unavoidable and need to be navigated in an explicit manner when developing or implementing sustainable food system initiatives. Building on this overall analysis, a framework structured around several entry points including outcomes, core activities, trade-offs and feedbacks is then proposed, which allows to identify key elements necessary to support the transition toward sustainable food systems.","container-title":"World Development","DOI":"10.1016/j.worlddev.2018.08.011","ISSN":"0305-750X","journalAbbreviation":"World Development","language":"en","page":"116-130","source":"ScienceDirect","title":"When food systems meet sustainability – Current narratives and implications for actions","volume":"113","author":[{"family":"Béné","given":"Christophe"},{"family":"Oosterveer","given":"Peter"},{"family":"Lamotte","given":"Lea"},{"family":"Brouwer","given":"Inge D."},{"family":"Haan","given":"Stef","non-dropping-particle":"de"},{"family":"Prager","given":"Steve D."},{"family":"Talsma","given":"Elise F."},{"family":"Khoury","given":"Colin K."}],"issued":{"date-parts":[["2019",1,1]]}}}],"schema":"https://github.com/citation-style-language/schema/raw/master/csl-citation.json"}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Pr="008B2B2F">
        <w:rPr>
          <w:rFonts w:ascii="Times New Roman" w:hAnsi="Times New Roman" w:cs="Times New Roman"/>
          <w:color w:val="000000" w:themeColor="text1"/>
          <w:sz w:val="20"/>
          <w:szCs w:val="20"/>
          <w:vertAlign w:val="superscript"/>
        </w:rPr>
        <w:t>53</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vertAlign w:val="superscript"/>
          <w:lang w:eastAsia="en-IN"/>
        </w:rPr>
        <w:t>,</w:t>
      </w:r>
      <w:r w:rsidRPr="008B2B2F">
        <w:rPr>
          <w:rFonts w:ascii="Times New Roman" w:hAnsi="Times New Roman" w:cs="Times New Roman"/>
          <w:color w:val="000000" w:themeColor="text1"/>
          <w:sz w:val="20"/>
          <w:szCs w:val="20"/>
        </w:rPr>
        <w:fldChar w:fldCharType="begin"/>
      </w:r>
      <w:r w:rsidRPr="008B2B2F">
        <w:rPr>
          <w:rFonts w:ascii="Times New Roman" w:eastAsia="Times New Roman" w:hAnsi="Times New Roman" w:cs="Times New Roman"/>
          <w:color w:val="000000" w:themeColor="text1"/>
          <w:sz w:val="20"/>
          <w:szCs w:val="20"/>
          <w:vertAlign w:val="superscript"/>
          <w:lang w:eastAsia="en-IN"/>
        </w:rPr>
        <w:instrText xml:space="preserve"> ADDIN ZOTERO_ITEM CSL_CITATION {"citationID":"EUNLlFTo","properties":{"formattedCitation":"\\super 54\\nosupersub{}","plainCitation":"54","noteIndex":0},"citationItems":[{"id":534,"uris":["http://zotero.org/users/10868288/items/DN3HHAM3"],"itemData":{"id":534,"type":"article-journal","abstract":"The recent Russia–Ukraine conflict has raised significant concerns about global food security, leaving many countries with restricted access to imported staple food crops, particularly wheat and sunflower oil, sending food prices soaring with other adverse consequences in the food supply chain. This detrimental effect is particularly prominent for low-income countries relying on grain imports, with record-high food prices and inflation affecting their livelihoods. This review discusses the role of Russia and Ukraine in the global food system and the impact of the Russia–Ukraine conflict on food security. It also highlights how diversifying four areas of agrifood systems—markets, production, crops, and technology can contribute to achieving food supply chain resilience for future food security and sustainability.","container-title":"Frontiers in Sustainable Food Systems","ISSN":"2571-581X","source":"Frontiers","title":"Diversifying agrifood systems to ensure global food security following the Russia–Ukraine crisis","URL":"https://www.frontiersin.org/articles/10.3389/fsufs.2023.1124640","volume":"7","author":[{"family":"Neik","given":"Ting Xiang"},{"family":"Siddique","given":"Kadambot H. M."},{"family":"Mayes","given":"Sean"},{"family":"Edwards","given":"David"},{"family":"Batley","given":"Jacqueline"},{"family":"Mabhaudhi","given":"Tafadzwanashe"},{"family":"Song","given":"Beng Kah"},{"family":"Massawe","given":"Festo"}],"accessed":{"date-parts":[["2023",7,22]]},"issued":{"date-parts":[["2023"]]}}}],"schema":"https://github.com/citation-style-language/schema/raw/master/csl-citation.json"} </w:instrText>
      </w:r>
      <w:r w:rsidRPr="008B2B2F">
        <w:rPr>
          <w:rFonts w:ascii="Times New Roman" w:eastAsia="Times New Roman" w:hAnsi="Times New Roman" w:cs="Times New Roman"/>
          <w:color w:val="000000" w:themeColor="text1"/>
          <w:sz w:val="20"/>
          <w:szCs w:val="20"/>
          <w:vertAlign w:val="superscript"/>
          <w:lang w:eastAsia="en-IN"/>
        </w:rPr>
        <w:fldChar w:fldCharType="separate"/>
      </w:r>
      <w:r w:rsidRPr="008B2B2F">
        <w:rPr>
          <w:rFonts w:ascii="Times New Roman" w:hAnsi="Times New Roman" w:cs="Times New Roman"/>
          <w:color w:val="000000" w:themeColor="text1"/>
          <w:sz w:val="20"/>
          <w:szCs w:val="20"/>
          <w:vertAlign w:val="superscript"/>
        </w:rPr>
        <w:t>54</w:t>
      </w:r>
      <w:r w:rsidRPr="008B2B2F">
        <w:rPr>
          <w:rFonts w:ascii="Times New Roman" w:eastAsia="Times New Roman" w:hAnsi="Times New Roman" w:cs="Times New Roman"/>
          <w:color w:val="000000" w:themeColor="text1"/>
          <w:sz w:val="20"/>
          <w:szCs w:val="20"/>
          <w:vertAlign w:val="superscript"/>
          <w:lang w:eastAsia="en-IN"/>
        </w:rPr>
        <w:fldChar w:fldCharType="end"/>
      </w:r>
      <w:r w:rsidRPr="008B2B2F">
        <w:rPr>
          <w:rFonts w:ascii="Times New Roman" w:eastAsia="Times New Roman" w:hAnsi="Times New Roman" w:cs="Times New Roman"/>
          <w:color w:val="000000" w:themeColor="text1"/>
          <w:sz w:val="20"/>
          <w:szCs w:val="20"/>
          <w:lang w:eastAsia="en-IN"/>
        </w:rPr>
        <w:t>. Moreover, the production demands associated with fast food-based diets exert negative pressures on terrestrial, aerial, and aquatic ecosystems. Thus, there is a pressing need for global changes in dietary patterns and nutritional education to improve human health and safeguard the environment, aiming to reduce inequalities between countries with different income levels</w:t>
      </w:r>
      <w:r w:rsidRPr="008B2B2F">
        <w:rPr>
          <w:rFonts w:ascii="Times New Roman" w:hAnsi="Times New Roman" w:cs="Times New Roman"/>
          <w:color w:val="000000" w:themeColor="text1"/>
          <w:sz w:val="20"/>
          <w:szCs w:val="20"/>
        </w:rPr>
        <w:fldChar w:fldCharType="begin"/>
      </w:r>
      <w:r w:rsidRPr="008B2B2F">
        <w:rPr>
          <w:rFonts w:ascii="Times New Roman" w:eastAsia="Times New Roman" w:hAnsi="Times New Roman" w:cs="Times New Roman"/>
          <w:color w:val="000000" w:themeColor="text1"/>
          <w:sz w:val="20"/>
          <w:szCs w:val="20"/>
          <w:lang w:eastAsia="en-IN"/>
        </w:rPr>
        <w:instrText xml:space="preserve"> ADDIN ZOTERO_ITEM CSL_CITATION {"citationID":"nKHfBVDI","properties":{"formattedCitation":"\\super 53\\nosupersub{}","plainCitation":"53","noteIndex":0},"citationItems":[{"id":549,"uris":["http://zotero.org/users/10868288/items/ZUZJ5NQY"],"itemData":{"id":549,"type":"article-journal","abstract":"The concept of food system has gained prominence in recent years amongst both scholars and policy-makers. Experts from diverse disciplines and backgrounds have in particular discussed the nature and origin of the “unsustainability” of our modern food systems. These efforts tend, however, to be framed within distinctive disciplinary narratives. In this paper we propose to explore these narratives and to shed light on the explicit -or implicit- epistemological assumptions, mental models, and disciplinary paradigms that underpin those. The analysis indicates that different views and interpretations prevail amongst experts about the nature of the “crisis”, and consequently about the research and priorities needed to “fix” the problem. We then explore how sustainability is included in these different narratives and the link to the question of healthy diets. The analysis reveals that the concept of sustainability, although widely used by all the different communities of practice, remains poorly defined, and applied in different ways and usually based on a relatively narrow interpretation. In so doing we argue that current attempts to equate or subsume healthy diets within sustainability in the context of food system may be misleading and need to be challenged. We stress that trade-offs between different dimensions of food system sustainability are unavoidable and need to be navigated in an explicit manner when developing or implementing sustainable food system initiatives. Building on this overall analysis, a framework structured around several entry points including outcomes, core activities, trade-offs and feedbacks is then proposed, which allows to identify key elements necessary to support the transition toward sustainable food systems.","container-title":"World Development","DOI":"10.1016/j.worlddev.2018.08.011","ISSN":"0305-750X","journalAbbreviation":"World Development","language":"en","page":"116-130","source":"ScienceDirect","title":"When food systems meet sustainability – Current narratives and implications for actions","volume":"113","author":[{"family":"Béné","given":"Christophe"},{"family":"Oosterveer","given":"Peter"},{"family":"Lamotte","given":"Lea"},{"family":"Brouwer","given":"Inge D."},{"family":"Haan","given":"Stef","non-dropping-particle":"de"},{"family":"Prager","given":"Steve D."},{"family":"Talsma","given":"Elise F."},{"family":"Khoury","given":"Colin K."}],"issued":{"date-parts":[["2019",1,1]]}}}],"schema":"https://github.com/citation-style-language/schema/raw/master/csl-citation.json"}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Pr="008B2B2F">
        <w:rPr>
          <w:rFonts w:ascii="Times New Roman" w:hAnsi="Times New Roman" w:cs="Times New Roman"/>
          <w:color w:val="000000" w:themeColor="text1"/>
          <w:sz w:val="20"/>
          <w:szCs w:val="20"/>
          <w:vertAlign w:val="superscript"/>
        </w:rPr>
        <w:t>53</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 In line with this objective, the World Health Organization has proposed a dietary profile that emphasizes high consumption of fruits, vegetables, legumes, nuts, and whole grains while minimizing the intake of animal proteins and refined products. This shift would enhance the nutritional value of diets and alleviate environmental pressures associated with food production </w:t>
      </w:r>
      <w:r w:rsidRPr="008B2B2F">
        <w:rPr>
          <w:rFonts w:ascii="Times New Roman" w:hAnsi="Times New Roman" w:cs="Times New Roman"/>
          <w:color w:val="000000" w:themeColor="text1"/>
          <w:sz w:val="20"/>
          <w:szCs w:val="20"/>
        </w:rPr>
        <w:fldChar w:fldCharType="begin"/>
      </w:r>
      <w:r w:rsidRPr="008B2B2F">
        <w:rPr>
          <w:rFonts w:ascii="Times New Roman" w:eastAsia="Times New Roman" w:hAnsi="Times New Roman" w:cs="Times New Roman"/>
          <w:color w:val="000000" w:themeColor="text1"/>
          <w:sz w:val="20"/>
          <w:szCs w:val="20"/>
          <w:lang w:eastAsia="en-IN"/>
        </w:rPr>
        <w:instrText xml:space="preserve"> ADDIN ZOTERO_ITEM CSL_CITATION {"citationID":"CjY6tspq","properties":{"formattedCitation":"\\super 55\\nosupersub{}","plainCitation":"55","noteIndex":0},"citationItems":[{"id":523,"uris":["http://zotero.org/users/10868288/items/QBPRUZX9"],"itemData":{"id":523,"type":"document","title":"EMROPUB_2019_en_23536.pdf","URL":"https://apps.who.int/iris/bitstream/handle/10665/325828/EMROPUB_2019_en_23536.pdf","accessed":{"date-parts":[["2023",7,22]]}}}],"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Pr="008B2B2F">
        <w:rPr>
          <w:rFonts w:ascii="Times New Roman" w:hAnsi="Times New Roman" w:cs="Times New Roman"/>
          <w:color w:val="000000" w:themeColor="text1"/>
          <w:sz w:val="20"/>
          <w:szCs w:val="20"/>
          <w:vertAlign w:val="superscript"/>
        </w:rPr>
        <w:t>55</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w:t>
      </w:r>
    </w:p>
    <w:p w14:paraId="6B8B0C78" w14:textId="77777777" w:rsidR="00F61C0A" w:rsidRPr="008B2B2F" w:rsidRDefault="00124EB5" w:rsidP="008B2B2F">
      <w:pPr>
        <w:shd w:val="clear" w:color="auto" w:fill="FFFFFF" w:themeFill="background1"/>
        <w:spacing w:after="0" w:line="240" w:lineRule="auto"/>
        <w:ind w:firstLine="360"/>
        <w:jc w:val="both"/>
        <w:outlineLvl w:val="1"/>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By understanding the impact of </w:t>
      </w:r>
      <w:r w:rsidR="009F0BD2" w:rsidRPr="008B2B2F">
        <w:rPr>
          <w:rFonts w:ascii="Times New Roman" w:eastAsia="Times New Roman" w:hAnsi="Times New Roman" w:cs="Times New Roman"/>
          <w:color w:val="000000" w:themeColor="text1"/>
          <w:sz w:val="20"/>
          <w:szCs w:val="20"/>
          <w:lang w:eastAsia="en-IN"/>
        </w:rPr>
        <w:t xml:space="preserve">culture and culinary </w:t>
      </w:r>
      <w:r w:rsidR="00B93D18" w:rsidRPr="008B2B2F">
        <w:rPr>
          <w:rFonts w:ascii="Times New Roman" w:eastAsia="Times New Roman" w:hAnsi="Times New Roman" w:cs="Times New Roman"/>
          <w:color w:val="000000" w:themeColor="text1"/>
          <w:sz w:val="20"/>
          <w:szCs w:val="20"/>
          <w:lang w:eastAsia="en-IN"/>
        </w:rPr>
        <w:t>traditions, socioeconomic</w:t>
      </w:r>
      <w:r w:rsidR="009F0BD2" w:rsidRPr="008B2B2F">
        <w:rPr>
          <w:rFonts w:ascii="Times New Roman" w:eastAsia="Times New Roman" w:hAnsi="Times New Roman" w:cs="Times New Roman"/>
          <w:color w:val="000000" w:themeColor="text1"/>
          <w:sz w:val="20"/>
          <w:szCs w:val="20"/>
          <w:lang w:eastAsia="en-IN"/>
        </w:rPr>
        <w:t xml:space="preserve"> status, and family influences, educational programs, and sustainable awareness</w:t>
      </w:r>
      <w:r w:rsidRPr="008B2B2F">
        <w:rPr>
          <w:rFonts w:ascii="Times New Roman" w:eastAsia="Times New Roman" w:hAnsi="Times New Roman" w:cs="Times New Roman"/>
          <w:color w:val="000000" w:themeColor="text1"/>
          <w:sz w:val="20"/>
          <w:szCs w:val="20"/>
          <w:lang w:eastAsia="en-IN"/>
        </w:rPr>
        <w:t>, dietary education can be tailored to different age groups to reshape people's preferences and promote healthier eating habits</w:t>
      </w:r>
      <w:r w:rsidR="00B93D18" w:rsidRPr="008B2B2F">
        <w:rPr>
          <w:rFonts w:ascii="Times New Roman" w:eastAsia="Times New Roman" w:hAnsi="Times New Roman" w:cs="Times New Roman"/>
          <w:color w:val="000000" w:themeColor="text1"/>
          <w:sz w:val="20"/>
          <w:szCs w:val="20"/>
          <w:lang w:eastAsia="en-IN"/>
        </w:rPr>
        <w:fldChar w:fldCharType="begin"/>
      </w:r>
      <w:r w:rsidRPr="008B2B2F">
        <w:rPr>
          <w:rFonts w:ascii="Times New Roman" w:eastAsia="Times New Roman" w:hAnsi="Times New Roman" w:cs="Times New Roman"/>
          <w:color w:val="000000" w:themeColor="text1"/>
          <w:sz w:val="20"/>
          <w:szCs w:val="20"/>
          <w:lang w:eastAsia="en-IN"/>
        </w:rPr>
        <w:instrText xml:space="preserve"> ADDIN ZOTERO_ITEM CSL_CITATION {"citationID":"Y9Ovu24b","properties":{"formattedCitation":"\\super 56\\nosupersub{}","plainCitation":"56","noteIndex":0},"citationItems":[{"id":476,"uris":["http://zotero.org/users/10868288/items/5Y5TSP6M"],"itemData":{"id":476,"type":"article-journal","container-title":"Appetite","DOI":"10.1016/j.appet.2018.01.004","ISSN":"01956663","journalAbbreviation":"Appetite","language":"en","page":"357-366","source":"DOI.org (Crossref)","title":"Choosing a healthy and sustainable diet: A three-level approach for understanding the drivers of the Italians' dietary regime over time","title-short":"Choosing a healthy and sustainable diet","volume":"123","author":[{"family":"Benedetti","given":"Ilaria"},{"family":"Laureti","given":"Tiziana"},{"family":"Secondi","given":"Luca"}],"issued":{"date-parts":[["2018",4]]}}}],"schema":"https://github.com/citation-style-language/schema/raw/master/csl-citation.json"} </w:instrText>
      </w:r>
      <w:r w:rsidR="00B93D18" w:rsidRPr="008B2B2F">
        <w:rPr>
          <w:rFonts w:ascii="Times New Roman" w:eastAsia="Times New Roman" w:hAnsi="Times New Roman" w:cs="Times New Roman"/>
          <w:color w:val="000000" w:themeColor="text1"/>
          <w:sz w:val="20"/>
          <w:szCs w:val="20"/>
          <w:lang w:eastAsia="en-IN"/>
        </w:rPr>
        <w:fldChar w:fldCharType="separate"/>
      </w:r>
      <w:r w:rsidRPr="008B2B2F">
        <w:rPr>
          <w:rFonts w:ascii="Times New Roman" w:hAnsi="Times New Roman" w:cs="Times New Roman"/>
          <w:color w:val="000000" w:themeColor="text1"/>
          <w:sz w:val="20"/>
          <w:szCs w:val="20"/>
          <w:vertAlign w:val="superscript"/>
        </w:rPr>
        <w:t>56</w:t>
      </w:r>
      <w:r w:rsidR="00B93D18"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Socioeconomic status plays a significant role, as individuals with lower socioeconomic status often face barriers to adopting healthier diets, such as the high cost of nutritious foods and limited nutritional knowledge. As a result, they tend to consume diets rich in fat, sugar, and salt, with inadequate intake of fruits and vegetables</w:t>
      </w:r>
      <w:r w:rsidRPr="008B2B2F">
        <w:rPr>
          <w:rFonts w:ascii="Times New Roman" w:hAnsi="Times New Roman" w:cs="Times New Roman"/>
          <w:color w:val="000000" w:themeColor="text1"/>
          <w:sz w:val="20"/>
          <w:szCs w:val="20"/>
        </w:rPr>
        <w:fldChar w:fldCharType="begin"/>
      </w:r>
      <w:r w:rsidRPr="008B2B2F">
        <w:rPr>
          <w:rFonts w:ascii="Times New Roman" w:eastAsia="Times New Roman" w:hAnsi="Times New Roman" w:cs="Times New Roman"/>
          <w:color w:val="000000" w:themeColor="text1"/>
          <w:sz w:val="20"/>
          <w:szCs w:val="20"/>
          <w:lang w:eastAsia="en-IN"/>
        </w:rPr>
        <w:instrText xml:space="preserve"> ADDIN ZOTERO_ITEM CSL_CITATION {"citationID":"x0b0wbWg","properties":{"formattedCitation":"\\super 57\\nosupersub{}","plainCitation":"57","noteIndex":0},"citationItems":[{"id":477,"uris":["http://zotero.org/users/10868288/items/EK4I2EVG"],"itemData":{"id":477,"type":"article-journal","container-title":"Food Quality and Preference","DOI":"10.1016/j.foodqual.2016.12.008","ISSN":"09503293","journalAbbreviation":"Food Quality and Preference","language":"en","page":"94-106","source":"DOI.org (Crossref)","title":"Healthy and environmentally sustainable food choices: Consumer responses to point-of-purchase actions","title-short":"Healthy and environmentally sustainable food choices","volume":"58","author":[{"family":"Hoek","given":"A.C."},{"family":"Pearson","given":"D."},{"family":"James","given":"S.W."},{"family":"Lawrence","given":"M.A."},{"family":"Friel","given":"S."}],"issued":{"date-parts":[["2017",6]]}}}],"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Pr="008B2B2F">
        <w:rPr>
          <w:rFonts w:ascii="Times New Roman" w:hAnsi="Times New Roman" w:cs="Times New Roman"/>
          <w:color w:val="000000" w:themeColor="text1"/>
          <w:sz w:val="20"/>
          <w:szCs w:val="20"/>
          <w:vertAlign w:val="superscript"/>
        </w:rPr>
        <w:t>57</w:t>
      </w:r>
      <w:r w:rsidRPr="008B2B2F">
        <w:rPr>
          <w:rFonts w:ascii="Times New Roman" w:eastAsia="Times New Roman" w:hAnsi="Times New Roman" w:cs="Times New Roman"/>
          <w:color w:val="000000" w:themeColor="text1"/>
          <w:sz w:val="20"/>
          <w:szCs w:val="20"/>
          <w:lang w:eastAsia="en-IN"/>
        </w:rPr>
        <w:fldChar w:fldCharType="end"/>
      </w:r>
      <w:r w:rsidRPr="008B2B2F">
        <w:rPr>
          <w:rFonts w:ascii="Times New Roman" w:eastAsia="Times New Roman" w:hAnsi="Times New Roman" w:cs="Times New Roman"/>
          <w:color w:val="000000" w:themeColor="text1"/>
          <w:sz w:val="20"/>
          <w:szCs w:val="20"/>
          <w:lang w:eastAsia="en-IN"/>
        </w:rPr>
        <w:t xml:space="preserve">.Conversely, individuals with higher socioeconomic status tend to have higher daily fruit and vegetable </w:t>
      </w:r>
      <w:r w:rsidR="00B93D18" w:rsidRPr="008B2B2F">
        <w:rPr>
          <w:rFonts w:ascii="Times New Roman" w:eastAsia="Times New Roman" w:hAnsi="Times New Roman" w:cs="Times New Roman"/>
          <w:color w:val="000000" w:themeColor="text1"/>
          <w:sz w:val="20"/>
          <w:szCs w:val="20"/>
          <w:lang w:eastAsia="en-IN"/>
        </w:rPr>
        <w:t>consumption. The</w:t>
      </w:r>
      <w:r w:rsidRPr="008B2B2F">
        <w:rPr>
          <w:rFonts w:ascii="Times New Roman" w:eastAsia="Times New Roman" w:hAnsi="Times New Roman" w:cs="Times New Roman"/>
          <w:color w:val="000000" w:themeColor="text1"/>
          <w:sz w:val="20"/>
          <w:szCs w:val="20"/>
          <w:lang w:eastAsia="en-IN"/>
        </w:rPr>
        <w:t xml:space="preserve"> food industry has shifted its focus towards the design and development of functional foods that offer not only good nutritional properties but also positive effects on health by improving cellular functions and reducing the risk of noncommunicable diseases</w:t>
      </w:r>
      <w:r w:rsidRPr="008B2B2F">
        <w:rPr>
          <w:rFonts w:ascii="Times New Roman" w:hAnsi="Times New Roman" w:cs="Times New Roman"/>
          <w:color w:val="000000" w:themeColor="text1"/>
          <w:sz w:val="20"/>
          <w:szCs w:val="20"/>
        </w:rPr>
        <w:fldChar w:fldCharType="begin"/>
      </w:r>
      <w:r w:rsidRPr="008B2B2F">
        <w:rPr>
          <w:rFonts w:ascii="Times New Roman" w:eastAsia="Times New Roman" w:hAnsi="Times New Roman" w:cs="Times New Roman"/>
          <w:color w:val="000000" w:themeColor="text1"/>
          <w:sz w:val="20"/>
          <w:szCs w:val="20"/>
          <w:lang w:eastAsia="en-IN"/>
        </w:rPr>
        <w:instrText xml:space="preserve"> ADDIN ZOTERO_ITEM CSL_CITATION {"citationID":"G3N0VPcp","properties":{"formattedCitation":"\\super 58\\nosupersub{}","plainCitation":"58","noteIndex":0},"citationItems":[{"id":448,"uris":["http://zotero.org/users/10868288/items/7DSBG4UY"],"itemData":{"id":448,"type":"article-journal","container-title":"Trends in Food Science &amp; Technology","DOI":"10.1016/j.tifs.2021.05.025","ISSN":"09242244","journalAbbreviation":"Trends in Food Science &amp; Technology","language":"en","page":"397-410","source":"DOI.org (Crossref)","title":"Satiety from healthier and functional foods","volume":"113","author":[{"family":"Munekata","given":"Paulo E.S."},{"family":"Pérez-Álvarez","given":"Jose Ángel"},{"family":"Pateiro","given":"Mirian"},{"family":"Viuda-Matos","given":"Manuel"},{"family":"Fernández-López","given":"Juana"},{"family":"Lorenzo","given":"Jose M."}],"issued":{"date-parts":[["2021",7]]}}}],"schema":"https://github.com/citation-style-language/schema/raw/master/csl-citation.json"} </w:instrText>
      </w:r>
      <w:r w:rsidRPr="008B2B2F">
        <w:rPr>
          <w:rFonts w:ascii="Times New Roman" w:eastAsia="Times New Roman" w:hAnsi="Times New Roman" w:cs="Times New Roman"/>
          <w:color w:val="000000" w:themeColor="text1"/>
          <w:sz w:val="20"/>
          <w:szCs w:val="20"/>
          <w:lang w:eastAsia="en-IN"/>
        </w:rPr>
        <w:fldChar w:fldCharType="separate"/>
      </w:r>
      <w:r w:rsidRPr="008B2B2F">
        <w:rPr>
          <w:rFonts w:ascii="Times New Roman" w:hAnsi="Times New Roman" w:cs="Times New Roman"/>
          <w:color w:val="000000" w:themeColor="text1"/>
          <w:sz w:val="20"/>
          <w:szCs w:val="20"/>
          <w:vertAlign w:val="superscript"/>
        </w:rPr>
        <w:t>58</w:t>
      </w:r>
      <w:r w:rsidRPr="008B2B2F">
        <w:rPr>
          <w:rFonts w:ascii="Times New Roman" w:eastAsia="Times New Roman" w:hAnsi="Times New Roman" w:cs="Times New Roman"/>
          <w:color w:val="000000" w:themeColor="text1"/>
          <w:sz w:val="20"/>
          <w:szCs w:val="20"/>
          <w:lang w:eastAsia="en-IN"/>
        </w:rPr>
        <w:fldChar w:fldCharType="end"/>
      </w:r>
    </w:p>
    <w:p w14:paraId="0592E650" w14:textId="77777777" w:rsidR="00F61C0A" w:rsidRPr="008B2B2F" w:rsidRDefault="00124EB5" w:rsidP="008B2B2F">
      <w:pPr>
        <w:pStyle w:val="ListParagraph"/>
        <w:numPr>
          <w:ilvl w:val="0"/>
          <w:numId w:val="1"/>
        </w:numPr>
        <w:shd w:val="clear" w:color="auto" w:fill="FFFFFF" w:themeFill="background1"/>
        <w:spacing w:after="0" w:line="240" w:lineRule="auto"/>
        <w:jc w:val="center"/>
        <w:outlineLvl w:val="1"/>
        <w:rPr>
          <w:rFonts w:ascii="Times New Roman" w:eastAsia="Times New Roman" w:hAnsi="Times New Roman" w:cs="Times New Roman"/>
          <w:b/>
          <w:bCs/>
          <w:color w:val="000000" w:themeColor="text1"/>
          <w:sz w:val="20"/>
          <w:szCs w:val="20"/>
          <w:lang w:eastAsia="en-IN"/>
        </w:rPr>
      </w:pPr>
      <w:r w:rsidRPr="008B2B2F">
        <w:rPr>
          <w:rFonts w:ascii="Times New Roman" w:eastAsia="Times New Roman" w:hAnsi="Times New Roman" w:cs="Times New Roman"/>
          <w:b/>
          <w:bCs/>
          <w:color w:val="000000" w:themeColor="text1"/>
          <w:sz w:val="20"/>
          <w:szCs w:val="20"/>
          <w:lang w:eastAsia="en-IN"/>
        </w:rPr>
        <w:t>CONCLUSION</w:t>
      </w:r>
    </w:p>
    <w:p w14:paraId="6F9A35D8" w14:textId="77777777" w:rsidR="00F61C0A" w:rsidRPr="008B2B2F" w:rsidRDefault="00F61C0A" w:rsidP="008B2B2F">
      <w:pPr>
        <w:pStyle w:val="ListParagraph"/>
        <w:shd w:val="clear" w:color="auto" w:fill="FFFFFF" w:themeFill="background1"/>
        <w:spacing w:after="0" w:line="240" w:lineRule="auto"/>
        <w:ind w:left="1080"/>
        <w:outlineLvl w:val="1"/>
        <w:rPr>
          <w:rFonts w:ascii="Times New Roman" w:eastAsia="Times New Roman" w:hAnsi="Times New Roman" w:cs="Times New Roman"/>
          <w:b/>
          <w:bCs/>
          <w:color w:val="000000" w:themeColor="text1"/>
          <w:sz w:val="20"/>
          <w:szCs w:val="20"/>
          <w:lang w:eastAsia="en-IN"/>
        </w:rPr>
      </w:pPr>
    </w:p>
    <w:p w14:paraId="0A1094CF" w14:textId="406C928F" w:rsidR="00F61C0A" w:rsidRPr="008B2B2F" w:rsidRDefault="00124EB5" w:rsidP="008B2B2F">
      <w:pPr>
        <w:shd w:val="clear" w:color="auto" w:fill="FFFFFF" w:themeFill="background1"/>
        <w:spacing w:after="0" w:line="240" w:lineRule="auto"/>
        <w:ind w:firstLine="360"/>
        <w:jc w:val="both"/>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Green Revolution, in combination with Nutricultivation and eco-productive farming, emerged as promising solutions to increase food production</w:t>
      </w:r>
      <w:r w:rsidR="000B109F">
        <w:rPr>
          <w:rFonts w:ascii="Times New Roman" w:eastAsia="Times New Roman" w:hAnsi="Times New Roman" w:cs="Times New Roman"/>
          <w:color w:val="000000" w:themeColor="text1"/>
          <w:sz w:val="20"/>
          <w:szCs w:val="20"/>
          <w:lang w:eastAsia="en-IN"/>
        </w:rPr>
        <w:t xml:space="preserve"> but</w:t>
      </w:r>
      <w:r w:rsidRPr="008B2B2F">
        <w:rPr>
          <w:rFonts w:ascii="Times New Roman" w:eastAsia="Times New Roman" w:hAnsi="Times New Roman" w:cs="Times New Roman"/>
          <w:color w:val="000000" w:themeColor="text1"/>
          <w:sz w:val="20"/>
          <w:szCs w:val="20"/>
          <w:lang w:eastAsia="en-IN"/>
        </w:rPr>
        <w:t xml:space="preserve"> ended up causing a negative environmental impact. </w:t>
      </w:r>
      <w:r w:rsidR="000B109F">
        <w:rPr>
          <w:rFonts w:ascii="Times New Roman" w:eastAsia="Times New Roman" w:hAnsi="Times New Roman" w:cs="Times New Roman"/>
          <w:color w:val="000000" w:themeColor="text1"/>
          <w:sz w:val="20"/>
          <w:szCs w:val="20"/>
          <w:lang w:eastAsia="en-IN"/>
        </w:rPr>
        <w:t>T</w:t>
      </w:r>
      <w:r w:rsidRPr="008B2B2F">
        <w:rPr>
          <w:rFonts w:ascii="Times New Roman" w:eastAsia="Times New Roman" w:hAnsi="Times New Roman" w:cs="Times New Roman"/>
          <w:color w:val="000000" w:themeColor="text1"/>
          <w:sz w:val="20"/>
          <w:szCs w:val="20"/>
          <w:lang w:eastAsia="en-IN"/>
        </w:rPr>
        <w:t>he shortening of food chain, known as SFSC, may constitute a hopeful strategy to overcome the limitations associated with LFSC. SFSC is based on the elimination of intermediaries between producer and consumer, geographic proximity, and traceability.</w:t>
      </w:r>
    </w:p>
    <w:p w14:paraId="39298E0F" w14:textId="77777777" w:rsidR="00F61C0A" w:rsidRPr="008B2B2F" w:rsidRDefault="00F61C0A" w:rsidP="008B2B2F">
      <w:pPr>
        <w:pStyle w:val="Bibliography"/>
        <w:shd w:val="clear" w:color="auto" w:fill="FFFFFF" w:themeFill="background1"/>
        <w:spacing w:after="0"/>
        <w:jc w:val="center"/>
        <w:rPr>
          <w:rFonts w:ascii="Times New Roman" w:hAnsi="Times New Roman" w:cs="Times New Roman"/>
          <w:b/>
          <w:color w:val="000000" w:themeColor="text1"/>
          <w:sz w:val="20"/>
          <w:szCs w:val="20"/>
          <w:lang w:eastAsia="en-IN"/>
        </w:rPr>
      </w:pPr>
    </w:p>
    <w:p w14:paraId="0A3BAC85" w14:textId="77777777" w:rsidR="00124EB5" w:rsidRPr="008B2B2F" w:rsidRDefault="00124EB5" w:rsidP="008B2B2F">
      <w:pPr>
        <w:pStyle w:val="Bibliography"/>
        <w:shd w:val="clear" w:color="auto" w:fill="FFFFFF" w:themeFill="background1"/>
        <w:spacing w:after="0"/>
        <w:jc w:val="center"/>
        <w:rPr>
          <w:rFonts w:ascii="Times New Roman" w:hAnsi="Times New Roman" w:cs="Times New Roman"/>
          <w:color w:val="000000" w:themeColor="text1"/>
          <w:sz w:val="20"/>
          <w:szCs w:val="20"/>
        </w:rPr>
      </w:pPr>
      <w:r w:rsidRPr="008B2B2F">
        <w:rPr>
          <w:rFonts w:ascii="Times New Roman" w:hAnsi="Times New Roman" w:cs="Times New Roman"/>
          <w:b/>
          <w:color w:val="000000" w:themeColor="text1"/>
          <w:sz w:val="20"/>
          <w:szCs w:val="20"/>
          <w:lang w:eastAsia="en-IN"/>
        </w:rPr>
        <w:lastRenderedPageBreak/>
        <w:t>REFERENCES</w:t>
      </w:r>
    </w:p>
    <w:p w14:paraId="2E562057"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w:t>
      </w:r>
      <w:r w:rsidRPr="008B2B2F">
        <w:rPr>
          <w:rFonts w:ascii="Times New Roman" w:hAnsi="Times New Roman" w:cs="Times New Roman"/>
          <w:color w:val="000000" w:themeColor="text1"/>
          <w:sz w:val="20"/>
          <w:szCs w:val="20"/>
        </w:rPr>
        <w:fldChar w:fldCharType="begin"/>
      </w:r>
      <w:r w:rsidRPr="008B2B2F">
        <w:rPr>
          <w:rFonts w:ascii="Times New Roman" w:hAnsi="Times New Roman" w:cs="Times New Roman"/>
          <w:color w:val="000000" w:themeColor="text1"/>
          <w:sz w:val="20"/>
          <w:szCs w:val="20"/>
        </w:rPr>
        <w:instrText xml:space="preserve"> ADDIN ZOTERO_BIBL {"uncited":[],"omitted":[],"custom":[]} CSL_BIBLIOGRAPHY </w:instrText>
      </w:r>
      <w:r w:rsidRPr="008B2B2F">
        <w:rPr>
          <w:rFonts w:ascii="Times New Roman" w:hAnsi="Times New Roman" w:cs="Times New Roman"/>
          <w:color w:val="000000" w:themeColor="text1"/>
          <w:sz w:val="20"/>
          <w:szCs w:val="20"/>
        </w:rPr>
        <w:fldChar w:fldCharType="separate"/>
      </w:r>
      <w:r w:rsidRPr="008B2B2F">
        <w:rPr>
          <w:rFonts w:ascii="Times New Roman" w:hAnsi="Times New Roman" w:cs="Times New Roman"/>
          <w:color w:val="000000" w:themeColor="text1"/>
          <w:sz w:val="20"/>
          <w:szCs w:val="20"/>
        </w:rPr>
        <w:t>1]</w:t>
      </w:r>
      <w:r w:rsidRPr="008B2B2F">
        <w:rPr>
          <w:rFonts w:ascii="Times New Roman" w:hAnsi="Times New Roman" w:cs="Times New Roman"/>
          <w:color w:val="000000" w:themeColor="text1"/>
          <w:sz w:val="20"/>
          <w:szCs w:val="20"/>
        </w:rPr>
        <w:tab/>
        <w:t>The Nobel Peace Prize 1970. NobelPrize.org. Accessed July 31, 2023. https://www.nobelprize.org/prizes/peace/1970/borlaug/lecture/</w:t>
      </w:r>
    </w:p>
    <w:p w14:paraId="39238206"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[2]</w:t>
      </w:r>
      <w:r w:rsidRPr="008B2B2F">
        <w:rPr>
          <w:rFonts w:ascii="Times New Roman" w:hAnsi="Times New Roman" w:cs="Times New Roman"/>
          <w:color w:val="000000" w:themeColor="text1"/>
          <w:sz w:val="20"/>
          <w:szCs w:val="20"/>
        </w:rPr>
        <w:tab/>
        <w:t xml:space="preserve">Pingali PL. Green Revolution: Impacts, limits, and the path ahead. </w:t>
      </w:r>
      <w:r w:rsidRPr="008B2B2F">
        <w:rPr>
          <w:rFonts w:ascii="Times New Roman" w:hAnsi="Times New Roman" w:cs="Times New Roman"/>
          <w:i/>
          <w:iCs/>
          <w:color w:val="000000" w:themeColor="text1"/>
          <w:sz w:val="20"/>
          <w:szCs w:val="20"/>
        </w:rPr>
        <w:t>Proc Natl Acad Sci</w:t>
      </w:r>
      <w:r w:rsidRPr="008B2B2F">
        <w:rPr>
          <w:rFonts w:ascii="Times New Roman" w:hAnsi="Times New Roman" w:cs="Times New Roman"/>
          <w:color w:val="000000" w:themeColor="text1"/>
          <w:sz w:val="20"/>
          <w:szCs w:val="20"/>
        </w:rPr>
        <w:t>. 2012;109(31):12302-12308. doi:10.1073/pnas.0912953109</w:t>
      </w:r>
    </w:p>
    <w:p w14:paraId="223FE08C"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[3]</w:t>
      </w:r>
      <w:r w:rsidRPr="008B2B2F">
        <w:rPr>
          <w:rFonts w:ascii="Times New Roman" w:hAnsi="Times New Roman" w:cs="Times New Roman"/>
          <w:color w:val="000000" w:themeColor="text1"/>
          <w:sz w:val="20"/>
          <w:szCs w:val="20"/>
        </w:rPr>
        <w:tab/>
        <w:t>The State of Food and Agriculture 2020. www.fao.org. doi:10.4060/cb1447en</w:t>
      </w:r>
    </w:p>
    <w:p w14:paraId="07960F76"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[4]</w:t>
      </w:r>
      <w:r w:rsidRPr="008B2B2F">
        <w:rPr>
          <w:rFonts w:ascii="Times New Roman" w:hAnsi="Times New Roman" w:cs="Times New Roman"/>
          <w:color w:val="000000" w:themeColor="text1"/>
          <w:sz w:val="20"/>
          <w:szCs w:val="20"/>
        </w:rPr>
        <w:tab/>
        <w:t xml:space="preserve">Wheeler T, von Braun J. Climate change impacts on global food security. </w:t>
      </w:r>
      <w:r w:rsidRPr="008B2B2F">
        <w:rPr>
          <w:rFonts w:ascii="Times New Roman" w:hAnsi="Times New Roman" w:cs="Times New Roman"/>
          <w:i/>
          <w:iCs/>
          <w:color w:val="000000" w:themeColor="text1"/>
          <w:sz w:val="20"/>
          <w:szCs w:val="20"/>
        </w:rPr>
        <w:t>Science</w:t>
      </w:r>
      <w:r w:rsidRPr="008B2B2F">
        <w:rPr>
          <w:rFonts w:ascii="Times New Roman" w:hAnsi="Times New Roman" w:cs="Times New Roman"/>
          <w:color w:val="000000" w:themeColor="text1"/>
          <w:sz w:val="20"/>
          <w:szCs w:val="20"/>
        </w:rPr>
        <w:t>. 2013;341(6145):508-513. doi:10.1126/science.1239402</w:t>
      </w:r>
    </w:p>
    <w:p w14:paraId="22DBE8FA"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[5]</w:t>
      </w:r>
      <w:r w:rsidRPr="008B2B2F">
        <w:rPr>
          <w:rFonts w:ascii="Times New Roman" w:hAnsi="Times New Roman" w:cs="Times New Roman"/>
          <w:color w:val="000000" w:themeColor="text1"/>
          <w:sz w:val="20"/>
          <w:szCs w:val="20"/>
        </w:rPr>
        <w:tab/>
        <w:t xml:space="preserve">Bayir B, Charles A, Sekhari A, Ouzrout Y. Issues and Challenges in Short Food Supply Chains: A Systematic Literature Review. </w:t>
      </w:r>
      <w:r w:rsidRPr="008B2B2F">
        <w:rPr>
          <w:rFonts w:ascii="Times New Roman" w:hAnsi="Times New Roman" w:cs="Times New Roman"/>
          <w:i/>
          <w:iCs/>
          <w:color w:val="000000" w:themeColor="text1"/>
          <w:sz w:val="20"/>
          <w:szCs w:val="20"/>
        </w:rPr>
        <w:t>Sustainability</w:t>
      </w:r>
      <w:r w:rsidRPr="008B2B2F">
        <w:rPr>
          <w:rFonts w:ascii="Times New Roman" w:hAnsi="Times New Roman" w:cs="Times New Roman"/>
          <w:color w:val="000000" w:themeColor="text1"/>
          <w:sz w:val="20"/>
          <w:szCs w:val="20"/>
        </w:rPr>
        <w:t>. 2022;14(5):3029. doi:10.3390/su14053029</w:t>
      </w:r>
    </w:p>
    <w:p w14:paraId="698580C1"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[6]</w:t>
      </w:r>
      <w:r w:rsidRPr="008B2B2F">
        <w:rPr>
          <w:rFonts w:ascii="Times New Roman" w:hAnsi="Times New Roman" w:cs="Times New Roman"/>
          <w:color w:val="000000" w:themeColor="text1"/>
          <w:sz w:val="20"/>
          <w:szCs w:val="20"/>
        </w:rPr>
        <w:tab/>
        <w:t xml:space="preserve">Hobbs JE. Food supply chain resilience and the COVID‐19 pandemic: What have we learned? </w:t>
      </w:r>
      <w:r w:rsidRPr="008B2B2F">
        <w:rPr>
          <w:rFonts w:ascii="Times New Roman" w:hAnsi="Times New Roman" w:cs="Times New Roman"/>
          <w:i/>
          <w:iCs/>
          <w:color w:val="000000" w:themeColor="text1"/>
          <w:sz w:val="20"/>
          <w:szCs w:val="20"/>
        </w:rPr>
        <w:t>Can J Agric Econ Can Agroeconomie</w:t>
      </w:r>
      <w:r w:rsidRPr="008B2B2F">
        <w:rPr>
          <w:rFonts w:ascii="Times New Roman" w:hAnsi="Times New Roman" w:cs="Times New Roman"/>
          <w:color w:val="000000" w:themeColor="text1"/>
          <w:sz w:val="20"/>
          <w:szCs w:val="20"/>
        </w:rPr>
        <w:t>. 2021;69(2):189-196. doi:10.1111/cjag.12279</w:t>
      </w:r>
    </w:p>
    <w:p w14:paraId="41A96652"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[7]</w:t>
      </w:r>
      <w:r w:rsidRPr="008B2B2F">
        <w:rPr>
          <w:rFonts w:ascii="Times New Roman" w:hAnsi="Times New Roman" w:cs="Times New Roman"/>
          <w:color w:val="000000" w:themeColor="text1"/>
          <w:sz w:val="20"/>
          <w:szCs w:val="20"/>
        </w:rPr>
        <w:tab/>
        <w:t xml:space="preserve">Pretty J. Agricultural sustainability: concepts, principles and evidence. </w:t>
      </w:r>
      <w:r w:rsidRPr="008B2B2F">
        <w:rPr>
          <w:rFonts w:ascii="Times New Roman" w:hAnsi="Times New Roman" w:cs="Times New Roman"/>
          <w:i/>
          <w:iCs/>
          <w:color w:val="000000" w:themeColor="text1"/>
          <w:sz w:val="20"/>
          <w:szCs w:val="20"/>
        </w:rPr>
        <w:t>Philos Trans R Soc B Biol Sci</w:t>
      </w:r>
      <w:r w:rsidRPr="008B2B2F">
        <w:rPr>
          <w:rFonts w:ascii="Times New Roman" w:hAnsi="Times New Roman" w:cs="Times New Roman"/>
          <w:color w:val="000000" w:themeColor="text1"/>
          <w:sz w:val="20"/>
          <w:szCs w:val="20"/>
        </w:rPr>
        <w:t>. 2008;363(1491):447-465. doi:10.1098/rstb.2007.2163</w:t>
      </w:r>
    </w:p>
    <w:p w14:paraId="1AC73B72"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[8]</w:t>
      </w:r>
      <w:r w:rsidRPr="008B2B2F">
        <w:rPr>
          <w:rFonts w:ascii="Times New Roman" w:hAnsi="Times New Roman" w:cs="Times New Roman"/>
          <w:color w:val="000000" w:themeColor="text1"/>
          <w:sz w:val="20"/>
          <w:szCs w:val="20"/>
        </w:rPr>
        <w:tab/>
        <w:t xml:space="preserve">Rosegrant MW, Paisner MS, Meijer S, Witcover J. Global food projections to 2020: emerging trends and alternative futures. </w:t>
      </w:r>
      <w:r w:rsidRPr="008B2B2F">
        <w:rPr>
          <w:rFonts w:ascii="Times New Roman" w:hAnsi="Times New Roman" w:cs="Times New Roman"/>
          <w:i/>
          <w:iCs/>
          <w:color w:val="000000" w:themeColor="text1"/>
          <w:sz w:val="20"/>
          <w:szCs w:val="20"/>
        </w:rPr>
        <w:t>Glob Food Proj 2020 Emerg Trends Altern Futur</w:t>
      </w:r>
      <w:r w:rsidRPr="008B2B2F">
        <w:rPr>
          <w:rFonts w:ascii="Times New Roman" w:hAnsi="Times New Roman" w:cs="Times New Roman"/>
          <w:color w:val="000000" w:themeColor="text1"/>
          <w:sz w:val="20"/>
          <w:szCs w:val="20"/>
        </w:rPr>
        <w:t>. Published online 2001. Accessed July 24, 2023. https://www.cabdirect.org/cabdirect/abstract/20013160659</w:t>
      </w:r>
    </w:p>
    <w:p w14:paraId="68404E37"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[9]</w:t>
      </w:r>
      <w:r w:rsidRPr="008B2B2F">
        <w:rPr>
          <w:rFonts w:ascii="Times New Roman" w:hAnsi="Times New Roman" w:cs="Times New Roman"/>
          <w:color w:val="000000" w:themeColor="text1"/>
          <w:sz w:val="20"/>
          <w:szCs w:val="20"/>
        </w:rPr>
        <w:tab/>
        <w:t xml:space="preserve">Pigford AAE, Hickey GM, Klerkx L. Beyond agricultural innovation systems? Exploring an agricultural innovation ecosystems approach for niche design and development in sustainability transitions. </w:t>
      </w:r>
      <w:r w:rsidRPr="008B2B2F">
        <w:rPr>
          <w:rFonts w:ascii="Times New Roman" w:hAnsi="Times New Roman" w:cs="Times New Roman"/>
          <w:i/>
          <w:iCs/>
          <w:color w:val="000000" w:themeColor="text1"/>
          <w:sz w:val="20"/>
          <w:szCs w:val="20"/>
        </w:rPr>
        <w:t>Agric Syst</w:t>
      </w:r>
      <w:r w:rsidRPr="008B2B2F">
        <w:rPr>
          <w:rFonts w:ascii="Times New Roman" w:hAnsi="Times New Roman" w:cs="Times New Roman"/>
          <w:color w:val="000000" w:themeColor="text1"/>
          <w:sz w:val="20"/>
          <w:szCs w:val="20"/>
        </w:rPr>
        <w:t>. 2018;164:116-121. doi:10.1016/j.agsy.2018.04.007</w:t>
      </w:r>
    </w:p>
    <w:p w14:paraId="060590F7"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[10]</w:t>
      </w:r>
      <w:r w:rsidRPr="008B2B2F">
        <w:rPr>
          <w:rFonts w:ascii="Times New Roman" w:hAnsi="Times New Roman" w:cs="Times New Roman"/>
          <w:color w:val="000000" w:themeColor="text1"/>
          <w:sz w:val="20"/>
          <w:szCs w:val="20"/>
        </w:rPr>
        <w:tab/>
        <w:t xml:space="preserve">Drewnowski A, Finley J, Hess JM, Ingram J, Miller G, Peters C. Toward Healthy Diets from Sustainable Food Systems. </w:t>
      </w:r>
      <w:r w:rsidRPr="008B2B2F">
        <w:rPr>
          <w:rFonts w:ascii="Times New Roman" w:hAnsi="Times New Roman" w:cs="Times New Roman"/>
          <w:i/>
          <w:iCs/>
          <w:color w:val="000000" w:themeColor="text1"/>
          <w:sz w:val="20"/>
          <w:szCs w:val="20"/>
        </w:rPr>
        <w:t>Curr Dev Nutr</w:t>
      </w:r>
      <w:r w:rsidRPr="008B2B2F">
        <w:rPr>
          <w:rFonts w:ascii="Times New Roman" w:hAnsi="Times New Roman" w:cs="Times New Roman"/>
          <w:color w:val="000000" w:themeColor="text1"/>
          <w:sz w:val="20"/>
          <w:szCs w:val="20"/>
        </w:rPr>
        <w:t>. 2020;4(6):nzaa083. doi:10.1093/cdn/nzaa083</w:t>
      </w:r>
    </w:p>
    <w:p w14:paraId="1E97064F" w14:textId="77777777" w:rsidR="00124EB5" w:rsidRPr="008B2B2F" w:rsidRDefault="00124EB5" w:rsidP="008B2B2F">
      <w:pPr>
        <w:pStyle w:val="Bibliography"/>
        <w:shd w:val="clear" w:color="auto" w:fill="FFFFFF" w:themeFill="background1"/>
        <w:spacing w:before="240" w:after="0"/>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[11]</w:t>
      </w:r>
      <w:r w:rsidRPr="008B2B2F">
        <w:rPr>
          <w:rFonts w:ascii="Times New Roman" w:hAnsi="Times New Roman" w:cs="Times New Roman"/>
          <w:color w:val="000000" w:themeColor="text1"/>
          <w:sz w:val="20"/>
          <w:szCs w:val="20"/>
        </w:rPr>
        <w:tab/>
        <w:t xml:space="preserve">Dobbs TL, Pretty JN. Agri-Environmental Stewardship Schemes and “Multifunctionality.” </w:t>
      </w:r>
      <w:r w:rsidRPr="008B2B2F">
        <w:rPr>
          <w:rFonts w:ascii="Times New Roman" w:hAnsi="Times New Roman" w:cs="Times New Roman"/>
          <w:i/>
          <w:iCs/>
          <w:color w:val="000000" w:themeColor="text1"/>
          <w:sz w:val="20"/>
          <w:szCs w:val="20"/>
        </w:rPr>
        <w:t>Rev Agric Econ</w:t>
      </w:r>
      <w:r w:rsidRPr="008B2B2F">
        <w:rPr>
          <w:rFonts w:ascii="Times New Roman" w:hAnsi="Times New Roman" w:cs="Times New Roman"/>
          <w:color w:val="000000" w:themeColor="text1"/>
          <w:sz w:val="20"/>
          <w:szCs w:val="20"/>
        </w:rPr>
        <w:t>. 2004;26(2):220-237. doi:10.1111/j.1467-9353.2004.00172.x</w:t>
      </w:r>
    </w:p>
    <w:p w14:paraId="22D9CF7B"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[12]</w:t>
      </w:r>
      <w:r w:rsidRPr="008B2B2F">
        <w:rPr>
          <w:rFonts w:ascii="Times New Roman" w:hAnsi="Times New Roman" w:cs="Times New Roman"/>
          <w:color w:val="000000" w:themeColor="text1"/>
          <w:sz w:val="20"/>
          <w:szCs w:val="20"/>
        </w:rPr>
        <w:tab/>
        <w:t xml:space="preserve">Terán JF. El Informe Stern y la despolitización de la “economía del cambio climático.” </w:t>
      </w:r>
      <w:r w:rsidRPr="008B2B2F">
        <w:rPr>
          <w:rFonts w:ascii="Times New Roman" w:hAnsi="Times New Roman" w:cs="Times New Roman"/>
          <w:i/>
          <w:iCs/>
          <w:color w:val="000000" w:themeColor="text1"/>
          <w:sz w:val="20"/>
          <w:szCs w:val="20"/>
        </w:rPr>
        <w:t>Coment Int Rev Cent Andino Estud Int</w:t>
      </w:r>
      <w:r w:rsidRPr="008B2B2F">
        <w:rPr>
          <w:rFonts w:ascii="Times New Roman" w:hAnsi="Times New Roman" w:cs="Times New Roman"/>
          <w:color w:val="000000" w:themeColor="text1"/>
          <w:sz w:val="20"/>
          <w:szCs w:val="20"/>
        </w:rPr>
        <w:t>. 2008;(8):169-186.</w:t>
      </w:r>
    </w:p>
    <w:p w14:paraId="18F95FCD"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[13]</w:t>
      </w:r>
      <w:r w:rsidRPr="008B2B2F">
        <w:rPr>
          <w:rFonts w:ascii="Times New Roman" w:hAnsi="Times New Roman" w:cs="Times New Roman"/>
          <w:color w:val="000000" w:themeColor="text1"/>
          <w:sz w:val="20"/>
          <w:szCs w:val="20"/>
        </w:rPr>
        <w:tab/>
        <w:t>EAT-Lancet_Commission_Summary_Report.pdf. Accessed July 22, 2023. https://eatforum.org/content/uploads/2019/07/EAT-Lancet_Commission_Summary_Report.pdf</w:t>
      </w:r>
    </w:p>
    <w:p w14:paraId="31DD0534"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[14]</w:t>
      </w:r>
      <w:r w:rsidRPr="008B2B2F">
        <w:rPr>
          <w:rFonts w:ascii="Times New Roman" w:hAnsi="Times New Roman" w:cs="Times New Roman"/>
          <w:color w:val="000000" w:themeColor="text1"/>
          <w:sz w:val="20"/>
          <w:szCs w:val="20"/>
        </w:rPr>
        <w:tab/>
        <w:t xml:space="preserve">Scobie GM, T. RP. The Impact of Technical Change on Income Distribution: The Case of Rice in Colombia. </w:t>
      </w:r>
      <w:r w:rsidRPr="008B2B2F">
        <w:rPr>
          <w:rFonts w:ascii="Times New Roman" w:hAnsi="Times New Roman" w:cs="Times New Roman"/>
          <w:i/>
          <w:iCs/>
          <w:color w:val="000000" w:themeColor="text1"/>
          <w:sz w:val="20"/>
          <w:szCs w:val="20"/>
        </w:rPr>
        <w:t>Am J Agric Econ</w:t>
      </w:r>
      <w:r w:rsidRPr="008B2B2F">
        <w:rPr>
          <w:rFonts w:ascii="Times New Roman" w:hAnsi="Times New Roman" w:cs="Times New Roman"/>
          <w:color w:val="000000" w:themeColor="text1"/>
          <w:sz w:val="20"/>
          <w:szCs w:val="20"/>
        </w:rPr>
        <w:t>. 1978;60(1):85-92. doi:10.2307/1240164</w:t>
      </w:r>
    </w:p>
    <w:p w14:paraId="071D6B8B"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[15]</w:t>
      </w:r>
      <w:r w:rsidRPr="008B2B2F">
        <w:rPr>
          <w:rFonts w:ascii="Times New Roman" w:hAnsi="Times New Roman" w:cs="Times New Roman"/>
          <w:color w:val="000000" w:themeColor="text1"/>
          <w:sz w:val="20"/>
          <w:szCs w:val="20"/>
        </w:rPr>
        <w:tab/>
        <w:t xml:space="preserve">Evenson RE, Gollin D. Assessing the Impact of the Green Revolution, 1960 to 2000. </w:t>
      </w:r>
      <w:r w:rsidRPr="008B2B2F">
        <w:rPr>
          <w:rFonts w:ascii="Times New Roman" w:hAnsi="Times New Roman" w:cs="Times New Roman"/>
          <w:i/>
          <w:iCs/>
          <w:color w:val="000000" w:themeColor="text1"/>
          <w:sz w:val="20"/>
          <w:szCs w:val="20"/>
        </w:rPr>
        <w:t>Science</w:t>
      </w:r>
      <w:r w:rsidRPr="008B2B2F">
        <w:rPr>
          <w:rFonts w:ascii="Times New Roman" w:hAnsi="Times New Roman" w:cs="Times New Roman"/>
          <w:color w:val="000000" w:themeColor="text1"/>
          <w:sz w:val="20"/>
          <w:szCs w:val="20"/>
        </w:rPr>
        <w:t>. 2003;300(5620):758-762. doi:10.1126/science.1078710</w:t>
      </w:r>
    </w:p>
    <w:p w14:paraId="0EB36A32"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[16]</w:t>
      </w:r>
      <w:r w:rsidRPr="008B2B2F">
        <w:rPr>
          <w:rFonts w:ascii="Times New Roman" w:hAnsi="Times New Roman" w:cs="Times New Roman"/>
          <w:color w:val="000000" w:themeColor="text1"/>
          <w:sz w:val="20"/>
          <w:szCs w:val="20"/>
        </w:rPr>
        <w:tab/>
        <w:t xml:space="preserve">Burney JA, Davis SJ, Lobell DB. Greenhouse gas mitigation by agricultural intensification. </w:t>
      </w:r>
      <w:r w:rsidRPr="008B2B2F">
        <w:rPr>
          <w:rFonts w:ascii="Times New Roman" w:hAnsi="Times New Roman" w:cs="Times New Roman"/>
          <w:i/>
          <w:iCs/>
          <w:color w:val="000000" w:themeColor="text1"/>
          <w:sz w:val="20"/>
          <w:szCs w:val="20"/>
        </w:rPr>
        <w:t>Proc Natl Acad Sci</w:t>
      </w:r>
      <w:r w:rsidRPr="008B2B2F">
        <w:rPr>
          <w:rFonts w:ascii="Times New Roman" w:hAnsi="Times New Roman" w:cs="Times New Roman"/>
          <w:color w:val="000000" w:themeColor="text1"/>
          <w:sz w:val="20"/>
          <w:szCs w:val="20"/>
        </w:rPr>
        <w:t>. 2010;107(26):12052-12057. doi:10.1073/pnas.0914216107</w:t>
      </w:r>
    </w:p>
    <w:p w14:paraId="13FDCA92"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[17]</w:t>
      </w:r>
      <w:r w:rsidRPr="008B2B2F">
        <w:rPr>
          <w:rFonts w:ascii="Times New Roman" w:hAnsi="Times New Roman" w:cs="Times New Roman"/>
          <w:color w:val="000000" w:themeColor="text1"/>
          <w:sz w:val="20"/>
          <w:szCs w:val="20"/>
        </w:rPr>
        <w:tab/>
        <w:t xml:space="preserve">John DA, Babu GR. Lessons From the Aftermaths of Green Revolution on Food System and Health. </w:t>
      </w:r>
      <w:r w:rsidRPr="008B2B2F">
        <w:rPr>
          <w:rFonts w:ascii="Times New Roman" w:hAnsi="Times New Roman" w:cs="Times New Roman"/>
          <w:i/>
          <w:iCs/>
          <w:color w:val="000000" w:themeColor="text1"/>
          <w:sz w:val="20"/>
          <w:szCs w:val="20"/>
        </w:rPr>
        <w:t>Front Sustain Food Syst</w:t>
      </w:r>
      <w:r w:rsidRPr="008B2B2F">
        <w:rPr>
          <w:rFonts w:ascii="Times New Roman" w:hAnsi="Times New Roman" w:cs="Times New Roman"/>
          <w:color w:val="000000" w:themeColor="text1"/>
          <w:sz w:val="20"/>
          <w:szCs w:val="20"/>
        </w:rPr>
        <w:t>. 2021;5:644559. doi:10.3389/fsufs.2021.644559</w:t>
      </w:r>
    </w:p>
    <w:p w14:paraId="0A5104AE"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[18]</w:t>
      </w:r>
      <w:r w:rsidRPr="008B2B2F">
        <w:rPr>
          <w:rFonts w:ascii="Times New Roman" w:hAnsi="Times New Roman" w:cs="Times New Roman"/>
          <w:color w:val="000000" w:themeColor="text1"/>
          <w:sz w:val="20"/>
          <w:szCs w:val="20"/>
        </w:rPr>
        <w:tab/>
        <w:t xml:space="preserve">Mark R, Ringler C, Zhu T, Sulser T, Santos RA, Stanley W. Agriculture and food security in Asia: the role of agricultural research and knowledge in a changing environment. </w:t>
      </w:r>
      <w:r w:rsidRPr="008B2B2F">
        <w:rPr>
          <w:rFonts w:ascii="Times New Roman" w:hAnsi="Times New Roman" w:cs="Times New Roman"/>
          <w:i/>
          <w:iCs/>
          <w:color w:val="000000" w:themeColor="text1"/>
          <w:sz w:val="20"/>
          <w:szCs w:val="20"/>
        </w:rPr>
        <w:t>J SAT Agric Res</w:t>
      </w:r>
      <w:r w:rsidRPr="008B2B2F">
        <w:rPr>
          <w:rFonts w:ascii="Times New Roman" w:hAnsi="Times New Roman" w:cs="Times New Roman"/>
          <w:color w:val="000000" w:themeColor="text1"/>
          <w:sz w:val="20"/>
          <w:szCs w:val="20"/>
        </w:rPr>
        <w:t>. Published online January 1, 2007.</w:t>
      </w:r>
    </w:p>
    <w:p w14:paraId="612D3F2E"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lastRenderedPageBreak/>
        <w:t>[19]</w:t>
      </w:r>
      <w:r w:rsidRPr="008B2B2F">
        <w:rPr>
          <w:rFonts w:ascii="Times New Roman" w:hAnsi="Times New Roman" w:cs="Times New Roman"/>
          <w:color w:val="000000" w:themeColor="text1"/>
          <w:sz w:val="20"/>
          <w:szCs w:val="20"/>
        </w:rPr>
        <w:tab/>
        <w:t xml:space="preserve">Soria-Lopez A, Garcia-Perez P, Carpena M, et al. Challenges for future food systems: From the Green Revolution to food supply chains with a special focus on sustainability. </w:t>
      </w:r>
      <w:r w:rsidRPr="008B2B2F">
        <w:rPr>
          <w:rFonts w:ascii="Times New Roman" w:hAnsi="Times New Roman" w:cs="Times New Roman"/>
          <w:i/>
          <w:iCs/>
          <w:color w:val="000000" w:themeColor="text1"/>
          <w:sz w:val="20"/>
          <w:szCs w:val="20"/>
        </w:rPr>
        <w:t>FOOD Front</w:t>
      </w:r>
      <w:r w:rsidRPr="008B2B2F">
        <w:rPr>
          <w:rFonts w:ascii="Times New Roman" w:hAnsi="Times New Roman" w:cs="Times New Roman"/>
          <w:color w:val="000000" w:themeColor="text1"/>
          <w:sz w:val="20"/>
          <w:szCs w:val="20"/>
        </w:rPr>
        <w:t>. 2023;4(1):9-20. doi:10.1002/fft2.173</w:t>
      </w:r>
    </w:p>
    <w:p w14:paraId="1FDDBBDA"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[20]</w:t>
      </w:r>
      <w:r w:rsidRPr="008B2B2F">
        <w:rPr>
          <w:rFonts w:ascii="Times New Roman" w:hAnsi="Times New Roman" w:cs="Times New Roman"/>
          <w:color w:val="000000" w:themeColor="text1"/>
          <w:sz w:val="20"/>
          <w:szCs w:val="20"/>
        </w:rPr>
        <w:tab/>
        <w:t xml:space="preserve">Fan MS, Zhao FJ, Fairweather-Tait SJ, Poulton PR, Dunham SJ, McGrath SP. Evidence of decreasing mineral density in wheat grain over the last 160 years. </w:t>
      </w:r>
      <w:r w:rsidRPr="008B2B2F">
        <w:rPr>
          <w:rFonts w:ascii="Times New Roman" w:hAnsi="Times New Roman" w:cs="Times New Roman"/>
          <w:i/>
          <w:iCs/>
          <w:color w:val="000000" w:themeColor="text1"/>
          <w:sz w:val="20"/>
          <w:szCs w:val="20"/>
        </w:rPr>
        <w:t>J Trace Elem Med Biol</w:t>
      </w:r>
      <w:r w:rsidRPr="008B2B2F">
        <w:rPr>
          <w:rFonts w:ascii="Times New Roman" w:hAnsi="Times New Roman" w:cs="Times New Roman"/>
          <w:color w:val="000000" w:themeColor="text1"/>
          <w:sz w:val="20"/>
          <w:szCs w:val="20"/>
        </w:rPr>
        <w:t>. 2008;22(4):315-324. doi:10.1016/j.jtemb.2008.07.002</w:t>
      </w:r>
    </w:p>
    <w:p w14:paraId="187C6281"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[21]</w:t>
      </w:r>
      <w:r w:rsidRPr="008B2B2F">
        <w:rPr>
          <w:rFonts w:ascii="Times New Roman" w:hAnsi="Times New Roman" w:cs="Times New Roman"/>
          <w:color w:val="000000" w:themeColor="text1"/>
          <w:sz w:val="20"/>
          <w:szCs w:val="20"/>
        </w:rPr>
        <w:tab/>
        <w:t xml:space="preserve">Nestel P, Bouis HE, Meenakshi JV, Pfeiffer W. Biofortification of Staple Food Crops. </w:t>
      </w:r>
      <w:r w:rsidRPr="008B2B2F">
        <w:rPr>
          <w:rFonts w:ascii="Times New Roman" w:hAnsi="Times New Roman" w:cs="Times New Roman"/>
          <w:i/>
          <w:iCs/>
          <w:color w:val="000000" w:themeColor="text1"/>
          <w:sz w:val="20"/>
          <w:szCs w:val="20"/>
        </w:rPr>
        <w:t>J Nutr</w:t>
      </w:r>
      <w:r w:rsidRPr="008B2B2F">
        <w:rPr>
          <w:rFonts w:ascii="Times New Roman" w:hAnsi="Times New Roman" w:cs="Times New Roman"/>
          <w:color w:val="000000" w:themeColor="text1"/>
          <w:sz w:val="20"/>
          <w:szCs w:val="20"/>
        </w:rPr>
        <w:t>. 2006;136(4):1064-1067. doi:10.1093/jn/136.4.1064</w:t>
      </w:r>
    </w:p>
    <w:p w14:paraId="76DBAD33"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[22]</w:t>
      </w:r>
      <w:r w:rsidRPr="008B2B2F">
        <w:rPr>
          <w:rFonts w:ascii="Times New Roman" w:hAnsi="Times New Roman" w:cs="Times New Roman"/>
          <w:color w:val="000000" w:themeColor="text1"/>
          <w:sz w:val="20"/>
          <w:szCs w:val="20"/>
        </w:rPr>
        <w:tab/>
        <w:t xml:space="preserve">Dhaliwal SS, Sharma V, Shukla AK, et al. Biofortification—A Frontier Novel Approach to Enrich Micronutrients in Field Crops to Encounter the Nutritional Security. </w:t>
      </w:r>
      <w:r w:rsidRPr="008B2B2F">
        <w:rPr>
          <w:rFonts w:ascii="Times New Roman" w:hAnsi="Times New Roman" w:cs="Times New Roman"/>
          <w:i/>
          <w:iCs/>
          <w:color w:val="000000" w:themeColor="text1"/>
          <w:sz w:val="20"/>
          <w:szCs w:val="20"/>
        </w:rPr>
        <w:t>Molecules</w:t>
      </w:r>
      <w:r w:rsidRPr="008B2B2F">
        <w:rPr>
          <w:rFonts w:ascii="Times New Roman" w:hAnsi="Times New Roman" w:cs="Times New Roman"/>
          <w:color w:val="000000" w:themeColor="text1"/>
          <w:sz w:val="20"/>
          <w:szCs w:val="20"/>
        </w:rPr>
        <w:t>. 2022;27(4):1340. doi:10.3390/molecules27041340</w:t>
      </w:r>
    </w:p>
    <w:p w14:paraId="64908286"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[23]</w:t>
      </w:r>
      <w:r w:rsidRPr="008B2B2F">
        <w:rPr>
          <w:rFonts w:ascii="Times New Roman" w:hAnsi="Times New Roman" w:cs="Times New Roman"/>
          <w:color w:val="000000" w:themeColor="text1"/>
          <w:sz w:val="20"/>
          <w:szCs w:val="20"/>
        </w:rPr>
        <w:tab/>
        <w:t>Frontiers | Anti-Cancer Activity of Maize Bioactive Peptides. Accessed July 24, 2023. https://www.frontiersin.org/articles/10.3389/fchem.2017.00044/full</w:t>
      </w:r>
    </w:p>
    <w:p w14:paraId="16EC3868"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[24]</w:t>
      </w:r>
      <w:r w:rsidRPr="008B2B2F">
        <w:rPr>
          <w:rFonts w:ascii="Times New Roman" w:hAnsi="Times New Roman" w:cs="Times New Roman"/>
          <w:color w:val="000000" w:themeColor="text1"/>
          <w:sz w:val="20"/>
          <w:szCs w:val="20"/>
        </w:rPr>
        <w:tab/>
        <w:t xml:space="preserve">Marles RJ. Mineral nutrient composition of vegetables, fruits and grains: The context of reports of apparent historical declines. </w:t>
      </w:r>
      <w:r w:rsidRPr="008B2B2F">
        <w:rPr>
          <w:rFonts w:ascii="Times New Roman" w:hAnsi="Times New Roman" w:cs="Times New Roman"/>
          <w:i/>
          <w:iCs/>
          <w:color w:val="000000" w:themeColor="text1"/>
          <w:sz w:val="20"/>
          <w:szCs w:val="20"/>
        </w:rPr>
        <w:t>J Food Compos Anal</w:t>
      </w:r>
      <w:r w:rsidRPr="008B2B2F">
        <w:rPr>
          <w:rFonts w:ascii="Times New Roman" w:hAnsi="Times New Roman" w:cs="Times New Roman"/>
          <w:color w:val="000000" w:themeColor="text1"/>
          <w:sz w:val="20"/>
          <w:szCs w:val="20"/>
        </w:rPr>
        <w:t>. 2017;56:93-103. doi:10.1016/j.jfca.2016.11.012</w:t>
      </w:r>
    </w:p>
    <w:p w14:paraId="7F3CAC91"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[25]</w:t>
      </w:r>
      <w:r w:rsidRPr="008B2B2F">
        <w:rPr>
          <w:rFonts w:ascii="Times New Roman" w:hAnsi="Times New Roman" w:cs="Times New Roman"/>
          <w:color w:val="000000" w:themeColor="text1"/>
          <w:sz w:val="20"/>
          <w:szCs w:val="20"/>
        </w:rPr>
        <w:tab/>
        <w:t xml:space="preserve">Hertel TW. Food security under climate change. </w:t>
      </w:r>
      <w:r w:rsidRPr="008B2B2F">
        <w:rPr>
          <w:rFonts w:ascii="Times New Roman" w:hAnsi="Times New Roman" w:cs="Times New Roman"/>
          <w:i/>
          <w:iCs/>
          <w:color w:val="000000" w:themeColor="text1"/>
          <w:sz w:val="20"/>
          <w:szCs w:val="20"/>
        </w:rPr>
        <w:t>Nat Clim Change</w:t>
      </w:r>
      <w:r w:rsidRPr="008B2B2F">
        <w:rPr>
          <w:rFonts w:ascii="Times New Roman" w:hAnsi="Times New Roman" w:cs="Times New Roman"/>
          <w:color w:val="000000" w:themeColor="text1"/>
          <w:sz w:val="20"/>
          <w:szCs w:val="20"/>
        </w:rPr>
        <w:t>. 2016;6(1):10-13. doi:10.1038/nclimate2834</w:t>
      </w:r>
    </w:p>
    <w:p w14:paraId="55B53F1F"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[26]</w:t>
      </w:r>
      <w:r w:rsidRPr="008B2B2F">
        <w:rPr>
          <w:rFonts w:ascii="Times New Roman" w:hAnsi="Times New Roman" w:cs="Times New Roman"/>
          <w:color w:val="000000" w:themeColor="text1"/>
          <w:sz w:val="20"/>
          <w:szCs w:val="20"/>
        </w:rPr>
        <w:tab/>
        <w:t xml:space="preserve">Prosekov AY, Ivanova SA. Food security: The challenge of the present. </w:t>
      </w:r>
      <w:r w:rsidRPr="008B2B2F">
        <w:rPr>
          <w:rFonts w:ascii="Times New Roman" w:hAnsi="Times New Roman" w:cs="Times New Roman"/>
          <w:i/>
          <w:iCs/>
          <w:color w:val="000000" w:themeColor="text1"/>
          <w:sz w:val="20"/>
          <w:szCs w:val="20"/>
        </w:rPr>
        <w:t>Geoforum</w:t>
      </w:r>
      <w:r w:rsidRPr="008B2B2F">
        <w:rPr>
          <w:rFonts w:ascii="Times New Roman" w:hAnsi="Times New Roman" w:cs="Times New Roman"/>
          <w:color w:val="000000" w:themeColor="text1"/>
          <w:sz w:val="20"/>
          <w:szCs w:val="20"/>
        </w:rPr>
        <w:t>. 2018;91:73-77. doi:10.1016/j.geoforum.2018.02.030</w:t>
      </w:r>
    </w:p>
    <w:p w14:paraId="25435943"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[27]</w:t>
      </w:r>
      <w:r w:rsidRPr="008B2B2F">
        <w:rPr>
          <w:rFonts w:ascii="Times New Roman" w:hAnsi="Times New Roman" w:cs="Times New Roman"/>
          <w:color w:val="000000" w:themeColor="text1"/>
          <w:sz w:val="20"/>
          <w:szCs w:val="20"/>
        </w:rPr>
        <w:tab/>
        <w:t xml:space="preserve">Cassman KG, Grassini P. A global perspective on sustainable intensification research. </w:t>
      </w:r>
      <w:r w:rsidRPr="008B2B2F">
        <w:rPr>
          <w:rFonts w:ascii="Times New Roman" w:hAnsi="Times New Roman" w:cs="Times New Roman"/>
          <w:i/>
          <w:iCs/>
          <w:color w:val="000000" w:themeColor="text1"/>
          <w:sz w:val="20"/>
          <w:szCs w:val="20"/>
        </w:rPr>
        <w:t>Nat Sustain</w:t>
      </w:r>
      <w:r w:rsidRPr="008B2B2F">
        <w:rPr>
          <w:rFonts w:ascii="Times New Roman" w:hAnsi="Times New Roman" w:cs="Times New Roman"/>
          <w:color w:val="000000" w:themeColor="text1"/>
          <w:sz w:val="20"/>
          <w:szCs w:val="20"/>
        </w:rPr>
        <w:t>. 2020;3(4):262-268. doi:10.1038/s41893-020-0507-8</w:t>
      </w:r>
    </w:p>
    <w:p w14:paraId="23C42061"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[28]</w:t>
      </w:r>
      <w:r w:rsidRPr="008B2B2F">
        <w:rPr>
          <w:rFonts w:ascii="Times New Roman" w:hAnsi="Times New Roman" w:cs="Times New Roman"/>
          <w:color w:val="000000" w:themeColor="text1"/>
          <w:sz w:val="20"/>
          <w:szCs w:val="20"/>
        </w:rPr>
        <w:tab/>
        <w:t xml:space="preserve">Power AG. Ecosystem services and agriculture: tradeoffs and synergies. </w:t>
      </w:r>
      <w:r w:rsidRPr="008B2B2F">
        <w:rPr>
          <w:rFonts w:ascii="Times New Roman" w:hAnsi="Times New Roman" w:cs="Times New Roman"/>
          <w:i/>
          <w:iCs/>
          <w:color w:val="000000" w:themeColor="text1"/>
          <w:sz w:val="20"/>
          <w:szCs w:val="20"/>
        </w:rPr>
        <w:t>Philos Trans R Soc B Biol Sci</w:t>
      </w:r>
      <w:r w:rsidRPr="008B2B2F">
        <w:rPr>
          <w:rFonts w:ascii="Times New Roman" w:hAnsi="Times New Roman" w:cs="Times New Roman"/>
          <w:color w:val="000000" w:themeColor="text1"/>
          <w:sz w:val="20"/>
          <w:szCs w:val="20"/>
        </w:rPr>
        <w:t>. 2010;365(1554):2959-2971. doi:10.1098/rstb.2010.0143</w:t>
      </w:r>
    </w:p>
    <w:p w14:paraId="361AF631"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[29]</w:t>
      </w:r>
      <w:r w:rsidRPr="008B2B2F">
        <w:rPr>
          <w:rFonts w:ascii="Times New Roman" w:hAnsi="Times New Roman" w:cs="Times New Roman"/>
          <w:color w:val="000000" w:themeColor="text1"/>
          <w:sz w:val="20"/>
          <w:szCs w:val="20"/>
        </w:rPr>
        <w:tab/>
        <w:t>The Role of Agriculture in Economic Development.</w:t>
      </w:r>
    </w:p>
    <w:p w14:paraId="43637E2E"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[30]</w:t>
      </w:r>
      <w:r w:rsidRPr="008B2B2F">
        <w:rPr>
          <w:rFonts w:ascii="Times New Roman" w:hAnsi="Times New Roman" w:cs="Times New Roman"/>
          <w:color w:val="000000" w:themeColor="text1"/>
          <w:sz w:val="20"/>
          <w:szCs w:val="20"/>
        </w:rPr>
        <w:tab/>
        <w:t xml:space="preserve">Rajesh R. On sustainability, resilience, and the sustainable–resilient supply networks. </w:t>
      </w:r>
      <w:r w:rsidRPr="008B2B2F">
        <w:rPr>
          <w:rFonts w:ascii="Times New Roman" w:hAnsi="Times New Roman" w:cs="Times New Roman"/>
          <w:i/>
          <w:iCs/>
          <w:color w:val="000000" w:themeColor="text1"/>
          <w:sz w:val="20"/>
          <w:szCs w:val="20"/>
        </w:rPr>
        <w:t>Sustain Prod Consum</w:t>
      </w:r>
      <w:r w:rsidRPr="008B2B2F">
        <w:rPr>
          <w:rFonts w:ascii="Times New Roman" w:hAnsi="Times New Roman" w:cs="Times New Roman"/>
          <w:color w:val="000000" w:themeColor="text1"/>
          <w:sz w:val="20"/>
          <w:szCs w:val="20"/>
        </w:rPr>
        <w:t>. 2018;15:74-88. doi:10.1016/j.spc.2018.05.005</w:t>
      </w:r>
    </w:p>
    <w:p w14:paraId="5AEC9662"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[31]</w:t>
      </w:r>
      <w:r w:rsidRPr="008B2B2F">
        <w:rPr>
          <w:rFonts w:ascii="Times New Roman" w:hAnsi="Times New Roman" w:cs="Times New Roman"/>
          <w:color w:val="000000" w:themeColor="text1"/>
          <w:sz w:val="20"/>
          <w:szCs w:val="20"/>
        </w:rPr>
        <w:tab/>
        <w:t xml:space="preserve">Joltreau T, Smith A. </w:t>
      </w:r>
      <w:r w:rsidRPr="008B2B2F">
        <w:rPr>
          <w:rFonts w:ascii="Times New Roman" w:hAnsi="Times New Roman" w:cs="Times New Roman"/>
          <w:i/>
          <w:iCs/>
          <w:color w:val="000000" w:themeColor="text1"/>
          <w:sz w:val="20"/>
          <w:szCs w:val="20"/>
        </w:rPr>
        <w:t>Short</w:t>
      </w:r>
      <w:r w:rsidRPr="008B2B2F">
        <w:rPr>
          <w:rFonts w:ascii="Times New Roman" w:hAnsi="Times New Roman" w:cs="Times New Roman"/>
          <w:color w:val="000000" w:themeColor="text1"/>
          <w:sz w:val="20"/>
          <w:szCs w:val="20"/>
        </w:rPr>
        <w:t xml:space="preserve"> Versus </w:t>
      </w:r>
      <w:r w:rsidRPr="008B2B2F">
        <w:rPr>
          <w:rFonts w:ascii="Times New Roman" w:hAnsi="Times New Roman" w:cs="Times New Roman"/>
          <w:i/>
          <w:iCs/>
          <w:color w:val="000000" w:themeColor="text1"/>
          <w:sz w:val="20"/>
          <w:szCs w:val="20"/>
        </w:rPr>
        <w:t>Long</w:t>
      </w:r>
      <w:r w:rsidRPr="008B2B2F">
        <w:rPr>
          <w:rFonts w:ascii="Times New Roman" w:hAnsi="Times New Roman" w:cs="Times New Roman"/>
          <w:color w:val="000000" w:themeColor="text1"/>
          <w:sz w:val="20"/>
          <w:szCs w:val="20"/>
        </w:rPr>
        <w:t xml:space="preserve"> Supply Chains in Agri‐Food Sectors: Peaceful Coexistence or Political Domination? The Case of </w:t>
      </w:r>
      <w:r w:rsidRPr="008B2B2F">
        <w:rPr>
          <w:rFonts w:ascii="Times New Roman" w:hAnsi="Times New Roman" w:cs="Times New Roman"/>
          <w:i/>
          <w:iCs/>
          <w:color w:val="000000" w:themeColor="text1"/>
          <w:sz w:val="20"/>
          <w:szCs w:val="20"/>
        </w:rPr>
        <w:t>foie gras</w:t>
      </w:r>
      <w:r w:rsidRPr="008B2B2F">
        <w:rPr>
          <w:rFonts w:ascii="Times New Roman" w:hAnsi="Times New Roman" w:cs="Times New Roman"/>
          <w:color w:val="000000" w:themeColor="text1"/>
          <w:sz w:val="20"/>
          <w:szCs w:val="20"/>
        </w:rPr>
        <w:t xml:space="preserve"> in South‐West France. </w:t>
      </w:r>
      <w:r w:rsidRPr="008B2B2F">
        <w:rPr>
          <w:rFonts w:ascii="Times New Roman" w:hAnsi="Times New Roman" w:cs="Times New Roman"/>
          <w:i/>
          <w:iCs/>
          <w:color w:val="000000" w:themeColor="text1"/>
          <w:sz w:val="20"/>
          <w:szCs w:val="20"/>
        </w:rPr>
        <w:t>Sociol Rural</w:t>
      </w:r>
      <w:r w:rsidRPr="008B2B2F">
        <w:rPr>
          <w:rFonts w:ascii="Times New Roman" w:hAnsi="Times New Roman" w:cs="Times New Roman"/>
          <w:color w:val="000000" w:themeColor="text1"/>
          <w:sz w:val="20"/>
          <w:szCs w:val="20"/>
        </w:rPr>
        <w:t>. 2020;60(3):680-697. doi:10.1111/soru.12305</w:t>
      </w:r>
    </w:p>
    <w:p w14:paraId="4152081D"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[32]</w:t>
      </w:r>
      <w:r w:rsidRPr="008B2B2F">
        <w:rPr>
          <w:rFonts w:ascii="Times New Roman" w:hAnsi="Times New Roman" w:cs="Times New Roman"/>
          <w:color w:val="000000" w:themeColor="text1"/>
          <w:sz w:val="20"/>
          <w:szCs w:val="20"/>
        </w:rPr>
        <w:tab/>
        <w:t xml:space="preserve">Marsden T, Banks J, Bristow G. Food Supply Chain Approaches: Exploring their Role in Rural Development. </w:t>
      </w:r>
      <w:r w:rsidRPr="008B2B2F">
        <w:rPr>
          <w:rFonts w:ascii="Times New Roman" w:hAnsi="Times New Roman" w:cs="Times New Roman"/>
          <w:i/>
          <w:iCs/>
          <w:color w:val="000000" w:themeColor="text1"/>
          <w:sz w:val="20"/>
          <w:szCs w:val="20"/>
        </w:rPr>
        <w:t>Sociol Rural</w:t>
      </w:r>
      <w:r w:rsidRPr="008B2B2F">
        <w:rPr>
          <w:rFonts w:ascii="Times New Roman" w:hAnsi="Times New Roman" w:cs="Times New Roman"/>
          <w:color w:val="000000" w:themeColor="text1"/>
          <w:sz w:val="20"/>
          <w:szCs w:val="20"/>
        </w:rPr>
        <w:t>. 2000;40(4):424-438. doi:10.1111/1467-9523.00158</w:t>
      </w:r>
    </w:p>
    <w:p w14:paraId="030E2A90"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[33]</w:t>
      </w:r>
      <w:r w:rsidRPr="008B2B2F">
        <w:rPr>
          <w:rFonts w:ascii="Times New Roman" w:hAnsi="Times New Roman" w:cs="Times New Roman"/>
          <w:color w:val="000000" w:themeColor="text1"/>
          <w:sz w:val="20"/>
          <w:szCs w:val="20"/>
        </w:rPr>
        <w:tab/>
        <w:t xml:space="preserve">Thomé KM, Cappellesso G, Ramos ELA, Duarte SCDL. Food Supply Chains and Short Food Supply Chains: Coexistence conceptual framework. </w:t>
      </w:r>
      <w:r w:rsidRPr="008B2B2F">
        <w:rPr>
          <w:rFonts w:ascii="Times New Roman" w:hAnsi="Times New Roman" w:cs="Times New Roman"/>
          <w:i/>
          <w:iCs/>
          <w:color w:val="000000" w:themeColor="text1"/>
          <w:sz w:val="20"/>
          <w:szCs w:val="20"/>
        </w:rPr>
        <w:t>J Clean Prod</w:t>
      </w:r>
      <w:r w:rsidRPr="008B2B2F">
        <w:rPr>
          <w:rFonts w:ascii="Times New Roman" w:hAnsi="Times New Roman" w:cs="Times New Roman"/>
          <w:color w:val="000000" w:themeColor="text1"/>
          <w:sz w:val="20"/>
          <w:szCs w:val="20"/>
        </w:rPr>
        <w:t>. 2021;278:123207. doi:10.1016/j.jclepro.2020.123207</w:t>
      </w:r>
    </w:p>
    <w:p w14:paraId="51838A9D"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[34]</w:t>
      </w:r>
      <w:r w:rsidRPr="008B2B2F">
        <w:rPr>
          <w:rFonts w:ascii="Times New Roman" w:hAnsi="Times New Roman" w:cs="Times New Roman"/>
          <w:color w:val="000000" w:themeColor="text1"/>
          <w:sz w:val="20"/>
          <w:szCs w:val="20"/>
        </w:rPr>
        <w:tab/>
        <w:t xml:space="preserve">Malak-Rawlikowska A, Majewski E, Wąs A, et al. Measuring the Economic, Environmental, and Social Sustainability of Short Food Supply Chains. </w:t>
      </w:r>
      <w:r w:rsidRPr="008B2B2F">
        <w:rPr>
          <w:rFonts w:ascii="Times New Roman" w:hAnsi="Times New Roman" w:cs="Times New Roman"/>
          <w:i/>
          <w:iCs/>
          <w:color w:val="000000" w:themeColor="text1"/>
          <w:sz w:val="20"/>
          <w:szCs w:val="20"/>
        </w:rPr>
        <w:t>Sustainability</w:t>
      </w:r>
      <w:r w:rsidRPr="008B2B2F">
        <w:rPr>
          <w:rFonts w:ascii="Times New Roman" w:hAnsi="Times New Roman" w:cs="Times New Roman"/>
          <w:color w:val="000000" w:themeColor="text1"/>
          <w:sz w:val="20"/>
          <w:szCs w:val="20"/>
        </w:rPr>
        <w:t>. 2019;11(15):4004. doi:10.3390/su11154004</w:t>
      </w:r>
    </w:p>
    <w:p w14:paraId="3E697AA3"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[35]</w:t>
      </w:r>
      <w:r w:rsidRPr="008B2B2F">
        <w:rPr>
          <w:rFonts w:ascii="Times New Roman" w:hAnsi="Times New Roman" w:cs="Times New Roman"/>
          <w:color w:val="000000" w:themeColor="text1"/>
          <w:sz w:val="20"/>
          <w:szCs w:val="20"/>
        </w:rPr>
        <w:tab/>
        <w:t>Jawtusch J, Schader C, Stolze M, Baumgart L, Niggli U. Sustainability Monitoring and Assessment Routine: Results from pilot applications of the FAO SAFA Guidelines.</w:t>
      </w:r>
    </w:p>
    <w:p w14:paraId="6F928246"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lastRenderedPageBreak/>
        <w:t>[36]</w:t>
      </w:r>
      <w:r w:rsidRPr="008B2B2F">
        <w:rPr>
          <w:rFonts w:ascii="Times New Roman" w:hAnsi="Times New Roman" w:cs="Times New Roman"/>
          <w:color w:val="000000" w:themeColor="text1"/>
          <w:sz w:val="20"/>
          <w:szCs w:val="20"/>
        </w:rPr>
        <w:tab/>
        <w:t>DEFINING SUPPLY CHAIN MANAGEMENT - Mentzer - 2001 - Journal of Business Logistics - Wiley Online Library. Accessed July 22, 2023. https://onlinelibrary.wiley.com/doi/10.1002/j.2158-1592.2001.tb00001.x</w:t>
      </w:r>
    </w:p>
    <w:p w14:paraId="629CA712"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[37]</w:t>
      </w:r>
      <w:r w:rsidRPr="008B2B2F">
        <w:rPr>
          <w:rFonts w:ascii="Times New Roman" w:hAnsi="Times New Roman" w:cs="Times New Roman"/>
          <w:color w:val="000000" w:themeColor="text1"/>
          <w:sz w:val="20"/>
          <w:szCs w:val="20"/>
        </w:rPr>
        <w:tab/>
        <w:t xml:space="preserve">García-Oliveira P, Fraga-Corral M, Pereira AG, Prieto MA, Simal-Gandara J. Solutions for the sustainability of the food production and consumption system. </w:t>
      </w:r>
      <w:r w:rsidRPr="008B2B2F">
        <w:rPr>
          <w:rFonts w:ascii="Times New Roman" w:hAnsi="Times New Roman" w:cs="Times New Roman"/>
          <w:i/>
          <w:iCs/>
          <w:color w:val="000000" w:themeColor="text1"/>
          <w:sz w:val="20"/>
          <w:szCs w:val="20"/>
        </w:rPr>
        <w:t>Crit Rev Food Sci Nutr</w:t>
      </w:r>
      <w:r w:rsidRPr="008B2B2F">
        <w:rPr>
          <w:rFonts w:ascii="Times New Roman" w:hAnsi="Times New Roman" w:cs="Times New Roman"/>
          <w:color w:val="000000" w:themeColor="text1"/>
          <w:sz w:val="20"/>
          <w:szCs w:val="20"/>
        </w:rPr>
        <w:t>. 2022;62(7):1765-1781. doi:10.1080/10408398.2020.1847028</w:t>
      </w:r>
    </w:p>
    <w:p w14:paraId="2EC25041"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[38]</w:t>
      </w:r>
      <w:r w:rsidRPr="008B2B2F">
        <w:rPr>
          <w:rFonts w:ascii="Times New Roman" w:hAnsi="Times New Roman" w:cs="Times New Roman"/>
          <w:color w:val="000000" w:themeColor="text1"/>
          <w:sz w:val="20"/>
          <w:szCs w:val="20"/>
        </w:rPr>
        <w:tab/>
        <w:t xml:space="preserve">Notarnicola B, Sala S, Anton A, McLaren SJ, Saouter E, Sonesson U. The role of life cycle assessment in supporting sustainable agri-food systems: A review of the challenges. </w:t>
      </w:r>
      <w:r w:rsidRPr="008B2B2F">
        <w:rPr>
          <w:rFonts w:ascii="Times New Roman" w:hAnsi="Times New Roman" w:cs="Times New Roman"/>
          <w:i/>
          <w:iCs/>
          <w:color w:val="000000" w:themeColor="text1"/>
          <w:sz w:val="20"/>
          <w:szCs w:val="20"/>
        </w:rPr>
        <w:t>J Clean Prod</w:t>
      </w:r>
      <w:r w:rsidRPr="008B2B2F">
        <w:rPr>
          <w:rFonts w:ascii="Times New Roman" w:hAnsi="Times New Roman" w:cs="Times New Roman"/>
          <w:color w:val="000000" w:themeColor="text1"/>
          <w:sz w:val="20"/>
          <w:szCs w:val="20"/>
        </w:rPr>
        <w:t>. 2017;140:399-409. doi:10.1016/j.jclepro.2016.06.071</w:t>
      </w:r>
    </w:p>
    <w:p w14:paraId="6F8DAAF9"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[39]</w:t>
      </w:r>
      <w:r w:rsidRPr="008B2B2F">
        <w:rPr>
          <w:rFonts w:ascii="Times New Roman" w:hAnsi="Times New Roman" w:cs="Times New Roman"/>
          <w:color w:val="000000" w:themeColor="text1"/>
          <w:sz w:val="20"/>
          <w:szCs w:val="20"/>
        </w:rPr>
        <w:tab/>
        <w:t xml:space="preserve">Todorovic V, Maslaric M, Bojic S, Jokic M, Mircetic D, Nikolicic S. Solutions for More Sustainable Distribution in the Short Food Supply Chains. </w:t>
      </w:r>
      <w:r w:rsidRPr="008B2B2F">
        <w:rPr>
          <w:rFonts w:ascii="Times New Roman" w:hAnsi="Times New Roman" w:cs="Times New Roman"/>
          <w:i/>
          <w:iCs/>
          <w:color w:val="000000" w:themeColor="text1"/>
          <w:sz w:val="20"/>
          <w:szCs w:val="20"/>
        </w:rPr>
        <w:t>Sustainability</w:t>
      </w:r>
      <w:r w:rsidRPr="008B2B2F">
        <w:rPr>
          <w:rFonts w:ascii="Times New Roman" w:hAnsi="Times New Roman" w:cs="Times New Roman"/>
          <w:color w:val="000000" w:themeColor="text1"/>
          <w:sz w:val="20"/>
          <w:szCs w:val="20"/>
        </w:rPr>
        <w:t>. 2018;10(10):3481. doi:10.3390/su10103481</w:t>
      </w:r>
    </w:p>
    <w:p w14:paraId="28E4F8BC"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 xml:space="preserve">[40] Paciarotti C, Torregiani F. The logistics of the short food supply chain: A literature review. </w:t>
      </w:r>
      <w:r w:rsidRPr="008B2B2F">
        <w:rPr>
          <w:rFonts w:ascii="Times New Roman" w:hAnsi="Times New Roman" w:cs="Times New Roman"/>
          <w:i/>
          <w:iCs/>
          <w:color w:val="000000" w:themeColor="text1"/>
          <w:sz w:val="20"/>
          <w:szCs w:val="20"/>
        </w:rPr>
        <w:t>Sustain Prod Consum</w:t>
      </w:r>
      <w:r w:rsidRPr="008B2B2F">
        <w:rPr>
          <w:rFonts w:ascii="Times New Roman" w:hAnsi="Times New Roman" w:cs="Times New Roman"/>
          <w:color w:val="000000" w:themeColor="text1"/>
          <w:sz w:val="20"/>
          <w:szCs w:val="20"/>
        </w:rPr>
        <w:t>. 2021;26:428-442. doi:10.1016/j.spc.2020.10.002</w:t>
      </w:r>
    </w:p>
    <w:p w14:paraId="73271BE3"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[41]</w:t>
      </w:r>
      <w:r w:rsidRPr="008B2B2F">
        <w:rPr>
          <w:rFonts w:ascii="Times New Roman" w:hAnsi="Times New Roman" w:cs="Times New Roman"/>
          <w:color w:val="000000" w:themeColor="text1"/>
          <w:sz w:val="20"/>
          <w:szCs w:val="20"/>
        </w:rPr>
        <w:tab/>
        <w:t xml:space="preserve">Migliorini P, Wezel A. Converging and diverging principles and practices of organic agriculture regulations and agroecology. A review. </w:t>
      </w:r>
      <w:r w:rsidRPr="008B2B2F">
        <w:rPr>
          <w:rFonts w:ascii="Times New Roman" w:hAnsi="Times New Roman" w:cs="Times New Roman"/>
          <w:i/>
          <w:iCs/>
          <w:color w:val="000000" w:themeColor="text1"/>
          <w:sz w:val="20"/>
          <w:szCs w:val="20"/>
        </w:rPr>
        <w:t>Agron Sustain Dev</w:t>
      </w:r>
      <w:r w:rsidRPr="008B2B2F">
        <w:rPr>
          <w:rFonts w:ascii="Times New Roman" w:hAnsi="Times New Roman" w:cs="Times New Roman"/>
          <w:color w:val="000000" w:themeColor="text1"/>
          <w:sz w:val="20"/>
          <w:szCs w:val="20"/>
        </w:rPr>
        <w:t>. 2017;37(6):63. doi:10.1007/s13593-017-0472-4</w:t>
      </w:r>
    </w:p>
    <w:p w14:paraId="3E65BA44"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[42]</w:t>
      </w:r>
      <w:r w:rsidRPr="008B2B2F">
        <w:rPr>
          <w:rFonts w:ascii="Times New Roman" w:hAnsi="Times New Roman" w:cs="Times New Roman"/>
          <w:color w:val="000000" w:themeColor="text1"/>
          <w:sz w:val="20"/>
          <w:szCs w:val="20"/>
        </w:rPr>
        <w:tab/>
        <w:t xml:space="preserve">Van Der Ploeg JD, Barjolle D, Bruil J, et al. The economic potential of agroecology: Empirical evidence from Europe. </w:t>
      </w:r>
      <w:r w:rsidRPr="008B2B2F">
        <w:rPr>
          <w:rFonts w:ascii="Times New Roman" w:hAnsi="Times New Roman" w:cs="Times New Roman"/>
          <w:i/>
          <w:iCs/>
          <w:color w:val="000000" w:themeColor="text1"/>
          <w:sz w:val="20"/>
          <w:szCs w:val="20"/>
        </w:rPr>
        <w:t>J Rural Stud</w:t>
      </w:r>
      <w:r w:rsidRPr="008B2B2F">
        <w:rPr>
          <w:rFonts w:ascii="Times New Roman" w:hAnsi="Times New Roman" w:cs="Times New Roman"/>
          <w:color w:val="000000" w:themeColor="text1"/>
          <w:sz w:val="20"/>
          <w:szCs w:val="20"/>
        </w:rPr>
        <w:t>. 2019;71:46-61. doi:10.1016/j.jrurstud.2019.09.003</w:t>
      </w:r>
    </w:p>
    <w:p w14:paraId="5FA7A4A2"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[43]</w:t>
      </w:r>
      <w:r w:rsidRPr="008B2B2F">
        <w:rPr>
          <w:rFonts w:ascii="Times New Roman" w:hAnsi="Times New Roman" w:cs="Times New Roman"/>
          <w:color w:val="000000" w:themeColor="text1"/>
          <w:sz w:val="20"/>
          <w:szCs w:val="20"/>
        </w:rPr>
        <w:tab/>
        <w:t xml:space="preserve">García-Oliveira P, Fraga-Corral M, Pereira AG, Prieto MA, Simal-Gandara J. Solutions for the sustainability of the food production and consumption system. </w:t>
      </w:r>
      <w:r w:rsidRPr="008B2B2F">
        <w:rPr>
          <w:rFonts w:ascii="Times New Roman" w:hAnsi="Times New Roman" w:cs="Times New Roman"/>
          <w:i/>
          <w:iCs/>
          <w:color w:val="000000" w:themeColor="text1"/>
          <w:sz w:val="20"/>
          <w:szCs w:val="20"/>
        </w:rPr>
        <w:t>Crit Rev Food Sci Nutr</w:t>
      </w:r>
      <w:r w:rsidRPr="008B2B2F">
        <w:rPr>
          <w:rFonts w:ascii="Times New Roman" w:hAnsi="Times New Roman" w:cs="Times New Roman"/>
          <w:color w:val="000000" w:themeColor="text1"/>
          <w:sz w:val="20"/>
          <w:szCs w:val="20"/>
        </w:rPr>
        <w:t>. 2022;62(7):1765-1781. doi:10.1080/10408398.2020.1847028</w:t>
      </w:r>
    </w:p>
    <w:p w14:paraId="3D63C434"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[44]</w:t>
      </w:r>
      <w:r w:rsidRPr="008B2B2F">
        <w:rPr>
          <w:rFonts w:ascii="Times New Roman" w:hAnsi="Times New Roman" w:cs="Times New Roman"/>
          <w:color w:val="000000" w:themeColor="text1"/>
          <w:sz w:val="20"/>
          <w:szCs w:val="20"/>
        </w:rPr>
        <w:tab/>
        <w:t xml:space="preserve">Doyle N, Mbandlwa P, Kelly WJ, et al. Use of Lactic Acid Bacteria to Reduce Methane Production in Ruminants, a Critical Review. </w:t>
      </w:r>
      <w:r w:rsidRPr="008B2B2F">
        <w:rPr>
          <w:rFonts w:ascii="Times New Roman" w:hAnsi="Times New Roman" w:cs="Times New Roman"/>
          <w:i/>
          <w:iCs/>
          <w:color w:val="000000" w:themeColor="text1"/>
          <w:sz w:val="20"/>
          <w:szCs w:val="20"/>
        </w:rPr>
        <w:t>Front Microbiol</w:t>
      </w:r>
      <w:r w:rsidRPr="008B2B2F">
        <w:rPr>
          <w:rFonts w:ascii="Times New Roman" w:hAnsi="Times New Roman" w:cs="Times New Roman"/>
          <w:color w:val="000000" w:themeColor="text1"/>
          <w:sz w:val="20"/>
          <w:szCs w:val="20"/>
        </w:rPr>
        <w:t>. 2019;10:2207. doi:10.3389/fmicb.2019.02207</w:t>
      </w:r>
    </w:p>
    <w:p w14:paraId="376AC134"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[45]</w:t>
      </w:r>
      <w:r w:rsidRPr="008B2B2F">
        <w:rPr>
          <w:rFonts w:ascii="Times New Roman" w:hAnsi="Times New Roman" w:cs="Times New Roman"/>
          <w:color w:val="000000" w:themeColor="text1"/>
          <w:sz w:val="20"/>
          <w:szCs w:val="20"/>
        </w:rPr>
        <w:tab/>
        <w:t xml:space="preserve">Bailey-Serres J, Parker JE, Ainsworth EA, Oldroyd GED, Schroeder JI. Genetic strategies for improving crop yields. </w:t>
      </w:r>
      <w:r w:rsidRPr="008B2B2F">
        <w:rPr>
          <w:rFonts w:ascii="Times New Roman" w:hAnsi="Times New Roman" w:cs="Times New Roman"/>
          <w:i/>
          <w:iCs/>
          <w:color w:val="000000" w:themeColor="text1"/>
          <w:sz w:val="20"/>
          <w:szCs w:val="20"/>
        </w:rPr>
        <w:t>Nature</w:t>
      </w:r>
      <w:r w:rsidRPr="008B2B2F">
        <w:rPr>
          <w:rFonts w:ascii="Times New Roman" w:hAnsi="Times New Roman" w:cs="Times New Roman"/>
          <w:color w:val="000000" w:themeColor="text1"/>
          <w:sz w:val="20"/>
          <w:szCs w:val="20"/>
        </w:rPr>
        <w:t>. 2019;575(7781):109-118. doi:10.1038/s41586-019-1679-0</w:t>
      </w:r>
    </w:p>
    <w:p w14:paraId="1582B837"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[46]</w:t>
      </w:r>
      <w:r w:rsidRPr="008B2B2F">
        <w:rPr>
          <w:rFonts w:ascii="Times New Roman" w:hAnsi="Times New Roman" w:cs="Times New Roman"/>
          <w:color w:val="000000" w:themeColor="text1"/>
          <w:sz w:val="20"/>
          <w:szCs w:val="20"/>
        </w:rPr>
        <w:tab/>
        <w:t xml:space="preserve">Lonnie M, Hooker E, Brunstrom J, et al. Protein for Life: Review of Optimal Protein Intake, Sustainable Dietary Sources and the Effect on Appetite in Ageing Adults. </w:t>
      </w:r>
      <w:r w:rsidRPr="008B2B2F">
        <w:rPr>
          <w:rFonts w:ascii="Times New Roman" w:hAnsi="Times New Roman" w:cs="Times New Roman"/>
          <w:i/>
          <w:iCs/>
          <w:color w:val="000000" w:themeColor="text1"/>
          <w:sz w:val="20"/>
          <w:szCs w:val="20"/>
        </w:rPr>
        <w:t>Nutrients</w:t>
      </w:r>
      <w:r w:rsidRPr="008B2B2F">
        <w:rPr>
          <w:rFonts w:ascii="Times New Roman" w:hAnsi="Times New Roman" w:cs="Times New Roman"/>
          <w:color w:val="000000" w:themeColor="text1"/>
          <w:sz w:val="20"/>
          <w:szCs w:val="20"/>
        </w:rPr>
        <w:t>. 2018;10(3):360. doi:10.3390/nu10030360</w:t>
      </w:r>
    </w:p>
    <w:p w14:paraId="52E1E507"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[47]</w:t>
      </w:r>
      <w:r w:rsidRPr="008B2B2F">
        <w:rPr>
          <w:rFonts w:ascii="Times New Roman" w:hAnsi="Times New Roman" w:cs="Times New Roman"/>
          <w:color w:val="000000" w:themeColor="text1"/>
          <w:sz w:val="20"/>
          <w:szCs w:val="20"/>
        </w:rPr>
        <w:tab/>
        <w:t xml:space="preserve">Wallgren C. Local or global food markets: A comparison of energy use for transport. </w:t>
      </w:r>
      <w:r w:rsidRPr="008B2B2F">
        <w:rPr>
          <w:rFonts w:ascii="Times New Roman" w:hAnsi="Times New Roman" w:cs="Times New Roman"/>
          <w:i/>
          <w:iCs/>
          <w:color w:val="000000" w:themeColor="text1"/>
          <w:sz w:val="20"/>
          <w:szCs w:val="20"/>
        </w:rPr>
        <w:t>Local Environ</w:t>
      </w:r>
      <w:r w:rsidRPr="008B2B2F">
        <w:rPr>
          <w:rFonts w:ascii="Times New Roman" w:hAnsi="Times New Roman" w:cs="Times New Roman"/>
          <w:color w:val="000000" w:themeColor="text1"/>
          <w:sz w:val="20"/>
          <w:szCs w:val="20"/>
        </w:rPr>
        <w:t>. 2006;11(2):233-251. doi:10.1080/13549830600558598</w:t>
      </w:r>
    </w:p>
    <w:p w14:paraId="3F1C2F96"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[48]</w:t>
      </w:r>
      <w:r w:rsidRPr="008B2B2F">
        <w:rPr>
          <w:rFonts w:ascii="Times New Roman" w:hAnsi="Times New Roman" w:cs="Times New Roman"/>
          <w:color w:val="000000" w:themeColor="text1"/>
          <w:sz w:val="20"/>
          <w:szCs w:val="20"/>
        </w:rPr>
        <w:tab/>
        <w:t xml:space="preserve">Jones A. An Environmental Assessment of Food Supply Chains: A Case Study on Dessert Apples. </w:t>
      </w:r>
      <w:r w:rsidRPr="008B2B2F">
        <w:rPr>
          <w:rFonts w:ascii="Times New Roman" w:hAnsi="Times New Roman" w:cs="Times New Roman"/>
          <w:i/>
          <w:iCs/>
          <w:color w:val="000000" w:themeColor="text1"/>
          <w:sz w:val="20"/>
          <w:szCs w:val="20"/>
        </w:rPr>
        <w:t>Environ Manage</w:t>
      </w:r>
      <w:r w:rsidRPr="008B2B2F">
        <w:rPr>
          <w:rFonts w:ascii="Times New Roman" w:hAnsi="Times New Roman" w:cs="Times New Roman"/>
          <w:color w:val="000000" w:themeColor="text1"/>
          <w:sz w:val="20"/>
          <w:szCs w:val="20"/>
        </w:rPr>
        <w:t>. 2002;30(4):560-576. doi:10.1007/s00267-002-2383-6</w:t>
      </w:r>
    </w:p>
    <w:p w14:paraId="375A5281"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[49]</w:t>
      </w:r>
      <w:r w:rsidRPr="008B2B2F">
        <w:rPr>
          <w:rFonts w:ascii="Times New Roman" w:hAnsi="Times New Roman" w:cs="Times New Roman"/>
          <w:color w:val="000000" w:themeColor="text1"/>
          <w:sz w:val="20"/>
          <w:szCs w:val="20"/>
        </w:rPr>
        <w:tab/>
        <w:t>Pirog RS, Pelt TV, Enshayan K, Cook E. Food, Fuel, and Freeways: An Iowa perspective on how far food travels, fuel usage, and greenhouse gas emissions.</w:t>
      </w:r>
    </w:p>
    <w:p w14:paraId="1F1BDD81"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50.</w:t>
      </w:r>
      <w:r w:rsidRPr="008B2B2F">
        <w:rPr>
          <w:rFonts w:ascii="Times New Roman" w:hAnsi="Times New Roman" w:cs="Times New Roman"/>
          <w:color w:val="000000" w:themeColor="text1"/>
          <w:sz w:val="20"/>
          <w:szCs w:val="20"/>
        </w:rPr>
        <w:tab/>
        <w:t xml:space="preserve">Mancini M, Menozzi D, Donati M, Biasini B, Veneziani M, Arfini F. Producers’ and Consumers’ Perception of the Sustainability of Short Food Supply Chains: The Case of Parmigiano Reggiano PDO. </w:t>
      </w:r>
      <w:r w:rsidRPr="008B2B2F">
        <w:rPr>
          <w:rFonts w:ascii="Times New Roman" w:hAnsi="Times New Roman" w:cs="Times New Roman"/>
          <w:i/>
          <w:iCs/>
          <w:color w:val="000000" w:themeColor="text1"/>
          <w:sz w:val="20"/>
          <w:szCs w:val="20"/>
        </w:rPr>
        <w:t>Sustainability</w:t>
      </w:r>
      <w:r w:rsidRPr="008B2B2F">
        <w:rPr>
          <w:rFonts w:ascii="Times New Roman" w:hAnsi="Times New Roman" w:cs="Times New Roman"/>
          <w:color w:val="000000" w:themeColor="text1"/>
          <w:sz w:val="20"/>
          <w:szCs w:val="20"/>
        </w:rPr>
        <w:t>. 2019;11(3):721. doi:10.3390/su11030721</w:t>
      </w:r>
    </w:p>
    <w:p w14:paraId="0B0D7203"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51.</w:t>
      </w:r>
      <w:r w:rsidRPr="008B2B2F">
        <w:rPr>
          <w:rFonts w:ascii="Times New Roman" w:hAnsi="Times New Roman" w:cs="Times New Roman"/>
          <w:color w:val="000000" w:themeColor="text1"/>
          <w:sz w:val="20"/>
          <w:szCs w:val="20"/>
        </w:rPr>
        <w:tab/>
        <w:t xml:space="preserve">Pradhan P, Kriewald S, Costa L, et al. Urban Food Systems: How Regionalization Can Contribute to Climate Change Mitigation. </w:t>
      </w:r>
      <w:r w:rsidRPr="008B2B2F">
        <w:rPr>
          <w:rFonts w:ascii="Times New Roman" w:hAnsi="Times New Roman" w:cs="Times New Roman"/>
          <w:i/>
          <w:iCs/>
          <w:color w:val="000000" w:themeColor="text1"/>
          <w:sz w:val="20"/>
          <w:szCs w:val="20"/>
        </w:rPr>
        <w:t>Environ Sci Technol</w:t>
      </w:r>
      <w:r w:rsidRPr="008B2B2F">
        <w:rPr>
          <w:rFonts w:ascii="Times New Roman" w:hAnsi="Times New Roman" w:cs="Times New Roman"/>
          <w:color w:val="000000" w:themeColor="text1"/>
          <w:sz w:val="20"/>
          <w:szCs w:val="20"/>
        </w:rPr>
        <w:t>. 2020;54(17):10551-10560. doi:10.1021/acs.est.0c02739</w:t>
      </w:r>
    </w:p>
    <w:p w14:paraId="1DDB8FE5"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lastRenderedPageBreak/>
        <w:t>52.</w:t>
      </w:r>
      <w:r w:rsidRPr="008B2B2F">
        <w:rPr>
          <w:rFonts w:ascii="Times New Roman" w:hAnsi="Times New Roman" w:cs="Times New Roman"/>
          <w:color w:val="000000" w:themeColor="text1"/>
          <w:sz w:val="20"/>
          <w:szCs w:val="20"/>
        </w:rPr>
        <w:tab/>
        <w:t xml:space="preserve">Pérez-Neira D, Grollmus-Venegas A. Life-cycle energy assessment and carbon footprint of peri-urban horticulture. A comparative case study of local food systems in Spain. </w:t>
      </w:r>
      <w:r w:rsidRPr="008B2B2F">
        <w:rPr>
          <w:rFonts w:ascii="Times New Roman" w:hAnsi="Times New Roman" w:cs="Times New Roman"/>
          <w:i/>
          <w:iCs/>
          <w:color w:val="000000" w:themeColor="text1"/>
          <w:sz w:val="20"/>
          <w:szCs w:val="20"/>
        </w:rPr>
        <w:t>Landsc Urban Plan</w:t>
      </w:r>
      <w:r w:rsidRPr="008B2B2F">
        <w:rPr>
          <w:rFonts w:ascii="Times New Roman" w:hAnsi="Times New Roman" w:cs="Times New Roman"/>
          <w:color w:val="000000" w:themeColor="text1"/>
          <w:sz w:val="20"/>
          <w:szCs w:val="20"/>
        </w:rPr>
        <w:t>. 2018;172:60-68. doi:10.1016/j.landurbplan.2018.01.001</w:t>
      </w:r>
    </w:p>
    <w:p w14:paraId="0B2BFD84" w14:textId="77777777" w:rsidR="00124EB5" w:rsidRPr="008B2B2F" w:rsidRDefault="008B2B2F"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 xml:space="preserve">             </w:t>
      </w:r>
      <w:r w:rsidR="00124EB5" w:rsidRPr="008B2B2F">
        <w:rPr>
          <w:rFonts w:ascii="Times New Roman" w:hAnsi="Times New Roman" w:cs="Times New Roman"/>
          <w:color w:val="000000" w:themeColor="text1"/>
          <w:sz w:val="20"/>
          <w:szCs w:val="20"/>
        </w:rPr>
        <w:t>53.</w:t>
      </w:r>
      <w:r w:rsidR="00124EB5" w:rsidRPr="008B2B2F">
        <w:rPr>
          <w:rFonts w:ascii="Times New Roman" w:hAnsi="Times New Roman" w:cs="Times New Roman"/>
          <w:color w:val="000000" w:themeColor="text1"/>
          <w:sz w:val="20"/>
          <w:szCs w:val="20"/>
        </w:rPr>
        <w:tab/>
        <w:t xml:space="preserve">Béné C, Oosterveer P, Lamotte L, et al. When food systems meet sustainability – Current narratives and implications for actions. </w:t>
      </w:r>
      <w:r w:rsidR="00124EB5" w:rsidRPr="008B2B2F">
        <w:rPr>
          <w:rFonts w:ascii="Times New Roman" w:hAnsi="Times New Roman" w:cs="Times New Roman"/>
          <w:i/>
          <w:iCs/>
          <w:color w:val="000000" w:themeColor="text1"/>
          <w:sz w:val="20"/>
          <w:szCs w:val="20"/>
        </w:rPr>
        <w:t>World Dev</w:t>
      </w:r>
      <w:r w:rsidR="00124EB5" w:rsidRPr="008B2B2F">
        <w:rPr>
          <w:rFonts w:ascii="Times New Roman" w:hAnsi="Times New Roman" w:cs="Times New Roman"/>
          <w:color w:val="000000" w:themeColor="text1"/>
          <w:sz w:val="20"/>
          <w:szCs w:val="20"/>
        </w:rPr>
        <w:t>. 2019;113:116-130. doi:10.1016/j.worlddev.2018.08.011</w:t>
      </w:r>
    </w:p>
    <w:p w14:paraId="31A962B5"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54.</w:t>
      </w:r>
      <w:r w:rsidRPr="008B2B2F">
        <w:rPr>
          <w:rFonts w:ascii="Times New Roman" w:hAnsi="Times New Roman" w:cs="Times New Roman"/>
          <w:color w:val="000000" w:themeColor="text1"/>
          <w:sz w:val="20"/>
          <w:szCs w:val="20"/>
        </w:rPr>
        <w:tab/>
        <w:t xml:space="preserve">Neik TX, Siddique KHM, Mayes S, et al. Diversifying agrifood systems to ensure global food security following the Russia–Ukraine crisis. </w:t>
      </w:r>
      <w:r w:rsidRPr="008B2B2F">
        <w:rPr>
          <w:rFonts w:ascii="Times New Roman" w:hAnsi="Times New Roman" w:cs="Times New Roman"/>
          <w:i/>
          <w:iCs/>
          <w:color w:val="000000" w:themeColor="text1"/>
          <w:sz w:val="20"/>
          <w:szCs w:val="20"/>
        </w:rPr>
        <w:t>Front Sustain Food Syst</w:t>
      </w:r>
      <w:r w:rsidRPr="008B2B2F">
        <w:rPr>
          <w:rFonts w:ascii="Times New Roman" w:hAnsi="Times New Roman" w:cs="Times New Roman"/>
          <w:color w:val="000000" w:themeColor="text1"/>
          <w:sz w:val="20"/>
          <w:szCs w:val="20"/>
        </w:rPr>
        <w:t>. 2023;7. Accessed July 22, 2023. https://www.frontiersin.org/articles/10.3389/fsufs.2023.1124640</w:t>
      </w:r>
    </w:p>
    <w:p w14:paraId="4A3C849B"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55.</w:t>
      </w:r>
      <w:r w:rsidRPr="008B2B2F">
        <w:rPr>
          <w:rFonts w:ascii="Times New Roman" w:hAnsi="Times New Roman" w:cs="Times New Roman"/>
          <w:color w:val="000000" w:themeColor="text1"/>
          <w:sz w:val="20"/>
          <w:szCs w:val="20"/>
        </w:rPr>
        <w:tab/>
        <w:t>EMROPUB_2019_en_23536.pdf. Accessed July 22, 2023. https://apps.who.int/iris/bitstream/handle/10665/325828/EMROPUB_2019_en_23536.pdf</w:t>
      </w:r>
    </w:p>
    <w:p w14:paraId="0EB819C2"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56.</w:t>
      </w:r>
      <w:r w:rsidRPr="008B2B2F">
        <w:rPr>
          <w:rFonts w:ascii="Times New Roman" w:hAnsi="Times New Roman" w:cs="Times New Roman"/>
          <w:color w:val="000000" w:themeColor="text1"/>
          <w:sz w:val="20"/>
          <w:szCs w:val="20"/>
        </w:rPr>
        <w:tab/>
        <w:t xml:space="preserve">Benedetti I, Laureti T, Secondi L. Choosing a healthy and sustainable diet: A three-level approach for understanding the drivers of the Italians’ dietary regime over time. </w:t>
      </w:r>
      <w:r w:rsidRPr="008B2B2F">
        <w:rPr>
          <w:rFonts w:ascii="Times New Roman" w:hAnsi="Times New Roman" w:cs="Times New Roman"/>
          <w:i/>
          <w:iCs/>
          <w:color w:val="000000" w:themeColor="text1"/>
          <w:sz w:val="20"/>
          <w:szCs w:val="20"/>
        </w:rPr>
        <w:t>Appetite</w:t>
      </w:r>
      <w:r w:rsidRPr="008B2B2F">
        <w:rPr>
          <w:rFonts w:ascii="Times New Roman" w:hAnsi="Times New Roman" w:cs="Times New Roman"/>
          <w:color w:val="000000" w:themeColor="text1"/>
          <w:sz w:val="20"/>
          <w:szCs w:val="20"/>
        </w:rPr>
        <w:t>. 2018;123:357-366. doi:10.1016/j.appet.2018.01.004</w:t>
      </w:r>
    </w:p>
    <w:p w14:paraId="47C0ED16"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57.</w:t>
      </w:r>
      <w:r w:rsidRPr="008B2B2F">
        <w:rPr>
          <w:rFonts w:ascii="Times New Roman" w:hAnsi="Times New Roman" w:cs="Times New Roman"/>
          <w:color w:val="000000" w:themeColor="text1"/>
          <w:sz w:val="20"/>
          <w:szCs w:val="20"/>
        </w:rPr>
        <w:tab/>
        <w:t xml:space="preserve">Hoek AC, Pearson D, James SW, Lawrence MA, Friel S. Healthy and environmentally sustainable food choices: Consumer responses to point-of-purchase actions. </w:t>
      </w:r>
      <w:r w:rsidRPr="008B2B2F">
        <w:rPr>
          <w:rFonts w:ascii="Times New Roman" w:hAnsi="Times New Roman" w:cs="Times New Roman"/>
          <w:i/>
          <w:iCs/>
          <w:color w:val="000000" w:themeColor="text1"/>
          <w:sz w:val="20"/>
          <w:szCs w:val="20"/>
        </w:rPr>
        <w:t>Food Qual Prefer</w:t>
      </w:r>
      <w:r w:rsidRPr="008B2B2F">
        <w:rPr>
          <w:rFonts w:ascii="Times New Roman" w:hAnsi="Times New Roman" w:cs="Times New Roman"/>
          <w:color w:val="000000" w:themeColor="text1"/>
          <w:sz w:val="20"/>
          <w:szCs w:val="20"/>
        </w:rPr>
        <w:t>. 2017;58:94-106. doi:10.1016/j.foodqual.2016.12.008</w:t>
      </w:r>
    </w:p>
    <w:p w14:paraId="4F543504" w14:textId="77777777" w:rsidR="00124EB5" w:rsidRPr="008B2B2F" w:rsidRDefault="00124EB5" w:rsidP="008B2B2F">
      <w:pPr>
        <w:pStyle w:val="Bibliography"/>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t>58.</w:t>
      </w:r>
      <w:r w:rsidRPr="008B2B2F">
        <w:rPr>
          <w:rFonts w:ascii="Times New Roman" w:hAnsi="Times New Roman" w:cs="Times New Roman"/>
          <w:color w:val="000000" w:themeColor="text1"/>
          <w:sz w:val="20"/>
          <w:szCs w:val="20"/>
        </w:rPr>
        <w:tab/>
        <w:t xml:space="preserve">Munekata PES, Pérez-Álvarez JÁ, Pateiro M, Viuda-Matos M, Fernández-López J, Lorenzo JM. Satiety from healthier and functional foods. </w:t>
      </w:r>
      <w:r w:rsidRPr="008B2B2F">
        <w:rPr>
          <w:rFonts w:ascii="Times New Roman" w:hAnsi="Times New Roman" w:cs="Times New Roman"/>
          <w:i/>
          <w:iCs/>
          <w:color w:val="000000" w:themeColor="text1"/>
          <w:sz w:val="20"/>
          <w:szCs w:val="20"/>
        </w:rPr>
        <w:t>Trends Food Sci Technol</w:t>
      </w:r>
      <w:r w:rsidRPr="008B2B2F">
        <w:rPr>
          <w:rFonts w:ascii="Times New Roman" w:hAnsi="Times New Roman" w:cs="Times New Roman"/>
          <w:color w:val="000000" w:themeColor="text1"/>
          <w:sz w:val="20"/>
          <w:szCs w:val="20"/>
        </w:rPr>
        <w:t>. 2021;113:397-410. doi:10.1016/j.tifs.2021.05.025</w:t>
      </w:r>
    </w:p>
    <w:p w14:paraId="6C82B3FD" w14:textId="77777777" w:rsidR="00124EB5" w:rsidRPr="008B2B2F" w:rsidRDefault="00124EB5" w:rsidP="008B2B2F">
      <w:pPr>
        <w:shd w:val="clear" w:color="auto" w:fill="FFFFFF" w:themeFill="background1"/>
        <w:rPr>
          <w:rFonts w:ascii="Times New Roman" w:hAnsi="Times New Roman" w:cs="Times New Roman"/>
          <w:color w:val="000000" w:themeColor="text1"/>
          <w:sz w:val="20"/>
          <w:szCs w:val="20"/>
        </w:rPr>
      </w:pPr>
      <w:r w:rsidRPr="008B2B2F">
        <w:rPr>
          <w:rFonts w:ascii="Times New Roman" w:hAnsi="Times New Roman" w:cs="Times New Roman"/>
          <w:color w:val="000000" w:themeColor="text1"/>
          <w:sz w:val="20"/>
          <w:szCs w:val="20"/>
        </w:rPr>
        <w:fldChar w:fldCharType="end"/>
      </w:r>
    </w:p>
    <w:p w14:paraId="6D3FF36F" w14:textId="77777777" w:rsidR="00F61C0A" w:rsidRPr="008B2B2F" w:rsidRDefault="00124EB5" w:rsidP="008B2B2F">
      <w:pPr>
        <w:shd w:val="clear" w:color="auto" w:fill="FFFFFF" w:themeFill="background1"/>
        <w:spacing w:after="0" w:line="240" w:lineRule="auto"/>
        <w:rPr>
          <w:rFonts w:ascii="Times New Roman" w:eastAsia="Times New Roman" w:hAnsi="Times New Roman" w:cs="Times New Roman"/>
          <w:color w:val="000000" w:themeColor="text1"/>
          <w:sz w:val="20"/>
          <w:szCs w:val="20"/>
          <w:lang w:eastAsia="en-IN"/>
        </w:rPr>
      </w:pPr>
      <w:r w:rsidRPr="008B2B2F">
        <w:rPr>
          <w:rFonts w:ascii="Times New Roman" w:eastAsia="Times New Roman" w:hAnsi="Times New Roman" w:cs="Times New Roman"/>
          <w:color w:val="000000" w:themeColor="text1"/>
          <w:sz w:val="20"/>
          <w:szCs w:val="20"/>
          <w:lang w:eastAsia="en-IN"/>
        </w:rPr>
        <w:t xml:space="preserve"> </w:t>
      </w:r>
    </w:p>
    <w:sectPr w:rsidR="00F61C0A" w:rsidRPr="008B2B2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ymbol">
    <w:altName w:val="Segoe UI Symbol"/>
    <w:charset w:val="02"/>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194"/>
    <w:multiLevelType w:val="multilevel"/>
    <w:tmpl w:val="81506AE6"/>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215F6A99"/>
    <w:multiLevelType w:val="multilevel"/>
    <w:tmpl w:val="7C7E899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16D0982"/>
    <w:multiLevelType w:val="multilevel"/>
    <w:tmpl w:val="CA9AEE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7673B1E"/>
    <w:multiLevelType w:val="multilevel"/>
    <w:tmpl w:val="58D2F8AE"/>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7B442FF"/>
    <w:multiLevelType w:val="multilevel"/>
    <w:tmpl w:val="F13E8300"/>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3C2515A7"/>
    <w:multiLevelType w:val="multilevel"/>
    <w:tmpl w:val="C204A4F0"/>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509067D0"/>
    <w:multiLevelType w:val="multilevel"/>
    <w:tmpl w:val="CC4CFE06"/>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5DC51B76"/>
    <w:multiLevelType w:val="multilevel"/>
    <w:tmpl w:val="5FEA207E"/>
    <w:lvl w:ilvl="0">
      <w:start w:val="1"/>
      <w:numFmt w:val="upperLetter"/>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D8E29F0"/>
    <w:multiLevelType w:val="multilevel"/>
    <w:tmpl w:val="17A2E86E"/>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73E14806"/>
    <w:multiLevelType w:val="multilevel"/>
    <w:tmpl w:val="C804B7D8"/>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D7F49A1"/>
    <w:multiLevelType w:val="multilevel"/>
    <w:tmpl w:val="C270CC3C"/>
    <w:lvl w:ilvl="0">
      <w:start w:val="1"/>
      <w:numFmt w:val="lowerRoman"/>
      <w:lvlText w:val="%1."/>
      <w:lvlJc w:val="left"/>
      <w:pPr>
        <w:tabs>
          <w:tab w:val="num" w:pos="720"/>
        </w:tabs>
        <w:ind w:left="720" w:hanging="360"/>
      </w:pPr>
    </w:lvl>
    <w:lvl w:ilvl="1">
      <w:start w:val="1"/>
      <w:numFmt w:val="lowerRoman"/>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lowerRoman"/>
      <w:lvlText w:val="%4."/>
      <w:lvlJc w:val="left"/>
      <w:pPr>
        <w:tabs>
          <w:tab w:val="num" w:pos="1800"/>
        </w:tabs>
        <w:ind w:left="1800" w:hanging="360"/>
      </w:pPr>
    </w:lvl>
    <w:lvl w:ilvl="4">
      <w:start w:val="1"/>
      <w:numFmt w:val="lowerRoman"/>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lowerRoman"/>
      <w:lvlText w:val="%7."/>
      <w:lvlJc w:val="left"/>
      <w:pPr>
        <w:tabs>
          <w:tab w:val="num" w:pos="2880"/>
        </w:tabs>
        <w:ind w:left="2880" w:hanging="360"/>
      </w:pPr>
    </w:lvl>
    <w:lvl w:ilvl="7">
      <w:start w:val="1"/>
      <w:numFmt w:val="lowerRoman"/>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16cid:durableId="2049068806">
    <w:abstractNumId w:val="1"/>
  </w:num>
  <w:num w:numId="2" w16cid:durableId="920286871">
    <w:abstractNumId w:val="3"/>
  </w:num>
  <w:num w:numId="3" w16cid:durableId="420834204">
    <w:abstractNumId w:val="7"/>
  </w:num>
  <w:num w:numId="4" w16cid:durableId="1474953471">
    <w:abstractNumId w:val="9"/>
  </w:num>
  <w:num w:numId="5" w16cid:durableId="1024598550">
    <w:abstractNumId w:val="5"/>
  </w:num>
  <w:num w:numId="6" w16cid:durableId="55129286">
    <w:abstractNumId w:val="0"/>
  </w:num>
  <w:num w:numId="7" w16cid:durableId="1873151040">
    <w:abstractNumId w:val="4"/>
  </w:num>
  <w:num w:numId="8" w16cid:durableId="360978170">
    <w:abstractNumId w:val="10"/>
  </w:num>
  <w:num w:numId="9" w16cid:durableId="1971671883">
    <w:abstractNumId w:val="6"/>
  </w:num>
  <w:num w:numId="10" w16cid:durableId="126893897">
    <w:abstractNumId w:val="8"/>
  </w:num>
  <w:num w:numId="11" w16cid:durableId="797912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N" w:vendorID="64" w:dllVersion="4096" w:nlCheck="1" w:checkStyle="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0A"/>
    <w:rsid w:val="000B109F"/>
    <w:rsid w:val="000F3B2B"/>
    <w:rsid w:val="00124EB5"/>
    <w:rsid w:val="001514BA"/>
    <w:rsid w:val="00256886"/>
    <w:rsid w:val="0030340D"/>
    <w:rsid w:val="00316C95"/>
    <w:rsid w:val="003F09C5"/>
    <w:rsid w:val="005B5800"/>
    <w:rsid w:val="00637B29"/>
    <w:rsid w:val="00671374"/>
    <w:rsid w:val="006757C9"/>
    <w:rsid w:val="006907B2"/>
    <w:rsid w:val="006B3501"/>
    <w:rsid w:val="006F22DC"/>
    <w:rsid w:val="00803B79"/>
    <w:rsid w:val="0081433B"/>
    <w:rsid w:val="008B2B2F"/>
    <w:rsid w:val="009E17EA"/>
    <w:rsid w:val="009F0BD2"/>
    <w:rsid w:val="00A64D14"/>
    <w:rsid w:val="00B34303"/>
    <w:rsid w:val="00B93D18"/>
    <w:rsid w:val="00C125E0"/>
    <w:rsid w:val="00C32750"/>
    <w:rsid w:val="00D9363B"/>
    <w:rsid w:val="00F61C0A"/>
    <w:rsid w:val="00FE35F2"/>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AD813"/>
  <w15:docId w15:val="{F8F1D148-CE24-4DD0-8672-EEAD8A4C9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link w:val="Heading1Char"/>
    <w:uiPriority w:val="9"/>
    <w:qFormat/>
    <w:rsid w:val="00297B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E473C"/>
    <w:pPr>
      <w:spacing w:beforeAutospacing="1"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6E473C"/>
    <w:pPr>
      <w:spacing w:beforeAutospacing="1"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6E473C"/>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qFormat/>
    <w:rsid w:val="006E473C"/>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6E473C"/>
    <w:rPr>
      <w:color w:val="0000FF"/>
      <w:u w:val="single"/>
    </w:rPr>
  </w:style>
  <w:style w:type="character" w:styleId="FollowedHyperlink">
    <w:name w:val="FollowedHyperlink"/>
    <w:basedOn w:val="DefaultParagraphFont"/>
    <w:uiPriority w:val="99"/>
    <w:semiHidden/>
    <w:unhideWhenUsed/>
    <w:rsid w:val="006E473C"/>
    <w:rPr>
      <w:color w:val="800080"/>
      <w:u w:val="single"/>
    </w:rPr>
  </w:style>
  <w:style w:type="character" w:styleId="Strong">
    <w:name w:val="Strong"/>
    <w:basedOn w:val="DefaultParagraphFont"/>
    <w:uiPriority w:val="22"/>
    <w:qFormat/>
    <w:rsid w:val="006E473C"/>
    <w:rPr>
      <w:b/>
      <w:bCs/>
    </w:rPr>
  </w:style>
  <w:style w:type="character" w:customStyle="1" w:styleId="table-captionlabel">
    <w:name w:val="table-caption__label"/>
    <w:basedOn w:val="DefaultParagraphFont"/>
    <w:qFormat/>
    <w:rsid w:val="006E473C"/>
  </w:style>
  <w:style w:type="character" w:customStyle="1" w:styleId="section-footnote">
    <w:name w:val="section-footnote"/>
    <w:basedOn w:val="DefaultParagraphFont"/>
    <w:qFormat/>
    <w:rsid w:val="006E473C"/>
  </w:style>
  <w:style w:type="character" w:customStyle="1" w:styleId="hlfld-contribauthor">
    <w:name w:val="hlfld-contribauthor"/>
    <w:basedOn w:val="DefaultParagraphFont"/>
    <w:qFormat/>
    <w:rsid w:val="006E473C"/>
  </w:style>
  <w:style w:type="character" w:customStyle="1" w:styleId="seriestitle">
    <w:name w:val="seriestitle"/>
    <w:basedOn w:val="DefaultParagraphFont"/>
    <w:qFormat/>
    <w:rsid w:val="006E473C"/>
  </w:style>
  <w:style w:type="character" w:customStyle="1" w:styleId="doi">
    <w:name w:val="doi"/>
    <w:basedOn w:val="DefaultParagraphFont"/>
    <w:qFormat/>
    <w:rsid w:val="006E473C"/>
  </w:style>
  <w:style w:type="character" w:customStyle="1" w:styleId="volume">
    <w:name w:val="volume"/>
    <w:basedOn w:val="DefaultParagraphFont"/>
    <w:qFormat/>
    <w:rsid w:val="006E473C"/>
  </w:style>
  <w:style w:type="character" w:customStyle="1" w:styleId="pub-date">
    <w:name w:val="pub-date"/>
    <w:basedOn w:val="DefaultParagraphFont"/>
    <w:qFormat/>
    <w:rsid w:val="006E473C"/>
  </w:style>
  <w:style w:type="character" w:customStyle="1" w:styleId="val">
    <w:name w:val="val"/>
    <w:basedOn w:val="DefaultParagraphFont"/>
    <w:qFormat/>
    <w:rsid w:val="006E473C"/>
  </w:style>
  <w:style w:type="character" w:customStyle="1" w:styleId="commaitem">
    <w:name w:val="comma__item"/>
    <w:basedOn w:val="DefaultParagraphFont"/>
    <w:qFormat/>
    <w:rsid w:val="006E473C"/>
  </w:style>
  <w:style w:type="character" w:customStyle="1" w:styleId="comma-separator">
    <w:name w:val="comma-separator"/>
    <w:basedOn w:val="DefaultParagraphFont"/>
    <w:qFormat/>
    <w:rsid w:val="006E473C"/>
  </w:style>
  <w:style w:type="character" w:customStyle="1" w:styleId="Heading1Char">
    <w:name w:val="Heading 1 Char"/>
    <w:basedOn w:val="DefaultParagraphFont"/>
    <w:link w:val="Heading1"/>
    <w:uiPriority w:val="9"/>
    <w:qFormat/>
    <w:rsid w:val="00297B50"/>
    <w:rPr>
      <w:rFonts w:asciiTheme="majorHAnsi" w:eastAsiaTheme="majorEastAsia" w:hAnsiTheme="majorHAnsi" w:cstheme="majorBidi"/>
      <w:color w:val="2F5496" w:themeColor="accent1" w:themeShade="BF"/>
      <w:sz w:val="32"/>
      <w:szCs w:val="32"/>
    </w:rPr>
  </w:style>
  <w:style w:type="character" w:customStyle="1" w:styleId="groupname">
    <w:name w:val="groupname"/>
    <w:basedOn w:val="DefaultParagraphFont"/>
    <w:qFormat/>
    <w:rsid w:val="0038579A"/>
  </w:style>
  <w:style w:type="character" w:customStyle="1" w:styleId="pubyear">
    <w:name w:val="pubyear"/>
    <w:basedOn w:val="DefaultParagraphFont"/>
    <w:qFormat/>
    <w:rsid w:val="0038579A"/>
  </w:style>
  <w:style w:type="character" w:customStyle="1" w:styleId="othertitle">
    <w:name w:val="othertitle"/>
    <w:basedOn w:val="DefaultParagraphFont"/>
    <w:qFormat/>
    <w:rsid w:val="0038579A"/>
  </w:style>
  <w:style w:type="character" w:customStyle="1" w:styleId="author">
    <w:name w:val="author"/>
    <w:basedOn w:val="DefaultParagraphFont"/>
    <w:qFormat/>
    <w:rsid w:val="0038579A"/>
  </w:style>
  <w:style w:type="character" w:customStyle="1" w:styleId="articletitle">
    <w:name w:val="articletitle"/>
    <w:basedOn w:val="DefaultParagraphFont"/>
    <w:qFormat/>
    <w:rsid w:val="0038579A"/>
  </w:style>
  <w:style w:type="character" w:customStyle="1" w:styleId="vol">
    <w:name w:val="vol"/>
    <w:basedOn w:val="DefaultParagraphFont"/>
    <w:qFormat/>
    <w:rsid w:val="0038579A"/>
  </w:style>
  <w:style w:type="character" w:customStyle="1" w:styleId="citedissue">
    <w:name w:val="citedissue"/>
    <w:basedOn w:val="DefaultParagraphFont"/>
    <w:qFormat/>
    <w:rsid w:val="0038579A"/>
  </w:style>
  <w:style w:type="character" w:customStyle="1" w:styleId="pagefirst">
    <w:name w:val="pagefirst"/>
    <w:basedOn w:val="DefaultParagraphFont"/>
    <w:qFormat/>
    <w:rsid w:val="0038579A"/>
  </w:style>
  <w:style w:type="character" w:customStyle="1" w:styleId="pagelast">
    <w:name w:val="pagelast"/>
    <w:basedOn w:val="DefaultParagraphFont"/>
    <w:qFormat/>
    <w:rsid w:val="0038579A"/>
  </w:style>
  <w:style w:type="character" w:customStyle="1" w:styleId="booktitle">
    <w:name w:val="booktitle"/>
    <w:basedOn w:val="DefaultParagraphFont"/>
    <w:qFormat/>
    <w:rsid w:val="0038579A"/>
  </w:style>
  <w:style w:type="character" w:customStyle="1" w:styleId="chaptertitle">
    <w:name w:val="chaptertitle"/>
    <w:basedOn w:val="DefaultParagraphFont"/>
    <w:qFormat/>
    <w:rsid w:val="0038579A"/>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msonormal0">
    <w:name w:val="msonormal"/>
    <w:basedOn w:val="Normal"/>
    <w:qFormat/>
    <w:rsid w:val="006E473C"/>
    <w:pPr>
      <w:spacing w:beforeAutospacing="1"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qFormat/>
    <w:rsid w:val="006E473C"/>
    <w:pPr>
      <w:spacing w:beforeAutospacing="1" w:afterAutospacing="1" w:line="240" w:lineRule="auto"/>
    </w:pPr>
    <w:rPr>
      <w:rFonts w:ascii="Times New Roman" w:eastAsia="Times New Roman" w:hAnsi="Times New Roman" w:cs="Times New Roman"/>
      <w:sz w:val="24"/>
      <w:szCs w:val="24"/>
      <w:lang w:eastAsia="en-IN"/>
    </w:rPr>
  </w:style>
  <w:style w:type="paragraph" w:customStyle="1" w:styleId="citedbyentry">
    <w:name w:val="citedbyentry"/>
    <w:basedOn w:val="Normal"/>
    <w:qFormat/>
    <w:rsid w:val="006E473C"/>
    <w:pPr>
      <w:spacing w:beforeAutospacing="1" w:afterAutospacing="1" w:line="240" w:lineRule="auto"/>
    </w:pPr>
    <w:rPr>
      <w:rFonts w:ascii="Times New Roman" w:eastAsia="Times New Roman" w:hAnsi="Times New Roman" w:cs="Times New Roman"/>
      <w:sz w:val="24"/>
      <w:szCs w:val="24"/>
      <w:lang w:eastAsia="en-IN"/>
    </w:rPr>
  </w:style>
  <w:style w:type="paragraph" w:customStyle="1" w:styleId="getftritem">
    <w:name w:val="getftr__item"/>
    <w:basedOn w:val="Normal"/>
    <w:qFormat/>
    <w:rsid w:val="006E473C"/>
    <w:pPr>
      <w:spacing w:beforeAutospacing="1" w:afterAutospacing="1" w:line="240" w:lineRule="auto"/>
    </w:pPr>
    <w:rPr>
      <w:rFonts w:ascii="Times New Roman" w:eastAsia="Times New Roman" w:hAnsi="Times New Roman" w:cs="Times New Roman"/>
      <w:sz w:val="24"/>
      <w:szCs w:val="24"/>
      <w:lang w:eastAsia="en-IN"/>
    </w:rPr>
  </w:style>
  <w:style w:type="paragraph" w:customStyle="1" w:styleId="volume-issue">
    <w:name w:val="volume-issue"/>
    <w:basedOn w:val="Normal"/>
    <w:qFormat/>
    <w:rsid w:val="006E473C"/>
    <w:pPr>
      <w:spacing w:beforeAutospacing="1" w:afterAutospacing="1" w:line="240" w:lineRule="auto"/>
    </w:pPr>
    <w:rPr>
      <w:rFonts w:ascii="Times New Roman" w:eastAsia="Times New Roman" w:hAnsi="Times New Roman" w:cs="Times New Roman"/>
      <w:sz w:val="24"/>
      <w:szCs w:val="24"/>
      <w:lang w:eastAsia="en-IN"/>
    </w:rPr>
  </w:style>
  <w:style w:type="paragraph" w:customStyle="1" w:styleId="page-range">
    <w:name w:val="page-range"/>
    <w:basedOn w:val="Normal"/>
    <w:qFormat/>
    <w:rsid w:val="006E473C"/>
    <w:pPr>
      <w:spacing w:beforeAutospacing="1" w:afterAutospacing="1" w:line="240" w:lineRule="auto"/>
    </w:pPr>
    <w:rPr>
      <w:rFonts w:ascii="Times New Roman" w:eastAsia="Times New Roman" w:hAnsi="Times New Roman" w:cs="Times New Roman"/>
      <w:sz w:val="24"/>
      <w:szCs w:val="24"/>
      <w:lang w:eastAsia="en-IN"/>
    </w:rPr>
  </w:style>
  <w:style w:type="paragraph" w:customStyle="1" w:styleId="tabnavitem">
    <w:name w:val="tab__nav__item"/>
    <w:basedOn w:val="Normal"/>
    <w:qFormat/>
    <w:rsid w:val="006E473C"/>
    <w:pPr>
      <w:spacing w:beforeAutospacing="1" w:afterAutospacing="1" w:line="240" w:lineRule="auto"/>
    </w:pPr>
    <w:rPr>
      <w:rFonts w:ascii="Times New Roman" w:eastAsia="Times New Roman" w:hAnsi="Times New Roman" w:cs="Times New Roman"/>
      <w:sz w:val="24"/>
      <w:szCs w:val="24"/>
      <w:lang w:eastAsia="en-IN"/>
    </w:rPr>
  </w:style>
  <w:style w:type="paragraph" w:customStyle="1" w:styleId="grid-item">
    <w:name w:val="grid-item"/>
    <w:basedOn w:val="Normal"/>
    <w:qFormat/>
    <w:rsid w:val="006E473C"/>
    <w:pPr>
      <w:spacing w:beforeAutospacing="1" w:afterAutospacing="1" w:line="240" w:lineRule="auto"/>
    </w:pPr>
    <w:rPr>
      <w:rFonts w:ascii="Times New Roman" w:eastAsia="Times New Roman" w:hAnsi="Times New Roman" w:cs="Times New Roman"/>
      <w:sz w:val="24"/>
      <w:szCs w:val="24"/>
      <w:lang w:eastAsia="en-IN"/>
    </w:rPr>
  </w:style>
  <w:style w:type="paragraph" w:customStyle="1" w:styleId="creative-worktitle">
    <w:name w:val="creative-work__title"/>
    <w:basedOn w:val="Normal"/>
    <w:qFormat/>
    <w:rsid w:val="006E473C"/>
    <w:pPr>
      <w:spacing w:beforeAutospacing="1"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7801E6"/>
    <w:pPr>
      <w:ind w:left="720"/>
      <w:contextualSpacing/>
    </w:pPr>
  </w:style>
  <w:style w:type="paragraph" w:styleId="Bibliography">
    <w:name w:val="Bibliography"/>
    <w:basedOn w:val="Normal"/>
    <w:next w:val="Normal"/>
    <w:uiPriority w:val="37"/>
    <w:unhideWhenUsed/>
    <w:qFormat/>
    <w:rsid w:val="00AD5D69"/>
    <w:pPr>
      <w:tabs>
        <w:tab w:val="left" w:pos="384"/>
      </w:tabs>
      <w:spacing w:after="240" w:line="240" w:lineRule="auto"/>
      <w:ind w:left="384" w:hanging="384"/>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6B3501"/>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3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inditaghosh2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57BC7-CFE4-4C3F-BED1-C4FC3E88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10</Pages>
  <Words>19958</Words>
  <Characters>113763</Characters>
  <Application>Microsoft Office Word</Application>
  <DocSecurity>0</DocSecurity>
  <Lines>948</Lines>
  <Paragraphs>266</Paragraphs>
  <ScaleCrop>false</ScaleCrop>
  <HeadingPairs>
    <vt:vector size="2" baseType="variant">
      <vt:variant>
        <vt:lpstr>Title</vt:lpstr>
      </vt:variant>
      <vt:variant>
        <vt:i4>1</vt:i4>
      </vt:variant>
    </vt:vector>
  </HeadingPairs>
  <TitlesOfParts>
    <vt:vector size="1" baseType="lpstr">
      <vt:lpstr/>
    </vt:vector>
  </TitlesOfParts>
  <Company>SSOU</Company>
  <LinksUpToDate>false</LinksUpToDate>
  <CharactersWithSpaces>133455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Anindita Ghosh</dc:creator>
  <dc:description/>
  <cp:lastModifiedBy>Anindita Ghosh</cp:lastModifiedBy>
  <cp:revision>21</cp:revision>
  <dcterms:created xsi:type="dcterms:W3CDTF">2023-07-31T06:56:00Z</dcterms:created>
  <dcterms:modified xsi:type="dcterms:W3CDTF">2023-08-28T12:44:00Z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id="5WKPeHfD"/&gt;&lt;style id="http://www.zotero.org/styles/american-medical-association" hasBibliography="1" bibliographyStyleHasBeenSet="1"/&gt;&lt;prefs&gt;&lt;pref name="fieldType" value="Field"/&gt;&lt;pref name="auto</vt:lpwstr>
  </property>
  <property fmtid="{D5CDD505-2E9C-101B-9397-08002B2CF9AE}" pid="3" name="ZOTERO_PREF_2">
    <vt:lpwstr>maticJournalAbbreviations" value="true"/&gt;&lt;/prefs&gt;&lt;/data&gt;</vt:lpwstr>
  </property>
</Properties>
</file>