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1FB4" w:rsidRPr="00711852" w:rsidRDefault="00A31BC6" w:rsidP="00711852">
      <w:pPr>
        <w:spacing w:after="0" w:line="480" w:lineRule="auto"/>
        <w:contextualSpacing/>
        <w:jc w:val="center"/>
        <w:rPr>
          <w:rFonts w:ascii="Times New Roman" w:hAnsi="Times New Roman" w:cs="Times New Roman"/>
          <w:b/>
          <w:sz w:val="24"/>
          <w:szCs w:val="24"/>
        </w:rPr>
      </w:pPr>
      <w:r w:rsidRPr="00711852">
        <w:rPr>
          <w:rFonts w:ascii="Times New Roman" w:hAnsi="Times New Roman" w:cs="Times New Roman"/>
          <w:b/>
          <w:sz w:val="24"/>
          <w:szCs w:val="24"/>
        </w:rPr>
        <w:t>Recent advance</w:t>
      </w:r>
      <w:r w:rsidR="004E5DEE" w:rsidRPr="00711852">
        <w:rPr>
          <w:rFonts w:ascii="Times New Roman" w:hAnsi="Times New Roman" w:cs="Times New Roman"/>
          <w:b/>
          <w:sz w:val="24"/>
          <w:szCs w:val="24"/>
        </w:rPr>
        <w:t>ment</w:t>
      </w:r>
      <w:r w:rsidRPr="00711852">
        <w:rPr>
          <w:rFonts w:ascii="Times New Roman" w:hAnsi="Times New Roman" w:cs="Times New Roman"/>
          <w:b/>
          <w:sz w:val="24"/>
          <w:szCs w:val="24"/>
        </w:rPr>
        <w:t>s in the</w:t>
      </w:r>
      <w:r w:rsidR="002F6108" w:rsidRPr="00711852">
        <w:rPr>
          <w:rFonts w:ascii="Times New Roman" w:hAnsi="Times New Roman" w:cs="Times New Roman"/>
          <w:b/>
          <w:sz w:val="24"/>
          <w:szCs w:val="24"/>
        </w:rPr>
        <w:t xml:space="preserve">toxicological assessment andbacterial-mediated biodegradation pathways of </w:t>
      </w:r>
      <w:r w:rsidR="00501968" w:rsidRPr="00711852">
        <w:rPr>
          <w:rFonts w:ascii="Times New Roman" w:hAnsi="Times New Roman" w:cs="Times New Roman"/>
          <w:b/>
          <w:sz w:val="24"/>
          <w:szCs w:val="24"/>
        </w:rPr>
        <w:t>Paracetamol</w:t>
      </w:r>
    </w:p>
    <w:p w:rsidR="00207842" w:rsidRDefault="00207842" w:rsidP="00D11458">
      <w:pPr>
        <w:spacing w:after="0" w:line="360" w:lineRule="auto"/>
        <w:contextualSpacing/>
        <w:jc w:val="center"/>
        <w:rPr>
          <w:rFonts w:ascii="Times New Roman" w:hAnsi="Times New Roman" w:cs="Times New Roman"/>
          <w:sz w:val="24"/>
          <w:szCs w:val="24"/>
          <w:vertAlign w:val="superscript"/>
        </w:rPr>
      </w:pPr>
      <w:r w:rsidRPr="00711852">
        <w:rPr>
          <w:rFonts w:ascii="Times New Roman" w:hAnsi="Times New Roman" w:cs="Times New Roman"/>
          <w:sz w:val="24"/>
          <w:szCs w:val="24"/>
        </w:rPr>
        <w:t>Asmita Gupta</w:t>
      </w:r>
      <w:r w:rsidRPr="00711852">
        <w:rPr>
          <w:rFonts w:ascii="Times New Roman" w:hAnsi="Times New Roman" w:cs="Times New Roman"/>
          <w:sz w:val="24"/>
          <w:szCs w:val="24"/>
          <w:vertAlign w:val="superscript"/>
        </w:rPr>
        <w:t>1*</w:t>
      </w:r>
      <w:r w:rsidRPr="00711852">
        <w:rPr>
          <w:rFonts w:ascii="Times New Roman" w:hAnsi="Times New Roman" w:cs="Times New Roman"/>
          <w:sz w:val="24"/>
          <w:szCs w:val="24"/>
        </w:rPr>
        <w:t>, Swati</w:t>
      </w:r>
      <w:r w:rsidRPr="00711852">
        <w:rPr>
          <w:rFonts w:ascii="Times New Roman" w:hAnsi="Times New Roman" w:cs="Times New Roman"/>
          <w:sz w:val="24"/>
          <w:szCs w:val="24"/>
          <w:vertAlign w:val="superscript"/>
        </w:rPr>
        <w:t>2</w:t>
      </w:r>
      <w:r w:rsidRPr="00711852">
        <w:rPr>
          <w:rFonts w:ascii="Times New Roman" w:hAnsi="Times New Roman" w:cs="Times New Roman"/>
          <w:sz w:val="24"/>
          <w:szCs w:val="24"/>
        </w:rPr>
        <w:t>, Madan Kumar</w:t>
      </w:r>
      <w:r w:rsidRPr="00711852">
        <w:rPr>
          <w:rFonts w:ascii="Times New Roman" w:hAnsi="Times New Roman" w:cs="Times New Roman"/>
          <w:sz w:val="24"/>
          <w:szCs w:val="24"/>
          <w:vertAlign w:val="superscript"/>
        </w:rPr>
        <w:t>3</w:t>
      </w:r>
      <w:r w:rsidR="00B86C30">
        <w:rPr>
          <w:rFonts w:ascii="Times New Roman" w:hAnsi="Times New Roman" w:cs="Times New Roman"/>
          <w:sz w:val="24"/>
          <w:szCs w:val="24"/>
        </w:rPr>
        <w:t xml:space="preserve">, </w:t>
      </w:r>
      <w:r w:rsidRPr="00711852">
        <w:rPr>
          <w:rFonts w:ascii="Times New Roman" w:hAnsi="Times New Roman" w:cs="Times New Roman"/>
          <w:sz w:val="24"/>
          <w:szCs w:val="24"/>
        </w:rPr>
        <w:t>Rama Pasricha</w:t>
      </w:r>
      <w:r w:rsidRPr="00711852">
        <w:rPr>
          <w:rFonts w:ascii="Times New Roman" w:hAnsi="Times New Roman" w:cs="Times New Roman"/>
          <w:sz w:val="24"/>
          <w:szCs w:val="24"/>
          <w:vertAlign w:val="superscript"/>
        </w:rPr>
        <w:t>1</w:t>
      </w:r>
    </w:p>
    <w:p w:rsidR="00D11458" w:rsidRPr="00711852" w:rsidRDefault="00D11458" w:rsidP="00D11458">
      <w:pPr>
        <w:spacing w:after="0" w:line="360" w:lineRule="auto"/>
        <w:contextualSpacing/>
        <w:jc w:val="center"/>
        <w:rPr>
          <w:rFonts w:ascii="Times New Roman" w:hAnsi="Times New Roman" w:cs="Times New Roman"/>
          <w:sz w:val="24"/>
          <w:szCs w:val="24"/>
        </w:rPr>
      </w:pPr>
    </w:p>
    <w:p w:rsidR="00207842" w:rsidRPr="00711852" w:rsidRDefault="00207842" w:rsidP="00D11458">
      <w:pPr>
        <w:spacing w:after="0" w:line="360" w:lineRule="auto"/>
        <w:contextualSpacing/>
        <w:jc w:val="center"/>
        <w:rPr>
          <w:rFonts w:ascii="Times New Roman" w:hAnsi="Times New Roman" w:cs="Times New Roman"/>
          <w:i/>
          <w:sz w:val="24"/>
          <w:szCs w:val="24"/>
        </w:rPr>
      </w:pPr>
      <w:r w:rsidRPr="00711852">
        <w:rPr>
          <w:rFonts w:ascii="Times New Roman" w:hAnsi="Times New Roman" w:cs="Times New Roman"/>
          <w:i/>
          <w:sz w:val="24"/>
          <w:szCs w:val="24"/>
          <w:vertAlign w:val="superscript"/>
        </w:rPr>
        <w:t xml:space="preserve">1 </w:t>
      </w:r>
      <w:r w:rsidRPr="00711852">
        <w:rPr>
          <w:rFonts w:ascii="Times New Roman" w:hAnsi="Times New Roman" w:cs="Times New Roman"/>
          <w:i/>
          <w:sz w:val="24"/>
          <w:szCs w:val="24"/>
        </w:rPr>
        <w:t>Department of Botany, Daulat Ram College, University of Delhi, New Delhi, India.</w:t>
      </w:r>
    </w:p>
    <w:p w:rsidR="00207842" w:rsidRPr="00711852" w:rsidRDefault="00207842" w:rsidP="00D11458">
      <w:pPr>
        <w:spacing w:after="0" w:line="360" w:lineRule="auto"/>
        <w:contextualSpacing/>
        <w:jc w:val="center"/>
        <w:rPr>
          <w:rFonts w:ascii="Times New Roman" w:hAnsi="Times New Roman" w:cs="Times New Roman"/>
          <w:i/>
          <w:sz w:val="24"/>
          <w:szCs w:val="24"/>
        </w:rPr>
      </w:pPr>
      <w:r w:rsidRPr="00711852">
        <w:rPr>
          <w:rFonts w:ascii="Times New Roman" w:hAnsi="Times New Roman" w:cs="Times New Roman"/>
          <w:i/>
          <w:sz w:val="24"/>
          <w:szCs w:val="24"/>
          <w:vertAlign w:val="superscript"/>
        </w:rPr>
        <w:t xml:space="preserve">2 </w:t>
      </w:r>
      <w:r w:rsidRPr="00711852">
        <w:rPr>
          <w:rFonts w:ascii="Times New Roman" w:hAnsi="Times New Roman" w:cs="Times New Roman"/>
          <w:i/>
          <w:sz w:val="24"/>
          <w:szCs w:val="24"/>
        </w:rPr>
        <w:t xml:space="preserve">Department of </w:t>
      </w:r>
      <w:r w:rsidR="003D1FB4" w:rsidRPr="00711852">
        <w:rPr>
          <w:rFonts w:ascii="Times New Roman" w:hAnsi="Times New Roman" w:cs="Times New Roman"/>
          <w:i/>
          <w:sz w:val="24"/>
          <w:szCs w:val="24"/>
        </w:rPr>
        <w:t>Bios</w:t>
      </w:r>
      <w:r w:rsidRPr="00711852">
        <w:rPr>
          <w:rFonts w:ascii="Times New Roman" w:hAnsi="Times New Roman" w:cs="Times New Roman"/>
          <w:i/>
          <w:sz w:val="24"/>
          <w:szCs w:val="24"/>
        </w:rPr>
        <w:t>ciences, Jamia Mil</w:t>
      </w:r>
      <w:r w:rsidR="003D1FB4" w:rsidRPr="00711852">
        <w:rPr>
          <w:rFonts w:ascii="Times New Roman" w:hAnsi="Times New Roman" w:cs="Times New Roman"/>
          <w:i/>
          <w:sz w:val="24"/>
          <w:szCs w:val="24"/>
        </w:rPr>
        <w:t>l</w:t>
      </w:r>
      <w:r w:rsidRPr="00711852">
        <w:rPr>
          <w:rFonts w:ascii="Times New Roman" w:hAnsi="Times New Roman" w:cs="Times New Roman"/>
          <w:i/>
          <w:sz w:val="24"/>
          <w:szCs w:val="24"/>
        </w:rPr>
        <w:t>ia Islamia University, New Delhi, India.</w:t>
      </w:r>
    </w:p>
    <w:p w:rsidR="00207842" w:rsidRPr="00711852" w:rsidRDefault="00207842" w:rsidP="00D11458">
      <w:pPr>
        <w:spacing w:after="0" w:line="360" w:lineRule="auto"/>
        <w:contextualSpacing/>
        <w:jc w:val="center"/>
        <w:rPr>
          <w:rFonts w:ascii="Times New Roman" w:hAnsi="Times New Roman" w:cs="Times New Roman"/>
          <w:i/>
          <w:sz w:val="24"/>
          <w:szCs w:val="24"/>
        </w:rPr>
      </w:pPr>
      <w:r w:rsidRPr="00711852">
        <w:rPr>
          <w:rFonts w:ascii="Times New Roman" w:hAnsi="Times New Roman" w:cs="Times New Roman"/>
          <w:i/>
          <w:sz w:val="24"/>
          <w:szCs w:val="24"/>
          <w:vertAlign w:val="superscript"/>
        </w:rPr>
        <w:t xml:space="preserve">3 </w:t>
      </w:r>
      <w:r w:rsidRPr="00711852">
        <w:rPr>
          <w:rFonts w:ascii="Times New Roman" w:hAnsi="Times New Roman" w:cs="Times New Roman"/>
          <w:i/>
          <w:sz w:val="24"/>
          <w:szCs w:val="24"/>
        </w:rPr>
        <w:t>Centre for Rural Development and Technology</w:t>
      </w:r>
      <w:r w:rsidR="00B86C30">
        <w:rPr>
          <w:rFonts w:ascii="Times New Roman" w:hAnsi="Times New Roman" w:cs="Times New Roman"/>
          <w:i/>
          <w:sz w:val="24"/>
          <w:szCs w:val="24"/>
        </w:rPr>
        <w:t xml:space="preserve"> </w:t>
      </w:r>
      <w:r w:rsidRPr="00711852">
        <w:rPr>
          <w:rFonts w:ascii="Times New Roman" w:hAnsi="Times New Roman" w:cs="Times New Roman"/>
          <w:i/>
          <w:sz w:val="24"/>
          <w:szCs w:val="24"/>
        </w:rPr>
        <w:t>(CRDT), I</w:t>
      </w:r>
      <w:r w:rsidR="00DC7BE1" w:rsidRPr="00711852">
        <w:rPr>
          <w:rFonts w:ascii="Times New Roman" w:hAnsi="Times New Roman" w:cs="Times New Roman"/>
          <w:i/>
          <w:sz w:val="24"/>
          <w:szCs w:val="24"/>
        </w:rPr>
        <w:t xml:space="preserve">ndian </w:t>
      </w:r>
      <w:r w:rsidRPr="00711852">
        <w:rPr>
          <w:rFonts w:ascii="Times New Roman" w:hAnsi="Times New Roman" w:cs="Times New Roman"/>
          <w:i/>
          <w:sz w:val="24"/>
          <w:szCs w:val="24"/>
        </w:rPr>
        <w:t>I</w:t>
      </w:r>
      <w:r w:rsidR="00DC7BE1" w:rsidRPr="00711852">
        <w:rPr>
          <w:rFonts w:ascii="Times New Roman" w:hAnsi="Times New Roman" w:cs="Times New Roman"/>
          <w:i/>
          <w:sz w:val="24"/>
          <w:szCs w:val="24"/>
        </w:rPr>
        <w:t>nstitute of Technology (IIT)</w:t>
      </w:r>
      <w:r w:rsidRPr="00711852">
        <w:rPr>
          <w:rFonts w:ascii="Times New Roman" w:hAnsi="Times New Roman" w:cs="Times New Roman"/>
          <w:i/>
          <w:sz w:val="24"/>
          <w:szCs w:val="24"/>
        </w:rPr>
        <w:t xml:space="preserve"> Delhi, New Delhi,</w:t>
      </w:r>
      <w:r w:rsidR="00B542B8" w:rsidRPr="00711852">
        <w:rPr>
          <w:rFonts w:ascii="Times New Roman" w:hAnsi="Times New Roman" w:cs="Times New Roman"/>
          <w:i/>
          <w:sz w:val="24"/>
          <w:szCs w:val="24"/>
        </w:rPr>
        <w:t xml:space="preserve"> India</w:t>
      </w:r>
    </w:p>
    <w:p w:rsidR="00207842" w:rsidRPr="00711852" w:rsidRDefault="003D1FB4" w:rsidP="00D11458">
      <w:pPr>
        <w:spacing w:after="0" w:line="360" w:lineRule="auto"/>
        <w:ind w:left="720"/>
        <w:contextualSpacing/>
        <w:jc w:val="center"/>
        <w:rPr>
          <w:rFonts w:ascii="Times New Roman" w:hAnsi="Times New Roman" w:cs="Times New Roman"/>
          <w:i/>
          <w:sz w:val="24"/>
          <w:szCs w:val="24"/>
        </w:rPr>
      </w:pPr>
      <w:r w:rsidRPr="00711852">
        <w:rPr>
          <w:rFonts w:ascii="Times New Roman" w:hAnsi="Times New Roman" w:cs="Times New Roman"/>
          <w:i/>
          <w:sz w:val="24"/>
          <w:szCs w:val="24"/>
        </w:rPr>
        <w:t>*</w:t>
      </w:r>
      <w:r w:rsidR="00207842" w:rsidRPr="00711852">
        <w:rPr>
          <w:rFonts w:ascii="Times New Roman" w:hAnsi="Times New Roman" w:cs="Times New Roman"/>
          <w:i/>
          <w:sz w:val="24"/>
          <w:szCs w:val="24"/>
        </w:rPr>
        <w:t xml:space="preserve">Corresponding author Email ID: </w:t>
      </w:r>
      <w:hyperlink r:id="rId8" w:history="1">
        <w:r w:rsidRPr="00711852">
          <w:rPr>
            <w:rStyle w:val="Hyperlink"/>
            <w:rFonts w:ascii="Times New Roman" w:hAnsi="Times New Roman" w:cs="Times New Roman"/>
            <w:i/>
            <w:sz w:val="24"/>
            <w:szCs w:val="24"/>
          </w:rPr>
          <w:t>asmita@dr.du.ac.in</w:t>
        </w:r>
      </w:hyperlink>
    </w:p>
    <w:p w:rsidR="003B39D0" w:rsidRPr="00711852" w:rsidRDefault="003B39D0" w:rsidP="00711852">
      <w:pPr>
        <w:spacing w:after="0" w:line="480" w:lineRule="auto"/>
        <w:contextualSpacing/>
        <w:jc w:val="both"/>
        <w:rPr>
          <w:rFonts w:ascii="Times New Roman" w:hAnsi="Times New Roman" w:cs="Times New Roman"/>
          <w:b/>
          <w:sz w:val="24"/>
          <w:szCs w:val="24"/>
        </w:rPr>
      </w:pPr>
    </w:p>
    <w:p w:rsidR="00A31BC6" w:rsidRPr="00711852" w:rsidRDefault="00D11458" w:rsidP="00711852">
      <w:pPr>
        <w:spacing w:after="0" w:line="480" w:lineRule="auto"/>
        <w:contextualSpacing/>
        <w:jc w:val="both"/>
        <w:rPr>
          <w:rFonts w:ascii="Times New Roman" w:hAnsi="Times New Roman" w:cs="Times New Roman"/>
          <w:b/>
          <w:sz w:val="24"/>
          <w:szCs w:val="24"/>
        </w:rPr>
      </w:pPr>
      <w:r>
        <w:rPr>
          <w:rFonts w:ascii="Times New Roman" w:hAnsi="Times New Roman" w:cs="Times New Roman"/>
          <w:b/>
          <w:sz w:val="24"/>
          <w:szCs w:val="24"/>
        </w:rPr>
        <w:t>Abstract</w:t>
      </w:r>
    </w:p>
    <w:p w:rsidR="00D11458" w:rsidRDefault="002F6108" w:rsidP="00D11458">
      <w:pPr>
        <w:shd w:val="clear" w:color="auto" w:fill="FFFFFF"/>
        <w:spacing w:after="0" w:line="480" w:lineRule="auto"/>
        <w:contextualSpacing/>
        <w:jc w:val="both"/>
        <w:textAlignment w:val="center"/>
        <w:rPr>
          <w:rFonts w:ascii="Times New Roman" w:hAnsi="Times New Roman" w:cs="Times New Roman"/>
          <w:sz w:val="24"/>
          <w:szCs w:val="24"/>
          <w:shd w:val="clear" w:color="auto" w:fill="FFFFFF"/>
        </w:rPr>
      </w:pPr>
      <w:r w:rsidRPr="00711852">
        <w:rPr>
          <w:rFonts w:ascii="Times New Roman" w:hAnsi="Times New Roman" w:cs="Times New Roman"/>
          <w:kern w:val="0"/>
          <w:sz w:val="24"/>
          <w:szCs w:val="24"/>
        </w:rPr>
        <w:t>Paracetamol or a</w:t>
      </w:r>
      <w:r w:rsidRPr="00711852">
        <w:rPr>
          <w:rFonts w:ascii="Times New Roman" w:hAnsi="Times New Roman" w:cs="Times New Roman"/>
          <w:sz w:val="24"/>
          <w:szCs w:val="24"/>
          <w:shd w:val="clear" w:color="auto" w:fill="FFFFFF"/>
        </w:rPr>
        <w:t>cetaminophen</w:t>
      </w:r>
      <w:r w:rsidR="00DC7BE1" w:rsidRPr="00711852">
        <w:rPr>
          <w:rFonts w:ascii="Times New Roman" w:hAnsi="Times New Roman" w:cs="Times New Roman"/>
          <w:color w:val="4D5156"/>
          <w:sz w:val="24"/>
          <w:szCs w:val="24"/>
          <w:shd w:val="clear" w:color="auto" w:fill="FFFFFF"/>
        </w:rPr>
        <w:t> </w:t>
      </w:r>
      <w:r w:rsidR="009963B7" w:rsidRPr="00711852">
        <w:rPr>
          <w:rFonts w:ascii="Times New Roman" w:hAnsi="Times New Roman" w:cs="Times New Roman"/>
          <w:color w:val="4D5156"/>
          <w:sz w:val="24"/>
          <w:szCs w:val="24"/>
          <w:shd w:val="clear" w:color="auto" w:fill="FFFFFF"/>
        </w:rPr>
        <w:t>(</w:t>
      </w:r>
      <w:r w:rsidR="00DC7BE1" w:rsidRPr="00711852">
        <w:rPr>
          <w:rFonts w:ascii="Times New Roman" w:hAnsi="Times New Roman" w:cs="Times New Roman"/>
          <w:color w:val="202124"/>
          <w:sz w:val="24"/>
          <w:szCs w:val="24"/>
          <w:shd w:val="clear" w:color="auto" w:fill="FFFFFF"/>
        </w:rPr>
        <w:t>N-acetyl-para-aminophenol</w:t>
      </w:r>
      <w:r w:rsidR="009963B7" w:rsidRPr="00711852">
        <w:rPr>
          <w:rFonts w:ascii="Times New Roman" w:hAnsi="Times New Roman" w:cs="Times New Roman"/>
          <w:color w:val="202124"/>
          <w:sz w:val="24"/>
          <w:szCs w:val="24"/>
          <w:shd w:val="clear" w:color="auto" w:fill="FFFFFF"/>
        </w:rPr>
        <w:t>)</w:t>
      </w:r>
      <w:r w:rsidR="00DC7BE1" w:rsidRPr="00711852">
        <w:rPr>
          <w:rFonts w:ascii="Times New Roman" w:hAnsi="Times New Roman" w:cs="Times New Roman"/>
          <w:color w:val="202124"/>
          <w:sz w:val="24"/>
          <w:szCs w:val="24"/>
          <w:shd w:val="clear" w:color="auto" w:fill="FFFFFF"/>
        </w:rPr>
        <w:t xml:space="preserve"> (APAP)</w:t>
      </w:r>
      <w:r w:rsidR="009963B7" w:rsidRPr="00711852">
        <w:rPr>
          <w:rFonts w:ascii="Times New Roman" w:hAnsi="Times New Roman" w:cs="Times New Roman"/>
          <w:color w:val="202124"/>
          <w:sz w:val="24"/>
          <w:szCs w:val="24"/>
          <w:shd w:val="clear" w:color="auto" w:fill="FFFFFF"/>
        </w:rPr>
        <w:t xml:space="preserve"> (</w:t>
      </w:r>
      <w:r w:rsidR="00DC7BE1" w:rsidRPr="00711852">
        <w:rPr>
          <w:rFonts w:ascii="Times New Roman" w:hAnsi="Times New Roman" w:cs="Times New Roman"/>
          <w:color w:val="202124"/>
          <w:sz w:val="24"/>
          <w:szCs w:val="24"/>
          <w:shd w:val="clear" w:color="auto" w:fill="FFFFFF"/>
        </w:rPr>
        <w:t>C</w:t>
      </w:r>
      <w:r w:rsidR="00DC7BE1" w:rsidRPr="00711852">
        <w:rPr>
          <w:rFonts w:ascii="Times New Roman" w:hAnsi="Times New Roman" w:cs="Times New Roman"/>
          <w:color w:val="202124"/>
          <w:sz w:val="24"/>
          <w:szCs w:val="24"/>
          <w:shd w:val="clear" w:color="auto" w:fill="FFFFFF"/>
          <w:vertAlign w:val="subscript"/>
        </w:rPr>
        <w:t>8</w:t>
      </w:r>
      <w:r w:rsidR="00DC7BE1" w:rsidRPr="00711852">
        <w:rPr>
          <w:rFonts w:ascii="Times New Roman" w:hAnsi="Times New Roman" w:cs="Times New Roman"/>
          <w:color w:val="202124"/>
          <w:sz w:val="24"/>
          <w:szCs w:val="24"/>
          <w:shd w:val="clear" w:color="auto" w:fill="FFFFFF"/>
        </w:rPr>
        <w:t>H</w:t>
      </w:r>
      <w:r w:rsidR="00DC7BE1" w:rsidRPr="00711852">
        <w:rPr>
          <w:rFonts w:ascii="Times New Roman" w:hAnsi="Times New Roman" w:cs="Times New Roman"/>
          <w:color w:val="202124"/>
          <w:sz w:val="24"/>
          <w:szCs w:val="24"/>
          <w:shd w:val="clear" w:color="auto" w:fill="FFFFFF"/>
          <w:vertAlign w:val="subscript"/>
        </w:rPr>
        <w:t>9</w:t>
      </w:r>
      <w:r w:rsidR="00DC7BE1" w:rsidRPr="00711852">
        <w:rPr>
          <w:rFonts w:ascii="Times New Roman" w:hAnsi="Times New Roman" w:cs="Times New Roman"/>
          <w:color w:val="202124"/>
          <w:sz w:val="24"/>
          <w:szCs w:val="24"/>
          <w:shd w:val="clear" w:color="auto" w:fill="FFFFFF"/>
        </w:rPr>
        <w:t>NO</w:t>
      </w:r>
      <w:r w:rsidR="00DC7BE1" w:rsidRPr="00711852">
        <w:rPr>
          <w:rFonts w:ascii="Times New Roman" w:hAnsi="Times New Roman" w:cs="Times New Roman"/>
          <w:color w:val="202124"/>
          <w:sz w:val="24"/>
          <w:szCs w:val="24"/>
          <w:shd w:val="clear" w:color="auto" w:fill="FFFFFF"/>
          <w:vertAlign w:val="subscript"/>
        </w:rPr>
        <w:t>2</w:t>
      </w:r>
      <w:r w:rsidR="009963B7" w:rsidRPr="00711852">
        <w:rPr>
          <w:rFonts w:ascii="Times New Roman" w:hAnsi="Times New Roman" w:cs="Times New Roman"/>
          <w:sz w:val="24"/>
          <w:szCs w:val="24"/>
          <w:shd w:val="clear" w:color="auto" w:fill="FFFFFF"/>
        </w:rPr>
        <w:t xml:space="preserve">) </w:t>
      </w:r>
      <w:r w:rsidRPr="00711852">
        <w:rPr>
          <w:rFonts w:ascii="Times New Roman" w:hAnsi="Times New Roman" w:cs="Times New Roman"/>
          <w:sz w:val="24"/>
          <w:szCs w:val="24"/>
          <w:shd w:val="clear" w:color="auto" w:fill="FFFFFF"/>
        </w:rPr>
        <w:t xml:space="preserve">is the most widely used over the counter (OTC) </w:t>
      </w:r>
      <w:r w:rsidR="009963B7" w:rsidRPr="00711852">
        <w:rPr>
          <w:rFonts w:ascii="Times New Roman" w:hAnsi="Times New Roman" w:cs="Times New Roman"/>
          <w:color w:val="000000"/>
          <w:sz w:val="24"/>
          <w:szCs w:val="24"/>
          <w:shd w:val="clear" w:color="auto" w:fill="FFFFFF"/>
        </w:rPr>
        <w:t>non-opioid analgesic and antipyretic agent used to treat mild to moderate pain and fever</w:t>
      </w:r>
      <w:r w:rsidRPr="00711852">
        <w:rPr>
          <w:rFonts w:ascii="Times New Roman" w:hAnsi="Times New Roman" w:cs="Times New Roman"/>
          <w:sz w:val="24"/>
          <w:szCs w:val="24"/>
          <w:shd w:val="clear" w:color="auto" w:fill="FFFFFF"/>
        </w:rPr>
        <w:t xml:space="preserve">. </w:t>
      </w:r>
      <w:r w:rsidR="00526158" w:rsidRPr="00711852">
        <w:rPr>
          <w:rFonts w:ascii="Times New Roman" w:hAnsi="Times New Roman" w:cs="Times New Roman"/>
          <w:sz w:val="24"/>
          <w:szCs w:val="24"/>
          <w:shd w:val="clear" w:color="auto" w:fill="FFFFFF"/>
        </w:rPr>
        <w:t xml:space="preserve">Being </w:t>
      </w:r>
      <w:r w:rsidR="00BD3B6C" w:rsidRPr="00711852">
        <w:rPr>
          <w:rFonts w:ascii="Times New Roman" w:hAnsi="Times New Roman" w:cs="Times New Roman"/>
          <w:sz w:val="24"/>
          <w:szCs w:val="24"/>
          <w:shd w:val="clear" w:color="auto" w:fill="FFFFFF"/>
        </w:rPr>
        <w:t>an OTC drug,</w:t>
      </w:r>
      <w:r w:rsidR="00526158" w:rsidRPr="00711852">
        <w:rPr>
          <w:rFonts w:ascii="Times New Roman" w:hAnsi="Times New Roman" w:cs="Times New Roman"/>
          <w:sz w:val="24"/>
          <w:szCs w:val="24"/>
          <w:shd w:val="clear" w:color="auto" w:fill="FFFFFF"/>
        </w:rPr>
        <w:t xml:space="preserve"> it is freely available, resulting in its rampant overuse, especially during Covid and </w:t>
      </w:r>
      <w:r w:rsidR="00BD3B6C" w:rsidRPr="00711852">
        <w:rPr>
          <w:rFonts w:ascii="Times New Roman" w:hAnsi="Times New Roman" w:cs="Times New Roman"/>
          <w:sz w:val="24"/>
          <w:szCs w:val="24"/>
          <w:shd w:val="clear" w:color="auto" w:fill="FFFFFF"/>
        </w:rPr>
        <w:t xml:space="preserve">in the </w:t>
      </w:r>
      <w:r w:rsidR="00526158" w:rsidRPr="00711852">
        <w:rPr>
          <w:rFonts w:ascii="Times New Roman" w:hAnsi="Times New Roman" w:cs="Times New Roman"/>
          <w:sz w:val="24"/>
          <w:szCs w:val="24"/>
          <w:shd w:val="clear" w:color="auto" w:fill="FFFFFF"/>
        </w:rPr>
        <w:t xml:space="preserve">post Covid period.Ingestion of Paracetamol </w:t>
      </w:r>
      <w:r w:rsidR="00895CFC" w:rsidRPr="00711852">
        <w:rPr>
          <w:rFonts w:ascii="Times New Roman" w:hAnsi="Times New Roman" w:cs="Times New Roman"/>
          <w:sz w:val="24"/>
          <w:szCs w:val="24"/>
          <w:shd w:val="clear" w:color="auto" w:fill="FFFFFF"/>
        </w:rPr>
        <w:t xml:space="preserve">at doses above the recommended levels has been found to causehistopathological and neurotoxic </w:t>
      </w:r>
      <w:r w:rsidRPr="00711852">
        <w:rPr>
          <w:rFonts w:ascii="Times New Roman" w:hAnsi="Times New Roman" w:cs="Times New Roman"/>
          <w:sz w:val="24"/>
          <w:szCs w:val="24"/>
          <w:shd w:val="clear" w:color="auto" w:fill="FFFFFF"/>
        </w:rPr>
        <w:t>effects</w:t>
      </w:r>
      <w:r w:rsidR="00895CFC" w:rsidRPr="00711852">
        <w:rPr>
          <w:rFonts w:ascii="Times New Roman" w:hAnsi="Times New Roman" w:cs="Times New Roman"/>
          <w:sz w:val="24"/>
          <w:szCs w:val="24"/>
          <w:shd w:val="clear" w:color="auto" w:fill="FFFFFF"/>
        </w:rPr>
        <w:t xml:space="preserve">. </w:t>
      </w:r>
      <w:r w:rsidR="00526158" w:rsidRPr="00711852">
        <w:rPr>
          <w:rFonts w:ascii="Times New Roman" w:hAnsi="Times New Roman" w:cs="Times New Roman"/>
          <w:sz w:val="24"/>
          <w:szCs w:val="24"/>
          <w:shd w:val="clear" w:color="auto" w:fill="FFFFFF"/>
        </w:rPr>
        <w:t>Thus, t</w:t>
      </w:r>
      <w:r w:rsidR="00526158" w:rsidRPr="00711852">
        <w:rPr>
          <w:rFonts w:ascii="Times New Roman" w:hAnsi="Times New Roman" w:cs="Times New Roman"/>
          <w:sz w:val="24"/>
          <w:szCs w:val="24"/>
        </w:rPr>
        <w:t xml:space="preserve">his global issue of </w:t>
      </w:r>
      <w:r w:rsidR="00526158" w:rsidRPr="00711852">
        <w:rPr>
          <w:rFonts w:ascii="Times New Roman" w:hAnsi="Times New Roman" w:cs="Times New Roman"/>
          <w:sz w:val="24"/>
          <w:szCs w:val="24"/>
          <w:shd w:val="clear" w:color="auto" w:fill="FFFFFF"/>
        </w:rPr>
        <w:t xml:space="preserve">improper use and environmental discharge of paracetamol and the associated risks raise concerns and demand for a systematic approach towards its monitoring and remediation. </w:t>
      </w:r>
      <w:r w:rsidR="00A83E88" w:rsidRPr="00711852">
        <w:rPr>
          <w:rFonts w:ascii="Times New Roman" w:hAnsi="Times New Roman" w:cs="Times New Roman"/>
          <w:sz w:val="24"/>
          <w:szCs w:val="24"/>
          <w:shd w:val="clear" w:color="auto" w:fill="FFFFFF"/>
        </w:rPr>
        <w:t>Bior</w:t>
      </w:r>
      <w:r w:rsidR="00895CFC" w:rsidRPr="00711852">
        <w:rPr>
          <w:rFonts w:ascii="Times New Roman" w:hAnsi="Times New Roman" w:cs="Times New Roman"/>
          <w:sz w:val="24"/>
          <w:szCs w:val="24"/>
          <w:shd w:val="clear" w:color="auto" w:fill="FFFFFF"/>
        </w:rPr>
        <w:t xml:space="preserve">emediation of paracetamol from environmental samples using bacteria </w:t>
      </w:r>
      <w:r w:rsidR="00BD54D8" w:rsidRPr="00711852">
        <w:rPr>
          <w:rFonts w:ascii="Times New Roman" w:hAnsi="Times New Roman" w:cs="Times New Roman"/>
          <w:sz w:val="24"/>
          <w:szCs w:val="24"/>
          <w:shd w:val="clear" w:color="auto" w:fill="FFFFFF"/>
        </w:rPr>
        <w:t xml:space="preserve">such as </w:t>
      </w:r>
      <w:r w:rsidR="00BD54D8" w:rsidRPr="00711852">
        <w:rPr>
          <w:rFonts w:ascii="Times New Roman" w:hAnsi="Times New Roman" w:cs="Times New Roman"/>
          <w:i/>
          <w:iCs/>
          <w:sz w:val="24"/>
          <w:szCs w:val="24"/>
          <w:shd w:val="clear" w:color="auto" w:fill="FFFFFF"/>
        </w:rPr>
        <w:t xml:space="preserve">Pseudomonas </w:t>
      </w:r>
      <w:r w:rsidR="00BD54D8" w:rsidRPr="00711852">
        <w:rPr>
          <w:rFonts w:ascii="Times New Roman" w:hAnsi="Times New Roman" w:cs="Times New Roman"/>
          <w:iCs/>
          <w:sz w:val="24"/>
          <w:szCs w:val="24"/>
          <w:shd w:val="clear" w:color="auto" w:fill="FFFFFF"/>
        </w:rPr>
        <w:t>sp.</w:t>
      </w:r>
      <w:r w:rsidR="00BD54D8" w:rsidRPr="00711852">
        <w:rPr>
          <w:rFonts w:ascii="Times New Roman" w:hAnsi="Times New Roman" w:cs="Times New Roman"/>
          <w:sz w:val="24"/>
          <w:szCs w:val="24"/>
          <w:shd w:val="clear" w:color="auto" w:fill="FFFFFF"/>
        </w:rPr>
        <w:t xml:space="preserve">, </w:t>
      </w:r>
      <w:r w:rsidR="00BD54D8" w:rsidRPr="00711852">
        <w:rPr>
          <w:rFonts w:ascii="Times New Roman" w:hAnsi="Times New Roman" w:cs="Times New Roman"/>
          <w:i/>
          <w:iCs/>
          <w:sz w:val="24"/>
          <w:szCs w:val="24"/>
          <w:shd w:val="clear" w:color="auto" w:fill="FFFFFF"/>
        </w:rPr>
        <w:t>Bacillus</w:t>
      </w:r>
      <w:r w:rsidR="00BD54D8" w:rsidRPr="00711852">
        <w:rPr>
          <w:rFonts w:ascii="Times New Roman" w:hAnsi="Times New Roman" w:cs="Times New Roman"/>
          <w:sz w:val="24"/>
          <w:szCs w:val="24"/>
          <w:shd w:val="clear" w:color="auto" w:fill="FFFFFF"/>
        </w:rPr>
        <w:t xml:space="preserve"> sp., </w:t>
      </w:r>
      <w:r w:rsidR="00BD54D8" w:rsidRPr="00711852">
        <w:rPr>
          <w:rFonts w:ascii="Times New Roman" w:hAnsi="Times New Roman" w:cs="Times New Roman"/>
          <w:i/>
          <w:iCs/>
          <w:sz w:val="24"/>
          <w:szCs w:val="24"/>
          <w:shd w:val="clear" w:color="auto" w:fill="FFFFFF"/>
        </w:rPr>
        <w:t>Enterococcus</w:t>
      </w:r>
      <w:r w:rsidR="00BD54D8" w:rsidRPr="00711852">
        <w:rPr>
          <w:rFonts w:ascii="Times New Roman" w:hAnsi="Times New Roman" w:cs="Times New Roman"/>
          <w:sz w:val="24"/>
          <w:szCs w:val="24"/>
          <w:shd w:val="clear" w:color="auto" w:fill="FFFFFF"/>
        </w:rPr>
        <w:t xml:space="preserve"> sp. has been shown to be </w:t>
      </w:r>
      <w:r w:rsidR="00A83E88" w:rsidRPr="00711852">
        <w:rPr>
          <w:rFonts w:ascii="Times New Roman" w:hAnsi="Times New Roman" w:cs="Times New Roman"/>
          <w:sz w:val="24"/>
          <w:szCs w:val="24"/>
          <w:shd w:val="clear" w:color="auto" w:fill="FFFFFF"/>
        </w:rPr>
        <w:t>a</w:t>
      </w:r>
      <w:r w:rsidR="00BD54D8" w:rsidRPr="00711852">
        <w:rPr>
          <w:rFonts w:ascii="Times New Roman" w:hAnsi="Times New Roman" w:cs="Times New Roman"/>
          <w:sz w:val="24"/>
          <w:szCs w:val="24"/>
          <w:shd w:val="clear" w:color="auto" w:fill="FFFFFF"/>
        </w:rPr>
        <w:t>neffective, environment-</w:t>
      </w:r>
      <w:r w:rsidR="00A83E88" w:rsidRPr="00711852">
        <w:rPr>
          <w:rFonts w:ascii="Times New Roman" w:hAnsi="Times New Roman" w:cs="Times New Roman"/>
          <w:sz w:val="24"/>
          <w:szCs w:val="24"/>
          <w:shd w:val="clear" w:color="auto" w:fill="FFFFFF"/>
        </w:rPr>
        <w:t xml:space="preserve">friendly </w:t>
      </w:r>
      <w:r w:rsidR="00BD54D8" w:rsidRPr="00711852">
        <w:rPr>
          <w:rFonts w:ascii="Times New Roman" w:hAnsi="Times New Roman" w:cs="Times New Roman"/>
          <w:sz w:val="24"/>
          <w:szCs w:val="24"/>
          <w:shd w:val="clear" w:color="auto" w:fill="FFFFFF"/>
        </w:rPr>
        <w:t xml:space="preserve">and low-cost </w:t>
      </w:r>
      <w:r w:rsidR="00A83E88" w:rsidRPr="00711852">
        <w:rPr>
          <w:rFonts w:ascii="Times New Roman" w:hAnsi="Times New Roman" w:cs="Times New Roman"/>
          <w:sz w:val="24"/>
          <w:szCs w:val="24"/>
          <w:shd w:val="clear" w:color="auto" w:fill="FFFFFF"/>
        </w:rPr>
        <w:t>method</w:t>
      </w:r>
      <w:r w:rsidR="00895CFC" w:rsidRPr="00711852">
        <w:rPr>
          <w:rFonts w:ascii="Times New Roman" w:hAnsi="Times New Roman" w:cs="Times New Roman"/>
          <w:sz w:val="24"/>
          <w:szCs w:val="24"/>
          <w:shd w:val="clear" w:color="auto" w:fill="FFFFFF"/>
        </w:rPr>
        <w:t xml:space="preserve">. </w:t>
      </w:r>
      <w:r w:rsidR="00526158" w:rsidRPr="00711852">
        <w:rPr>
          <w:rFonts w:ascii="Times New Roman" w:hAnsi="Times New Roman" w:cs="Times New Roman"/>
          <w:sz w:val="24"/>
          <w:szCs w:val="24"/>
          <w:shd w:val="clear" w:color="auto" w:fill="FFFFFF"/>
        </w:rPr>
        <w:t>T</w:t>
      </w:r>
      <w:r w:rsidR="008B4D1D" w:rsidRPr="00711852">
        <w:rPr>
          <w:rFonts w:ascii="Times New Roman" w:hAnsi="Times New Roman" w:cs="Times New Roman"/>
          <w:sz w:val="24"/>
          <w:szCs w:val="24"/>
          <w:shd w:val="clear" w:color="auto" w:fill="FFFFFF"/>
        </w:rPr>
        <w:t>he present chapter highlights the recent advancements in the toxicity studies on unnatural exposure to paracetamol and its bacterial biodegradation pathways.</w:t>
      </w:r>
    </w:p>
    <w:p w:rsidR="00D11458" w:rsidRPr="00711852" w:rsidRDefault="00D11458" w:rsidP="00D11458">
      <w:pPr>
        <w:shd w:val="clear" w:color="auto" w:fill="FFFFFF"/>
        <w:spacing w:after="0" w:line="480" w:lineRule="auto"/>
        <w:contextualSpacing/>
        <w:jc w:val="both"/>
        <w:textAlignment w:val="center"/>
        <w:rPr>
          <w:rFonts w:ascii="Times New Roman" w:hAnsi="Times New Roman" w:cs="Times New Roman"/>
          <w:b/>
          <w:sz w:val="24"/>
          <w:szCs w:val="24"/>
        </w:rPr>
      </w:pPr>
    </w:p>
    <w:p w:rsidR="00A31BC6" w:rsidRPr="00711852" w:rsidRDefault="00160BE0" w:rsidP="00711852">
      <w:pPr>
        <w:spacing w:after="0" w:line="480" w:lineRule="auto"/>
        <w:contextualSpacing/>
        <w:jc w:val="both"/>
        <w:rPr>
          <w:rFonts w:ascii="Times New Roman" w:hAnsi="Times New Roman" w:cs="Times New Roman"/>
          <w:sz w:val="24"/>
          <w:szCs w:val="24"/>
        </w:rPr>
      </w:pPr>
      <w:r w:rsidRPr="00711852">
        <w:rPr>
          <w:rFonts w:ascii="Times New Roman" w:hAnsi="Times New Roman" w:cs="Times New Roman"/>
          <w:b/>
          <w:sz w:val="24"/>
          <w:szCs w:val="24"/>
        </w:rPr>
        <w:t xml:space="preserve">Keywords: </w:t>
      </w:r>
      <w:r w:rsidRPr="00711852">
        <w:rPr>
          <w:rFonts w:ascii="Times New Roman" w:hAnsi="Times New Roman" w:cs="Times New Roman"/>
          <w:sz w:val="24"/>
          <w:szCs w:val="24"/>
        </w:rPr>
        <w:t>Acetaminophen, Biodegradation, Wastewater, Bacteria, Toxicity.</w:t>
      </w:r>
    </w:p>
    <w:p w:rsidR="0014064D" w:rsidRDefault="0014064D" w:rsidP="00711852">
      <w:pPr>
        <w:spacing w:after="0" w:line="480" w:lineRule="auto"/>
        <w:contextualSpacing/>
        <w:jc w:val="both"/>
        <w:rPr>
          <w:rFonts w:ascii="Times New Roman" w:hAnsi="Times New Roman" w:cs="Times New Roman"/>
          <w:b/>
          <w:sz w:val="24"/>
          <w:szCs w:val="24"/>
        </w:rPr>
      </w:pPr>
    </w:p>
    <w:p w:rsidR="00D11458" w:rsidRPr="00711852" w:rsidRDefault="00D11458" w:rsidP="00711852">
      <w:pPr>
        <w:spacing w:after="0" w:line="480" w:lineRule="auto"/>
        <w:contextualSpacing/>
        <w:jc w:val="both"/>
        <w:rPr>
          <w:rFonts w:ascii="Times New Roman" w:hAnsi="Times New Roman" w:cs="Times New Roman"/>
          <w:b/>
          <w:sz w:val="24"/>
          <w:szCs w:val="24"/>
        </w:rPr>
      </w:pPr>
    </w:p>
    <w:p w:rsidR="00A31BC6" w:rsidRPr="00711852" w:rsidRDefault="00094722" w:rsidP="00711852">
      <w:pPr>
        <w:spacing w:after="0" w:line="480" w:lineRule="auto"/>
        <w:contextualSpacing/>
        <w:jc w:val="both"/>
        <w:rPr>
          <w:rFonts w:ascii="Times New Roman" w:hAnsi="Times New Roman" w:cs="Times New Roman"/>
          <w:b/>
          <w:sz w:val="24"/>
          <w:szCs w:val="24"/>
        </w:rPr>
      </w:pPr>
      <w:r w:rsidRPr="00711852">
        <w:rPr>
          <w:rFonts w:ascii="Times New Roman" w:hAnsi="Times New Roman" w:cs="Times New Roman"/>
          <w:b/>
          <w:sz w:val="24"/>
          <w:szCs w:val="24"/>
        </w:rPr>
        <w:lastRenderedPageBreak/>
        <w:t xml:space="preserve">1. </w:t>
      </w:r>
      <w:r w:rsidR="004C23DF" w:rsidRPr="00711852">
        <w:rPr>
          <w:rFonts w:ascii="Times New Roman" w:hAnsi="Times New Roman" w:cs="Times New Roman"/>
          <w:b/>
          <w:sz w:val="24"/>
          <w:szCs w:val="24"/>
        </w:rPr>
        <w:t>Introduction</w:t>
      </w:r>
    </w:p>
    <w:p w:rsidR="003D331B" w:rsidRDefault="004E5DEE" w:rsidP="00711852">
      <w:pPr>
        <w:spacing w:after="0" w:line="480" w:lineRule="auto"/>
        <w:contextualSpacing/>
        <w:jc w:val="both"/>
        <w:rPr>
          <w:rFonts w:ascii="Times New Roman" w:hAnsi="Times New Roman" w:cs="Times New Roman"/>
          <w:sz w:val="24"/>
          <w:szCs w:val="24"/>
        </w:rPr>
      </w:pPr>
      <w:r w:rsidRPr="00711852">
        <w:rPr>
          <w:rFonts w:ascii="Times New Roman" w:hAnsi="Times New Roman" w:cs="Times New Roman"/>
          <w:sz w:val="24"/>
          <w:szCs w:val="24"/>
          <w:shd w:val="clear" w:color="auto" w:fill="FFFFFF"/>
        </w:rPr>
        <w:t>Paracetamol or Acetaminophen is</w:t>
      </w:r>
      <w:r w:rsidR="003B39D0" w:rsidRPr="00711852">
        <w:rPr>
          <w:rFonts w:ascii="Times New Roman" w:hAnsi="Times New Roman" w:cs="Times New Roman"/>
          <w:sz w:val="24"/>
          <w:szCs w:val="24"/>
          <w:shd w:val="clear" w:color="auto" w:fill="FFFFFF"/>
        </w:rPr>
        <w:t xml:space="preserve"> </w:t>
      </w:r>
      <w:r w:rsidRPr="00711852">
        <w:rPr>
          <w:rFonts w:ascii="Times New Roman" w:hAnsi="Times New Roman" w:cs="Times New Roman"/>
          <w:sz w:val="24"/>
          <w:szCs w:val="24"/>
          <w:shd w:val="clear" w:color="auto" w:fill="FFFFFF"/>
        </w:rPr>
        <w:t xml:space="preserve">an antipyretic, non-opioid analgesic drug that is used to treat fever and moderate pain. It is the most commonly used </w:t>
      </w:r>
      <w:r w:rsidR="002F6108" w:rsidRPr="00711852">
        <w:rPr>
          <w:rFonts w:ascii="Times New Roman" w:hAnsi="Times New Roman" w:cs="Times New Roman"/>
          <w:sz w:val="24"/>
          <w:szCs w:val="24"/>
          <w:shd w:val="clear" w:color="auto" w:fill="FFFFFF"/>
        </w:rPr>
        <w:t>OTC</w:t>
      </w:r>
      <w:r w:rsidRPr="00711852">
        <w:rPr>
          <w:rFonts w:ascii="Times New Roman" w:hAnsi="Times New Roman" w:cs="Times New Roman"/>
          <w:sz w:val="24"/>
          <w:szCs w:val="24"/>
          <w:shd w:val="clear" w:color="auto" w:fill="FFFFFF"/>
        </w:rPr>
        <w:t xml:space="preserve"> analgesic drug worldwide and is also recommended </w:t>
      </w:r>
      <w:r w:rsidRPr="00711852">
        <w:rPr>
          <w:rFonts w:ascii="Times New Roman" w:hAnsi="Times New Roman" w:cs="Times New Roman"/>
          <w:sz w:val="24"/>
          <w:szCs w:val="24"/>
        </w:rPr>
        <w:t xml:space="preserve">by the World Health Organization (WHO) as a first-line treatment drug for pain conditions. Initially approved by the </w:t>
      </w:r>
      <w:r w:rsidR="0081217C" w:rsidRPr="00711852">
        <w:rPr>
          <w:rFonts w:ascii="Times New Roman" w:hAnsi="Times New Roman" w:cs="Times New Roman"/>
          <w:sz w:val="24"/>
          <w:szCs w:val="24"/>
        </w:rPr>
        <w:t xml:space="preserve">U.S. FDA, </w:t>
      </w:r>
      <w:r w:rsidRPr="00711852">
        <w:rPr>
          <w:rFonts w:ascii="Times New Roman" w:hAnsi="Times New Roman" w:cs="Times New Roman"/>
          <w:sz w:val="24"/>
          <w:szCs w:val="24"/>
        </w:rPr>
        <w:t>1951</w:t>
      </w:r>
      <w:r w:rsidR="0081217C" w:rsidRPr="00711852">
        <w:rPr>
          <w:rFonts w:ascii="Times New Roman" w:hAnsi="Times New Roman" w:cs="Times New Roman"/>
          <w:sz w:val="24"/>
          <w:szCs w:val="24"/>
        </w:rPr>
        <w:t xml:space="preserve"> (Swann 1994)</w:t>
      </w:r>
      <w:r w:rsidRPr="00711852">
        <w:rPr>
          <w:rFonts w:ascii="Times New Roman" w:hAnsi="Times New Roman" w:cs="Times New Roman"/>
          <w:sz w:val="24"/>
          <w:szCs w:val="24"/>
        </w:rPr>
        <w:t>, paracetamol is currently available in various forms such as regular and effervescent tablets, syrup, and injection, and is also used in combination with other drugs in many other medications for allergy, cold, pain, sedative, among others (Jóźwiak-Bebenista and Nowak 2014).</w:t>
      </w:r>
      <w:r w:rsidR="003D331B">
        <w:rPr>
          <w:rFonts w:ascii="Times New Roman" w:hAnsi="Times New Roman" w:cs="Times New Roman"/>
          <w:sz w:val="24"/>
          <w:szCs w:val="24"/>
        </w:rPr>
        <w:t xml:space="preserve">  </w:t>
      </w:r>
    </w:p>
    <w:p w:rsidR="006D147B" w:rsidRPr="00711852" w:rsidRDefault="008556EE" w:rsidP="00711852">
      <w:pPr>
        <w:spacing w:after="0" w:line="480" w:lineRule="auto"/>
        <w:contextualSpacing/>
        <w:jc w:val="both"/>
        <w:rPr>
          <w:rFonts w:ascii="Times New Roman" w:hAnsi="Times New Roman" w:cs="Times New Roman"/>
          <w:sz w:val="24"/>
          <w:szCs w:val="24"/>
        </w:rPr>
      </w:pPr>
      <w:r w:rsidRPr="00711852">
        <w:rPr>
          <w:rFonts w:ascii="Times New Roman" w:hAnsi="Times New Roman" w:cs="Times New Roman"/>
          <w:sz w:val="24"/>
          <w:szCs w:val="24"/>
          <w:lang w:val="en-IN"/>
        </w:rPr>
        <w:t xml:space="preserve">Among all the pharmaceutical compounds contaminating the surface and wastewaters worldwide, acetaminophen prevalence and concentrations have been found to be among the highest (more than 100 ng/L in rivers and 100 μg/L in sewage treatment plant influents) Rios-Miguel et al. (2022). </w:t>
      </w:r>
      <w:r w:rsidRPr="00711852">
        <w:rPr>
          <w:rFonts w:ascii="Times New Roman" w:hAnsi="Times New Roman" w:cs="Times New Roman"/>
          <w:sz w:val="24"/>
          <w:szCs w:val="24"/>
        </w:rPr>
        <w:t>T</w:t>
      </w:r>
      <w:r w:rsidR="00A31BC6" w:rsidRPr="00711852">
        <w:rPr>
          <w:rFonts w:ascii="Times New Roman" w:hAnsi="Times New Roman" w:cs="Times New Roman"/>
          <w:sz w:val="24"/>
          <w:szCs w:val="24"/>
        </w:rPr>
        <w:t>he exposure with paracetamol at undesirable concentration shows various pathological conditions. Mo</w:t>
      </w:r>
      <w:r w:rsidR="00160BE0" w:rsidRPr="00711852">
        <w:rPr>
          <w:rFonts w:ascii="Times New Roman" w:hAnsi="Times New Roman" w:cs="Times New Roman"/>
          <w:sz w:val="24"/>
          <w:szCs w:val="24"/>
        </w:rPr>
        <w:t>ssa et al.</w:t>
      </w:r>
      <w:r w:rsidR="00A31BC6" w:rsidRPr="00711852">
        <w:rPr>
          <w:rFonts w:ascii="Times New Roman" w:hAnsi="Times New Roman" w:cs="Times New Roman"/>
          <w:sz w:val="24"/>
          <w:szCs w:val="24"/>
        </w:rPr>
        <w:t xml:space="preserve"> </w:t>
      </w:r>
      <w:r w:rsidR="001E354F">
        <w:rPr>
          <w:rFonts w:ascii="Times New Roman" w:hAnsi="Times New Roman" w:cs="Times New Roman"/>
          <w:sz w:val="24"/>
          <w:szCs w:val="24"/>
        </w:rPr>
        <w:t>(</w:t>
      </w:r>
      <w:r w:rsidR="00A31BC6" w:rsidRPr="00711852">
        <w:rPr>
          <w:rFonts w:ascii="Times New Roman" w:hAnsi="Times New Roman" w:cs="Times New Roman"/>
          <w:sz w:val="24"/>
          <w:szCs w:val="24"/>
        </w:rPr>
        <w:t>2012</w:t>
      </w:r>
      <w:r w:rsidR="001E354F">
        <w:rPr>
          <w:rFonts w:ascii="Times New Roman" w:hAnsi="Times New Roman" w:cs="Times New Roman"/>
          <w:sz w:val="24"/>
          <w:szCs w:val="24"/>
        </w:rPr>
        <w:t>)</w:t>
      </w:r>
      <w:r w:rsidR="00A31BC6" w:rsidRPr="00711852">
        <w:rPr>
          <w:rFonts w:ascii="Times New Roman" w:hAnsi="Times New Roman" w:cs="Times New Roman"/>
          <w:sz w:val="24"/>
          <w:szCs w:val="24"/>
        </w:rPr>
        <w:t xml:space="preserve"> showed that liver of rats has various biochemical and histopathological changes when exposed to the paracetamol at concentration 66mg/kg. </w:t>
      </w:r>
      <w:r w:rsidR="00160BE0" w:rsidRPr="00711852">
        <w:rPr>
          <w:rFonts w:ascii="Times New Roman" w:hAnsi="Times New Roman" w:cs="Times New Roman"/>
          <w:sz w:val="24"/>
          <w:szCs w:val="24"/>
        </w:rPr>
        <w:t>Blecharz</w:t>
      </w:r>
      <w:r w:rsidR="00D6001C" w:rsidRPr="00711852">
        <w:rPr>
          <w:rFonts w:ascii="Times New Roman" w:hAnsi="Times New Roman" w:cs="Times New Roman"/>
          <w:sz w:val="24"/>
          <w:szCs w:val="24"/>
        </w:rPr>
        <w:t xml:space="preserve"> K</w:t>
      </w:r>
      <w:r w:rsidR="00160BE0" w:rsidRPr="00711852">
        <w:rPr>
          <w:rFonts w:ascii="Times New Roman" w:hAnsi="Times New Roman" w:cs="Times New Roman"/>
          <w:sz w:val="24"/>
          <w:szCs w:val="24"/>
        </w:rPr>
        <w:t>lin et al.</w:t>
      </w:r>
      <w:r w:rsidR="001E354F">
        <w:rPr>
          <w:rFonts w:ascii="Times New Roman" w:hAnsi="Times New Roman" w:cs="Times New Roman"/>
          <w:sz w:val="24"/>
          <w:szCs w:val="24"/>
        </w:rPr>
        <w:t xml:space="preserve"> </w:t>
      </w:r>
      <w:r w:rsidR="00D6001C" w:rsidRPr="00711852">
        <w:rPr>
          <w:rFonts w:ascii="Times New Roman" w:hAnsi="Times New Roman" w:cs="Times New Roman"/>
          <w:sz w:val="24"/>
          <w:szCs w:val="24"/>
        </w:rPr>
        <w:t>(</w:t>
      </w:r>
      <w:r w:rsidR="00A31BC6" w:rsidRPr="00711852">
        <w:rPr>
          <w:rFonts w:ascii="Times New Roman" w:hAnsi="Times New Roman" w:cs="Times New Roman"/>
          <w:sz w:val="24"/>
          <w:szCs w:val="24"/>
        </w:rPr>
        <w:t>2015a</w:t>
      </w:r>
      <w:r w:rsidR="00D6001C" w:rsidRPr="00711852">
        <w:rPr>
          <w:rFonts w:ascii="Times New Roman" w:hAnsi="Times New Roman" w:cs="Times New Roman"/>
          <w:sz w:val="24"/>
          <w:szCs w:val="24"/>
        </w:rPr>
        <w:t>)</w:t>
      </w:r>
      <w:r w:rsidR="00A31BC6" w:rsidRPr="00711852">
        <w:rPr>
          <w:rFonts w:ascii="Times New Roman" w:hAnsi="Times New Roman" w:cs="Times New Roman"/>
          <w:sz w:val="24"/>
          <w:szCs w:val="24"/>
        </w:rPr>
        <w:t xml:space="preserve"> has studied the neurotoxicity associated with the exposure of acetaminophen at 5 and 15mg/kg concentration and found that it causes defect in the neurotransmission process associated with medulla oblongata in early developmental stages. </w:t>
      </w:r>
    </w:p>
    <w:p w:rsidR="00011BF7" w:rsidRPr="00711852" w:rsidRDefault="00A31BC6" w:rsidP="00711852">
      <w:pPr>
        <w:spacing w:after="0" w:line="480" w:lineRule="auto"/>
        <w:contextualSpacing/>
        <w:jc w:val="both"/>
        <w:rPr>
          <w:rFonts w:ascii="Times New Roman" w:hAnsi="Times New Roman" w:cs="Times New Roman"/>
          <w:sz w:val="24"/>
          <w:szCs w:val="24"/>
        </w:rPr>
      </w:pPr>
      <w:r w:rsidRPr="00711852">
        <w:rPr>
          <w:rFonts w:ascii="Times New Roman" w:hAnsi="Times New Roman" w:cs="Times New Roman"/>
          <w:sz w:val="24"/>
          <w:szCs w:val="24"/>
        </w:rPr>
        <w:t xml:space="preserve">Direct effects on spinal cord were also observed by </w:t>
      </w:r>
      <w:r w:rsidR="00160BE0" w:rsidRPr="00711852">
        <w:rPr>
          <w:rFonts w:ascii="Times New Roman" w:hAnsi="Times New Roman" w:cs="Times New Roman"/>
          <w:sz w:val="24"/>
          <w:szCs w:val="24"/>
        </w:rPr>
        <w:t>Blecharz</w:t>
      </w:r>
      <w:r w:rsidR="00D6001C" w:rsidRPr="00711852">
        <w:rPr>
          <w:rFonts w:ascii="Times New Roman" w:hAnsi="Times New Roman" w:cs="Times New Roman"/>
          <w:sz w:val="24"/>
          <w:szCs w:val="24"/>
        </w:rPr>
        <w:t xml:space="preserve"> K</w:t>
      </w:r>
      <w:r w:rsidR="00160BE0" w:rsidRPr="00711852">
        <w:rPr>
          <w:rFonts w:ascii="Times New Roman" w:hAnsi="Times New Roman" w:cs="Times New Roman"/>
          <w:sz w:val="24"/>
          <w:szCs w:val="24"/>
        </w:rPr>
        <w:t>lin et al.</w:t>
      </w:r>
      <w:r w:rsidR="001E354F">
        <w:rPr>
          <w:rFonts w:ascii="Times New Roman" w:hAnsi="Times New Roman" w:cs="Times New Roman"/>
          <w:sz w:val="24"/>
          <w:szCs w:val="24"/>
        </w:rPr>
        <w:t xml:space="preserve"> </w:t>
      </w:r>
      <w:r w:rsidR="004C23DF" w:rsidRPr="00711852">
        <w:rPr>
          <w:rFonts w:ascii="Times New Roman" w:hAnsi="Times New Roman" w:cs="Times New Roman"/>
          <w:sz w:val="24"/>
          <w:szCs w:val="24"/>
        </w:rPr>
        <w:t>(</w:t>
      </w:r>
      <w:r w:rsidRPr="00711852">
        <w:rPr>
          <w:rFonts w:ascii="Times New Roman" w:hAnsi="Times New Roman" w:cs="Times New Roman"/>
          <w:sz w:val="24"/>
          <w:szCs w:val="24"/>
        </w:rPr>
        <w:t>2015b</w:t>
      </w:r>
      <w:r w:rsidR="004C23DF" w:rsidRPr="00711852">
        <w:rPr>
          <w:rFonts w:ascii="Times New Roman" w:hAnsi="Times New Roman" w:cs="Times New Roman"/>
          <w:sz w:val="24"/>
          <w:szCs w:val="24"/>
        </w:rPr>
        <w:t>)</w:t>
      </w:r>
      <w:r w:rsidRPr="00711852">
        <w:rPr>
          <w:rFonts w:ascii="Times New Roman" w:hAnsi="Times New Roman" w:cs="Times New Roman"/>
          <w:sz w:val="24"/>
          <w:szCs w:val="24"/>
        </w:rPr>
        <w:t>. Hepatotoxicity has also been observed in alcoholic people and it can be fatal at over dosage (</w:t>
      </w:r>
      <w:r w:rsidR="001E354F" w:rsidRPr="00711852">
        <w:rPr>
          <w:rFonts w:ascii="Times New Roman" w:hAnsi="Times New Roman" w:cs="Times New Roman"/>
          <w:sz w:val="24"/>
          <w:szCs w:val="24"/>
        </w:rPr>
        <w:t>Artnak and Wilkinson 1998; Bridger et al. 1998</w:t>
      </w:r>
      <w:r w:rsidR="001E354F">
        <w:rPr>
          <w:rFonts w:ascii="Times New Roman" w:hAnsi="Times New Roman" w:cs="Times New Roman"/>
          <w:sz w:val="24"/>
          <w:szCs w:val="24"/>
        </w:rPr>
        <w:t xml:space="preserve">; </w:t>
      </w:r>
      <w:r w:rsidR="001E354F" w:rsidRPr="00711852">
        <w:rPr>
          <w:rFonts w:ascii="Times New Roman" w:hAnsi="Times New Roman" w:cs="Times New Roman"/>
          <w:sz w:val="24"/>
          <w:szCs w:val="24"/>
        </w:rPr>
        <w:t>Denison et al. 1987</w:t>
      </w:r>
      <w:r w:rsidR="001E354F">
        <w:rPr>
          <w:rFonts w:ascii="Times New Roman" w:hAnsi="Times New Roman" w:cs="Times New Roman"/>
          <w:sz w:val="24"/>
          <w:szCs w:val="24"/>
        </w:rPr>
        <w:t xml:space="preserve">; </w:t>
      </w:r>
      <w:r w:rsidR="001E354F" w:rsidRPr="00711852">
        <w:rPr>
          <w:rFonts w:ascii="Times New Roman" w:hAnsi="Times New Roman" w:cs="Times New Roman"/>
          <w:sz w:val="24"/>
          <w:szCs w:val="24"/>
        </w:rPr>
        <w:t>Himmelstein et al. 1984</w:t>
      </w:r>
      <w:r w:rsidR="001E354F">
        <w:rPr>
          <w:rFonts w:ascii="Times New Roman" w:hAnsi="Times New Roman" w:cs="Times New Roman"/>
          <w:sz w:val="24"/>
          <w:szCs w:val="24"/>
        </w:rPr>
        <w:t xml:space="preserve">; </w:t>
      </w:r>
      <w:r w:rsidR="00160BE0" w:rsidRPr="00711852">
        <w:rPr>
          <w:rFonts w:ascii="Times New Roman" w:hAnsi="Times New Roman" w:cs="Times New Roman"/>
          <w:sz w:val="24"/>
          <w:szCs w:val="24"/>
        </w:rPr>
        <w:t xml:space="preserve">Johnson et al. </w:t>
      </w:r>
      <w:r w:rsidRPr="00711852">
        <w:rPr>
          <w:rFonts w:ascii="Times New Roman" w:hAnsi="Times New Roman" w:cs="Times New Roman"/>
          <w:sz w:val="24"/>
          <w:szCs w:val="24"/>
        </w:rPr>
        <w:t>1981;</w:t>
      </w:r>
      <w:r w:rsidR="001E354F">
        <w:rPr>
          <w:rFonts w:ascii="Times New Roman" w:hAnsi="Times New Roman" w:cs="Times New Roman"/>
          <w:sz w:val="24"/>
          <w:szCs w:val="24"/>
        </w:rPr>
        <w:t xml:space="preserve"> </w:t>
      </w:r>
      <w:r w:rsidR="00160BE0" w:rsidRPr="00711852">
        <w:rPr>
          <w:rFonts w:ascii="Times New Roman" w:hAnsi="Times New Roman" w:cs="Times New Roman"/>
          <w:sz w:val="24"/>
          <w:szCs w:val="24"/>
        </w:rPr>
        <w:t xml:space="preserve">Yasunaga et al. </w:t>
      </w:r>
      <w:r w:rsidR="001E354F">
        <w:rPr>
          <w:rFonts w:ascii="Times New Roman" w:hAnsi="Times New Roman" w:cs="Times New Roman"/>
          <w:sz w:val="24"/>
          <w:szCs w:val="24"/>
        </w:rPr>
        <w:t>1985</w:t>
      </w:r>
      <w:r w:rsidRPr="00711852">
        <w:rPr>
          <w:rFonts w:ascii="Times New Roman" w:hAnsi="Times New Roman" w:cs="Times New Roman"/>
          <w:sz w:val="24"/>
          <w:szCs w:val="24"/>
        </w:rPr>
        <w:t>). Although the effect of paracetamol on pregnant ladies and there unborns is still unclear but few studies interlinked the paracetamol exposure in offsprings</w:t>
      </w:r>
      <w:r w:rsidR="003D331B">
        <w:rPr>
          <w:rFonts w:ascii="Times New Roman" w:hAnsi="Times New Roman" w:cs="Times New Roman"/>
          <w:sz w:val="24"/>
          <w:szCs w:val="24"/>
        </w:rPr>
        <w:t xml:space="preserve"> </w:t>
      </w:r>
      <w:r w:rsidRPr="00711852">
        <w:rPr>
          <w:rFonts w:ascii="Times New Roman" w:hAnsi="Times New Roman" w:cs="Times New Roman"/>
          <w:sz w:val="24"/>
          <w:szCs w:val="24"/>
        </w:rPr>
        <w:t xml:space="preserve">with ADHD (attention deficit hyperactivity disorder) and ASD (autism </w:t>
      </w:r>
      <w:r w:rsidRPr="00711852">
        <w:rPr>
          <w:rFonts w:ascii="Times New Roman" w:hAnsi="Times New Roman" w:cs="Times New Roman"/>
          <w:sz w:val="24"/>
          <w:szCs w:val="24"/>
        </w:rPr>
        <w:lastRenderedPageBreak/>
        <w:t xml:space="preserve">spectrum disorder) later in life </w:t>
      </w:r>
      <w:r w:rsidR="00160BE0" w:rsidRPr="00711852">
        <w:rPr>
          <w:rFonts w:ascii="Times New Roman" w:hAnsi="Times New Roman" w:cs="Times New Roman"/>
          <w:sz w:val="24"/>
          <w:szCs w:val="24"/>
        </w:rPr>
        <w:t xml:space="preserve">(Endesfelder et al. </w:t>
      </w:r>
      <w:r w:rsidRPr="00711852">
        <w:rPr>
          <w:rFonts w:ascii="Times New Roman" w:hAnsi="Times New Roman" w:cs="Times New Roman"/>
          <w:sz w:val="24"/>
          <w:szCs w:val="24"/>
        </w:rPr>
        <w:t>2021).</w:t>
      </w:r>
      <w:r w:rsidR="001D2411" w:rsidRPr="00711852">
        <w:rPr>
          <w:rFonts w:ascii="Times New Roman" w:hAnsi="Times New Roman" w:cs="Times New Roman"/>
          <w:sz w:val="24"/>
          <w:szCs w:val="24"/>
        </w:rPr>
        <w:t xml:space="preserve">The exposure with paracetamol </w:t>
      </w:r>
      <w:r w:rsidRPr="00711852">
        <w:rPr>
          <w:rFonts w:ascii="Times New Roman" w:hAnsi="Times New Roman" w:cs="Times New Roman"/>
          <w:sz w:val="24"/>
          <w:szCs w:val="24"/>
        </w:rPr>
        <w:t>whether therapeutic or environmental</w:t>
      </w:r>
      <w:r w:rsidR="001D2411" w:rsidRPr="00711852">
        <w:rPr>
          <w:rFonts w:ascii="Times New Roman" w:hAnsi="Times New Roman" w:cs="Times New Roman"/>
          <w:sz w:val="24"/>
          <w:szCs w:val="24"/>
        </w:rPr>
        <w:t>,</w:t>
      </w:r>
      <w:r w:rsidRPr="00711852">
        <w:rPr>
          <w:rFonts w:ascii="Times New Roman" w:hAnsi="Times New Roman" w:cs="Times New Roman"/>
          <w:sz w:val="24"/>
          <w:szCs w:val="24"/>
        </w:rPr>
        <w:t xml:space="preserve"> causes ill effects in the human beings and other organisms. </w:t>
      </w:r>
    </w:p>
    <w:p w:rsidR="003D331B" w:rsidRDefault="00A31BC6" w:rsidP="00D11458">
      <w:pPr>
        <w:spacing w:after="0" w:line="480" w:lineRule="auto"/>
        <w:contextualSpacing/>
        <w:jc w:val="both"/>
        <w:rPr>
          <w:rFonts w:ascii="Times New Roman" w:hAnsi="Times New Roman" w:cs="Times New Roman"/>
          <w:sz w:val="24"/>
          <w:szCs w:val="24"/>
        </w:rPr>
      </w:pPr>
      <w:r w:rsidRPr="00711852">
        <w:rPr>
          <w:rFonts w:ascii="Times New Roman" w:hAnsi="Times New Roman" w:cs="Times New Roman"/>
          <w:sz w:val="24"/>
          <w:szCs w:val="24"/>
        </w:rPr>
        <w:t xml:space="preserve">Recent knowledge about the accumulation of medicinal products in the environment matrices and its possible effect on aquatic speciesshows the necessity of conducting environmental risk assessment (ERA)studyof medicinal product before marketing it for human use </w:t>
      </w:r>
      <w:r w:rsidR="00D6001C" w:rsidRPr="00711852">
        <w:rPr>
          <w:rFonts w:ascii="Times New Roman" w:hAnsi="Times New Roman" w:cs="Times New Roman"/>
          <w:sz w:val="24"/>
          <w:szCs w:val="24"/>
        </w:rPr>
        <w:t xml:space="preserve">as per the </w:t>
      </w:r>
      <w:r w:rsidRPr="00711852">
        <w:rPr>
          <w:rFonts w:ascii="Times New Roman" w:hAnsi="Times New Roman" w:cs="Times New Roman"/>
          <w:sz w:val="24"/>
          <w:szCs w:val="24"/>
        </w:rPr>
        <w:t>Europe</w:t>
      </w:r>
      <w:r w:rsidR="00160BE0" w:rsidRPr="00711852">
        <w:rPr>
          <w:rFonts w:ascii="Times New Roman" w:hAnsi="Times New Roman" w:cs="Times New Roman"/>
          <w:sz w:val="24"/>
          <w:szCs w:val="24"/>
        </w:rPr>
        <w:t>an Council Directive 2001/83/EC</w:t>
      </w:r>
      <w:r w:rsidRPr="00711852">
        <w:rPr>
          <w:rFonts w:ascii="Times New Roman" w:hAnsi="Times New Roman" w:cs="Times New Roman"/>
          <w:sz w:val="24"/>
          <w:szCs w:val="24"/>
        </w:rPr>
        <w:t>, 2001</w:t>
      </w:r>
      <w:r w:rsidR="00D6001C" w:rsidRPr="00711852">
        <w:rPr>
          <w:rFonts w:ascii="Times New Roman" w:hAnsi="Times New Roman" w:cs="Times New Roman"/>
          <w:sz w:val="24"/>
          <w:szCs w:val="24"/>
        </w:rPr>
        <w:t xml:space="preserve"> (</w:t>
      </w:r>
      <w:r w:rsidR="00D6001C" w:rsidRPr="00711852">
        <w:rPr>
          <w:rFonts w:ascii="Times New Roman" w:hAnsi="Times New Roman" w:cs="Times New Roman"/>
          <w:color w:val="222222"/>
          <w:sz w:val="24"/>
          <w:szCs w:val="24"/>
          <w:shd w:val="clear" w:color="auto" w:fill="FFFFFF"/>
        </w:rPr>
        <w:t>Valverde 2006)</w:t>
      </w:r>
      <w:r w:rsidRPr="00711852">
        <w:rPr>
          <w:rFonts w:ascii="Times New Roman" w:hAnsi="Times New Roman" w:cs="Times New Roman"/>
          <w:sz w:val="24"/>
          <w:szCs w:val="24"/>
        </w:rPr>
        <w:t>.The environmental exposure with any pharmaceutical compound can be calculated as the ratio of the predicted environmental concentration (PEC) and measured environmental concentration (MEC) to the predicted no-effect concentrations (PNEC) of the pharmaceuticals (Ashfaq et al.2017</w:t>
      </w:r>
      <w:r w:rsidR="00D6001C" w:rsidRPr="00711852">
        <w:rPr>
          <w:rFonts w:ascii="Times New Roman" w:hAnsi="Times New Roman" w:cs="Times New Roman"/>
          <w:sz w:val="24"/>
          <w:szCs w:val="24"/>
        </w:rPr>
        <w:t>a</w:t>
      </w:r>
      <w:r w:rsidRPr="00711852">
        <w:rPr>
          <w:rFonts w:ascii="Times New Roman" w:hAnsi="Times New Roman" w:cs="Times New Roman"/>
          <w:sz w:val="24"/>
          <w:szCs w:val="24"/>
        </w:rPr>
        <w:t xml:space="preserve">). </w:t>
      </w:r>
    </w:p>
    <w:p w:rsidR="004C23DF" w:rsidRPr="00711852" w:rsidRDefault="006D147B" w:rsidP="00711852">
      <w:pPr>
        <w:shd w:val="clear" w:color="auto" w:fill="FFFFFF"/>
        <w:spacing w:after="0" w:line="480" w:lineRule="auto"/>
        <w:contextualSpacing/>
        <w:jc w:val="both"/>
        <w:textAlignment w:val="center"/>
        <w:rPr>
          <w:rFonts w:ascii="Times New Roman" w:hAnsi="Times New Roman" w:cs="Times New Roman"/>
          <w:b/>
          <w:sz w:val="24"/>
          <w:szCs w:val="24"/>
        </w:rPr>
      </w:pPr>
      <w:r w:rsidRPr="00711852">
        <w:rPr>
          <w:rFonts w:ascii="Times New Roman" w:hAnsi="Times New Roman" w:cs="Times New Roman"/>
          <w:sz w:val="24"/>
          <w:szCs w:val="24"/>
        </w:rPr>
        <w:t xml:space="preserve">Thus, the easy access and widespread use of paracetamol and the </w:t>
      </w:r>
      <w:r w:rsidRPr="00711852">
        <w:rPr>
          <w:rFonts w:ascii="Times New Roman" w:hAnsi="Times New Roman" w:cs="Times New Roman"/>
          <w:sz w:val="24"/>
          <w:szCs w:val="24"/>
          <w:shd w:val="clear" w:color="auto" w:fill="FFFFFF"/>
        </w:rPr>
        <w:t>increased use of its combination medications</w:t>
      </w:r>
      <w:r w:rsidRPr="00711852">
        <w:rPr>
          <w:rFonts w:ascii="Times New Roman" w:hAnsi="Times New Roman" w:cs="Times New Roman"/>
          <w:sz w:val="24"/>
          <w:szCs w:val="24"/>
        </w:rPr>
        <w:t xml:space="preserve"> have become one of the main causes of the </w:t>
      </w:r>
      <w:r w:rsidRPr="00711852">
        <w:rPr>
          <w:rFonts w:ascii="Times New Roman" w:hAnsi="Times New Roman" w:cs="Times New Roman"/>
          <w:sz w:val="24"/>
          <w:szCs w:val="24"/>
          <w:shd w:val="clear" w:color="auto" w:fill="FFFFFF"/>
        </w:rPr>
        <w:t>intentional or non-intentional overdose, resulting in the commonly observed drug induced liver injury (DILI) (</w:t>
      </w:r>
      <w:r w:rsidRPr="00711852">
        <w:rPr>
          <w:rFonts w:ascii="Times New Roman" w:hAnsi="Times New Roman" w:cs="Times New Roman"/>
          <w:sz w:val="24"/>
          <w:szCs w:val="24"/>
        </w:rPr>
        <w:t xml:space="preserve">Rotundo and Pyrsopoulos 2020). Also, the discharge of excess drug into the environment through patients’ urine and hospital wastewater has caused environmental pollution and toxicity. </w:t>
      </w:r>
      <w:r w:rsidR="00501968" w:rsidRPr="00711852">
        <w:rPr>
          <w:rFonts w:ascii="Times New Roman" w:hAnsi="Times New Roman" w:cs="Times New Roman"/>
          <w:sz w:val="24"/>
          <w:szCs w:val="24"/>
        </w:rPr>
        <w:t xml:space="preserve">Several physical and chemical processes have been used for </w:t>
      </w:r>
      <w:r w:rsidR="00501968" w:rsidRPr="00711852">
        <w:rPr>
          <w:rFonts w:ascii="Times New Roman" w:hAnsi="Times New Roman" w:cs="Times New Roman"/>
          <w:kern w:val="0"/>
          <w:sz w:val="24"/>
          <w:szCs w:val="24"/>
        </w:rPr>
        <w:t xml:space="preserve">removal </w:t>
      </w:r>
      <w:r w:rsidR="00501968" w:rsidRPr="00711852">
        <w:rPr>
          <w:rFonts w:ascii="Times New Roman" w:hAnsi="Times New Roman" w:cs="Times New Roman"/>
          <w:sz w:val="24"/>
          <w:szCs w:val="24"/>
        </w:rPr>
        <w:t>of Paracetamol from environmental samples. Nonetheless, t</w:t>
      </w:r>
      <w:r w:rsidR="00EF4F63" w:rsidRPr="00711852">
        <w:rPr>
          <w:rFonts w:ascii="Times New Roman" w:hAnsi="Times New Roman" w:cs="Times New Roman"/>
          <w:kern w:val="0"/>
          <w:sz w:val="24"/>
          <w:szCs w:val="24"/>
        </w:rPr>
        <w:t>he degradation of paracetamol by microbes is conside</w:t>
      </w:r>
      <w:r w:rsidR="00501968" w:rsidRPr="00711852">
        <w:rPr>
          <w:rFonts w:ascii="Times New Roman" w:hAnsi="Times New Roman" w:cs="Times New Roman"/>
          <w:kern w:val="0"/>
          <w:sz w:val="24"/>
          <w:szCs w:val="24"/>
        </w:rPr>
        <w:t xml:space="preserve">red as an environmentally friendly and cost-effective </w:t>
      </w:r>
      <w:r w:rsidR="00EF4F63" w:rsidRPr="00711852">
        <w:rPr>
          <w:rFonts w:ascii="Times New Roman" w:hAnsi="Times New Roman" w:cs="Times New Roman"/>
          <w:kern w:val="0"/>
          <w:sz w:val="24"/>
          <w:szCs w:val="24"/>
        </w:rPr>
        <w:t>process</w:t>
      </w:r>
      <w:r w:rsidR="002A0FD8" w:rsidRPr="00711852">
        <w:rPr>
          <w:rFonts w:ascii="Times New Roman" w:hAnsi="Times New Roman" w:cs="Times New Roman"/>
          <w:kern w:val="0"/>
          <w:sz w:val="24"/>
          <w:szCs w:val="24"/>
        </w:rPr>
        <w:t>,and results in</w:t>
      </w:r>
      <w:r w:rsidR="00EF4F63" w:rsidRPr="00711852">
        <w:rPr>
          <w:rFonts w:ascii="Times New Roman" w:hAnsi="Times New Roman" w:cs="Times New Roman"/>
          <w:kern w:val="0"/>
          <w:sz w:val="24"/>
          <w:szCs w:val="24"/>
        </w:rPr>
        <w:t xml:space="preserve"> the complete mi</w:t>
      </w:r>
      <w:r w:rsidR="002A0FD8" w:rsidRPr="00711852">
        <w:rPr>
          <w:rFonts w:ascii="Times New Roman" w:hAnsi="Times New Roman" w:cs="Times New Roman"/>
          <w:kern w:val="0"/>
          <w:sz w:val="24"/>
          <w:szCs w:val="24"/>
        </w:rPr>
        <w:t>neralization of the contaminant</w:t>
      </w:r>
      <w:r w:rsidR="00EF4F63" w:rsidRPr="00711852">
        <w:rPr>
          <w:rFonts w:ascii="Times New Roman" w:hAnsi="Times New Roman" w:cs="Times New Roman"/>
          <w:kern w:val="0"/>
          <w:sz w:val="24"/>
          <w:szCs w:val="24"/>
        </w:rPr>
        <w:t xml:space="preserve">. The biodegradation of paracetamol in the environment is reported for bacteria, fungi, algae. </w:t>
      </w:r>
      <w:r w:rsidR="002A0FD8" w:rsidRPr="00711852">
        <w:rPr>
          <w:rFonts w:ascii="Times New Roman" w:hAnsi="Times New Roman" w:cs="Times New Roman"/>
          <w:kern w:val="0"/>
          <w:sz w:val="24"/>
          <w:szCs w:val="24"/>
        </w:rPr>
        <w:t xml:space="preserve">Bacterial degradation of paracetamol has been shown to give promising results by several researchers. </w:t>
      </w:r>
      <w:r w:rsidR="00501968" w:rsidRPr="00711852">
        <w:rPr>
          <w:rFonts w:ascii="Times New Roman" w:hAnsi="Times New Roman" w:cs="Times New Roman"/>
          <w:kern w:val="0"/>
          <w:sz w:val="24"/>
          <w:szCs w:val="24"/>
        </w:rPr>
        <w:t>In the light of the above, the present</w:t>
      </w:r>
      <w:r w:rsidR="00EF4F63" w:rsidRPr="00711852">
        <w:rPr>
          <w:rFonts w:ascii="Times New Roman" w:hAnsi="Times New Roman" w:cs="Times New Roman"/>
          <w:kern w:val="0"/>
          <w:sz w:val="24"/>
          <w:szCs w:val="24"/>
        </w:rPr>
        <w:t xml:space="preserve"> chapter</w:t>
      </w:r>
      <w:r w:rsidR="00501968" w:rsidRPr="00711852">
        <w:rPr>
          <w:rFonts w:ascii="Times New Roman" w:hAnsi="Times New Roman" w:cs="Times New Roman"/>
          <w:kern w:val="0"/>
          <w:sz w:val="24"/>
          <w:szCs w:val="24"/>
        </w:rPr>
        <w:t xml:space="preserve"> focuses on the recent advances in the toxicology of paracetamol and its</w:t>
      </w:r>
      <w:r w:rsidR="00EF4F63" w:rsidRPr="00711852">
        <w:rPr>
          <w:rFonts w:ascii="Times New Roman" w:hAnsi="Times New Roman" w:cs="Times New Roman"/>
          <w:kern w:val="0"/>
          <w:sz w:val="24"/>
          <w:szCs w:val="24"/>
        </w:rPr>
        <w:t xml:space="preserve"> bacterial mediated degradation pathway analysis.</w:t>
      </w:r>
    </w:p>
    <w:p w:rsidR="0014064D" w:rsidRDefault="0014064D" w:rsidP="00711852">
      <w:pPr>
        <w:spacing w:after="0" w:line="480" w:lineRule="auto"/>
        <w:contextualSpacing/>
        <w:jc w:val="both"/>
        <w:rPr>
          <w:rFonts w:ascii="Times New Roman" w:hAnsi="Times New Roman" w:cs="Times New Roman"/>
          <w:b/>
          <w:sz w:val="24"/>
          <w:szCs w:val="24"/>
        </w:rPr>
      </w:pPr>
    </w:p>
    <w:p w:rsidR="00D11458" w:rsidRPr="00711852" w:rsidRDefault="00D11458" w:rsidP="00711852">
      <w:pPr>
        <w:spacing w:after="0" w:line="480" w:lineRule="auto"/>
        <w:contextualSpacing/>
        <w:jc w:val="both"/>
        <w:rPr>
          <w:rFonts w:ascii="Times New Roman" w:hAnsi="Times New Roman" w:cs="Times New Roman"/>
          <w:b/>
          <w:sz w:val="24"/>
          <w:szCs w:val="24"/>
        </w:rPr>
      </w:pPr>
    </w:p>
    <w:p w:rsidR="00B949AE" w:rsidRPr="00711852" w:rsidRDefault="00094722" w:rsidP="00711852">
      <w:pPr>
        <w:spacing w:after="0" w:line="480" w:lineRule="auto"/>
        <w:contextualSpacing/>
        <w:jc w:val="both"/>
        <w:rPr>
          <w:rFonts w:ascii="Times New Roman" w:hAnsi="Times New Roman" w:cs="Times New Roman"/>
          <w:sz w:val="24"/>
          <w:szCs w:val="24"/>
        </w:rPr>
      </w:pPr>
      <w:r w:rsidRPr="00711852">
        <w:rPr>
          <w:rFonts w:ascii="Times New Roman" w:hAnsi="Times New Roman" w:cs="Times New Roman"/>
          <w:b/>
          <w:sz w:val="24"/>
          <w:szCs w:val="24"/>
        </w:rPr>
        <w:lastRenderedPageBreak/>
        <w:t xml:space="preserve">2. </w:t>
      </w:r>
      <w:r w:rsidR="004C23DF" w:rsidRPr="00711852">
        <w:rPr>
          <w:rFonts w:ascii="Times New Roman" w:hAnsi="Times New Roman" w:cs="Times New Roman"/>
          <w:b/>
          <w:sz w:val="24"/>
          <w:szCs w:val="24"/>
        </w:rPr>
        <w:t xml:space="preserve">Characteristics of </w:t>
      </w:r>
      <w:r w:rsidR="009362E9" w:rsidRPr="00711852">
        <w:rPr>
          <w:rFonts w:ascii="Times New Roman" w:hAnsi="Times New Roman" w:cs="Times New Roman"/>
          <w:b/>
          <w:sz w:val="24"/>
          <w:szCs w:val="24"/>
        </w:rPr>
        <w:t xml:space="preserve">Paracetamol </w:t>
      </w:r>
    </w:p>
    <w:p w:rsidR="00D11458" w:rsidRDefault="009362E9" w:rsidP="00711852">
      <w:pPr>
        <w:spacing w:after="0" w:line="480" w:lineRule="auto"/>
        <w:contextualSpacing/>
        <w:jc w:val="both"/>
        <w:rPr>
          <w:rFonts w:ascii="Times New Roman" w:hAnsi="Times New Roman" w:cs="Times New Roman"/>
          <w:sz w:val="24"/>
          <w:szCs w:val="24"/>
          <w:shd w:val="clear" w:color="auto" w:fill="FFFFFF"/>
        </w:rPr>
      </w:pPr>
      <w:r w:rsidRPr="00711852">
        <w:rPr>
          <w:rFonts w:ascii="Times New Roman" w:hAnsi="Times New Roman" w:cs="Times New Roman"/>
          <w:sz w:val="24"/>
          <w:szCs w:val="24"/>
        </w:rPr>
        <w:t>Paracetamol</w:t>
      </w:r>
      <w:r w:rsidRPr="00711852">
        <w:rPr>
          <w:rFonts w:ascii="Times New Roman" w:hAnsi="Times New Roman" w:cs="Times New Roman"/>
          <w:sz w:val="24"/>
          <w:szCs w:val="24"/>
          <w:shd w:val="clear" w:color="auto" w:fill="FFFFFF"/>
        </w:rPr>
        <w:t xml:space="preserve"> or para-hydroxyacetanilide is a derivative of phenol that is chemically named N-acetyl-para-aminophenol, in which one of the hydrogen atoms of amino group is replaced by an acetyl group. Known as Acetaminophen in the </w:t>
      </w:r>
      <w:r w:rsidR="00526158" w:rsidRPr="00711852">
        <w:rPr>
          <w:rFonts w:ascii="Times New Roman" w:hAnsi="Times New Roman" w:cs="Times New Roman"/>
          <w:sz w:val="24"/>
          <w:szCs w:val="24"/>
          <w:shd w:val="clear" w:color="auto" w:fill="FFFFFF"/>
        </w:rPr>
        <w:t>Americas</w:t>
      </w:r>
      <w:r w:rsidRPr="00711852">
        <w:rPr>
          <w:rFonts w:ascii="Times New Roman" w:hAnsi="Times New Roman" w:cs="Times New Roman"/>
          <w:sz w:val="24"/>
          <w:szCs w:val="24"/>
          <w:shd w:val="clear" w:color="auto" w:fill="FFFFFF"/>
        </w:rPr>
        <w:t xml:space="preserve"> and </w:t>
      </w:r>
      <w:r w:rsidRPr="00711852">
        <w:rPr>
          <w:rFonts w:ascii="Times New Roman" w:hAnsi="Times New Roman" w:cs="Times New Roman"/>
          <w:sz w:val="24"/>
          <w:szCs w:val="24"/>
        </w:rPr>
        <w:t>Paracetamol</w:t>
      </w:r>
      <w:r w:rsidRPr="00711852">
        <w:rPr>
          <w:rFonts w:ascii="Times New Roman" w:hAnsi="Times New Roman" w:cs="Times New Roman"/>
          <w:sz w:val="24"/>
          <w:szCs w:val="24"/>
          <w:shd w:val="clear" w:color="auto" w:fill="FFFFFF"/>
        </w:rPr>
        <w:t xml:space="preserve"> in </w:t>
      </w:r>
      <w:r w:rsidR="00526158" w:rsidRPr="00711852">
        <w:rPr>
          <w:rFonts w:ascii="Times New Roman" w:hAnsi="Times New Roman" w:cs="Times New Roman"/>
          <w:sz w:val="24"/>
          <w:szCs w:val="24"/>
          <w:shd w:val="clear" w:color="auto" w:fill="FFFFFF"/>
        </w:rPr>
        <w:t>the rest of the world</w:t>
      </w:r>
      <w:r w:rsidRPr="00711852">
        <w:rPr>
          <w:rFonts w:ascii="Times New Roman" w:hAnsi="Times New Roman" w:cs="Times New Roman"/>
          <w:sz w:val="24"/>
          <w:szCs w:val="24"/>
          <w:shd w:val="clear" w:color="auto" w:fill="FFFFFF"/>
        </w:rPr>
        <w:t xml:space="preserve">, it is </w:t>
      </w:r>
      <w:r w:rsidR="00F5546F" w:rsidRPr="00711852">
        <w:rPr>
          <w:rFonts w:ascii="Times New Roman" w:hAnsi="Times New Roman" w:cs="Times New Roman"/>
          <w:sz w:val="24"/>
          <w:szCs w:val="24"/>
          <w:shd w:val="clear" w:color="auto" w:fill="FFFFFF"/>
        </w:rPr>
        <w:t xml:space="preserve">sold under different brands like </w:t>
      </w:r>
      <w:r w:rsidR="00F5546F" w:rsidRPr="00711852">
        <w:rPr>
          <w:rFonts w:ascii="Times New Roman" w:hAnsi="Times New Roman" w:cs="Times New Roman"/>
          <w:color w:val="000000" w:themeColor="text1"/>
          <w:sz w:val="24"/>
          <w:szCs w:val="24"/>
          <w:shd w:val="clear" w:color="auto" w:fill="FFFFFF"/>
        </w:rPr>
        <w:t xml:space="preserve">Crocin, </w:t>
      </w:r>
      <w:hyperlink r:id="rId9" w:tooltip="Tylenol (brand)" w:history="1">
        <w:r w:rsidR="00F5546F" w:rsidRPr="00711852">
          <w:rPr>
            <w:rFonts w:ascii="Times New Roman" w:hAnsi="Times New Roman" w:cs="Times New Roman"/>
            <w:color w:val="000000" w:themeColor="text1"/>
            <w:sz w:val="24"/>
            <w:szCs w:val="24"/>
            <w:shd w:val="clear" w:color="auto" w:fill="FFFFFF"/>
          </w:rPr>
          <w:t>Tylenol</w:t>
        </w:r>
      </w:hyperlink>
      <w:r w:rsidR="00F5546F" w:rsidRPr="00711852">
        <w:rPr>
          <w:rFonts w:ascii="Times New Roman" w:hAnsi="Times New Roman" w:cs="Times New Roman"/>
          <w:color w:val="000000" w:themeColor="text1"/>
          <w:sz w:val="24"/>
          <w:szCs w:val="24"/>
          <w:shd w:val="clear" w:color="auto" w:fill="FFFFFF"/>
        </w:rPr>
        <w:t>, </w:t>
      </w:r>
      <w:hyperlink r:id="rId10" w:tooltip="Excedrin (brand)" w:history="1">
        <w:r w:rsidR="00F5546F" w:rsidRPr="00711852">
          <w:rPr>
            <w:rFonts w:ascii="Times New Roman" w:hAnsi="Times New Roman" w:cs="Times New Roman"/>
            <w:color w:val="000000" w:themeColor="text1"/>
            <w:sz w:val="24"/>
            <w:szCs w:val="24"/>
            <w:shd w:val="clear" w:color="auto" w:fill="FFFFFF"/>
          </w:rPr>
          <w:t>Excedrin</w:t>
        </w:r>
      </w:hyperlink>
      <w:r w:rsidR="00F5546F" w:rsidRPr="00711852">
        <w:rPr>
          <w:rFonts w:ascii="Times New Roman" w:hAnsi="Times New Roman" w:cs="Times New Roman"/>
          <w:color w:val="000000" w:themeColor="text1"/>
          <w:sz w:val="24"/>
          <w:szCs w:val="24"/>
          <w:shd w:val="clear" w:color="auto" w:fill="FFFFFF"/>
        </w:rPr>
        <w:t>, Calpol, Panadol, etc</w:t>
      </w:r>
      <w:r w:rsidRPr="00711852">
        <w:rPr>
          <w:rFonts w:ascii="Times New Roman" w:hAnsi="Times New Roman" w:cs="Times New Roman"/>
          <w:sz w:val="24"/>
          <w:szCs w:val="24"/>
        </w:rPr>
        <w:t>)</w:t>
      </w:r>
      <w:r w:rsidRPr="00711852">
        <w:rPr>
          <w:rFonts w:ascii="Times New Roman" w:hAnsi="Times New Roman" w:cs="Times New Roman"/>
          <w:sz w:val="24"/>
          <w:szCs w:val="24"/>
          <w:shd w:val="clear" w:color="auto" w:fill="FFFFFF"/>
        </w:rPr>
        <w:t>.  Chemically, paracetamol or 4-hydroxyacetanilide is a white, odorless crystalline solid (</w:t>
      </w:r>
      <w:r w:rsidR="00D6001C" w:rsidRPr="00711852">
        <w:rPr>
          <w:rFonts w:ascii="Times New Roman" w:hAnsi="Times New Roman" w:cs="Times New Roman"/>
          <w:sz w:val="24"/>
          <w:szCs w:val="24"/>
          <w:shd w:val="clear" w:color="auto" w:fill="FFFFFF"/>
        </w:rPr>
        <w:t xml:space="preserve">Di </w:t>
      </w:r>
      <w:r w:rsidRPr="00711852">
        <w:rPr>
          <w:rFonts w:ascii="Times New Roman" w:hAnsi="Times New Roman" w:cs="Times New Roman"/>
          <w:sz w:val="24"/>
          <w:szCs w:val="24"/>
          <w:shd w:val="clear" w:color="auto" w:fill="FFFFFF"/>
        </w:rPr>
        <w:t>Martino et al. (1997). Some of the important physical properties of paracetamol are described in Table 1. The 2D and 3D structures of paracetamol has been depicted in Figure</w:t>
      </w:r>
      <w:r w:rsidR="003B39D0" w:rsidRPr="00711852">
        <w:rPr>
          <w:rFonts w:ascii="Times New Roman" w:hAnsi="Times New Roman" w:cs="Times New Roman"/>
          <w:sz w:val="24"/>
          <w:szCs w:val="24"/>
          <w:shd w:val="clear" w:color="auto" w:fill="FFFFFF"/>
        </w:rPr>
        <w:t xml:space="preserve"> 1.</w:t>
      </w:r>
    </w:p>
    <w:p w:rsidR="007F0B1F" w:rsidRPr="00711852" w:rsidRDefault="007F0B1F" w:rsidP="00711852">
      <w:pPr>
        <w:spacing w:after="0" w:line="480" w:lineRule="auto"/>
        <w:contextualSpacing/>
        <w:jc w:val="both"/>
        <w:rPr>
          <w:rFonts w:ascii="Times New Roman" w:hAnsi="Times New Roman" w:cs="Times New Roman"/>
          <w:sz w:val="24"/>
          <w:szCs w:val="24"/>
        </w:rPr>
      </w:pPr>
    </w:p>
    <w:p w:rsidR="009362E9" w:rsidRPr="00711852" w:rsidRDefault="009362E9" w:rsidP="00711852">
      <w:pPr>
        <w:shd w:val="clear" w:color="auto" w:fill="FFFFFF"/>
        <w:spacing w:after="0" w:line="480" w:lineRule="auto"/>
        <w:contextualSpacing/>
        <w:jc w:val="both"/>
        <w:textAlignment w:val="center"/>
        <w:rPr>
          <w:rFonts w:ascii="Times New Roman" w:hAnsi="Times New Roman" w:cs="Times New Roman"/>
          <w:b/>
          <w:sz w:val="24"/>
          <w:szCs w:val="24"/>
        </w:rPr>
      </w:pPr>
      <w:r w:rsidRPr="00711852">
        <w:rPr>
          <w:rFonts w:ascii="Times New Roman" w:hAnsi="Times New Roman" w:cs="Times New Roman"/>
          <w:b/>
          <w:sz w:val="24"/>
          <w:szCs w:val="24"/>
        </w:rPr>
        <w:t>Table 1: P</w:t>
      </w:r>
      <w:r w:rsidRPr="00711852">
        <w:rPr>
          <w:rFonts w:ascii="Times New Roman" w:hAnsi="Times New Roman" w:cs="Times New Roman"/>
          <w:b/>
          <w:sz w:val="24"/>
          <w:szCs w:val="24"/>
          <w:shd w:val="clear" w:color="auto" w:fill="FFFFFF"/>
        </w:rPr>
        <w:t xml:space="preserve">hysical properties </w:t>
      </w:r>
      <w:r w:rsidRPr="00711852">
        <w:rPr>
          <w:rFonts w:ascii="Times New Roman" w:hAnsi="Times New Roman" w:cs="Times New Roman"/>
          <w:b/>
          <w:sz w:val="24"/>
          <w:szCs w:val="24"/>
        </w:rPr>
        <w:t>of Paracetamol</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tblPr>
      <w:tblGrid>
        <w:gridCol w:w="1809"/>
        <w:gridCol w:w="4962"/>
        <w:gridCol w:w="2471"/>
      </w:tblGrid>
      <w:tr w:rsidR="009362E9" w:rsidRPr="003D331B" w:rsidTr="00EB75A8">
        <w:tc>
          <w:tcPr>
            <w:tcW w:w="1809" w:type="dxa"/>
            <w:tcBorders>
              <w:top w:val="single" w:sz="4" w:space="0" w:color="auto"/>
              <w:bottom w:val="single" w:sz="4" w:space="0" w:color="auto"/>
            </w:tcBorders>
          </w:tcPr>
          <w:p w:rsidR="009362E9" w:rsidRPr="003D331B" w:rsidRDefault="009362E9" w:rsidP="00D11458">
            <w:pPr>
              <w:spacing w:after="0" w:line="480" w:lineRule="auto"/>
              <w:contextualSpacing/>
              <w:jc w:val="both"/>
              <w:textAlignment w:val="center"/>
              <w:rPr>
                <w:rFonts w:ascii="Times New Roman" w:hAnsi="Times New Roman" w:cs="Times New Roman"/>
                <w:b/>
                <w:sz w:val="20"/>
                <w:szCs w:val="20"/>
              </w:rPr>
            </w:pPr>
            <w:r w:rsidRPr="003D331B">
              <w:rPr>
                <w:rFonts w:ascii="Times New Roman" w:hAnsi="Times New Roman" w:cs="Times New Roman"/>
                <w:b/>
                <w:sz w:val="20"/>
                <w:szCs w:val="20"/>
              </w:rPr>
              <w:t xml:space="preserve"> Parameter</w:t>
            </w:r>
          </w:p>
        </w:tc>
        <w:tc>
          <w:tcPr>
            <w:tcW w:w="4962" w:type="dxa"/>
            <w:tcBorders>
              <w:top w:val="single" w:sz="4" w:space="0" w:color="auto"/>
              <w:bottom w:val="single" w:sz="4" w:space="0" w:color="auto"/>
            </w:tcBorders>
          </w:tcPr>
          <w:p w:rsidR="009362E9" w:rsidRPr="003D331B" w:rsidRDefault="009362E9" w:rsidP="00D11458">
            <w:pPr>
              <w:spacing w:after="0" w:line="480" w:lineRule="auto"/>
              <w:contextualSpacing/>
              <w:jc w:val="both"/>
              <w:textAlignment w:val="center"/>
              <w:rPr>
                <w:rFonts w:ascii="Times New Roman" w:hAnsi="Times New Roman" w:cs="Times New Roman"/>
                <w:b/>
                <w:sz w:val="20"/>
                <w:szCs w:val="20"/>
              </w:rPr>
            </w:pPr>
            <w:r w:rsidRPr="003D331B">
              <w:rPr>
                <w:rFonts w:ascii="Times New Roman" w:hAnsi="Times New Roman" w:cs="Times New Roman"/>
                <w:b/>
                <w:sz w:val="20"/>
                <w:szCs w:val="20"/>
              </w:rPr>
              <w:t>P</w:t>
            </w:r>
            <w:r w:rsidRPr="003D331B">
              <w:rPr>
                <w:rFonts w:ascii="Times New Roman" w:hAnsi="Times New Roman" w:cs="Times New Roman"/>
                <w:b/>
                <w:sz w:val="20"/>
                <w:szCs w:val="20"/>
                <w:shd w:val="clear" w:color="auto" w:fill="FFFFFF"/>
              </w:rPr>
              <w:t>hysical Property</w:t>
            </w:r>
          </w:p>
        </w:tc>
        <w:tc>
          <w:tcPr>
            <w:tcW w:w="2471" w:type="dxa"/>
            <w:tcBorders>
              <w:top w:val="single" w:sz="4" w:space="0" w:color="auto"/>
              <w:bottom w:val="single" w:sz="4" w:space="0" w:color="auto"/>
            </w:tcBorders>
          </w:tcPr>
          <w:p w:rsidR="009362E9" w:rsidRPr="003D331B" w:rsidRDefault="009362E9" w:rsidP="00D11458">
            <w:pPr>
              <w:spacing w:after="0" w:line="480" w:lineRule="auto"/>
              <w:contextualSpacing/>
              <w:jc w:val="both"/>
              <w:textAlignment w:val="center"/>
              <w:rPr>
                <w:rFonts w:ascii="Times New Roman" w:hAnsi="Times New Roman" w:cs="Times New Roman"/>
                <w:b/>
                <w:sz w:val="20"/>
                <w:szCs w:val="20"/>
              </w:rPr>
            </w:pPr>
            <w:r w:rsidRPr="003D331B">
              <w:rPr>
                <w:rFonts w:ascii="Times New Roman" w:hAnsi="Times New Roman" w:cs="Times New Roman"/>
                <w:b/>
                <w:sz w:val="20"/>
                <w:szCs w:val="20"/>
              </w:rPr>
              <w:t xml:space="preserve">Reference </w:t>
            </w:r>
          </w:p>
        </w:tc>
      </w:tr>
      <w:tr w:rsidR="009362E9" w:rsidRPr="003D331B" w:rsidTr="00EB75A8">
        <w:tc>
          <w:tcPr>
            <w:tcW w:w="1809" w:type="dxa"/>
            <w:tcBorders>
              <w:top w:val="single" w:sz="4" w:space="0" w:color="auto"/>
            </w:tcBorders>
          </w:tcPr>
          <w:p w:rsidR="009362E9" w:rsidRPr="003D331B" w:rsidRDefault="009362E9" w:rsidP="00D11458">
            <w:pPr>
              <w:spacing w:after="0" w:line="480" w:lineRule="auto"/>
              <w:contextualSpacing/>
              <w:jc w:val="both"/>
              <w:textAlignment w:val="center"/>
              <w:rPr>
                <w:rFonts w:ascii="Times New Roman" w:hAnsi="Times New Roman" w:cs="Times New Roman"/>
                <w:b/>
                <w:sz w:val="20"/>
                <w:szCs w:val="20"/>
              </w:rPr>
            </w:pPr>
            <w:r w:rsidRPr="003D331B">
              <w:rPr>
                <w:rFonts w:ascii="Times New Roman" w:hAnsi="Times New Roman" w:cs="Times New Roman"/>
                <w:b/>
                <w:sz w:val="20"/>
                <w:szCs w:val="20"/>
              </w:rPr>
              <w:t xml:space="preserve">Appearance </w:t>
            </w:r>
          </w:p>
        </w:tc>
        <w:tc>
          <w:tcPr>
            <w:tcW w:w="4962" w:type="dxa"/>
            <w:tcBorders>
              <w:top w:val="single" w:sz="4" w:space="0" w:color="auto"/>
            </w:tcBorders>
          </w:tcPr>
          <w:p w:rsidR="009362E9" w:rsidRPr="003D331B" w:rsidRDefault="009362E9" w:rsidP="00D11458">
            <w:pPr>
              <w:spacing w:after="0" w:line="480" w:lineRule="auto"/>
              <w:contextualSpacing/>
              <w:jc w:val="both"/>
              <w:textAlignment w:val="center"/>
              <w:rPr>
                <w:rFonts w:ascii="Times New Roman" w:hAnsi="Times New Roman" w:cs="Times New Roman"/>
                <w:sz w:val="20"/>
                <w:szCs w:val="20"/>
              </w:rPr>
            </w:pPr>
            <w:r w:rsidRPr="003D331B">
              <w:rPr>
                <w:rFonts w:ascii="Times New Roman" w:hAnsi="Times New Roman" w:cs="Times New Roman"/>
                <w:sz w:val="20"/>
                <w:szCs w:val="20"/>
              </w:rPr>
              <w:t>white crystalline powder </w:t>
            </w:r>
          </w:p>
        </w:tc>
        <w:tc>
          <w:tcPr>
            <w:tcW w:w="2471" w:type="dxa"/>
            <w:tcBorders>
              <w:top w:val="single" w:sz="4" w:space="0" w:color="auto"/>
            </w:tcBorders>
          </w:tcPr>
          <w:p w:rsidR="009362E9" w:rsidRPr="003D331B" w:rsidRDefault="009362E9" w:rsidP="00D11458">
            <w:pPr>
              <w:spacing w:after="0" w:line="480" w:lineRule="auto"/>
              <w:contextualSpacing/>
              <w:jc w:val="both"/>
              <w:rPr>
                <w:rFonts w:ascii="Times New Roman" w:hAnsi="Times New Roman" w:cs="Times New Roman"/>
                <w:sz w:val="20"/>
                <w:szCs w:val="20"/>
              </w:rPr>
            </w:pPr>
            <w:r w:rsidRPr="003D331B">
              <w:rPr>
                <w:rFonts w:ascii="Times New Roman" w:hAnsi="Times New Roman" w:cs="Times New Roman"/>
                <w:sz w:val="20"/>
                <w:szCs w:val="20"/>
                <w:shd w:val="clear" w:color="auto" w:fill="FFFFFF"/>
              </w:rPr>
              <w:t>Di Martino et al., (1997)</w:t>
            </w:r>
          </w:p>
        </w:tc>
      </w:tr>
      <w:tr w:rsidR="009362E9" w:rsidRPr="003D331B" w:rsidTr="00EB75A8">
        <w:tc>
          <w:tcPr>
            <w:tcW w:w="1809" w:type="dxa"/>
          </w:tcPr>
          <w:p w:rsidR="009362E9" w:rsidRPr="003D331B" w:rsidRDefault="0014246B" w:rsidP="00D11458">
            <w:pPr>
              <w:spacing w:after="0" w:line="480" w:lineRule="auto"/>
              <w:contextualSpacing/>
              <w:jc w:val="both"/>
              <w:textAlignment w:val="center"/>
              <w:rPr>
                <w:rFonts w:ascii="Times New Roman" w:hAnsi="Times New Roman" w:cs="Times New Roman"/>
                <w:b/>
                <w:sz w:val="20"/>
                <w:szCs w:val="20"/>
              </w:rPr>
            </w:pPr>
            <w:r w:rsidRPr="003D331B">
              <w:rPr>
                <w:rFonts w:ascii="Times New Roman" w:hAnsi="Times New Roman" w:cs="Times New Roman"/>
                <w:b/>
                <w:sz w:val="20"/>
                <w:szCs w:val="20"/>
              </w:rPr>
              <w:t>Colour/Form</w:t>
            </w:r>
          </w:p>
        </w:tc>
        <w:tc>
          <w:tcPr>
            <w:tcW w:w="4962" w:type="dxa"/>
          </w:tcPr>
          <w:p w:rsidR="009362E9" w:rsidRPr="003D331B" w:rsidRDefault="009362E9" w:rsidP="007F0B1F">
            <w:pPr>
              <w:spacing w:after="0" w:line="480" w:lineRule="auto"/>
              <w:contextualSpacing/>
              <w:jc w:val="both"/>
              <w:textAlignment w:val="center"/>
              <w:rPr>
                <w:rFonts w:ascii="Times New Roman" w:hAnsi="Times New Roman" w:cs="Times New Roman"/>
                <w:sz w:val="20"/>
                <w:szCs w:val="20"/>
              </w:rPr>
            </w:pPr>
            <w:r w:rsidRPr="003D331B">
              <w:rPr>
                <w:rFonts w:ascii="Times New Roman" w:hAnsi="Times New Roman" w:cs="Times New Roman"/>
                <w:sz w:val="20"/>
                <w:szCs w:val="20"/>
              </w:rPr>
              <w:t>White colourless</w:t>
            </w:r>
            <w:r w:rsidR="007F0B1F">
              <w:rPr>
                <w:rFonts w:ascii="Times New Roman" w:hAnsi="Times New Roman" w:cs="Times New Roman"/>
                <w:sz w:val="20"/>
                <w:szCs w:val="20"/>
              </w:rPr>
              <w:t xml:space="preserve"> </w:t>
            </w:r>
            <w:r w:rsidRPr="003D331B">
              <w:rPr>
                <w:rFonts w:ascii="Times New Roman" w:hAnsi="Times New Roman" w:cs="Times New Roman"/>
                <w:sz w:val="20"/>
                <w:szCs w:val="20"/>
                <w:shd w:val="clear" w:color="auto" w:fill="FFFFFF"/>
              </w:rPr>
              <w:t>crystalline powder</w:t>
            </w:r>
          </w:p>
        </w:tc>
        <w:tc>
          <w:tcPr>
            <w:tcW w:w="2471" w:type="dxa"/>
          </w:tcPr>
          <w:p w:rsidR="009362E9" w:rsidRPr="003D331B" w:rsidRDefault="009362E9" w:rsidP="00D11458">
            <w:pPr>
              <w:shd w:val="clear" w:color="auto" w:fill="FFFFFF"/>
              <w:spacing w:after="0" w:line="480" w:lineRule="auto"/>
              <w:contextualSpacing/>
              <w:jc w:val="both"/>
              <w:rPr>
                <w:rFonts w:ascii="Times New Roman" w:hAnsi="Times New Roman" w:cs="Times New Roman"/>
                <w:sz w:val="20"/>
                <w:szCs w:val="20"/>
                <w:shd w:val="clear" w:color="auto" w:fill="FFFFFF"/>
              </w:rPr>
            </w:pPr>
            <w:r w:rsidRPr="003D331B">
              <w:rPr>
                <w:rFonts w:ascii="Times New Roman" w:hAnsi="Times New Roman" w:cs="Times New Roman"/>
                <w:iCs/>
                <w:sz w:val="20"/>
                <w:szCs w:val="20"/>
              </w:rPr>
              <w:t>IARC (1990)</w:t>
            </w:r>
          </w:p>
        </w:tc>
      </w:tr>
      <w:tr w:rsidR="009362E9" w:rsidRPr="003D331B" w:rsidTr="00EB75A8">
        <w:tc>
          <w:tcPr>
            <w:tcW w:w="1809" w:type="dxa"/>
          </w:tcPr>
          <w:p w:rsidR="009362E9" w:rsidRPr="003D331B" w:rsidRDefault="009362E9" w:rsidP="00D11458">
            <w:pPr>
              <w:spacing w:after="0" w:line="480" w:lineRule="auto"/>
              <w:contextualSpacing/>
              <w:jc w:val="both"/>
              <w:textAlignment w:val="center"/>
              <w:rPr>
                <w:rFonts w:ascii="Times New Roman" w:hAnsi="Times New Roman" w:cs="Times New Roman"/>
                <w:b/>
                <w:sz w:val="20"/>
                <w:szCs w:val="20"/>
              </w:rPr>
            </w:pPr>
            <w:r w:rsidRPr="003D331B">
              <w:rPr>
                <w:rFonts w:ascii="Times New Roman" w:hAnsi="Times New Roman" w:cs="Times New Roman"/>
                <w:b/>
                <w:sz w:val="20"/>
                <w:szCs w:val="20"/>
              </w:rPr>
              <w:t>Molecular Weight</w:t>
            </w:r>
          </w:p>
        </w:tc>
        <w:tc>
          <w:tcPr>
            <w:tcW w:w="4962" w:type="dxa"/>
          </w:tcPr>
          <w:p w:rsidR="009362E9" w:rsidRPr="003D331B" w:rsidRDefault="009362E9" w:rsidP="00D11458">
            <w:pPr>
              <w:spacing w:after="0" w:line="480" w:lineRule="auto"/>
              <w:contextualSpacing/>
              <w:jc w:val="both"/>
              <w:textAlignment w:val="center"/>
              <w:rPr>
                <w:rFonts w:ascii="Times New Roman" w:hAnsi="Times New Roman" w:cs="Times New Roman"/>
                <w:sz w:val="20"/>
                <w:szCs w:val="20"/>
              </w:rPr>
            </w:pPr>
            <w:r w:rsidRPr="003D331B">
              <w:rPr>
                <w:rFonts w:ascii="Times New Roman" w:hAnsi="Times New Roman" w:cs="Times New Roman"/>
                <w:sz w:val="20"/>
                <w:szCs w:val="20"/>
              </w:rPr>
              <w:t>151.16 g/mol</w:t>
            </w:r>
          </w:p>
        </w:tc>
        <w:tc>
          <w:tcPr>
            <w:tcW w:w="2471" w:type="dxa"/>
          </w:tcPr>
          <w:p w:rsidR="009362E9" w:rsidRPr="003D331B" w:rsidRDefault="009362E9" w:rsidP="00D11458">
            <w:pPr>
              <w:spacing w:after="0" w:line="480" w:lineRule="auto"/>
              <w:contextualSpacing/>
              <w:jc w:val="both"/>
              <w:textAlignment w:val="center"/>
              <w:rPr>
                <w:rFonts w:ascii="Times New Roman" w:hAnsi="Times New Roman" w:cs="Times New Roman"/>
                <w:sz w:val="20"/>
                <w:szCs w:val="20"/>
              </w:rPr>
            </w:pPr>
            <w:r w:rsidRPr="003D331B">
              <w:rPr>
                <w:rFonts w:ascii="Times New Roman" w:hAnsi="Times New Roman" w:cs="Times New Roman"/>
                <w:iCs/>
                <w:sz w:val="20"/>
                <w:szCs w:val="20"/>
              </w:rPr>
              <w:t>IARC (1990)</w:t>
            </w:r>
          </w:p>
        </w:tc>
      </w:tr>
      <w:tr w:rsidR="009362E9" w:rsidRPr="003D331B" w:rsidTr="00EB75A8">
        <w:tc>
          <w:tcPr>
            <w:tcW w:w="1809" w:type="dxa"/>
          </w:tcPr>
          <w:p w:rsidR="009362E9" w:rsidRPr="003D331B" w:rsidRDefault="009362E9" w:rsidP="00D11458">
            <w:pPr>
              <w:spacing w:after="0" w:line="480" w:lineRule="auto"/>
              <w:contextualSpacing/>
              <w:jc w:val="both"/>
              <w:textAlignment w:val="center"/>
              <w:rPr>
                <w:rFonts w:ascii="Times New Roman" w:hAnsi="Times New Roman" w:cs="Times New Roman"/>
                <w:b/>
                <w:sz w:val="20"/>
                <w:szCs w:val="20"/>
              </w:rPr>
            </w:pPr>
            <w:r w:rsidRPr="003D331B">
              <w:rPr>
                <w:rFonts w:ascii="Times New Roman" w:hAnsi="Times New Roman" w:cs="Times New Roman"/>
                <w:b/>
                <w:sz w:val="20"/>
                <w:szCs w:val="20"/>
              </w:rPr>
              <w:t>Molecular formula</w:t>
            </w:r>
          </w:p>
        </w:tc>
        <w:tc>
          <w:tcPr>
            <w:tcW w:w="4962" w:type="dxa"/>
          </w:tcPr>
          <w:p w:rsidR="009362E9" w:rsidRPr="003D331B" w:rsidRDefault="009362E9" w:rsidP="00D11458">
            <w:pPr>
              <w:spacing w:after="0" w:line="480" w:lineRule="auto"/>
              <w:contextualSpacing/>
              <w:jc w:val="both"/>
              <w:textAlignment w:val="center"/>
              <w:rPr>
                <w:rFonts w:ascii="Times New Roman" w:hAnsi="Times New Roman" w:cs="Times New Roman"/>
                <w:sz w:val="20"/>
                <w:szCs w:val="20"/>
              </w:rPr>
            </w:pPr>
            <w:r w:rsidRPr="003D331B">
              <w:rPr>
                <w:rFonts w:ascii="Times New Roman" w:eastAsia="Times New Roman" w:hAnsi="Times New Roman" w:cs="Times New Roman"/>
                <w:sz w:val="20"/>
                <w:szCs w:val="20"/>
              </w:rPr>
              <w:t>C</w:t>
            </w:r>
            <w:r w:rsidRPr="003D331B">
              <w:rPr>
                <w:rFonts w:ascii="Times New Roman" w:eastAsia="Times New Roman" w:hAnsi="Times New Roman" w:cs="Times New Roman"/>
                <w:sz w:val="20"/>
                <w:szCs w:val="20"/>
                <w:vertAlign w:val="subscript"/>
              </w:rPr>
              <w:t>8</w:t>
            </w:r>
            <w:r w:rsidRPr="003D331B">
              <w:rPr>
                <w:rFonts w:ascii="Times New Roman" w:eastAsia="Times New Roman" w:hAnsi="Times New Roman" w:cs="Times New Roman"/>
                <w:sz w:val="20"/>
                <w:szCs w:val="20"/>
              </w:rPr>
              <w:t>H</w:t>
            </w:r>
            <w:r w:rsidRPr="003D331B">
              <w:rPr>
                <w:rFonts w:ascii="Times New Roman" w:eastAsia="Times New Roman" w:hAnsi="Times New Roman" w:cs="Times New Roman"/>
                <w:sz w:val="20"/>
                <w:szCs w:val="20"/>
                <w:vertAlign w:val="subscript"/>
              </w:rPr>
              <w:t>9</w:t>
            </w:r>
            <w:r w:rsidRPr="003D331B">
              <w:rPr>
                <w:rFonts w:ascii="Times New Roman" w:eastAsia="Times New Roman" w:hAnsi="Times New Roman" w:cs="Times New Roman"/>
                <w:sz w:val="20"/>
                <w:szCs w:val="20"/>
              </w:rPr>
              <w:t>NO</w:t>
            </w:r>
            <w:r w:rsidRPr="003D331B">
              <w:rPr>
                <w:rFonts w:ascii="Times New Roman" w:eastAsia="Times New Roman" w:hAnsi="Times New Roman" w:cs="Times New Roman"/>
                <w:sz w:val="20"/>
                <w:szCs w:val="20"/>
                <w:vertAlign w:val="subscript"/>
              </w:rPr>
              <w:t>2</w:t>
            </w:r>
            <w:r w:rsidRPr="003D331B">
              <w:rPr>
                <w:rFonts w:ascii="Times New Roman" w:eastAsia="Times New Roman" w:hAnsi="Times New Roman" w:cs="Times New Roman"/>
                <w:sz w:val="20"/>
                <w:szCs w:val="20"/>
              </w:rPr>
              <w:t xml:space="preserve"> or HOC</w:t>
            </w:r>
            <w:r w:rsidRPr="003D331B">
              <w:rPr>
                <w:rFonts w:ascii="Times New Roman" w:eastAsia="Times New Roman" w:hAnsi="Times New Roman" w:cs="Times New Roman"/>
                <w:sz w:val="20"/>
                <w:szCs w:val="20"/>
                <w:vertAlign w:val="subscript"/>
              </w:rPr>
              <w:t>6</w:t>
            </w:r>
            <w:r w:rsidRPr="003D331B">
              <w:rPr>
                <w:rFonts w:ascii="Times New Roman" w:eastAsia="Times New Roman" w:hAnsi="Times New Roman" w:cs="Times New Roman"/>
                <w:sz w:val="20"/>
                <w:szCs w:val="20"/>
              </w:rPr>
              <w:t>H</w:t>
            </w:r>
            <w:r w:rsidRPr="003D331B">
              <w:rPr>
                <w:rFonts w:ascii="Times New Roman" w:eastAsia="Times New Roman" w:hAnsi="Times New Roman" w:cs="Times New Roman"/>
                <w:sz w:val="20"/>
                <w:szCs w:val="20"/>
                <w:vertAlign w:val="subscript"/>
              </w:rPr>
              <w:t>4</w:t>
            </w:r>
            <w:r w:rsidRPr="003D331B">
              <w:rPr>
                <w:rFonts w:ascii="Times New Roman" w:eastAsia="Times New Roman" w:hAnsi="Times New Roman" w:cs="Times New Roman"/>
                <w:sz w:val="20"/>
                <w:szCs w:val="20"/>
              </w:rPr>
              <w:t>NHCOCH</w:t>
            </w:r>
            <w:r w:rsidRPr="003D331B">
              <w:rPr>
                <w:rFonts w:ascii="Times New Roman" w:eastAsia="Times New Roman" w:hAnsi="Times New Roman" w:cs="Times New Roman"/>
                <w:sz w:val="20"/>
                <w:szCs w:val="20"/>
                <w:vertAlign w:val="subscript"/>
              </w:rPr>
              <w:t>3</w:t>
            </w:r>
          </w:p>
        </w:tc>
        <w:tc>
          <w:tcPr>
            <w:tcW w:w="2471" w:type="dxa"/>
          </w:tcPr>
          <w:p w:rsidR="009362E9" w:rsidRPr="003D331B" w:rsidRDefault="009362E9" w:rsidP="00D11458">
            <w:pPr>
              <w:spacing w:after="0" w:line="480" w:lineRule="auto"/>
              <w:contextualSpacing/>
              <w:jc w:val="both"/>
              <w:textAlignment w:val="center"/>
              <w:rPr>
                <w:rFonts w:ascii="Times New Roman" w:eastAsia="Times New Roman" w:hAnsi="Times New Roman" w:cs="Times New Roman"/>
                <w:sz w:val="20"/>
                <w:szCs w:val="20"/>
              </w:rPr>
            </w:pPr>
            <w:r w:rsidRPr="003D331B">
              <w:rPr>
                <w:rFonts w:ascii="Times New Roman" w:hAnsi="Times New Roman" w:cs="Times New Roman"/>
                <w:iCs/>
                <w:sz w:val="20"/>
                <w:szCs w:val="20"/>
              </w:rPr>
              <w:t>IARC (1990)</w:t>
            </w:r>
          </w:p>
        </w:tc>
      </w:tr>
      <w:tr w:rsidR="009362E9" w:rsidRPr="003D331B" w:rsidTr="00EB75A8">
        <w:tc>
          <w:tcPr>
            <w:tcW w:w="1809" w:type="dxa"/>
          </w:tcPr>
          <w:p w:rsidR="009362E9" w:rsidRPr="003D331B" w:rsidRDefault="009362E9" w:rsidP="00D11458">
            <w:pPr>
              <w:spacing w:after="0" w:line="480" w:lineRule="auto"/>
              <w:contextualSpacing/>
              <w:jc w:val="both"/>
              <w:textAlignment w:val="center"/>
              <w:rPr>
                <w:rFonts w:ascii="Times New Roman" w:hAnsi="Times New Roman" w:cs="Times New Roman"/>
                <w:b/>
                <w:sz w:val="20"/>
                <w:szCs w:val="20"/>
              </w:rPr>
            </w:pPr>
            <w:r w:rsidRPr="003D331B">
              <w:rPr>
                <w:rFonts w:ascii="Times New Roman" w:hAnsi="Times New Roman" w:cs="Times New Roman"/>
                <w:b/>
                <w:sz w:val="20"/>
                <w:szCs w:val="20"/>
              </w:rPr>
              <w:t>Taste</w:t>
            </w:r>
          </w:p>
        </w:tc>
        <w:tc>
          <w:tcPr>
            <w:tcW w:w="4962" w:type="dxa"/>
          </w:tcPr>
          <w:p w:rsidR="009362E9" w:rsidRPr="003D331B" w:rsidRDefault="009362E9" w:rsidP="00D11458">
            <w:pPr>
              <w:spacing w:after="0" w:line="480" w:lineRule="auto"/>
              <w:contextualSpacing/>
              <w:jc w:val="both"/>
              <w:textAlignment w:val="center"/>
              <w:rPr>
                <w:rFonts w:ascii="Times New Roman" w:eastAsia="Times New Roman" w:hAnsi="Times New Roman" w:cs="Times New Roman"/>
                <w:sz w:val="20"/>
                <w:szCs w:val="20"/>
              </w:rPr>
            </w:pPr>
            <w:r w:rsidRPr="003D331B">
              <w:rPr>
                <w:rFonts w:ascii="Times New Roman" w:eastAsia="Times New Roman" w:hAnsi="Times New Roman" w:cs="Times New Roman"/>
                <w:sz w:val="20"/>
                <w:szCs w:val="20"/>
              </w:rPr>
              <w:t>Slightly Bitter</w:t>
            </w:r>
          </w:p>
        </w:tc>
        <w:tc>
          <w:tcPr>
            <w:tcW w:w="2471" w:type="dxa"/>
          </w:tcPr>
          <w:p w:rsidR="009362E9" w:rsidRPr="003D331B" w:rsidRDefault="009362E9" w:rsidP="00D11458">
            <w:pPr>
              <w:spacing w:after="0" w:line="480" w:lineRule="auto"/>
              <w:contextualSpacing/>
              <w:jc w:val="both"/>
              <w:textAlignment w:val="center"/>
              <w:rPr>
                <w:rFonts w:ascii="Times New Roman" w:eastAsia="Times New Roman" w:hAnsi="Times New Roman" w:cs="Times New Roman"/>
                <w:sz w:val="20"/>
                <w:szCs w:val="20"/>
              </w:rPr>
            </w:pPr>
            <w:r w:rsidRPr="003D331B">
              <w:rPr>
                <w:rFonts w:ascii="Times New Roman" w:hAnsi="Times New Roman" w:cs="Times New Roman"/>
                <w:iCs/>
                <w:sz w:val="20"/>
                <w:szCs w:val="20"/>
              </w:rPr>
              <w:t>Lewis (2007)</w:t>
            </w:r>
          </w:p>
        </w:tc>
      </w:tr>
      <w:tr w:rsidR="009362E9" w:rsidRPr="003D331B" w:rsidTr="00EB75A8">
        <w:tc>
          <w:tcPr>
            <w:tcW w:w="1809" w:type="dxa"/>
          </w:tcPr>
          <w:p w:rsidR="009362E9" w:rsidRPr="003D331B" w:rsidRDefault="009362E9" w:rsidP="00D11458">
            <w:pPr>
              <w:spacing w:after="0" w:line="480" w:lineRule="auto"/>
              <w:contextualSpacing/>
              <w:jc w:val="both"/>
              <w:textAlignment w:val="center"/>
              <w:rPr>
                <w:rFonts w:ascii="Times New Roman" w:hAnsi="Times New Roman" w:cs="Times New Roman"/>
                <w:b/>
                <w:sz w:val="20"/>
                <w:szCs w:val="20"/>
              </w:rPr>
            </w:pPr>
            <w:r w:rsidRPr="003D331B">
              <w:rPr>
                <w:rFonts w:ascii="Times New Roman" w:hAnsi="Times New Roman" w:cs="Times New Roman"/>
                <w:b/>
                <w:sz w:val="20"/>
                <w:szCs w:val="20"/>
              </w:rPr>
              <w:t>Odour</w:t>
            </w:r>
          </w:p>
        </w:tc>
        <w:tc>
          <w:tcPr>
            <w:tcW w:w="4962" w:type="dxa"/>
          </w:tcPr>
          <w:p w:rsidR="009362E9" w:rsidRPr="003D331B" w:rsidRDefault="009362E9" w:rsidP="00D11458">
            <w:pPr>
              <w:shd w:val="clear" w:color="auto" w:fill="FFFFFF"/>
              <w:spacing w:after="0" w:line="480" w:lineRule="auto"/>
              <w:contextualSpacing/>
              <w:jc w:val="both"/>
              <w:rPr>
                <w:rFonts w:ascii="Times New Roman" w:eastAsia="Times New Roman" w:hAnsi="Times New Roman" w:cs="Times New Roman"/>
                <w:sz w:val="20"/>
                <w:szCs w:val="20"/>
              </w:rPr>
            </w:pPr>
            <w:r w:rsidRPr="003D331B">
              <w:rPr>
                <w:rFonts w:ascii="Times New Roman" w:eastAsia="Times New Roman" w:hAnsi="Times New Roman" w:cs="Times New Roman"/>
                <w:sz w:val="20"/>
                <w:szCs w:val="20"/>
              </w:rPr>
              <w:t>Odorless</w:t>
            </w:r>
          </w:p>
        </w:tc>
        <w:tc>
          <w:tcPr>
            <w:tcW w:w="2471" w:type="dxa"/>
          </w:tcPr>
          <w:p w:rsidR="009362E9" w:rsidRPr="003D331B" w:rsidRDefault="009362E9" w:rsidP="00D11458">
            <w:pPr>
              <w:spacing w:after="0" w:line="480" w:lineRule="auto"/>
              <w:contextualSpacing/>
              <w:jc w:val="both"/>
              <w:textAlignment w:val="center"/>
              <w:rPr>
                <w:rFonts w:ascii="Times New Roman" w:hAnsi="Times New Roman" w:cs="Times New Roman"/>
                <w:iCs/>
                <w:sz w:val="20"/>
                <w:szCs w:val="20"/>
                <w:shd w:val="clear" w:color="auto" w:fill="FFFFFF"/>
              </w:rPr>
            </w:pPr>
            <w:r w:rsidRPr="003D331B">
              <w:rPr>
                <w:rFonts w:ascii="Times New Roman" w:hAnsi="Times New Roman" w:cs="Times New Roman"/>
                <w:iCs/>
                <w:sz w:val="20"/>
                <w:szCs w:val="20"/>
              </w:rPr>
              <w:t xml:space="preserve">Lewis (2007) </w:t>
            </w:r>
          </w:p>
        </w:tc>
      </w:tr>
      <w:tr w:rsidR="009362E9" w:rsidRPr="003D331B" w:rsidTr="00EB75A8">
        <w:tc>
          <w:tcPr>
            <w:tcW w:w="1809" w:type="dxa"/>
          </w:tcPr>
          <w:p w:rsidR="009362E9" w:rsidRPr="003D331B" w:rsidRDefault="009362E9" w:rsidP="00D11458">
            <w:pPr>
              <w:spacing w:after="0" w:line="480" w:lineRule="auto"/>
              <w:contextualSpacing/>
              <w:jc w:val="both"/>
              <w:textAlignment w:val="center"/>
              <w:rPr>
                <w:rFonts w:ascii="Times New Roman" w:hAnsi="Times New Roman" w:cs="Times New Roman"/>
                <w:b/>
                <w:sz w:val="20"/>
                <w:szCs w:val="20"/>
              </w:rPr>
            </w:pPr>
            <w:r w:rsidRPr="003D331B">
              <w:rPr>
                <w:rFonts w:ascii="Times New Roman" w:hAnsi="Times New Roman" w:cs="Times New Roman"/>
                <w:b/>
                <w:sz w:val="20"/>
                <w:szCs w:val="20"/>
              </w:rPr>
              <w:t xml:space="preserve">pH </w:t>
            </w:r>
          </w:p>
        </w:tc>
        <w:tc>
          <w:tcPr>
            <w:tcW w:w="4962" w:type="dxa"/>
          </w:tcPr>
          <w:p w:rsidR="009362E9" w:rsidRPr="003D331B" w:rsidRDefault="009362E9" w:rsidP="00D11458">
            <w:pPr>
              <w:spacing w:after="0" w:line="480" w:lineRule="auto"/>
              <w:contextualSpacing/>
              <w:jc w:val="both"/>
              <w:textAlignment w:val="center"/>
              <w:rPr>
                <w:rFonts w:ascii="Times New Roman" w:eastAsia="Times New Roman" w:hAnsi="Times New Roman" w:cs="Times New Roman"/>
                <w:sz w:val="20"/>
                <w:szCs w:val="20"/>
              </w:rPr>
            </w:pPr>
            <w:r w:rsidRPr="003D331B">
              <w:rPr>
                <w:rFonts w:ascii="Times New Roman" w:hAnsi="Times New Roman" w:cs="Times New Roman"/>
                <w:sz w:val="20"/>
                <w:szCs w:val="20"/>
                <w:shd w:val="clear" w:color="auto" w:fill="FFFFFF"/>
              </w:rPr>
              <w:t xml:space="preserve">about 6 (saturated aqueous solution) </w:t>
            </w:r>
          </w:p>
        </w:tc>
        <w:tc>
          <w:tcPr>
            <w:tcW w:w="2471" w:type="dxa"/>
          </w:tcPr>
          <w:p w:rsidR="009362E9" w:rsidRPr="003D331B" w:rsidRDefault="009362E9" w:rsidP="00D11458">
            <w:pPr>
              <w:shd w:val="clear" w:color="auto" w:fill="FFFFFF"/>
              <w:spacing w:after="0" w:line="480" w:lineRule="auto"/>
              <w:contextualSpacing/>
              <w:jc w:val="both"/>
              <w:textAlignment w:val="center"/>
              <w:rPr>
                <w:rFonts w:ascii="Times New Roman" w:eastAsia="Times New Roman" w:hAnsi="Times New Roman" w:cs="Times New Roman"/>
                <w:sz w:val="20"/>
                <w:szCs w:val="20"/>
              </w:rPr>
            </w:pPr>
            <w:r w:rsidRPr="003D331B">
              <w:rPr>
                <w:rFonts w:ascii="Times New Roman" w:hAnsi="Times New Roman" w:cs="Times New Roman"/>
                <w:sz w:val="20"/>
                <w:szCs w:val="20"/>
                <w:shd w:val="clear" w:color="auto" w:fill="FFFFFF"/>
              </w:rPr>
              <w:t>NTP (1992)</w:t>
            </w:r>
          </w:p>
        </w:tc>
      </w:tr>
      <w:tr w:rsidR="009362E9" w:rsidRPr="003D331B" w:rsidTr="00EB75A8">
        <w:tc>
          <w:tcPr>
            <w:tcW w:w="1809" w:type="dxa"/>
          </w:tcPr>
          <w:p w:rsidR="009362E9" w:rsidRPr="003D331B" w:rsidRDefault="009362E9" w:rsidP="00D11458">
            <w:pPr>
              <w:spacing w:after="0" w:line="480" w:lineRule="auto"/>
              <w:contextualSpacing/>
              <w:jc w:val="both"/>
              <w:textAlignment w:val="center"/>
              <w:rPr>
                <w:rFonts w:ascii="Times New Roman" w:hAnsi="Times New Roman" w:cs="Times New Roman"/>
                <w:b/>
                <w:sz w:val="20"/>
                <w:szCs w:val="20"/>
              </w:rPr>
            </w:pPr>
            <w:r w:rsidRPr="003D331B">
              <w:rPr>
                <w:rFonts w:ascii="Times New Roman" w:hAnsi="Times New Roman" w:cs="Times New Roman"/>
                <w:b/>
                <w:sz w:val="20"/>
                <w:szCs w:val="20"/>
              </w:rPr>
              <w:t>Melting point</w:t>
            </w:r>
          </w:p>
        </w:tc>
        <w:tc>
          <w:tcPr>
            <w:tcW w:w="4962" w:type="dxa"/>
          </w:tcPr>
          <w:p w:rsidR="009362E9" w:rsidRPr="003D331B" w:rsidRDefault="009362E9" w:rsidP="00D11458">
            <w:pPr>
              <w:spacing w:after="0" w:line="480" w:lineRule="auto"/>
              <w:contextualSpacing/>
              <w:jc w:val="both"/>
              <w:textAlignment w:val="center"/>
              <w:rPr>
                <w:rFonts w:ascii="Times New Roman" w:hAnsi="Times New Roman" w:cs="Times New Roman"/>
                <w:sz w:val="20"/>
                <w:szCs w:val="20"/>
              </w:rPr>
            </w:pPr>
            <w:r w:rsidRPr="003D331B">
              <w:rPr>
                <w:rFonts w:ascii="Times New Roman" w:hAnsi="Times New Roman" w:cs="Times New Roman"/>
                <w:sz w:val="20"/>
                <w:szCs w:val="20"/>
              </w:rPr>
              <w:t xml:space="preserve">169-170.5  °C  </w:t>
            </w:r>
          </w:p>
        </w:tc>
        <w:tc>
          <w:tcPr>
            <w:tcW w:w="2471" w:type="dxa"/>
          </w:tcPr>
          <w:p w:rsidR="009362E9" w:rsidRPr="003D331B" w:rsidRDefault="009362E9" w:rsidP="00D11458">
            <w:pPr>
              <w:spacing w:after="0" w:line="480" w:lineRule="auto"/>
              <w:contextualSpacing/>
              <w:jc w:val="both"/>
              <w:rPr>
                <w:rFonts w:ascii="Times New Roman" w:hAnsi="Times New Roman" w:cs="Times New Roman"/>
                <w:sz w:val="20"/>
                <w:szCs w:val="20"/>
              </w:rPr>
            </w:pPr>
            <w:r w:rsidRPr="003D331B">
              <w:rPr>
                <w:rFonts w:ascii="Times New Roman" w:hAnsi="Times New Roman" w:cs="Times New Roman"/>
                <w:sz w:val="20"/>
                <w:szCs w:val="20"/>
                <w:shd w:val="clear" w:color="auto" w:fill="FFFFFF"/>
              </w:rPr>
              <w:t>Di Martino et al., (1997)</w:t>
            </w:r>
          </w:p>
        </w:tc>
      </w:tr>
      <w:tr w:rsidR="009362E9" w:rsidRPr="003D331B" w:rsidTr="00EB75A8">
        <w:tc>
          <w:tcPr>
            <w:tcW w:w="1809" w:type="dxa"/>
          </w:tcPr>
          <w:p w:rsidR="009362E9" w:rsidRPr="003D331B" w:rsidRDefault="009362E9" w:rsidP="00D11458">
            <w:pPr>
              <w:spacing w:after="0" w:line="480" w:lineRule="auto"/>
              <w:contextualSpacing/>
              <w:jc w:val="both"/>
              <w:textAlignment w:val="center"/>
              <w:rPr>
                <w:rFonts w:ascii="Times New Roman" w:hAnsi="Times New Roman" w:cs="Times New Roman"/>
                <w:b/>
                <w:sz w:val="20"/>
                <w:szCs w:val="20"/>
              </w:rPr>
            </w:pPr>
            <w:r w:rsidRPr="003D331B">
              <w:rPr>
                <w:rFonts w:ascii="Times New Roman" w:hAnsi="Times New Roman" w:cs="Times New Roman"/>
                <w:b/>
                <w:sz w:val="20"/>
                <w:szCs w:val="20"/>
              </w:rPr>
              <w:t>Boiling point</w:t>
            </w:r>
          </w:p>
        </w:tc>
        <w:tc>
          <w:tcPr>
            <w:tcW w:w="4962" w:type="dxa"/>
          </w:tcPr>
          <w:p w:rsidR="009362E9" w:rsidRPr="003D331B" w:rsidRDefault="009362E9" w:rsidP="00D11458">
            <w:pPr>
              <w:spacing w:after="0" w:line="480" w:lineRule="auto"/>
              <w:contextualSpacing/>
              <w:jc w:val="both"/>
              <w:textAlignment w:val="center"/>
              <w:rPr>
                <w:rFonts w:ascii="Times New Roman" w:hAnsi="Times New Roman" w:cs="Times New Roman"/>
                <w:sz w:val="20"/>
                <w:szCs w:val="20"/>
              </w:rPr>
            </w:pPr>
            <w:r w:rsidRPr="003D331B">
              <w:rPr>
                <w:rFonts w:ascii="Times New Roman" w:hAnsi="Times New Roman" w:cs="Times New Roman"/>
                <w:sz w:val="20"/>
                <w:szCs w:val="20"/>
              </w:rPr>
              <w:t>&gt;500 °C</w:t>
            </w:r>
          </w:p>
        </w:tc>
        <w:tc>
          <w:tcPr>
            <w:tcW w:w="2471" w:type="dxa"/>
          </w:tcPr>
          <w:p w:rsidR="009362E9" w:rsidRPr="003D331B" w:rsidRDefault="009362E9" w:rsidP="00D11458">
            <w:pPr>
              <w:spacing w:after="0" w:line="480" w:lineRule="auto"/>
              <w:contextualSpacing/>
              <w:jc w:val="both"/>
              <w:rPr>
                <w:rFonts w:ascii="Times New Roman" w:hAnsi="Times New Roman" w:cs="Times New Roman"/>
                <w:sz w:val="20"/>
                <w:szCs w:val="20"/>
                <w:shd w:val="clear" w:color="auto" w:fill="FFFFFF"/>
              </w:rPr>
            </w:pPr>
            <w:r w:rsidRPr="003D331B">
              <w:rPr>
                <w:rFonts w:ascii="Times New Roman" w:hAnsi="Times New Roman" w:cs="Times New Roman"/>
                <w:sz w:val="20"/>
                <w:szCs w:val="20"/>
                <w:shd w:val="clear" w:color="auto" w:fill="FFFFFF"/>
              </w:rPr>
              <w:t>ILO (2008)</w:t>
            </w:r>
          </w:p>
        </w:tc>
      </w:tr>
      <w:tr w:rsidR="009362E9" w:rsidRPr="003D331B" w:rsidTr="00EB75A8">
        <w:tc>
          <w:tcPr>
            <w:tcW w:w="1809" w:type="dxa"/>
          </w:tcPr>
          <w:p w:rsidR="009362E9" w:rsidRPr="003D331B" w:rsidRDefault="009362E9" w:rsidP="00D11458">
            <w:pPr>
              <w:spacing w:after="0" w:line="480" w:lineRule="auto"/>
              <w:contextualSpacing/>
              <w:jc w:val="both"/>
              <w:textAlignment w:val="center"/>
              <w:rPr>
                <w:rFonts w:ascii="Times New Roman" w:hAnsi="Times New Roman" w:cs="Times New Roman"/>
                <w:b/>
                <w:sz w:val="20"/>
                <w:szCs w:val="20"/>
              </w:rPr>
            </w:pPr>
            <w:r w:rsidRPr="003D331B">
              <w:rPr>
                <w:rFonts w:ascii="Times New Roman" w:hAnsi="Times New Roman" w:cs="Times New Roman"/>
                <w:b/>
                <w:sz w:val="20"/>
                <w:szCs w:val="20"/>
              </w:rPr>
              <w:t xml:space="preserve">Solubility </w:t>
            </w:r>
          </w:p>
        </w:tc>
        <w:tc>
          <w:tcPr>
            <w:tcW w:w="4962" w:type="dxa"/>
          </w:tcPr>
          <w:p w:rsidR="009362E9" w:rsidRPr="003D331B" w:rsidRDefault="009362E9" w:rsidP="007F0B1F">
            <w:pPr>
              <w:spacing w:after="0" w:line="480" w:lineRule="auto"/>
              <w:contextualSpacing/>
              <w:jc w:val="both"/>
              <w:textAlignment w:val="center"/>
              <w:rPr>
                <w:rFonts w:ascii="Times New Roman" w:hAnsi="Times New Roman" w:cs="Times New Roman"/>
                <w:sz w:val="20"/>
                <w:szCs w:val="20"/>
              </w:rPr>
            </w:pPr>
            <w:r w:rsidRPr="003D331B">
              <w:rPr>
                <w:rFonts w:ascii="Times New Roman" w:eastAsia="Times New Roman" w:hAnsi="Times New Roman" w:cs="Times New Roman"/>
                <w:sz w:val="20"/>
                <w:szCs w:val="20"/>
              </w:rPr>
              <w:t>Soluble in water (1:70, 1:20 at 100°C)</w:t>
            </w:r>
          </w:p>
        </w:tc>
        <w:tc>
          <w:tcPr>
            <w:tcW w:w="2471" w:type="dxa"/>
          </w:tcPr>
          <w:p w:rsidR="009362E9" w:rsidRPr="003D331B" w:rsidRDefault="009362E9" w:rsidP="007F0B1F">
            <w:pPr>
              <w:shd w:val="clear" w:color="auto" w:fill="FFFFFF"/>
              <w:spacing w:after="0" w:line="480" w:lineRule="auto"/>
              <w:contextualSpacing/>
              <w:jc w:val="both"/>
              <w:rPr>
                <w:rFonts w:ascii="Times New Roman" w:hAnsi="Times New Roman" w:cs="Times New Roman"/>
                <w:sz w:val="20"/>
                <w:szCs w:val="20"/>
              </w:rPr>
            </w:pPr>
            <w:r w:rsidRPr="003D331B">
              <w:rPr>
                <w:rFonts w:ascii="Times New Roman" w:eastAsia="Times New Roman" w:hAnsi="Times New Roman" w:cs="Times New Roman"/>
                <w:sz w:val="20"/>
                <w:szCs w:val="20"/>
              </w:rPr>
              <w:t xml:space="preserve"> NTP (1992)</w:t>
            </w:r>
          </w:p>
        </w:tc>
      </w:tr>
      <w:tr w:rsidR="009362E9" w:rsidRPr="003D331B" w:rsidTr="00EB75A8">
        <w:tc>
          <w:tcPr>
            <w:tcW w:w="1809" w:type="dxa"/>
          </w:tcPr>
          <w:p w:rsidR="009362E9" w:rsidRPr="003D331B" w:rsidRDefault="009362E9" w:rsidP="00D11458">
            <w:pPr>
              <w:spacing w:after="0" w:line="480" w:lineRule="auto"/>
              <w:contextualSpacing/>
              <w:jc w:val="both"/>
              <w:textAlignment w:val="center"/>
              <w:rPr>
                <w:rFonts w:ascii="Times New Roman" w:hAnsi="Times New Roman" w:cs="Times New Roman"/>
                <w:b/>
                <w:sz w:val="20"/>
                <w:szCs w:val="20"/>
              </w:rPr>
            </w:pPr>
            <w:r w:rsidRPr="003D331B">
              <w:rPr>
                <w:rFonts w:ascii="Times New Roman" w:hAnsi="Times New Roman" w:cs="Times New Roman"/>
                <w:b/>
                <w:sz w:val="20"/>
                <w:szCs w:val="20"/>
              </w:rPr>
              <w:t>Density</w:t>
            </w:r>
          </w:p>
        </w:tc>
        <w:tc>
          <w:tcPr>
            <w:tcW w:w="4962" w:type="dxa"/>
          </w:tcPr>
          <w:p w:rsidR="009362E9" w:rsidRPr="003D331B" w:rsidRDefault="009362E9" w:rsidP="00D11458">
            <w:pPr>
              <w:spacing w:after="0" w:line="480" w:lineRule="auto"/>
              <w:contextualSpacing/>
              <w:jc w:val="both"/>
              <w:textAlignment w:val="center"/>
              <w:rPr>
                <w:rFonts w:ascii="Times New Roman" w:hAnsi="Times New Roman" w:cs="Times New Roman"/>
                <w:sz w:val="20"/>
                <w:szCs w:val="20"/>
              </w:rPr>
            </w:pPr>
            <w:r w:rsidRPr="003D331B">
              <w:rPr>
                <w:rFonts w:ascii="Times New Roman" w:hAnsi="Times New Roman" w:cs="Times New Roman"/>
                <w:sz w:val="20"/>
                <w:szCs w:val="20"/>
              </w:rPr>
              <w:t>1.293 g/cu cm at 21 °C</w:t>
            </w:r>
          </w:p>
        </w:tc>
        <w:tc>
          <w:tcPr>
            <w:tcW w:w="2471" w:type="dxa"/>
          </w:tcPr>
          <w:p w:rsidR="009362E9" w:rsidRPr="003D331B" w:rsidRDefault="009362E9" w:rsidP="00D11458">
            <w:pPr>
              <w:spacing w:after="0" w:line="480" w:lineRule="auto"/>
              <w:contextualSpacing/>
              <w:jc w:val="both"/>
              <w:textAlignment w:val="center"/>
              <w:rPr>
                <w:rFonts w:ascii="Times New Roman" w:hAnsi="Times New Roman" w:cs="Times New Roman"/>
                <w:sz w:val="20"/>
                <w:szCs w:val="20"/>
              </w:rPr>
            </w:pPr>
            <w:r w:rsidRPr="003D331B">
              <w:rPr>
                <w:rFonts w:ascii="Times New Roman" w:hAnsi="Times New Roman" w:cs="Times New Roman"/>
                <w:iCs/>
                <w:sz w:val="20"/>
                <w:szCs w:val="20"/>
              </w:rPr>
              <w:t>Haynes, (2014)</w:t>
            </w:r>
          </w:p>
        </w:tc>
      </w:tr>
      <w:tr w:rsidR="009362E9" w:rsidRPr="003D331B" w:rsidTr="00EB75A8">
        <w:tc>
          <w:tcPr>
            <w:tcW w:w="1809" w:type="dxa"/>
          </w:tcPr>
          <w:p w:rsidR="009362E9" w:rsidRPr="003D331B" w:rsidRDefault="009362E9" w:rsidP="00D11458">
            <w:pPr>
              <w:spacing w:after="0" w:line="480" w:lineRule="auto"/>
              <w:contextualSpacing/>
              <w:jc w:val="both"/>
              <w:textAlignment w:val="center"/>
              <w:rPr>
                <w:rFonts w:ascii="Times New Roman" w:hAnsi="Times New Roman" w:cs="Times New Roman"/>
                <w:b/>
                <w:sz w:val="20"/>
                <w:szCs w:val="20"/>
              </w:rPr>
            </w:pPr>
            <w:r w:rsidRPr="003D331B">
              <w:rPr>
                <w:rFonts w:ascii="Times New Roman" w:hAnsi="Times New Roman" w:cs="Times New Roman"/>
                <w:b/>
                <w:sz w:val="20"/>
                <w:szCs w:val="20"/>
              </w:rPr>
              <w:t>Environmental risk</w:t>
            </w:r>
          </w:p>
        </w:tc>
        <w:tc>
          <w:tcPr>
            <w:tcW w:w="4962" w:type="dxa"/>
          </w:tcPr>
          <w:p w:rsidR="009362E9" w:rsidRPr="003D331B" w:rsidRDefault="007F0B1F" w:rsidP="007F0B1F">
            <w:pPr>
              <w:spacing w:after="0" w:line="480" w:lineRule="auto"/>
              <w:contextualSpacing/>
              <w:jc w:val="both"/>
              <w:textAlignment w:val="center"/>
              <w:rPr>
                <w:rFonts w:ascii="Times New Roman" w:hAnsi="Times New Roman" w:cs="Times New Roman"/>
                <w:sz w:val="20"/>
                <w:szCs w:val="20"/>
              </w:rPr>
            </w:pPr>
            <w:r>
              <w:rPr>
                <w:rFonts w:ascii="Times New Roman" w:hAnsi="Times New Roman" w:cs="Times New Roman"/>
                <w:sz w:val="20"/>
                <w:szCs w:val="20"/>
              </w:rPr>
              <w:t>T</w:t>
            </w:r>
            <w:r w:rsidR="009362E9" w:rsidRPr="003D331B">
              <w:rPr>
                <w:rFonts w:ascii="Times New Roman" w:hAnsi="Times New Roman" w:cs="Times New Roman"/>
                <w:sz w:val="20"/>
                <w:szCs w:val="20"/>
              </w:rPr>
              <w:t xml:space="preserve">oxic to aquatic </w:t>
            </w:r>
            <w:r>
              <w:rPr>
                <w:rFonts w:ascii="Times New Roman" w:hAnsi="Times New Roman" w:cs="Times New Roman"/>
                <w:sz w:val="20"/>
                <w:szCs w:val="20"/>
              </w:rPr>
              <w:t>life</w:t>
            </w:r>
            <w:r w:rsidR="009362E9" w:rsidRPr="003D331B">
              <w:rPr>
                <w:rFonts w:ascii="Times New Roman" w:hAnsi="Times New Roman" w:cs="Times New Roman"/>
                <w:sz w:val="20"/>
                <w:szCs w:val="20"/>
              </w:rPr>
              <w:t xml:space="preserve">. </w:t>
            </w:r>
          </w:p>
        </w:tc>
        <w:tc>
          <w:tcPr>
            <w:tcW w:w="2471" w:type="dxa"/>
          </w:tcPr>
          <w:p w:rsidR="009362E9" w:rsidRPr="003D331B" w:rsidRDefault="009362E9" w:rsidP="00D11458">
            <w:pPr>
              <w:spacing w:after="0" w:line="480" w:lineRule="auto"/>
              <w:contextualSpacing/>
              <w:jc w:val="both"/>
              <w:rPr>
                <w:rFonts w:ascii="Times New Roman" w:hAnsi="Times New Roman" w:cs="Times New Roman"/>
                <w:sz w:val="20"/>
                <w:szCs w:val="20"/>
              </w:rPr>
            </w:pPr>
            <w:r w:rsidRPr="003D331B">
              <w:rPr>
                <w:rFonts w:ascii="Times New Roman" w:hAnsi="Times New Roman" w:cs="Times New Roman"/>
                <w:sz w:val="20"/>
                <w:szCs w:val="20"/>
                <w:shd w:val="clear" w:color="auto" w:fill="FFFFFF"/>
              </w:rPr>
              <w:t>ILO (2008)</w:t>
            </w:r>
          </w:p>
        </w:tc>
      </w:tr>
    </w:tbl>
    <w:p w:rsidR="007F0B1F" w:rsidRDefault="007F0B1F" w:rsidP="00711852">
      <w:pPr>
        <w:spacing w:after="0" w:line="480" w:lineRule="auto"/>
        <w:contextualSpacing/>
        <w:jc w:val="both"/>
        <w:rPr>
          <w:rFonts w:ascii="Times New Roman" w:hAnsi="Times New Roman" w:cs="Times New Roman"/>
          <w:sz w:val="24"/>
          <w:szCs w:val="24"/>
          <w:shd w:val="clear" w:color="auto" w:fill="FFFFFF"/>
        </w:rPr>
      </w:pPr>
    </w:p>
    <w:p w:rsidR="007F0B1F" w:rsidRPr="00711852" w:rsidRDefault="007F0B1F" w:rsidP="00711852">
      <w:pPr>
        <w:spacing w:after="0" w:line="480" w:lineRule="auto"/>
        <w:contextualSpacing/>
        <w:jc w:val="both"/>
        <w:rPr>
          <w:rFonts w:ascii="Times New Roman" w:hAnsi="Times New Roman" w:cs="Times New Roman"/>
          <w:sz w:val="24"/>
          <w:szCs w:val="24"/>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21"/>
        <w:gridCol w:w="4621"/>
      </w:tblGrid>
      <w:tr w:rsidR="009362E9" w:rsidRPr="00711852" w:rsidTr="00EB75A8">
        <w:tc>
          <w:tcPr>
            <w:tcW w:w="4621" w:type="dxa"/>
          </w:tcPr>
          <w:p w:rsidR="009362E9" w:rsidRPr="00711852" w:rsidRDefault="009362E9" w:rsidP="00711852">
            <w:pPr>
              <w:spacing w:after="0" w:line="480" w:lineRule="auto"/>
              <w:contextualSpacing/>
              <w:jc w:val="both"/>
              <w:rPr>
                <w:rFonts w:ascii="Times New Roman" w:hAnsi="Times New Roman" w:cs="Times New Roman"/>
                <w:sz w:val="24"/>
                <w:szCs w:val="24"/>
                <w:shd w:val="clear" w:color="auto" w:fill="FFFFFF"/>
                <w:vertAlign w:val="superscript"/>
              </w:rPr>
            </w:pPr>
            <w:r w:rsidRPr="00711852">
              <w:rPr>
                <w:rFonts w:ascii="Times New Roman" w:hAnsi="Times New Roman" w:cs="Times New Roman"/>
                <w:sz w:val="24"/>
                <w:szCs w:val="24"/>
                <w:shd w:val="clear" w:color="auto" w:fill="FFFFFF"/>
                <w:vertAlign w:val="superscript"/>
              </w:rPr>
              <w:lastRenderedPageBreak/>
              <w:t>(a)</w:t>
            </w:r>
          </w:p>
        </w:tc>
        <w:tc>
          <w:tcPr>
            <w:tcW w:w="4621" w:type="dxa"/>
          </w:tcPr>
          <w:p w:rsidR="009362E9" w:rsidRPr="00711852" w:rsidRDefault="009362E9" w:rsidP="00711852">
            <w:pPr>
              <w:spacing w:after="0" w:line="480" w:lineRule="auto"/>
              <w:contextualSpacing/>
              <w:jc w:val="both"/>
              <w:rPr>
                <w:rFonts w:ascii="Times New Roman" w:hAnsi="Times New Roman" w:cs="Times New Roman"/>
                <w:sz w:val="24"/>
                <w:szCs w:val="24"/>
                <w:shd w:val="clear" w:color="auto" w:fill="FFFFFF"/>
                <w:vertAlign w:val="superscript"/>
              </w:rPr>
            </w:pPr>
            <w:r w:rsidRPr="00711852">
              <w:rPr>
                <w:rFonts w:ascii="Times New Roman" w:hAnsi="Times New Roman" w:cs="Times New Roman"/>
                <w:sz w:val="24"/>
                <w:szCs w:val="24"/>
                <w:shd w:val="clear" w:color="auto" w:fill="FFFFFF"/>
                <w:vertAlign w:val="superscript"/>
              </w:rPr>
              <w:t>(b)</w:t>
            </w:r>
          </w:p>
        </w:tc>
      </w:tr>
      <w:tr w:rsidR="009362E9" w:rsidRPr="00711852" w:rsidTr="00EB75A8">
        <w:tc>
          <w:tcPr>
            <w:tcW w:w="4621" w:type="dxa"/>
          </w:tcPr>
          <w:p w:rsidR="009362E9" w:rsidRPr="00711852" w:rsidRDefault="009362E9" w:rsidP="00711852">
            <w:pPr>
              <w:spacing w:after="0" w:line="480" w:lineRule="auto"/>
              <w:contextualSpacing/>
              <w:jc w:val="both"/>
              <w:rPr>
                <w:rFonts w:ascii="Times New Roman" w:hAnsi="Times New Roman" w:cs="Times New Roman"/>
                <w:sz w:val="24"/>
                <w:szCs w:val="24"/>
                <w:shd w:val="clear" w:color="auto" w:fill="FFFFFF"/>
                <w:vertAlign w:val="superscript"/>
              </w:rPr>
            </w:pPr>
            <w:r w:rsidRPr="00711852">
              <w:rPr>
                <w:rFonts w:ascii="Times New Roman" w:hAnsi="Times New Roman" w:cs="Times New Roman"/>
                <w:noProof/>
                <w:sz w:val="24"/>
                <w:szCs w:val="24"/>
                <w:vertAlign w:val="superscript"/>
              </w:rPr>
              <w:drawing>
                <wp:inline distT="0" distB="0" distL="0" distR="0">
                  <wp:extent cx="1943100" cy="1943100"/>
                  <wp:effectExtent l="19050" t="19050" r="19050" b="19050"/>
                  <wp:docPr id="4" name="Picture 10" descr="https://www.ebi.ac.uk/chebi/displayImage.do?defaultImage=true&amp;imageIndex=0&amp;chebiId=46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ebi.ac.uk/chebi/displayImage.do?defaultImage=true&amp;imageIndex=0&amp;chebiId=46195"/>
                          <pic:cNvPicPr>
                            <a:picLocks noChangeAspect="1" noChangeArrowheads="1"/>
                          </pic:cNvPicPr>
                        </pic:nvPicPr>
                        <pic:blipFill>
                          <a:blip r:embed="rId11"/>
                          <a:srcRect/>
                          <a:stretch>
                            <a:fillRect/>
                          </a:stretch>
                        </pic:blipFill>
                        <pic:spPr bwMode="auto">
                          <a:xfrm>
                            <a:off x="0" y="0"/>
                            <a:ext cx="1942524" cy="1942524"/>
                          </a:xfrm>
                          <a:prstGeom prst="rect">
                            <a:avLst/>
                          </a:prstGeom>
                          <a:noFill/>
                          <a:ln w="9525">
                            <a:solidFill>
                              <a:schemeClr val="tx1"/>
                            </a:solidFill>
                            <a:miter lim="800000"/>
                            <a:headEnd/>
                            <a:tailEnd/>
                          </a:ln>
                        </pic:spPr>
                      </pic:pic>
                    </a:graphicData>
                  </a:graphic>
                </wp:inline>
              </w:drawing>
            </w:r>
          </w:p>
        </w:tc>
        <w:tc>
          <w:tcPr>
            <w:tcW w:w="4621" w:type="dxa"/>
          </w:tcPr>
          <w:p w:rsidR="009362E9" w:rsidRPr="00711852" w:rsidRDefault="009362E9" w:rsidP="00711852">
            <w:pPr>
              <w:spacing w:after="0" w:line="480" w:lineRule="auto"/>
              <w:contextualSpacing/>
              <w:jc w:val="both"/>
              <w:rPr>
                <w:rFonts w:ascii="Times New Roman" w:hAnsi="Times New Roman" w:cs="Times New Roman"/>
                <w:sz w:val="24"/>
                <w:szCs w:val="24"/>
                <w:shd w:val="clear" w:color="auto" w:fill="FFFFFF"/>
                <w:vertAlign w:val="superscript"/>
              </w:rPr>
            </w:pPr>
            <w:r w:rsidRPr="00711852">
              <w:rPr>
                <w:rFonts w:ascii="Times New Roman" w:hAnsi="Times New Roman" w:cs="Times New Roman"/>
                <w:noProof/>
                <w:sz w:val="24"/>
                <w:szCs w:val="24"/>
                <w:vertAlign w:val="superscript"/>
              </w:rPr>
              <w:drawing>
                <wp:inline distT="0" distB="0" distL="0" distR="0">
                  <wp:extent cx="1960245" cy="1944370"/>
                  <wp:effectExtent l="19050" t="19050" r="20955" b="17780"/>
                  <wp:docPr id="3" name="Picture 1" descr="Acetaminophen_Conformer3D_medi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etaminophen_Conformer3D_medium.png"/>
                          <pic:cNvPicPr/>
                        </pic:nvPicPr>
                        <pic:blipFill>
                          <a:blip r:embed="rId12"/>
                          <a:srcRect l="24982" r="20209"/>
                          <a:stretch>
                            <a:fillRect/>
                          </a:stretch>
                        </pic:blipFill>
                        <pic:spPr>
                          <a:xfrm>
                            <a:off x="0" y="0"/>
                            <a:ext cx="1960245" cy="1944370"/>
                          </a:xfrm>
                          <a:prstGeom prst="rect">
                            <a:avLst/>
                          </a:prstGeom>
                          <a:ln>
                            <a:solidFill>
                              <a:schemeClr val="tx1"/>
                            </a:solidFill>
                          </a:ln>
                        </pic:spPr>
                      </pic:pic>
                    </a:graphicData>
                  </a:graphic>
                </wp:inline>
              </w:drawing>
            </w:r>
          </w:p>
        </w:tc>
      </w:tr>
      <w:tr w:rsidR="009362E9" w:rsidRPr="003D331B" w:rsidTr="00EB75A8">
        <w:tc>
          <w:tcPr>
            <w:tcW w:w="4621" w:type="dxa"/>
          </w:tcPr>
          <w:p w:rsidR="009362E9" w:rsidRPr="003D331B" w:rsidRDefault="009362E9" w:rsidP="00711852">
            <w:pPr>
              <w:spacing w:after="0" w:line="480" w:lineRule="auto"/>
              <w:contextualSpacing/>
              <w:jc w:val="both"/>
              <w:rPr>
                <w:rFonts w:ascii="Times New Roman" w:hAnsi="Times New Roman" w:cs="Times New Roman"/>
                <w:sz w:val="20"/>
                <w:szCs w:val="20"/>
                <w:shd w:val="clear" w:color="auto" w:fill="FFFFFF"/>
                <w:vertAlign w:val="superscript"/>
              </w:rPr>
            </w:pPr>
            <w:r w:rsidRPr="003D331B">
              <w:rPr>
                <w:rFonts w:ascii="Times New Roman" w:hAnsi="Times New Roman" w:cs="Times New Roman"/>
                <w:sz w:val="20"/>
                <w:szCs w:val="20"/>
                <w:vertAlign w:val="superscript"/>
              </w:rPr>
              <w:t>Source:https://www.ebi.ac.uk/chebi/searchId.do?chebiId=CHEBI:46195</w:t>
            </w:r>
          </w:p>
        </w:tc>
        <w:tc>
          <w:tcPr>
            <w:tcW w:w="4621" w:type="dxa"/>
          </w:tcPr>
          <w:p w:rsidR="009362E9" w:rsidRPr="003D331B" w:rsidRDefault="009362E9" w:rsidP="00711852">
            <w:pPr>
              <w:spacing w:after="0" w:line="480" w:lineRule="auto"/>
              <w:contextualSpacing/>
              <w:jc w:val="both"/>
              <w:rPr>
                <w:rFonts w:ascii="Times New Roman" w:hAnsi="Times New Roman" w:cs="Times New Roman"/>
                <w:sz w:val="20"/>
                <w:szCs w:val="20"/>
                <w:shd w:val="clear" w:color="auto" w:fill="FFFFFF"/>
                <w:vertAlign w:val="superscript"/>
              </w:rPr>
            </w:pPr>
            <w:r w:rsidRPr="003D331B">
              <w:rPr>
                <w:rFonts w:ascii="Times New Roman" w:hAnsi="Times New Roman" w:cs="Times New Roman"/>
                <w:sz w:val="20"/>
                <w:szCs w:val="20"/>
                <w:vertAlign w:val="superscript"/>
              </w:rPr>
              <w:t>Source:https://pubchem.ncbi.nlm.nih.gov/compound/Acetaminophen</w:t>
            </w:r>
          </w:p>
        </w:tc>
      </w:tr>
    </w:tbl>
    <w:p w:rsidR="009362E9" w:rsidRPr="00711852" w:rsidRDefault="009362E9" w:rsidP="00711852">
      <w:pPr>
        <w:spacing w:after="0" w:line="480" w:lineRule="auto"/>
        <w:contextualSpacing/>
        <w:jc w:val="both"/>
        <w:rPr>
          <w:rFonts w:ascii="Times New Roman" w:hAnsi="Times New Roman" w:cs="Times New Roman"/>
          <w:b/>
          <w:sz w:val="24"/>
          <w:szCs w:val="24"/>
          <w:shd w:val="clear" w:color="auto" w:fill="FFFFFF"/>
        </w:rPr>
      </w:pPr>
      <w:r w:rsidRPr="00711852">
        <w:rPr>
          <w:rFonts w:ascii="Times New Roman" w:hAnsi="Times New Roman" w:cs="Times New Roman"/>
          <w:b/>
          <w:sz w:val="24"/>
          <w:szCs w:val="24"/>
          <w:shd w:val="clear" w:color="auto" w:fill="FFFFFF"/>
        </w:rPr>
        <w:t xml:space="preserve">Figure 1. Structure of Paracetamol (a) </w:t>
      </w:r>
      <w:r w:rsidRPr="00711852">
        <w:rPr>
          <w:rFonts w:ascii="Times New Roman" w:hAnsi="Times New Roman" w:cs="Times New Roman"/>
          <w:b/>
          <w:sz w:val="24"/>
          <w:szCs w:val="24"/>
        </w:rPr>
        <w:t>2D structure, (b) 3D structure</w:t>
      </w:r>
    </w:p>
    <w:p w:rsidR="003F7664" w:rsidRPr="00711852" w:rsidRDefault="003F7664" w:rsidP="00711852">
      <w:pPr>
        <w:shd w:val="clear" w:color="auto" w:fill="FFFFFF"/>
        <w:spacing w:after="0" w:line="480" w:lineRule="auto"/>
        <w:contextualSpacing/>
        <w:jc w:val="both"/>
        <w:textAlignment w:val="center"/>
        <w:rPr>
          <w:rFonts w:ascii="Times New Roman" w:hAnsi="Times New Roman" w:cs="Times New Roman"/>
          <w:sz w:val="24"/>
          <w:szCs w:val="24"/>
        </w:rPr>
      </w:pPr>
    </w:p>
    <w:p w:rsidR="009362E9" w:rsidRPr="00711852" w:rsidRDefault="009362E9" w:rsidP="00711852">
      <w:pPr>
        <w:shd w:val="clear" w:color="auto" w:fill="FFFFFF"/>
        <w:spacing w:after="0" w:line="480" w:lineRule="auto"/>
        <w:contextualSpacing/>
        <w:jc w:val="both"/>
        <w:textAlignment w:val="center"/>
        <w:rPr>
          <w:rFonts w:ascii="Times New Roman" w:hAnsi="Times New Roman" w:cs="Times New Roman"/>
          <w:sz w:val="24"/>
          <w:szCs w:val="24"/>
          <w:shd w:val="clear" w:color="auto" w:fill="FFFFFF"/>
        </w:rPr>
      </w:pPr>
      <w:r w:rsidRPr="00711852">
        <w:rPr>
          <w:rFonts w:ascii="Times New Roman" w:hAnsi="Times New Roman" w:cs="Times New Roman"/>
          <w:sz w:val="24"/>
          <w:szCs w:val="24"/>
        </w:rPr>
        <w:t xml:space="preserve">In the 1980s, acetanilide was found to be effective in treating fever, but due to its high toxic effects, it was later replaced by one of its safer chemical derivatives, that is, </w:t>
      </w:r>
      <w:r w:rsidRPr="00711852">
        <w:rPr>
          <w:rFonts w:ascii="Times New Roman" w:hAnsi="Times New Roman" w:cs="Times New Roman"/>
          <w:i/>
          <w:iCs/>
          <w:sz w:val="24"/>
          <w:szCs w:val="24"/>
          <w:shd w:val="clear" w:color="auto" w:fill="FFFFFF"/>
        </w:rPr>
        <w:t>N</w:t>
      </w:r>
      <w:r w:rsidRPr="00711852">
        <w:rPr>
          <w:rFonts w:ascii="Times New Roman" w:hAnsi="Times New Roman" w:cs="Times New Roman"/>
          <w:sz w:val="24"/>
          <w:szCs w:val="24"/>
          <w:shd w:val="clear" w:color="auto" w:fill="FFFFFF"/>
        </w:rPr>
        <w:t>-acetyl-</w:t>
      </w:r>
      <w:r w:rsidRPr="00711852">
        <w:rPr>
          <w:rFonts w:ascii="Times New Roman" w:hAnsi="Times New Roman" w:cs="Times New Roman"/>
          <w:i/>
          <w:iCs/>
          <w:sz w:val="24"/>
          <w:szCs w:val="24"/>
          <w:shd w:val="clear" w:color="auto" w:fill="FFFFFF"/>
        </w:rPr>
        <w:t>para</w:t>
      </w:r>
      <w:r w:rsidRPr="00711852">
        <w:rPr>
          <w:rFonts w:ascii="Times New Roman" w:hAnsi="Times New Roman" w:cs="Times New Roman"/>
          <w:sz w:val="24"/>
          <w:szCs w:val="24"/>
          <w:shd w:val="clear" w:color="auto" w:fill="FFFFFF"/>
        </w:rPr>
        <w:t xml:space="preserve">-aminophenol, or paracetamol. The mechanism of action of paracetamol is complex and it has an effect on the central and peripheral nervous system. It is a selective cyclooxygenase (COX-1 and COX-2) inhibitor, </w:t>
      </w:r>
      <w:r w:rsidRPr="00711852">
        <w:rPr>
          <w:rFonts w:ascii="Times New Roman" w:hAnsi="Times New Roman" w:cs="Times New Roman"/>
          <w:sz w:val="24"/>
          <w:szCs w:val="24"/>
        </w:rPr>
        <w:t xml:space="preserve">suppresses prostaglandin production and is involved in the </w:t>
      </w:r>
      <w:r w:rsidRPr="00711852">
        <w:rPr>
          <w:rFonts w:ascii="Times New Roman" w:hAnsi="Times New Roman" w:cs="Times New Roman"/>
          <w:sz w:val="24"/>
          <w:szCs w:val="24"/>
          <w:shd w:val="clear" w:color="auto" w:fill="FFFFFF"/>
        </w:rPr>
        <w:t xml:space="preserve">endocannabinoid system and serotonergic pathways, thus </w:t>
      </w:r>
      <w:r w:rsidRPr="00711852">
        <w:rPr>
          <w:rFonts w:ascii="Times New Roman" w:hAnsi="Times New Roman" w:cs="Times New Roman"/>
          <w:sz w:val="24"/>
          <w:szCs w:val="24"/>
        </w:rPr>
        <w:t xml:space="preserve">resulting in analgesic and antipyretic effects (Ayoub 2021; Przybyła et al. 2021). However, paracetamol is known for its hepatotoxic effects at doses above the recommended levels. A dose of 4000 mg within 24 h has been recommended by the US FDA, and for the </w:t>
      </w:r>
      <w:r w:rsidRPr="00711852">
        <w:rPr>
          <w:rFonts w:ascii="Times New Roman" w:hAnsi="Times New Roman" w:cs="Times New Roman"/>
          <w:sz w:val="24"/>
          <w:szCs w:val="24"/>
          <w:shd w:val="clear" w:color="auto" w:fill="FFFFFF"/>
        </w:rPr>
        <w:t xml:space="preserve">European countries, </w:t>
      </w:r>
      <w:r w:rsidR="006D147B" w:rsidRPr="00711852">
        <w:rPr>
          <w:rFonts w:ascii="Times New Roman" w:hAnsi="Times New Roman" w:cs="Times New Roman"/>
          <w:sz w:val="24"/>
          <w:szCs w:val="24"/>
          <w:shd w:val="clear" w:color="auto" w:fill="FFFFFF"/>
        </w:rPr>
        <w:t>a maximum</w:t>
      </w:r>
      <w:r w:rsidRPr="00711852">
        <w:rPr>
          <w:rFonts w:ascii="Times New Roman" w:hAnsi="Times New Roman" w:cs="Times New Roman"/>
          <w:sz w:val="24"/>
          <w:szCs w:val="24"/>
          <w:shd w:val="clear" w:color="auto" w:fill="FFFFFF"/>
        </w:rPr>
        <w:t xml:space="preserve"> dose of a 3000 mg of paracetamol in older adults has been recommended (</w:t>
      </w:r>
      <w:r w:rsidRPr="00711852">
        <w:rPr>
          <w:rFonts w:ascii="Times New Roman" w:hAnsi="Times New Roman" w:cs="Times New Roman"/>
          <w:sz w:val="24"/>
          <w:szCs w:val="24"/>
        </w:rPr>
        <w:t>Rotundo and Pyrsopoulos 2020)</w:t>
      </w:r>
      <w:r w:rsidRPr="00711852">
        <w:rPr>
          <w:rFonts w:ascii="Times New Roman" w:hAnsi="Times New Roman" w:cs="Times New Roman"/>
          <w:sz w:val="24"/>
          <w:szCs w:val="24"/>
          <w:shd w:val="clear" w:color="auto" w:fill="FFFFFF"/>
        </w:rPr>
        <w:t xml:space="preserve">. </w:t>
      </w:r>
    </w:p>
    <w:p w:rsidR="00D90E41" w:rsidRPr="00711852" w:rsidRDefault="00D90E41" w:rsidP="00711852">
      <w:pPr>
        <w:spacing w:after="0" w:line="480" w:lineRule="auto"/>
        <w:contextualSpacing/>
        <w:jc w:val="both"/>
        <w:rPr>
          <w:rFonts w:ascii="Times New Roman" w:hAnsi="Times New Roman" w:cs="Times New Roman"/>
          <w:b/>
          <w:bCs/>
          <w:sz w:val="24"/>
          <w:szCs w:val="24"/>
        </w:rPr>
      </w:pPr>
    </w:p>
    <w:p w:rsidR="003F7664" w:rsidRPr="00711852" w:rsidRDefault="00094722" w:rsidP="00711852">
      <w:pPr>
        <w:spacing w:after="0" w:line="480" w:lineRule="auto"/>
        <w:contextualSpacing/>
        <w:jc w:val="both"/>
        <w:rPr>
          <w:rFonts w:ascii="Times New Roman" w:hAnsi="Times New Roman" w:cs="Times New Roman"/>
          <w:b/>
          <w:bCs/>
          <w:sz w:val="24"/>
          <w:szCs w:val="24"/>
        </w:rPr>
      </w:pPr>
      <w:r w:rsidRPr="00711852">
        <w:rPr>
          <w:rFonts w:ascii="Times New Roman" w:hAnsi="Times New Roman" w:cs="Times New Roman"/>
          <w:b/>
          <w:bCs/>
          <w:sz w:val="24"/>
          <w:szCs w:val="24"/>
        </w:rPr>
        <w:t xml:space="preserve">3. </w:t>
      </w:r>
      <w:r w:rsidR="009362E9" w:rsidRPr="00711852">
        <w:rPr>
          <w:rFonts w:ascii="Times New Roman" w:hAnsi="Times New Roman" w:cs="Times New Roman"/>
          <w:b/>
          <w:bCs/>
          <w:sz w:val="24"/>
          <w:szCs w:val="24"/>
        </w:rPr>
        <w:t>Toxicity Assessment</w:t>
      </w:r>
      <w:r w:rsidR="001D2411" w:rsidRPr="00711852">
        <w:rPr>
          <w:rFonts w:ascii="Times New Roman" w:hAnsi="Times New Roman" w:cs="Times New Roman"/>
          <w:b/>
          <w:bCs/>
          <w:sz w:val="24"/>
          <w:szCs w:val="24"/>
        </w:rPr>
        <w:t xml:space="preserve"> of Paracetamol</w:t>
      </w:r>
    </w:p>
    <w:p w:rsidR="0014246B" w:rsidRDefault="009362E9" w:rsidP="00711852">
      <w:pPr>
        <w:spacing w:after="0" w:line="480" w:lineRule="auto"/>
        <w:contextualSpacing/>
        <w:jc w:val="both"/>
        <w:rPr>
          <w:rFonts w:ascii="Times New Roman" w:hAnsi="Times New Roman" w:cs="Times New Roman"/>
          <w:sz w:val="24"/>
          <w:szCs w:val="24"/>
        </w:rPr>
      </w:pPr>
      <w:r w:rsidRPr="00711852">
        <w:rPr>
          <w:rFonts w:ascii="Times New Roman" w:hAnsi="Times New Roman" w:cs="Times New Roman"/>
          <w:sz w:val="24"/>
          <w:szCs w:val="24"/>
        </w:rPr>
        <w:t>During COVID -19</w:t>
      </w:r>
      <w:r w:rsidR="00F5546F" w:rsidRPr="00711852">
        <w:rPr>
          <w:rFonts w:ascii="Times New Roman" w:hAnsi="Times New Roman" w:cs="Times New Roman"/>
          <w:sz w:val="24"/>
          <w:szCs w:val="24"/>
        </w:rPr>
        <w:t xml:space="preserve"> prevalence as a pandemic</w:t>
      </w:r>
      <w:r w:rsidRPr="00711852">
        <w:rPr>
          <w:rFonts w:ascii="Times New Roman" w:hAnsi="Times New Roman" w:cs="Times New Roman"/>
          <w:sz w:val="24"/>
          <w:szCs w:val="24"/>
        </w:rPr>
        <w:t xml:space="preserve"> the usage of paracetamol for the treatment of fever and pain increased a lot. Due to its excessive usage, the degradation products of </w:t>
      </w:r>
      <w:r w:rsidRPr="00711852">
        <w:rPr>
          <w:rFonts w:ascii="Times New Roman" w:hAnsi="Times New Roman" w:cs="Times New Roman"/>
          <w:sz w:val="24"/>
          <w:szCs w:val="24"/>
        </w:rPr>
        <w:lastRenderedPageBreak/>
        <w:t xml:space="preserve">paracetamol alongwith the unused parent </w:t>
      </w:r>
      <w:r w:rsidR="008556EE" w:rsidRPr="00711852">
        <w:rPr>
          <w:rFonts w:ascii="Times New Roman" w:hAnsi="Times New Roman" w:cs="Times New Roman"/>
          <w:sz w:val="24"/>
          <w:szCs w:val="24"/>
        </w:rPr>
        <w:t>compound has accumulated</w:t>
      </w:r>
      <w:r w:rsidRPr="00711852">
        <w:rPr>
          <w:rFonts w:ascii="Times New Roman" w:hAnsi="Times New Roman" w:cs="Times New Roman"/>
          <w:sz w:val="24"/>
          <w:szCs w:val="24"/>
        </w:rPr>
        <w:t xml:space="preserve"> in environmental matrices specially the water bodies. In the last decade, the increased concentration of pharmaceuticals in wastewater has been observed and paracetamol is one of them.Paracetamol has multidirectional mechanism of action (Fig</w:t>
      </w:r>
      <w:r w:rsidR="00B561BF" w:rsidRPr="00711852">
        <w:rPr>
          <w:rFonts w:ascii="Times New Roman" w:hAnsi="Times New Roman" w:cs="Times New Roman"/>
          <w:sz w:val="24"/>
          <w:szCs w:val="24"/>
        </w:rPr>
        <w:t xml:space="preserve">ure </w:t>
      </w:r>
      <w:r w:rsidR="001D2411" w:rsidRPr="00711852">
        <w:rPr>
          <w:rFonts w:ascii="Times New Roman" w:hAnsi="Times New Roman" w:cs="Times New Roman"/>
          <w:sz w:val="24"/>
          <w:szCs w:val="24"/>
        </w:rPr>
        <w:t>2</w:t>
      </w:r>
      <w:r w:rsidRPr="00711852">
        <w:rPr>
          <w:rFonts w:ascii="Times New Roman" w:hAnsi="Times New Roman" w:cs="Times New Roman"/>
          <w:sz w:val="24"/>
          <w:szCs w:val="24"/>
        </w:rPr>
        <w:t xml:space="preserve">) which is different from other drugs belonging to this group of non-steroidal anti-inflammatory drug (NSAID). It causes inhibition of cyclooxygenase (COX), a constitutive enzyme that is involved in the synthesis of prostaglandin-an inflammatory pain mediator. Prostaglandin </w:t>
      </w:r>
      <w:r w:rsidR="0014246B" w:rsidRPr="00711852">
        <w:rPr>
          <w:rFonts w:ascii="Times New Roman" w:hAnsi="Times New Roman" w:cs="Times New Roman"/>
          <w:sz w:val="24"/>
          <w:szCs w:val="24"/>
        </w:rPr>
        <w:t xml:space="preserve">is </w:t>
      </w:r>
      <w:r w:rsidRPr="00711852">
        <w:rPr>
          <w:rFonts w:ascii="Times New Roman" w:hAnsi="Times New Roman" w:cs="Times New Roman"/>
          <w:sz w:val="24"/>
          <w:szCs w:val="24"/>
        </w:rPr>
        <w:t>further transformed into other active compounds having different effects on human body(Gha</w:t>
      </w:r>
      <w:r w:rsidR="004C23DF" w:rsidRPr="00711852">
        <w:rPr>
          <w:rFonts w:ascii="Times New Roman" w:hAnsi="Times New Roman" w:cs="Times New Roman"/>
          <w:sz w:val="24"/>
          <w:szCs w:val="24"/>
        </w:rPr>
        <w:t xml:space="preserve">nem et al. </w:t>
      </w:r>
      <w:r w:rsidRPr="00711852">
        <w:rPr>
          <w:rFonts w:ascii="Times New Roman" w:hAnsi="Times New Roman" w:cs="Times New Roman"/>
          <w:sz w:val="24"/>
          <w:szCs w:val="24"/>
        </w:rPr>
        <w:t>2016).</w:t>
      </w:r>
    </w:p>
    <w:p w:rsidR="00D90E41" w:rsidRPr="00711852" w:rsidRDefault="00D90E41" w:rsidP="00711852">
      <w:pPr>
        <w:spacing w:after="0" w:line="480" w:lineRule="auto"/>
        <w:contextualSpacing/>
        <w:jc w:val="both"/>
        <w:rPr>
          <w:rFonts w:ascii="Times New Roman" w:hAnsi="Times New Roman" w:cs="Times New Roman"/>
          <w:sz w:val="24"/>
          <w:szCs w:val="24"/>
        </w:rPr>
      </w:pPr>
    </w:p>
    <w:p w:rsidR="00B26F62" w:rsidRPr="00711852" w:rsidRDefault="003D331B" w:rsidP="00711852">
      <w:pPr>
        <w:spacing w:after="0" w:line="480" w:lineRule="auto"/>
        <w:contextualSpacing/>
        <w:jc w:val="both"/>
        <w:rPr>
          <w:rFonts w:ascii="Times New Roman" w:hAnsi="Times New Roman" w:cs="Times New Roman"/>
          <w:sz w:val="24"/>
          <w:szCs w:val="24"/>
        </w:rPr>
      </w:pPr>
      <w:r w:rsidRPr="00711852">
        <w:rPr>
          <w:rFonts w:ascii="Times New Roman" w:hAnsi="Times New Roman" w:cs="Times New Roman"/>
          <w:sz w:val="24"/>
          <w:szCs w:val="24"/>
        </w:rPr>
        <w:object w:dxaOrig="9598"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6pt;height:270.25pt" o:ole="">
            <v:imagedata r:id="rId13" o:title=""/>
          </v:shape>
          <o:OLEObject Type="Embed" ProgID="PowerPoint.Slide.12" ShapeID="_x0000_i1025" DrawAspect="Content" ObjectID="_1757094116" r:id="rId14"/>
        </w:object>
      </w:r>
    </w:p>
    <w:p w:rsidR="00B26F62" w:rsidRPr="00491A8D" w:rsidRDefault="00B26F62" w:rsidP="00711852">
      <w:pPr>
        <w:spacing w:after="0" w:line="480" w:lineRule="auto"/>
        <w:contextualSpacing/>
        <w:jc w:val="both"/>
        <w:rPr>
          <w:rFonts w:ascii="Times New Roman" w:hAnsi="Times New Roman" w:cs="Times New Roman"/>
          <w:b/>
          <w:sz w:val="24"/>
          <w:szCs w:val="24"/>
        </w:rPr>
      </w:pPr>
      <w:r w:rsidRPr="00491A8D">
        <w:rPr>
          <w:rFonts w:ascii="Times New Roman" w:hAnsi="Times New Roman" w:cs="Times New Roman"/>
          <w:b/>
          <w:sz w:val="24"/>
          <w:szCs w:val="24"/>
        </w:rPr>
        <w:t xml:space="preserve">Figure </w:t>
      </w:r>
      <w:r w:rsidR="001D2411" w:rsidRPr="00491A8D">
        <w:rPr>
          <w:rFonts w:ascii="Times New Roman" w:hAnsi="Times New Roman" w:cs="Times New Roman"/>
          <w:b/>
          <w:sz w:val="24"/>
          <w:szCs w:val="24"/>
        </w:rPr>
        <w:t>2</w:t>
      </w:r>
      <w:r w:rsidRPr="00491A8D">
        <w:rPr>
          <w:rFonts w:ascii="Times New Roman" w:hAnsi="Times New Roman" w:cs="Times New Roman"/>
          <w:b/>
          <w:sz w:val="24"/>
          <w:szCs w:val="24"/>
        </w:rPr>
        <w:t>. The multidirectional mechanism of action of Paracetamol</w:t>
      </w:r>
      <w:r w:rsidR="00491A8D" w:rsidRPr="00491A8D">
        <w:rPr>
          <w:rFonts w:ascii="Times New Roman" w:hAnsi="Times New Roman" w:cs="Times New Roman"/>
          <w:b/>
          <w:sz w:val="24"/>
          <w:szCs w:val="24"/>
        </w:rPr>
        <w:t xml:space="preserve"> (</w:t>
      </w:r>
      <w:r w:rsidR="00491A8D" w:rsidRPr="00491A8D">
        <w:rPr>
          <w:rFonts w:ascii="Times New Roman" w:hAnsi="Times New Roman" w:cs="Times New Roman"/>
          <w:b/>
          <w:sz w:val="24"/>
          <w:szCs w:val="24"/>
          <w:shd w:val="clear" w:color="auto" w:fill="FFFFFF"/>
        </w:rPr>
        <w:t>Irwin et al. 2004).</w:t>
      </w:r>
    </w:p>
    <w:p w:rsidR="00B26F62" w:rsidRPr="00711852" w:rsidRDefault="00B26F62" w:rsidP="00711852">
      <w:pPr>
        <w:spacing w:after="0" w:line="480" w:lineRule="auto"/>
        <w:ind w:firstLine="720"/>
        <w:contextualSpacing/>
        <w:jc w:val="both"/>
        <w:rPr>
          <w:rFonts w:ascii="Times New Roman" w:hAnsi="Times New Roman" w:cs="Times New Roman"/>
          <w:sz w:val="24"/>
          <w:szCs w:val="24"/>
        </w:rPr>
      </w:pPr>
    </w:p>
    <w:p w:rsidR="009362E9" w:rsidRPr="00711852" w:rsidRDefault="009362E9" w:rsidP="00711852">
      <w:pPr>
        <w:spacing w:after="0" w:line="480" w:lineRule="auto"/>
        <w:contextualSpacing/>
        <w:jc w:val="both"/>
        <w:rPr>
          <w:rFonts w:ascii="Times New Roman" w:hAnsi="Times New Roman" w:cs="Times New Roman"/>
          <w:sz w:val="24"/>
          <w:szCs w:val="24"/>
        </w:rPr>
      </w:pPr>
      <w:r w:rsidRPr="00711852">
        <w:rPr>
          <w:rFonts w:ascii="Times New Roman" w:hAnsi="Times New Roman" w:cs="Times New Roman"/>
          <w:sz w:val="24"/>
          <w:szCs w:val="24"/>
        </w:rPr>
        <w:t xml:space="preserve">The exposure risk associated with the paracetamol in the environmental matrices has been studied by several researchers. They have done toxicity testing both </w:t>
      </w:r>
      <w:r w:rsidRPr="00711852">
        <w:rPr>
          <w:rFonts w:ascii="Times New Roman" w:hAnsi="Times New Roman" w:cs="Times New Roman"/>
          <w:i/>
          <w:sz w:val="24"/>
          <w:szCs w:val="24"/>
        </w:rPr>
        <w:t xml:space="preserve">in vitro </w:t>
      </w:r>
      <w:r w:rsidRPr="00711852">
        <w:rPr>
          <w:rFonts w:ascii="Times New Roman" w:hAnsi="Times New Roman" w:cs="Times New Roman"/>
          <w:sz w:val="24"/>
          <w:szCs w:val="24"/>
        </w:rPr>
        <w:t>and</w:t>
      </w:r>
      <w:r w:rsidRPr="00711852">
        <w:rPr>
          <w:rFonts w:ascii="Times New Roman" w:hAnsi="Times New Roman" w:cs="Times New Roman"/>
          <w:i/>
          <w:sz w:val="24"/>
          <w:szCs w:val="24"/>
        </w:rPr>
        <w:t xml:space="preserve"> in vivo.</w:t>
      </w:r>
      <w:r w:rsidRPr="00711852">
        <w:rPr>
          <w:rFonts w:ascii="Times New Roman" w:hAnsi="Times New Roman" w:cs="Times New Roman"/>
          <w:sz w:val="24"/>
          <w:szCs w:val="24"/>
        </w:rPr>
        <w:t xml:space="preserve"> It has been observed that toxicity mechanism of paracetamol is highly conserved and it is same in </w:t>
      </w:r>
      <w:r w:rsidRPr="00711852">
        <w:rPr>
          <w:rFonts w:ascii="Times New Roman" w:hAnsi="Times New Roman" w:cs="Times New Roman"/>
          <w:sz w:val="24"/>
          <w:szCs w:val="24"/>
        </w:rPr>
        <w:lastRenderedPageBreak/>
        <w:t xml:space="preserve">both vertebrates and invertebrates. The neurotoxicity which is an important parameter in ecotoxicity testing has been widely studied by Oliveira et al. (2015).It has been observed that acetylcholinesterase (AChE) and Se-GPx activity is inhibited in </w:t>
      </w:r>
      <w:r w:rsidRPr="00711852">
        <w:rPr>
          <w:rFonts w:ascii="Times New Roman" w:hAnsi="Times New Roman" w:cs="Times New Roman"/>
          <w:i/>
          <w:sz w:val="24"/>
          <w:szCs w:val="24"/>
        </w:rPr>
        <w:t>Daphnia magna</w:t>
      </w:r>
      <w:r w:rsidRPr="00711852">
        <w:rPr>
          <w:rFonts w:ascii="Times New Roman" w:hAnsi="Times New Roman" w:cs="Times New Roman"/>
          <w:sz w:val="24"/>
          <w:szCs w:val="24"/>
        </w:rPr>
        <w:t xml:space="preserve"> when exposed to 1</w:t>
      </w:r>
      <w:r w:rsidR="0014246B" w:rsidRPr="00711852">
        <w:rPr>
          <w:rFonts w:ascii="Times New Roman" w:hAnsi="Times New Roman" w:cs="Times New Roman"/>
          <w:sz w:val="24"/>
          <w:szCs w:val="24"/>
        </w:rPr>
        <w:t xml:space="preserve">0ug/L of APAP </w:t>
      </w:r>
      <w:r w:rsidR="004C23DF" w:rsidRPr="00711852">
        <w:rPr>
          <w:rFonts w:ascii="Times New Roman" w:hAnsi="Times New Roman" w:cs="Times New Roman"/>
          <w:sz w:val="24"/>
          <w:szCs w:val="24"/>
        </w:rPr>
        <w:t>(Oliveira et al.</w:t>
      </w:r>
      <w:r w:rsidRPr="00711852">
        <w:rPr>
          <w:rFonts w:ascii="Times New Roman" w:hAnsi="Times New Roman" w:cs="Times New Roman"/>
          <w:sz w:val="24"/>
          <w:szCs w:val="24"/>
        </w:rPr>
        <w:t xml:space="preserve">2015). Seawater mussel </w:t>
      </w:r>
      <w:r w:rsidRPr="00711852">
        <w:rPr>
          <w:rFonts w:ascii="Times New Roman" w:hAnsi="Times New Roman" w:cs="Times New Roman"/>
          <w:i/>
          <w:sz w:val="24"/>
          <w:szCs w:val="24"/>
        </w:rPr>
        <w:t>Mytilus galloprovincialis</w:t>
      </w:r>
      <w:r w:rsidRPr="00711852">
        <w:rPr>
          <w:rFonts w:ascii="Times New Roman" w:hAnsi="Times New Roman" w:cs="Times New Roman"/>
          <w:sz w:val="24"/>
          <w:szCs w:val="24"/>
        </w:rPr>
        <w:t xml:space="preserve"> also showed similar effect when exposed to paracetamol at concentration ra</w:t>
      </w:r>
      <w:r w:rsidR="0014246B" w:rsidRPr="00711852">
        <w:rPr>
          <w:rFonts w:ascii="Times New Roman" w:hAnsi="Times New Roman" w:cs="Times New Roman"/>
          <w:sz w:val="24"/>
          <w:szCs w:val="24"/>
        </w:rPr>
        <w:t>nging from 0.023 to 0.403 mg/L (Solé et al. 2010)</w:t>
      </w:r>
      <w:r w:rsidRPr="00711852">
        <w:rPr>
          <w:rFonts w:ascii="Times New Roman" w:hAnsi="Times New Roman" w:cs="Times New Roman"/>
          <w:sz w:val="24"/>
          <w:szCs w:val="24"/>
        </w:rPr>
        <w:t xml:space="preserve">. Nunes et al. </w:t>
      </w:r>
      <w:r w:rsidR="0014246B" w:rsidRPr="00711852">
        <w:rPr>
          <w:rFonts w:ascii="Times New Roman" w:hAnsi="Times New Roman" w:cs="Times New Roman"/>
          <w:sz w:val="24"/>
          <w:szCs w:val="24"/>
        </w:rPr>
        <w:t>(</w:t>
      </w:r>
      <w:r w:rsidRPr="00711852">
        <w:rPr>
          <w:rFonts w:ascii="Times New Roman" w:hAnsi="Times New Roman" w:cs="Times New Roman"/>
          <w:sz w:val="24"/>
          <w:szCs w:val="24"/>
        </w:rPr>
        <w:t>2015</w:t>
      </w:r>
      <w:r w:rsidR="0014246B" w:rsidRPr="00711852">
        <w:rPr>
          <w:rFonts w:ascii="Times New Roman" w:hAnsi="Times New Roman" w:cs="Times New Roman"/>
          <w:sz w:val="24"/>
          <w:szCs w:val="24"/>
        </w:rPr>
        <w:t>)</w:t>
      </w:r>
      <w:r w:rsidRPr="00711852">
        <w:rPr>
          <w:rFonts w:ascii="Times New Roman" w:hAnsi="Times New Roman" w:cs="Times New Roman"/>
          <w:sz w:val="24"/>
          <w:szCs w:val="24"/>
        </w:rPr>
        <w:t xml:space="preserve"> and Ramos et al. </w:t>
      </w:r>
      <w:r w:rsidR="0014246B" w:rsidRPr="00711852">
        <w:rPr>
          <w:rFonts w:ascii="Times New Roman" w:hAnsi="Times New Roman" w:cs="Times New Roman"/>
          <w:sz w:val="24"/>
          <w:szCs w:val="24"/>
        </w:rPr>
        <w:t>(</w:t>
      </w:r>
      <w:r w:rsidRPr="00711852">
        <w:rPr>
          <w:rFonts w:ascii="Times New Roman" w:hAnsi="Times New Roman" w:cs="Times New Roman"/>
          <w:sz w:val="24"/>
          <w:szCs w:val="24"/>
        </w:rPr>
        <w:t>2014</w:t>
      </w:r>
      <w:r w:rsidR="0014246B" w:rsidRPr="00711852">
        <w:rPr>
          <w:rFonts w:ascii="Times New Roman" w:hAnsi="Times New Roman" w:cs="Times New Roman"/>
          <w:sz w:val="24"/>
          <w:szCs w:val="24"/>
        </w:rPr>
        <w:t>)</w:t>
      </w:r>
      <w:r w:rsidRPr="00711852">
        <w:rPr>
          <w:rFonts w:ascii="Times New Roman" w:hAnsi="Times New Roman" w:cs="Times New Roman"/>
          <w:sz w:val="24"/>
          <w:szCs w:val="24"/>
        </w:rPr>
        <w:t xml:space="preserve"> postulated that the inactivation of enzymes in the presence of paracetamol is due to the oxidative stress that is the most common effect of paracetamol exposure.</w:t>
      </w:r>
      <w:r w:rsidRPr="00711852">
        <w:rPr>
          <w:rFonts w:ascii="Times New Roman" w:hAnsi="Times New Roman" w:cs="Times New Roman"/>
          <w:i/>
          <w:sz w:val="24"/>
          <w:szCs w:val="24"/>
        </w:rPr>
        <w:t>Torpedo californica</w:t>
      </w:r>
      <w:r w:rsidRPr="00711852">
        <w:rPr>
          <w:rFonts w:ascii="Times New Roman" w:hAnsi="Times New Roman" w:cs="Times New Roman"/>
          <w:sz w:val="24"/>
          <w:szCs w:val="24"/>
        </w:rPr>
        <w:t xml:space="preserve"> (fish) </w:t>
      </w:r>
      <w:r w:rsidR="0014246B" w:rsidRPr="00711852">
        <w:rPr>
          <w:rFonts w:ascii="Times New Roman" w:hAnsi="Times New Roman" w:cs="Times New Roman"/>
          <w:sz w:val="24"/>
          <w:szCs w:val="24"/>
        </w:rPr>
        <w:t xml:space="preserve">(Weiner et al. </w:t>
      </w:r>
      <w:r w:rsidRPr="00711852">
        <w:rPr>
          <w:rFonts w:ascii="Times New Roman" w:hAnsi="Times New Roman" w:cs="Times New Roman"/>
          <w:sz w:val="24"/>
          <w:szCs w:val="24"/>
        </w:rPr>
        <w:t>1994), R</w:t>
      </w:r>
      <w:r w:rsidR="0014246B" w:rsidRPr="00711852">
        <w:rPr>
          <w:rFonts w:ascii="Times New Roman" w:hAnsi="Times New Roman" w:cs="Times New Roman"/>
          <w:sz w:val="24"/>
          <w:szCs w:val="24"/>
        </w:rPr>
        <w:t xml:space="preserve">odents (Delwing-de Lima et </w:t>
      </w:r>
      <w:r w:rsidR="004C23DF" w:rsidRPr="00711852">
        <w:rPr>
          <w:rFonts w:ascii="Times New Roman" w:hAnsi="Times New Roman" w:cs="Times New Roman"/>
          <w:sz w:val="24"/>
          <w:szCs w:val="24"/>
        </w:rPr>
        <w:t>al.</w:t>
      </w:r>
      <w:r w:rsidRPr="00711852">
        <w:rPr>
          <w:rFonts w:ascii="Times New Roman" w:hAnsi="Times New Roman" w:cs="Times New Roman"/>
          <w:sz w:val="24"/>
          <w:szCs w:val="24"/>
        </w:rPr>
        <w:t xml:space="preserve">2010), </w:t>
      </w:r>
      <w:r w:rsidRPr="00711852">
        <w:rPr>
          <w:rFonts w:ascii="Times New Roman" w:hAnsi="Times New Roman" w:cs="Times New Roman"/>
          <w:i/>
          <w:iCs/>
          <w:sz w:val="24"/>
          <w:szCs w:val="24"/>
        </w:rPr>
        <w:t>Brachionus</w:t>
      </w:r>
      <w:r w:rsidR="003D331B">
        <w:rPr>
          <w:rFonts w:ascii="Times New Roman" w:hAnsi="Times New Roman" w:cs="Times New Roman"/>
          <w:i/>
          <w:iCs/>
          <w:sz w:val="24"/>
          <w:szCs w:val="24"/>
        </w:rPr>
        <w:t xml:space="preserve"> </w:t>
      </w:r>
      <w:r w:rsidRPr="00711852">
        <w:rPr>
          <w:rFonts w:ascii="Times New Roman" w:hAnsi="Times New Roman" w:cs="Times New Roman"/>
          <w:i/>
          <w:iCs/>
          <w:sz w:val="24"/>
          <w:szCs w:val="24"/>
        </w:rPr>
        <w:t>koreanus</w:t>
      </w:r>
      <w:r w:rsidRPr="00711852">
        <w:rPr>
          <w:rFonts w:ascii="Times New Roman" w:hAnsi="Times New Roman" w:cs="Times New Roman"/>
          <w:sz w:val="24"/>
          <w:szCs w:val="24"/>
        </w:rPr>
        <w:t xml:space="preserve"> (rotifer) </w:t>
      </w:r>
      <w:r w:rsidR="004C23DF" w:rsidRPr="00711852">
        <w:rPr>
          <w:rFonts w:ascii="Times New Roman" w:hAnsi="Times New Roman" w:cs="Times New Roman"/>
          <w:sz w:val="24"/>
          <w:szCs w:val="24"/>
        </w:rPr>
        <w:t>(Rhee et al.</w:t>
      </w:r>
      <w:r w:rsidRPr="00711852">
        <w:rPr>
          <w:rFonts w:ascii="Times New Roman" w:hAnsi="Times New Roman" w:cs="Times New Roman"/>
          <w:sz w:val="24"/>
          <w:szCs w:val="24"/>
        </w:rPr>
        <w:t xml:space="preserve">2013), and </w:t>
      </w:r>
      <w:r w:rsidR="0014246B" w:rsidRPr="00711852">
        <w:rPr>
          <w:rFonts w:ascii="Times New Roman" w:hAnsi="Times New Roman" w:cs="Times New Roman"/>
          <w:i/>
          <w:iCs/>
          <w:sz w:val="24"/>
          <w:szCs w:val="24"/>
        </w:rPr>
        <w:t>Anguilla a</w:t>
      </w:r>
      <w:r w:rsidRPr="00711852">
        <w:rPr>
          <w:rFonts w:ascii="Times New Roman" w:hAnsi="Times New Roman" w:cs="Times New Roman"/>
          <w:i/>
          <w:iCs/>
          <w:sz w:val="24"/>
          <w:szCs w:val="24"/>
        </w:rPr>
        <w:t>nguilla</w:t>
      </w:r>
      <w:r w:rsidRPr="00711852">
        <w:rPr>
          <w:rFonts w:ascii="Times New Roman" w:hAnsi="Times New Roman" w:cs="Times New Roman"/>
          <w:sz w:val="24"/>
          <w:szCs w:val="24"/>
        </w:rPr>
        <w:t xml:space="preserve"> (European eel) (Nunes et al.2015) have shown similar effect </w:t>
      </w:r>
      <w:r w:rsidR="00E440EF">
        <w:rPr>
          <w:rFonts w:ascii="Times New Roman" w:hAnsi="Times New Roman" w:cs="Times New Roman"/>
          <w:sz w:val="24"/>
          <w:szCs w:val="24"/>
        </w:rPr>
        <w:t xml:space="preserve">because of </w:t>
      </w:r>
      <w:r w:rsidRPr="00711852">
        <w:rPr>
          <w:rFonts w:ascii="Times New Roman" w:hAnsi="Times New Roman" w:cs="Times New Roman"/>
          <w:sz w:val="24"/>
          <w:szCs w:val="24"/>
        </w:rPr>
        <w:t xml:space="preserve">the oxidative stress </w:t>
      </w:r>
      <w:r w:rsidR="00E440EF">
        <w:rPr>
          <w:rFonts w:ascii="Times New Roman" w:hAnsi="Times New Roman" w:cs="Times New Roman"/>
          <w:sz w:val="24"/>
          <w:szCs w:val="24"/>
        </w:rPr>
        <w:t>from</w:t>
      </w:r>
      <w:r w:rsidRPr="00711852">
        <w:rPr>
          <w:rFonts w:ascii="Times New Roman" w:hAnsi="Times New Roman" w:cs="Times New Roman"/>
          <w:sz w:val="24"/>
          <w:szCs w:val="24"/>
        </w:rPr>
        <w:t xml:space="preserve"> paracetamol exposure.</w:t>
      </w:r>
    </w:p>
    <w:p w:rsidR="00AC7338" w:rsidRDefault="009362E9" w:rsidP="00AC7338">
      <w:pPr>
        <w:spacing w:after="0" w:line="480" w:lineRule="auto"/>
        <w:contextualSpacing/>
        <w:jc w:val="both"/>
        <w:rPr>
          <w:rFonts w:ascii="Times New Roman" w:hAnsi="Times New Roman" w:cs="Times New Roman"/>
          <w:sz w:val="24"/>
          <w:szCs w:val="24"/>
        </w:rPr>
      </w:pPr>
      <w:r w:rsidRPr="00711852">
        <w:rPr>
          <w:rFonts w:ascii="Times New Roman" w:hAnsi="Times New Roman" w:cs="Times New Roman"/>
          <w:sz w:val="24"/>
          <w:szCs w:val="24"/>
        </w:rPr>
        <w:t xml:space="preserve">The oxidative changes in the sample can be assessed by measuring changes in the activity of glutathione peroxidase and catalase which are the most common biomarkers of oxidative stress.Different authors have reported contradictory results on the activity of oxidative stress biomarkers. Studies done by Oliveira et al. (2015) and Monteiro et al. (2006) have reported the decrease in activity of biomarkers related to oxidative stress whereas studies on </w:t>
      </w:r>
      <w:r w:rsidRPr="00711852">
        <w:rPr>
          <w:rFonts w:ascii="Times New Roman" w:hAnsi="Times New Roman" w:cs="Times New Roman"/>
          <w:i/>
          <w:iCs/>
          <w:sz w:val="24"/>
          <w:szCs w:val="24"/>
        </w:rPr>
        <w:t>Orcheochromis</w:t>
      </w:r>
      <w:r w:rsidR="003D331B">
        <w:rPr>
          <w:rFonts w:ascii="Times New Roman" w:hAnsi="Times New Roman" w:cs="Times New Roman"/>
          <w:i/>
          <w:iCs/>
          <w:sz w:val="24"/>
          <w:szCs w:val="24"/>
        </w:rPr>
        <w:t xml:space="preserve"> </w:t>
      </w:r>
      <w:r w:rsidRPr="00711852">
        <w:rPr>
          <w:rFonts w:ascii="Times New Roman" w:hAnsi="Times New Roman" w:cs="Times New Roman"/>
          <w:i/>
          <w:iCs/>
          <w:sz w:val="24"/>
          <w:szCs w:val="24"/>
        </w:rPr>
        <w:t>mossambicus</w:t>
      </w:r>
      <w:r w:rsidRPr="00711852">
        <w:rPr>
          <w:rFonts w:ascii="Times New Roman" w:hAnsi="Times New Roman" w:cs="Times New Roman"/>
          <w:sz w:val="24"/>
          <w:szCs w:val="24"/>
        </w:rPr>
        <w:t xml:space="preserve"> (Kavitha et al. 2011), </w:t>
      </w:r>
      <w:r w:rsidRPr="00711852">
        <w:rPr>
          <w:rFonts w:ascii="Times New Roman" w:hAnsi="Times New Roman" w:cs="Times New Roman"/>
          <w:i/>
          <w:sz w:val="24"/>
          <w:szCs w:val="24"/>
        </w:rPr>
        <w:t>Cyprinus carpio</w:t>
      </w:r>
      <w:r w:rsidRPr="00711852">
        <w:rPr>
          <w:rFonts w:ascii="Times New Roman" w:hAnsi="Times New Roman" w:cs="Times New Roman"/>
          <w:sz w:val="24"/>
          <w:szCs w:val="24"/>
        </w:rPr>
        <w:t xml:space="preserve"> (Nava-Álvarez et al. 2014), or </w:t>
      </w:r>
      <w:r w:rsidRPr="00711852">
        <w:rPr>
          <w:rFonts w:ascii="Times New Roman" w:hAnsi="Times New Roman" w:cs="Times New Roman"/>
          <w:i/>
          <w:iCs/>
          <w:sz w:val="24"/>
          <w:szCs w:val="24"/>
        </w:rPr>
        <w:t>Dreissena</w:t>
      </w:r>
      <w:r w:rsidR="003D331B">
        <w:rPr>
          <w:rFonts w:ascii="Times New Roman" w:hAnsi="Times New Roman" w:cs="Times New Roman"/>
          <w:i/>
          <w:iCs/>
          <w:sz w:val="24"/>
          <w:szCs w:val="24"/>
        </w:rPr>
        <w:t xml:space="preserve"> </w:t>
      </w:r>
      <w:r w:rsidRPr="00711852">
        <w:rPr>
          <w:rFonts w:ascii="Times New Roman" w:hAnsi="Times New Roman" w:cs="Times New Roman"/>
          <w:i/>
          <w:iCs/>
          <w:sz w:val="24"/>
          <w:szCs w:val="24"/>
        </w:rPr>
        <w:t>polymorpha</w:t>
      </w:r>
      <w:r w:rsidR="003D331B">
        <w:rPr>
          <w:rFonts w:ascii="Times New Roman" w:hAnsi="Times New Roman" w:cs="Times New Roman"/>
          <w:i/>
          <w:iCs/>
          <w:sz w:val="24"/>
          <w:szCs w:val="24"/>
        </w:rPr>
        <w:t xml:space="preserve"> </w:t>
      </w:r>
      <w:r w:rsidRPr="00711852">
        <w:rPr>
          <w:rFonts w:ascii="Times New Roman" w:hAnsi="Times New Roman" w:cs="Times New Roman"/>
          <w:sz w:val="24"/>
          <w:szCs w:val="24"/>
        </w:rPr>
        <w:t>(Parolini and Binelli 2012)</w:t>
      </w:r>
      <w:r w:rsidR="00AC7338">
        <w:rPr>
          <w:rFonts w:ascii="Times New Roman" w:hAnsi="Times New Roman" w:cs="Times New Roman"/>
          <w:sz w:val="24"/>
          <w:szCs w:val="24"/>
        </w:rPr>
        <w:t xml:space="preserve"> </w:t>
      </w:r>
      <w:r w:rsidRPr="00711852">
        <w:rPr>
          <w:rFonts w:ascii="Times New Roman" w:hAnsi="Times New Roman" w:cs="Times New Roman"/>
          <w:sz w:val="24"/>
          <w:szCs w:val="24"/>
        </w:rPr>
        <w:t xml:space="preserve">showed opposite results i.e. increase in oxidative stress biomarkers were observed when exposed to paracetamol. The various studies on paracetamol toxicity </w:t>
      </w:r>
      <w:r w:rsidR="0049512D">
        <w:rPr>
          <w:rFonts w:ascii="Times New Roman" w:hAnsi="Times New Roman" w:cs="Times New Roman"/>
          <w:sz w:val="24"/>
          <w:szCs w:val="24"/>
        </w:rPr>
        <w:t>have</w:t>
      </w:r>
      <w:r w:rsidRPr="00711852">
        <w:rPr>
          <w:rFonts w:ascii="Times New Roman" w:hAnsi="Times New Roman" w:cs="Times New Roman"/>
          <w:sz w:val="24"/>
          <w:szCs w:val="24"/>
        </w:rPr>
        <w:t xml:space="preserve"> been </w:t>
      </w:r>
      <w:r w:rsidR="003D331B" w:rsidRPr="00711852">
        <w:rPr>
          <w:rFonts w:ascii="Times New Roman" w:hAnsi="Times New Roman" w:cs="Times New Roman"/>
          <w:sz w:val="24"/>
          <w:szCs w:val="24"/>
        </w:rPr>
        <w:t>summarized</w:t>
      </w:r>
      <w:r w:rsidRPr="00711852">
        <w:rPr>
          <w:rFonts w:ascii="Times New Roman" w:hAnsi="Times New Roman" w:cs="Times New Roman"/>
          <w:sz w:val="24"/>
          <w:szCs w:val="24"/>
        </w:rPr>
        <w:t xml:space="preserve"> in </w:t>
      </w:r>
      <w:r w:rsidR="00B26F62" w:rsidRPr="00711852">
        <w:rPr>
          <w:rFonts w:ascii="Times New Roman" w:hAnsi="Times New Roman" w:cs="Times New Roman"/>
          <w:sz w:val="24"/>
          <w:szCs w:val="24"/>
        </w:rPr>
        <w:t xml:space="preserve">Table </w:t>
      </w:r>
      <w:r w:rsidR="001D2411" w:rsidRPr="00711852">
        <w:rPr>
          <w:rFonts w:ascii="Times New Roman" w:hAnsi="Times New Roman" w:cs="Times New Roman"/>
          <w:sz w:val="24"/>
          <w:szCs w:val="24"/>
        </w:rPr>
        <w:t>2</w:t>
      </w:r>
      <w:r w:rsidRPr="00711852">
        <w:rPr>
          <w:rFonts w:ascii="Times New Roman" w:hAnsi="Times New Roman" w:cs="Times New Roman"/>
          <w:sz w:val="24"/>
          <w:szCs w:val="24"/>
        </w:rPr>
        <w:t>.</w:t>
      </w:r>
    </w:p>
    <w:p w:rsidR="00AC7338" w:rsidRDefault="00AC7338" w:rsidP="00AC7338">
      <w:pPr>
        <w:spacing w:after="0" w:line="480" w:lineRule="auto"/>
        <w:contextualSpacing/>
        <w:jc w:val="both"/>
        <w:rPr>
          <w:rFonts w:ascii="Times New Roman" w:hAnsi="Times New Roman" w:cs="Times New Roman"/>
          <w:sz w:val="24"/>
          <w:szCs w:val="24"/>
        </w:rPr>
      </w:pPr>
    </w:p>
    <w:p w:rsidR="0049512D" w:rsidRDefault="0049512D" w:rsidP="00AC7338">
      <w:pPr>
        <w:spacing w:after="0" w:line="480" w:lineRule="auto"/>
        <w:contextualSpacing/>
        <w:jc w:val="both"/>
        <w:rPr>
          <w:rFonts w:ascii="Times New Roman" w:hAnsi="Times New Roman" w:cs="Times New Roman"/>
          <w:sz w:val="24"/>
          <w:szCs w:val="24"/>
        </w:rPr>
      </w:pPr>
    </w:p>
    <w:p w:rsidR="0049512D" w:rsidRDefault="0049512D" w:rsidP="00AC7338">
      <w:pPr>
        <w:spacing w:after="0" w:line="480" w:lineRule="auto"/>
        <w:contextualSpacing/>
        <w:jc w:val="both"/>
        <w:rPr>
          <w:rFonts w:ascii="Times New Roman" w:hAnsi="Times New Roman" w:cs="Times New Roman"/>
          <w:sz w:val="24"/>
          <w:szCs w:val="24"/>
        </w:rPr>
      </w:pPr>
    </w:p>
    <w:p w:rsidR="0049512D" w:rsidRDefault="0049512D" w:rsidP="00AC7338">
      <w:pPr>
        <w:spacing w:after="0" w:line="480" w:lineRule="auto"/>
        <w:contextualSpacing/>
        <w:jc w:val="both"/>
        <w:rPr>
          <w:rFonts w:ascii="Times New Roman" w:hAnsi="Times New Roman" w:cs="Times New Roman"/>
          <w:sz w:val="24"/>
          <w:szCs w:val="24"/>
        </w:rPr>
      </w:pPr>
    </w:p>
    <w:p w:rsidR="0049512D" w:rsidRPr="00711852" w:rsidRDefault="0049512D" w:rsidP="00AC7338">
      <w:pPr>
        <w:spacing w:after="0" w:line="480" w:lineRule="auto"/>
        <w:contextualSpacing/>
        <w:jc w:val="both"/>
        <w:rPr>
          <w:rFonts w:ascii="Times New Roman" w:hAnsi="Times New Roman" w:cs="Times New Roman"/>
          <w:sz w:val="24"/>
          <w:szCs w:val="24"/>
        </w:rPr>
      </w:pPr>
    </w:p>
    <w:p w:rsidR="00EB75A8" w:rsidRPr="00711852" w:rsidRDefault="00EB75A8" w:rsidP="00711852">
      <w:pPr>
        <w:spacing w:after="0" w:line="480" w:lineRule="auto"/>
        <w:contextualSpacing/>
        <w:jc w:val="both"/>
        <w:rPr>
          <w:rFonts w:ascii="Times New Roman" w:hAnsi="Times New Roman" w:cs="Times New Roman"/>
          <w:b/>
          <w:bCs/>
          <w:sz w:val="24"/>
          <w:szCs w:val="24"/>
          <w:lang w:val="en-IN"/>
        </w:rPr>
      </w:pPr>
      <w:r w:rsidRPr="00711852">
        <w:rPr>
          <w:rFonts w:ascii="Times New Roman" w:hAnsi="Times New Roman" w:cs="Times New Roman"/>
          <w:b/>
          <w:bCs/>
          <w:sz w:val="24"/>
          <w:szCs w:val="24"/>
          <w:lang w:val="en-IN"/>
        </w:rPr>
        <w:lastRenderedPageBreak/>
        <w:t xml:space="preserve">Table </w:t>
      </w:r>
      <w:r w:rsidR="001D2411" w:rsidRPr="00711852">
        <w:rPr>
          <w:rFonts w:ascii="Times New Roman" w:hAnsi="Times New Roman" w:cs="Times New Roman"/>
          <w:b/>
          <w:bCs/>
          <w:sz w:val="24"/>
          <w:szCs w:val="24"/>
          <w:lang w:val="en-IN"/>
        </w:rPr>
        <w:t>2</w:t>
      </w:r>
      <w:r w:rsidRPr="00711852">
        <w:rPr>
          <w:rFonts w:ascii="Times New Roman" w:hAnsi="Times New Roman" w:cs="Times New Roman"/>
          <w:b/>
          <w:bCs/>
          <w:sz w:val="24"/>
          <w:szCs w:val="24"/>
          <w:lang w:val="en-IN"/>
        </w:rPr>
        <w:t>: Toxicity assessment of paracetamol on different organisms</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tblPr>
      <w:tblGrid>
        <w:gridCol w:w="1526"/>
        <w:gridCol w:w="2693"/>
        <w:gridCol w:w="1134"/>
        <w:gridCol w:w="1134"/>
        <w:gridCol w:w="1559"/>
        <w:gridCol w:w="1196"/>
      </w:tblGrid>
      <w:tr w:rsidR="00D90E41" w:rsidRPr="0049512D" w:rsidTr="00AC7338">
        <w:tc>
          <w:tcPr>
            <w:tcW w:w="1526" w:type="dxa"/>
            <w:tcBorders>
              <w:top w:val="single" w:sz="4" w:space="0" w:color="auto"/>
              <w:bottom w:val="single" w:sz="4" w:space="0" w:color="auto"/>
            </w:tcBorders>
          </w:tcPr>
          <w:p w:rsidR="00EB75A8" w:rsidRPr="0049512D" w:rsidRDefault="00EB75A8" w:rsidP="00AC7338">
            <w:pPr>
              <w:spacing w:after="0" w:line="240" w:lineRule="auto"/>
              <w:contextualSpacing/>
              <w:jc w:val="both"/>
              <w:rPr>
                <w:rFonts w:ascii="Times New Roman" w:hAnsi="Times New Roman" w:cs="Times New Roman"/>
                <w:b/>
                <w:bCs/>
                <w:sz w:val="16"/>
                <w:szCs w:val="16"/>
              </w:rPr>
            </w:pPr>
            <w:r w:rsidRPr="0049512D">
              <w:rPr>
                <w:rFonts w:ascii="Times New Roman" w:hAnsi="Times New Roman" w:cs="Times New Roman"/>
                <w:b/>
                <w:bCs/>
                <w:sz w:val="16"/>
                <w:szCs w:val="16"/>
              </w:rPr>
              <w:t>Organism</w:t>
            </w:r>
          </w:p>
        </w:tc>
        <w:tc>
          <w:tcPr>
            <w:tcW w:w="2693" w:type="dxa"/>
            <w:tcBorders>
              <w:top w:val="single" w:sz="4" w:space="0" w:color="auto"/>
              <w:bottom w:val="single" w:sz="4" w:space="0" w:color="auto"/>
            </w:tcBorders>
          </w:tcPr>
          <w:p w:rsidR="00EB75A8" w:rsidRPr="0049512D" w:rsidRDefault="00EB75A8" w:rsidP="00AC7338">
            <w:pPr>
              <w:spacing w:after="0" w:line="240" w:lineRule="auto"/>
              <w:contextualSpacing/>
              <w:jc w:val="both"/>
              <w:rPr>
                <w:rFonts w:ascii="Times New Roman" w:hAnsi="Times New Roman" w:cs="Times New Roman"/>
                <w:b/>
                <w:bCs/>
                <w:sz w:val="16"/>
                <w:szCs w:val="16"/>
              </w:rPr>
            </w:pPr>
            <w:r w:rsidRPr="0049512D">
              <w:rPr>
                <w:rFonts w:ascii="Times New Roman" w:hAnsi="Times New Roman" w:cs="Times New Roman"/>
                <w:b/>
                <w:bCs/>
                <w:sz w:val="16"/>
                <w:szCs w:val="16"/>
              </w:rPr>
              <w:t xml:space="preserve">Assays </w:t>
            </w:r>
          </w:p>
        </w:tc>
        <w:tc>
          <w:tcPr>
            <w:tcW w:w="1134" w:type="dxa"/>
            <w:tcBorders>
              <w:top w:val="single" w:sz="4" w:space="0" w:color="auto"/>
              <w:bottom w:val="single" w:sz="4" w:space="0" w:color="auto"/>
            </w:tcBorders>
          </w:tcPr>
          <w:p w:rsidR="00EB75A8" w:rsidRPr="0049512D" w:rsidRDefault="00EB75A8" w:rsidP="00AC7338">
            <w:pPr>
              <w:spacing w:after="0" w:line="240" w:lineRule="auto"/>
              <w:contextualSpacing/>
              <w:jc w:val="both"/>
              <w:rPr>
                <w:rFonts w:ascii="Times New Roman" w:hAnsi="Times New Roman" w:cs="Times New Roman"/>
                <w:b/>
                <w:bCs/>
                <w:sz w:val="16"/>
                <w:szCs w:val="16"/>
              </w:rPr>
            </w:pPr>
            <w:r w:rsidRPr="0049512D">
              <w:rPr>
                <w:rFonts w:ascii="Times New Roman" w:hAnsi="Times New Roman" w:cs="Times New Roman"/>
                <w:b/>
                <w:bCs/>
                <w:sz w:val="16"/>
                <w:szCs w:val="16"/>
              </w:rPr>
              <w:t>Exposure time</w:t>
            </w:r>
          </w:p>
        </w:tc>
        <w:tc>
          <w:tcPr>
            <w:tcW w:w="1134" w:type="dxa"/>
            <w:tcBorders>
              <w:top w:val="single" w:sz="4" w:space="0" w:color="auto"/>
              <w:bottom w:val="single" w:sz="4" w:space="0" w:color="auto"/>
            </w:tcBorders>
          </w:tcPr>
          <w:p w:rsidR="00EB75A8" w:rsidRPr="0049512D" w:rsidRDefault="00EB75A8" w:rsidP="00AC7338">
            <w:pPr>
              <w:spacing w:after="0" w:line="240" w:lineRule="auto"/>
              <w:contextualSpacing/>
              <w:jc w:val="both"/>
              <w:rPr>
                <w:rFonts w:ascii="Times New Roman" w:hAnsi="Times New Roman" w:cs="Times New Roman"/>
                <w:b/>
                <w:bCs/>
                <w:sz w:val="16"/>
                <w:szCs w:val="16"/>
              </w:rPr>
            </w:pPr>
            <w:r w:rsidRPr="0049512D">
              <w:rPr>
                <w:rFonts w:ascii="Times New Roman" w:hAnsi="Times New Roman" w:cs="Times New Roman"/>
                <w:b/>
                <w:bCs/>
                <w:sz w:val="16"/>
                <w:szCs w:val="16"/>
              </w:rPr>
              <w:t>Tested conc</w:t>
            </w:r>
            <w:r w:rsidR="00D90E41" w:rsidRPr="0049512D">
              <w:rPr>
                <w:rFonts w:ascii="Times New Roman" w:hAnsi="Times New Roman" w:cs="Times New Roman"/>
                <w:b/>
                <w:bCs/>
                <w:sz w:val="16"/>
                <w:szCs w:val="16"/>
              </w:rPr>
              <w:t>.</w:t>
            </w:r>
          </w:p>
        </w:tc>
        <w:tc>
          <w:tcPr>
            <w:tcW w:w="1559" w:type="dxa"/>
            <w:tcBorders>
              <w:top w:val="single" w:sz="4" w:space="0" w:color="auto"/>
              <w:bottom w:val="single" w:sz="4" w:space="0" w:color="auto"/>
            </w:tcBorders>
          </w:tcPr>
          <w:p w:rsidR="00EB75A8" w:rsidRPr="0049512D" w:rsidRDefault="00EB75A8" w:rsidP="00AC7338">
            <w:pPr>
              <w:spacing w:after="0" w:line="240" w:lineRule="auto"/>
              <w:contextualSpacing/>
              <w:jc w:val="both"/>
              <w:rPr>
                <w:rFonts w:ascii="Times New Roman" w:hAnsi="Times New Roman" w:cs="Times New Roman"/>
                <w:b/>
                <w:bCs/>
                <w:sz w:val="16"/>
                <w:szCs w:val="16"/>
              </w:rPr>
            </w:pPr>
            <w:r w:rsidRPr="0049512D">
              <w:rPr>
                <w:rFonts w:ascii="Times New Roman" w:hAnsi="Times New Roman" w:cs="Times New Roman"/>
                <w:b/>
                <w:bCs/>
                <w:sz w:val="16"/>
                <w:szCs w:val="16"/>
              </w:rPr>
              <w:t>Toxicity</w:t>
            </w:r>
          </w:p>
        </w:tc>
        <w:tc>
          <w:tcPr>
            <w:tcW w:w="1196" w:type="dxa"/>
            <w:tcBorders>
              <w:top w:val="single" w:sz="4" w:space="0" w:color="auto"/>
              <w:bottom w:val="single" w:sz="4" w:space="0" w:color="auto"/>
            </w:tcBorders>
          </w:tcPr>
          <w:p w:rsidR="00EB75A8" w:rsidRPr="0049512D" w:rsidRDefault="00EB75A8" w:rsidP="00AC7338">
            <w:pPr>
              <w:spacing w:after="0" w:line="240" w:lineRule="auto"/>
              <w:contextualSpacing/>
              <w:jc w:val="both"/>
              <w:rPr>
                <w:rFonts w:ascii="Times New Roman" w:hAnsi="Times New Roman" w:cs="Times New Roman"/>
                <w:b/>
                <w:bCs/>
                <w:sz w:val="16"/>
                <w:szCs w:val="16"/>
              </w:rPr>
            </w:pPr>
            <w:r w:rsidRPr="0049512D">
              <w:rPr>
                <w:rFonts w:ascii="Times New Roman" w:hAnsi="Times New Roman" w:cs="Times New Roman"/>
                <w:b/>
                <w:bCs/>
                <w:sz w:val="16"/>
                <w:szCs w:val="16"/>
              </w:rPr>
              <w:t>Reference</w:t>
            </w:r>
          </w:p>
        </w:tc>
      </w:tr>
      <w:tr w:rsidR="00D90E41" w:rsidRPr="0049512D" w:rsidTr="00AC7338">
        <w:tc>
          <w:tcPr>
            <w:tcW w:w="1526" w:type="dxa"/>
            <w:tcBorders>
              <w:top w:val="single" w:sz="4" w:space="0" w:color="auto"/>
            </w:tcBorders>
          </w:tcPr>
          <w:p w:rsidR="00EB75A8" w:rsidRPr="0049512D" w:rsidRDefault="00EB75A8" w:rsidP="00AC7338">
            <w:pPr>
              <w:spacing w:after="0" w:line="240" w:lineRule="auto"/>
              <w:contextualSpacing/>
              <w:jc w:val="both"/>
              <w:rPr>
                <w:rFonts w:ascii="Times New Roman" w:hAnsi="Times New Roman" w:cs="Times New Roman"/>
                <w:i/>
                <w:iCs/>
                <w:sz w:val="16"/>
                <w:szCs w:val="16"/>
              </w:rPr>
            </w:pPr>
            <w:r w:rsidRPr="0049512D">
              <w:rPr>
                <w:rFonts w:ascii="Times New Roman" w:hAnsi="Times New Roman" w:cs="Times New Roman"/>
                <w:i/>
                <w:iCs/>
                <w:sz w:val="16"/>
                <w:szCs w:val="16"/>
              </w:rPr>
              <w:t>Cyprinus carpio</w:t>
            </w:r>
          </w:p>
        </w:tc>
        <w:tc>
          <w:tcPr>
            <w:tcW w:w="2693" w:type="dxa"/>
            <w:tcBorders>
              <w:top w:val="single" w:sz="4" w:space="0" w:color="auto"/>
            </w:tcBorders>
          </w:tcPr>
          <w:p w:rsidR="00EB75A8" w:rsidRPr="0049512D" w:rsidRDefault="00EB75A8" w:rsidP="00AC7338">
            <w:pPr>
              <w:spacing w:after="0" w:line="240" w:lineRule="auto"/>
              <w:contextualSpacing/>
              <w:jc w:val="both"/>
              <w:rPr>
                <w:rFonts w:ascii="Times New Roman" w:hAnsi="Times New Roman" w:cs="Times New Roman"/>
                <w:sz w:val="16"/>
                <w:szCs w:val="16"/>
              </w:rPr>
            </w:pPr>
            <w:r w:rsidRPr="0049512D">
              <w:rPr>
                <w:rFonts w:ascii="Times New Roman" w:hAnsi="Times New Roman" w:cs="Times New Roman"/>
                <w:sz w:val="16"/>
                <w:szCs w:val="16"/>
                <w:shd w:val="clear" w:color="auto" w:fill="FCFCFC"/>
              </w:rPr>
              <w:t>Biomarkers tests were done</w:t>
            </w:r>
            <w:r w:rsidR="00970BD3" w:rsidRPr="0049512D">
              <w:rPr>
                <w:rFonts w:ascii="Times New Roman" w:hAnsi="Times New Roman" w:cs="Times New Roman"/>
                <w:sz w:val="16"/>
                <w:szCs w:val="16"/>
                <w:shd w:val="clear" w:color="auto" w:fill="FCFCFC"/>
              </w:rPr>
              <w:t>:</w:t>
            </w:r>
            <w:r w:rsidRPr="0049512D">
              <w:rPr>
                <w:rFonts w:ascii="Times New Roman" w:hAnsi="Times New Roman" w:cs="Times New Roman"/>
                <w:sz w:val="16"/>
                <w:szCs w:val="16"/>
                <w:shd w:val="clear" w:color="auto" w:fill="FCFCFC"/>
              </w:rPr>
              <w:t xml:space="preserve"> lipid peroxidation, superoxide dismutase</w:t>
            </w:r>
            <w:r w:rsidR="000C3DA4" w:rsidRPr="0049512D">
              <w:rPr>
                <w:rFonts w:ascii="Times New Roman" w:hAnsi="Times New Roman" w:cs="Times New Roman"/>
                <w:sz w:val="16"/>
                <w:szCs w:val="16"/>
                <w:shd w:val="clear" w:color="auto" w:fill="FCFCFC"/>
              </w:rPr>
              <w:t xml:space="preserve"> (SOD)</w:t>
            </w:r>
            <w:r w:rsidRPr="0049512D">
              <w:rPr>
                <w:rFonts w:ascii="Times New Roman" w:hAnsi="Times New Roman" w:cs="Times New Roman"/>
                <w:sz w:val="16"/>
                <w:szCs w:val="16"/>
                <w:shd w:val="clear" w:color="auto" w:fill="FCFCFC"/>
              </w:rPr>
              <w:t>, catalase</w:t>
            </w:r>
            <w:r w:rsidR="000C3DA4" w:rsidRPr="0049512D">
              <w:rPr>
                <w:rFonts w:ascii="Times New Roman" w:hAnsi="Times New Roman" w:cs="Times New Roman"/>
                <w:sz w:val="16"/>
                <w:szCs w:val="16"/>
                <w:shd w:val="clear" w:color="auto" w:fill="FCFCFC"/>
              </w:rPr>
              <w:t xml:space="preserve"> (CAT)</w:t>
            </w:r>
            <w:r w:rsidRPr="0049512D">
              <w:rPr>
                <w:rFonts w:ascii="Times New Roman" w:hAnsi="Times New Roman" w:cs="Times New Roman"/>
                <w:sz w:val="16"/>
                <w:szCs w:val="16"/>
                <w:shd w:val="clear" w:color="auto" w:fill="FCFCFC"/>
              </w:rPr>
              <w:t xml:space="preserve">, and </w:t>
            </w:r>
            <w:r w:rsidR="000C3DA4" w:rsidRPr="0049512D">
              <w:rPr>
                <w:rFonts w:ascii="Times New Roman" w:hAnsi="Times New Roman" w:cs="Times New Roman"/>
                <w:sz w:val="16"/>
                <w:szCs w:val="16"/>
                <w:shd w:val="clear" w:color="auto" w:fill="FFFFFF"/>
              </w:rPr>
              <w:t xml:space="preserve">total and selenium-dependent glutathione-peroxidase </w:t>
            </w:r>
            <w:r w:rsidR="000C3DA4" w:rsidRPr="0049512D">
              <w:rPr>
                <w:rFonts w:ascii="Times New Roman" w:hAnsi="Times New Roman" w:cs="Times New Roman"/>
                <w:sz w:val="16"/>
                <w:szCs w:val="16"/>
              </w:rPr>
              <w:t xml:space="preserve">(GPx), </w:t>
            </w:r>
            <w:r w:rsidR="000C3DA4" w:rsidRPr="0049512D">
              <w:rPr>
                <w:rFonts w:ascii="Times New Roman" w:hAnsi="Times New Roman" w:cs="Times New Roman"/>
                <w:sz w:val="16"/>
                <w:szCs w:val="16"/>
                <w:shd w:val="clear" w:color="auto" w:fill="FFFFFF"/>
              </w:rPr>
              <w:t xml:space="preserve"> </w:t>
            </w:r>
          </w:p>
        </w:tc>
        <w:tc>
          <w:tcPr>
            <w:tcW w:w="1134" w:type="dxa"/>
            <w:tcBorders>
              <w:top w:val="single" w:sz="4" w:space="0" w:color="auto"/>
            </w:tcBorders>
          </w:tcPr>
          <w:p w:rsidR="00EB75A8" w:rsidRPr="0049512D" w:rsidRDefault="00EB75A8" w:rsidP="00AC7338">
            <w:pPr>
              <w:spacing w:after="0" w:line="240" w:lineRule="auto"/>
              <w:contextualSpacing/>
              <w:jc w:val="both"/>
              <w:rPr>
                <w:rFonts w:ascii="Times New Roman" w:hAnsi="Times New Roman" w:cs="Times New Roman"/>
                <w:sz w:val="16"/>
                <w:szCs w:val="16"/>
              </w:rPr>
            </w:pPr>
            <w:r w:rsidRPr="0049512D">
              <w:rPr>
                <w:rFonts w:ascii="Times New Roman" w:hAnsi="Times New Roman" w:cs="Times New Roman"/>
                <w:sz w:val="16"/>
                <w:szCs w:val="16"/>
              </w:rPr>
              <w:t>96 h</w:t>
            </w:r>
          </w:p>
        </w:tc>
        <w:tc>
          <w:tcPr>
            <w:tcW w:w="1134" w:type="dxa"/>
            <w:tcBorders>
              <w:top w:val="single" w:sz="4" w:space="0" w:color="auto"/>
            </w:tcBorders>
          </w:tcPr>
          <w:p w:rsidR="00EB75A8" w:rsidRPr="0049512D" w:rsidRDefault="00EB75A8" w:rsidP="00AC7338">
            <w:pPr>
              <w:spacing w:after="0" w:line="240" w:lineRule="auto"/>
              <w:contextualSpacing/>
              <w:jc w:val="both"/>
              <w:rPr>
                <w:rFonts w:ascii="Times New Roman" w:hAnsi="Times New Roman" w:cs="Times New Roman"/>
                <w:sz w:val="16"/>
                <w:szCs w:val="16"/>
              </w:rPr>
            </w:pPr>
            <w:r w:rsidRPr="0049512D">
              <w:rPr>
                <w:rFonts w:ascii="Times New Roman" w:hAnsi="Times New Roman" w:cs="Times New Roman"/>
                <w:sz w:val="16"/>
                <w:szCs w:val="16"/>
              </w:rPr>
              <w:t>100 μg/L</w:t>
            </w:r>
          </w:p>
        </w:tc>
        <w:tc>
          <w:tcPr>
            <w:tcW w:w="1559" w:type="dxa"/>
            <w:tcBorders>
              <w:top w:val="single" w:sz="4" w:space="0" w:color="auto"/>
            </w:tcBorders>
          </w:tcPr>
          <w:p w:rsidR="00EB75A8" w:rsidRPr="0049512D" w:rsidRDefault="00EB75A8" w:rsidP="00AC7338">
            <w:pPr>
              <w:pStyle w:val="ListParagraph"/>
              <w:numPr>
                <w:ilvl w:val="0"/>
                <w:numId w:val="7"/>
              </w:numPr>
              <w:spacing w:after="0" w:line="240" w:lineRule="auto"/>
              <w:ind w:left="175" w:hanging="142"/>
              <w:jc w:val="both"/>
              <w:rPr>
                <w:rFonts w:ascii="Times New Roman" w:hAnsi="Times New Roman" w:cs="Times New Roman"/>
                <w:sz w:val="16"/>
                <w:szCs w:val="16"/>
              </w:rPr>
            </w:pPr>
            <w:r w:rsidRPr="0049512D">
              <w:rPr>
                <w:rFonts w:ascii="Times New Roman" w:hAnsi="Times New Roman" w:cs="Times New Roman"/>
                <w:sz w:val="16"/>
                <w:szCs w:val="16"/>
              </w:rPr>
              <w:t>Oxidative stress</w:t>
            </w:r>
          </w:p>
          <w:p w:rsidR="00EB75A8" w:rsidRPr="0049512D" w:rsidRDefault="00EB75A8" w:rsidP="00AC7338">
            <w:pPr>
              <w:pStyle w:val="ListParagraph"/>
              <w:numPr>
                <w:ilvl w:val="0"/>
                <w:numId w:val="7"/>
              </w:numPr>
              <w:spacing w:after="0" w:line="240" w:lineRule="auto"/>
              <w:ind w:left="175" w:hanging="142"/>
              <w:jc w:val="both"/>
              <w:rPr>
                <w:rFonts w:ascii="Times New Roman" w:hAnsi="Times New Roman" w:cs="Times New Roman"/>
                <w:sz w:val="16"/>
                <w:szCs w:val="16"/>
              </w:rPr>
            </w:pPr>
            <w:r w:rsidRPr="0049512D">
              <w:rPr>
                <w:rFonts w:ascii="Times New Roman" w:hAnsi="Times New Roman" w:cs="Times New Roman"/>
                <w:sz w:val="16"/>
                <w:szCs w:val="16"/>
              </w:rPr>
              <w:t>Increase in GPx activity</w:t>
            </w:r>
          </w:p>
        </w:tc>
        <w:tc>
          <w:tcPr>
            <w:tcW w:w="1196" w:type="dxa"/>
            <w:tcBorders>
              <w:top w:val="single" w:sz="4" w:space="0" w:color="auto"/>
            </w:tcBorders>
          </w:tcPr>
          <w:p w:rsidR="00EB75A8" w:rsidRPr="0049512D" w:rsidRDefault="00EB75A8" w:rsidP="00AC7338">
            <w:pPr>
              <w:spacing w:after="0" w:line="240" w:lineRule="auto"/>
              <w:contextualSpacing/>
              <w:jc w:val="both"/>
              <w:rPr>
                <w:rFonts w:ascii="Times New Roman" w:hAnsi="Times New Roman" w:cs="Times New Roman"/>
                <w:sz w:val="16"/>
                <w:szCs w:val="16"/>
              </w:rPr>
            </w:pPr>
            <w:r w:rsidRPr="0049512D">
              <w:rPr>
                <w:rFonts w:ascii="Times New Roman" w:hAnsi="Times New Roman" w:cs="Times New Roman"/>
                <w:sz w:val="16"/>
                <w:szCs w:val="16"/>
              </w:rPr>
              <w:t>Nava-Álvarez et al. (2014)</w:t>
            </w:r>
          </w:p>
        </w:tc>
      </w:tr>
      <w:tr w:rsidR="00D90E41" w:rsidRPr="0049512D" w:rsidTr="00AC7338">
        <w:tc>
          <w:tcPr>
            <w:tcW w:w="1526" w:type="dxa"/>
          </w:tcPr>
          <w:p w:rsidR="00EB75A8" w:rsidRPr="0049512D" w:rsidRDefault="00EB75A8" w:rsidP="00AC7338">
            <w:pPr>
              <w:spacing w:after="0" w:line="240" w:lineRule="auto"/>
              <w:contextualSpacing/>
              <w:jc w:val="both"/>
              <w:rPr>
                <w:rFonts w:ascii="Times New Roman" w:hAnsi="Times New Roman" w:cs="Times New Roman"/>
                <w:i/>
                <w:iCs/>
                <w:sz w:val="16"/>
                <w:szCs w:val="16"/>
              </w:rPr>
            </w:pPr>
            <w:r w:rsidRPr="0049512D">
              <w:rPr>
                <w:rFonts w:ascii="Times New Roman" w:hAnsi="Times New Roman" w:cs="Times New Roman"/>
                <w:i/>
                <w:iCs/>
                <w:sz w:val="16"/>
                <w:szCs w:val="16"/>
              </w:rPr>
              <w:t>Rhamdia quelen</w:t>
            </w:r>
          </w:p>
        </w:tc>
        <w:tc>
          <w:tcPr>
            <w:tcW w:w="2693" w:type="dxa"/>
          </w:tcPr>
          <w:p w:rsidR="00EB75A8" w:rsidRPr="0049512D" w:rsidRDefault="00970BD3" w:rsidP="00AC7338">
            <w:pPr>
              <w:spacing w:after="0" w:line="240" w:lineRule="auto"/>
              <w:contextualSpacing/>
              <w:jc w:val="both"/>
              <w:rPr>
                <w:rFonts w:ascii="Times New Roman" w:hAnsi="Times New Roman" w:cs="Times New Roman"/>
                <w:sz w:val="16"/>
                <w:szCs w:val="16"/>
              </w:rPr>
            </w:pPr>
            <w:r w:rsidRPr="0049512D">
              <w:rPr>
                <w:rFonts w:ascii="Times New Roman" w:hAnsi="Times New Roman" w:cs="Times New Roman"/>
                <w:sz w:val="16"/>
                <w:szCs w:val="16"/>
              </w:rPr>
              <w:t>Piscine micronucleus test</w:t>
            </w:r>
            <w:r w:rsidR="00EB75A8" w:rsidRPr="0049512D">
              <w:rPr>
                <w:rFonts w:ascii="Times New Roman" w:hAnsi="Times New Roman" w:cs="Times New Roman"/>
                <w:sz w:val="16"/>
                <w:szCs w:val="16"/>
              </w:rPr>
              <w:t xml:space="preserve">, </w:t>
            </w:r>
            <w:r w:rsidRPr="0049512D">
              <w:rPr>
                <w:rFonts w:ascii="Times New Roman" w:hAnsi="Times New Roman" w:cs="Times New Roman"/>
                <w:sz w:val="16"/>
                <w:szCs w:val="16"/>
              </w:rPr>
              <w:t xml:space="preserve">of steroid hormone dosage and comet assay </w:t>
            </w:r>
            <w:r w:rsidR="00EB75A8" w:rsidRPr="0049512D">
              <w:rPr>
                <w:rFonts w:ascii="Times New Roman" w:hAnsi="Times New Roman" w:cs="Times New Roman"/>
                <w:sz w:val="16"/>
                <w:szCs w:val="16"/>
              </w:rPr>
              <w:t>assessed</w:t>
            </w:r>
          </w:p>
        </w:tc>
        <w:tc>
          <w:tcPr>
            <w:tcW w:w="1134" w:type="dxa"/>
          </w:tcPr>
          <w:p w:rsidR="00EB75A8" w:rsidRPr="0049512D" w:rsidRDefault="00EB75A8" w:rsidP="00AC7338">
            <w:pPr>
              <w:spacing w:after="0" w:line="240" w:lineRule="auto"/>
              <w:contextualSpacing/>
              <w:jc w:val="both"/>
              <w:rPr>
                <w:rFonts w:ascii="Times New Roman" w:hAnsi="Times New Roman" w:cs="Times New Roman"/>
                <w:sz w:val="16"/>
                <w:szCs w:val="16"/>
              </w:rPr>
            </w:pPr>
            <w:r w:rsidRPr="0049512D">
              <w:rPr>
                <w:rFonts w:ascii="Times New Roman" w:hAnsi="Times New Roman" w:cs="Times New Roman"/>
                <w:sz w:val="16"/>
                <w:szCs w:val="16"/>
              </w:rPr>
              <w:t>21 days</w:t>
            </w:r>
          </w:p>
        </w:tc>
        <w:tc>
          <w:tcPr>
            <w:tcW w:w="1134" w:type="dxa"/>
          </w:tcPr>
          <w:p w:rsidR="00EB75A8" w:rsidRPr="0049512D" w:rsidRDefault="00EB75A8" w:rsidP="00AC7338">
            <w:pPr>
              <w:spacing w:after="0" w:line="240" w:lineRule="auto"/>
              <w:contextualSpacing/>
              <w:jc w:val="both"/>
              <w:rPr>
                <w:rFonts w:ascii="Times New Roman" w:hAnsi="Times New Roman" w:cs="Times New Roman"/>
                <w:sz w:val="16"/>
                <w:szCs w:val="16"/>
              </w:rPr>
            </w:pPr>
            <w:r w:rsidRPr="0049512D">
              <w:rPr>
                <w:rFonts w:ascii="Times New Roman" w:hAnsi="Times New Roman" w:cs="Times New Roman"/>
                <w:sz w:val="16"/>
                <w:szCs w:val="16"/>
              </w:rPr>
              <w:t>0.25, 2.5 μg/L</w:t>
            </w:r>
          </w:p>
        </w:tc>
        <w:tc>
          <w:tcPr>
            <w:tcW w:w="1559" w:type="dxa"/>
          </w:tcPr>
          <w:p w:rsidR="00EB75A8" w:rsidRPr="0049512D" w:rsidRDefault="00EB75A8" w:rsidP="00AC7338">
            <w:pPr>
              <w:pStyle w:val="ListParagraph"/>
              <w:numPr>
                <w:ilvl w:val="0"/>
                <w:numId w:val="7"/>
              </w:numPr>
              <w:spacing w:after="0" w:line="240" w:lineRule="auto"/>
              <w:ind w:left="175" w:hanging="142"/>
              <w:jc w:val="both"/>
              <w:rPr>
                <w:rFonts w:ascii="Times New Roman" w:hAnsi="Times New Roman" w:cs="Times New Roman"/>
                <w:sz w:val="16"/>
                <w:szCs w:val="16"/>
              </w:rPr>
            </w:pPr>
            <w:r w:rsidRPr="0049512D">
              <w:rPr>
                <w:rFonts w:ascii="Times New Roman" w:hAnsi="Times New Roman" w:cs="Times New Roman"/>
                <w:sz w:val="16"/>
                <w:szCs w:val="16"/>
              </w:rPr>
              <w:t>Oxidative stress</w:t>
            </w:r>
          </w:p>
          <w:p w:rsidR="00EB75A8" w:rsidRPr="0049512D" w:rsidRDefault="00EB75A8" w:rsidP="00AC7338">
            <w:pPr>
              <w:pStyle w:val="ListParagraph"/>
              <w:numPr>
                <w:ilvl w:val="0"/>
                <w:numId w:val="7"/>
              </w:numPr>
              <w:spacing w:after="0" w:line="240" w:lineRule="auto"/>
              <w:ind w:left="175" w:hanging="142"/>
              <w:jc w:val="both"/>
              <w:rPr>
                <w:rFonts w:ascii="Times New Roman" w:hAnsi="Times New Roman" w:cs="Times New Roman"/>
                <w:sz w:val="16"/>
                <w:szCs w:val="16"/>
              </w:rPr>
            </w:pPr>
            <w:r w:rsidRPr="0049512D">
              <w:rPr>
                <w:rFonts w:ascii="Times New Roman" w:hAnsi="Times New Roman" w:cs="Times New Roman"/>
                <w:sz w:val="16"/>
                <w:szCs w:val="16"/>
              </w:rPr>
              <w:t>Neuronal disruption</w:t>
            </w:r>
          </w:p>
          <w:p w:rsidR="00EB75A8" w:rsidRPr="0049512D" w:rsidRDefault="00EB75A8" w:rsidP="00AC7338">
            <w:pPr>
              <w:pStyle w:val="ListParagraph"/>
              <w:numPr>
                <w:ilvl w:val="0"/>
                <w:numId w:val="7"/>
              </w:numPr>
              <w:spacing w:after="0" w:line="240" w:lineRule="auto"/>
              <w:ind w:left="175" w:hanging="142"/>
              <w:jc w:val="both"/>
              <w:rPr>
                <w:rFonts w:ascii="Times New Roman" w:hAnsi="Times New Roman" w:cs="Times New Roman"/>
                <w:sz w:val="16"/>
                <w:szCs w:val="16"/>
              </w:rPr>
            </w:pPr>
            <w:r w:rsidRPr="0049512D">
              <w:rPr>
                <w:rFonts w:ascii="Times New Roman" w:hAnsi="Times New Roman" w:cs="Times New Roman"/>
                <w:sz w:val="16"/>
                <w:szCs w:val="16"/>
              </w:rPr>
              <w:t>Reduction  inhemoglobin</w:t>
            </w:r>
          </w:p>
          <w:p w:rsidR="00EB75A8" w:rsidRPr="0049512D" w:rsidRDefault="00EB75A8" w:rsidP="00AC7338">
            <w:pPr>
              <w:pStyle w:val="ListParagraph"/>
              <w:numPr>
                <w:ilvl w:val="0"/>
                <w:numId w:val="7"/>
              </w:numPr>
              <w:spacing w:after="0" w:line="240" w:lineRule="auto"/>
              <w:ind w:left="175" w:hanging="142"/>
              <w:jc w:val="both"/>
              <w:rPr>
                <w:rFonts w:ascii="Times New Roman" w:hAnsi="Times New Roman" w:cs="Times New Roman"/>
                <w:sz w:val="16"/>
                <w:szCs w:val="16"/>
              </w:rPr>
            </w:pPr>
            <w:r w:rsidRPr="0049512D">
              <w:rPr>
                <w:rFonts w:ascii="Times New Roman" w:hAnsi="Times New Roman" w:cs="Times New Roman"/>
                <w:sz w:val="16"/>
                <w:szCs w:val="16"/>
              </w:rPr>
              <w:t xml:space="preserve">Decrease in leukocytes and thrombocytes </w:t>
            </w:r>
          </w:p>
          <w:p w:rsidR="00EB75A8" w:rsidRPr="0049512D" w:rsidRDefault="00EB75A8" w:rsidP="00AC7338">
            <w:pPr>
              <w:pStyle w:val="ListParagraph"/>
              <w:numPr>
                <w:ilvl w:val="0"/>
                <w:numId w:val="7"/>
              </w:numPr>
              <w:spacing w:after="0" w:line="240" w:lineRule="auto"/>
              <w:ind w:left="175" w:hanging="142"/>
              <w:jc w:val="both"/>
              <w:rPr>
                <w:rFonts w:ascii="Times New Roman" w:hAnsi="Times New Roman" w:cs="Times New Roman"/>
                <w:sz w:val="16"/>
                <w:szCs w:val="16"/>
              </w:rPr>
            </w:pPr>
            <w:r w:rsidRPr="0049512D">
              <w:rPr>
                <w:rFonts w:ascii="Times New Roman" w:hAnsi="Times New Roman" w:cs="Times New Roman"/>
                <w:sz w:val="16"/>
                <w:szCs w:val="16"/>
              </w:rPr>
              <w:t>Increase in estradiol levels hepatotoxicity</w:t>
            </w:r>
          </w:p>
          <w:p w:rsidR="00EB75A8" w:rsidRPr="0049512D" w:rsidRDefault="00EB75A8" w:rsidP="00AC7338">
            <w:pPr>
              <w:pStyle w:val="ListParagraph"/>
              <w:spacing w:after="0" w:line="240" w:lineRule="auto"/>
              <w:ind w:left="175" w:hanging="142"/>
              <w:jc w:val="both"/>
              <w:rPr>
                <w:rFonts w:ascii="Times New Roman" w:hAnsi="Times New Roman" w:cs="Times New Roman"/>
                <w:sz w:val="16"/>
                <w:szCs w:val="16"/>
              </w:rPr>
            </w:pPr>
          </w:p>
        </w:tc>
        <w:tc>
          <w:tcPr>
            <w:tcW w:w="1196" w:type="dxa"/>
          </w:tcPr>
          <w:p w:rsidR="00EB75A8" w:rsidRPr="0049512D" w:rsidRDefault="00EB75A8" w:rsidP="00AC7338">
            <w:pPr>
              <w:spacing w:after="0" w:line="240" w:lineRule="auto"/>
              <w:contextualSpacing/>
              <w:jc w:val="both"/>
              <w:rPr>
                <w:rFonts w:ascii="Times New Roman" w:hAnsi="Times New Roman" w:cs="Times New Roman"/>
                <w:sz w:val="16"/>
                <w:szCs w:val="16"/>
              </w:rPr>
            </w:pPr>
            <w:r w:rsidRPr="0049512D">
              <w:rPr>
                <w:rFonts w:ascii="Times New Roman" w:hAnsi="Times New Roman" w:cs="Times New Roman"/>
                <w:sz w:val="16"/>
                <w:szCs w:val="16"/>
              </w:rPr>
              <w:t>Guiloski et al. (2017)</w:t>
            </w:r>
          </w:p>
        </w:tc>
      </w:tr>
      <w:tr w:rsidR="00D90E41" w:rsidRPr="0049512D" w:rsidTr="00AC7338">
        <w:tc>
          <w:tcPr>
            <w:tcW w:w="1526" w:type="dxa"/>
          </w:tcPr>
          <w:p w:rsidR="00EB75A8" w:rsidRPr="0049512D" w:rsidRDefault="00EB75A8" w:rsidP="00AC7338">
            <w:pPr>
              <w:spacing w:after="0" w:line="240" w:lineRule="auto"/>
              <w:contextualSpacing/>
              <w:jc w:val="both"/>
              <w:rPr>
                <w:rFonts w:ascii="Times New Roman" w:hAnsi="Times New Roman" w:cs="Times New Roman"/>
                <w:i/>
                <w:iCs/>
                <w:sz w:val="16"/>
                <w:szCs w:val="16"/>
              </w:rPr>
            </w:pPr>
            <w:r w:rsidRPr="0049512D">
              <w:rPr>
                <w:rFonts w:ascii="Times New Roman" w:hAnsi="Times New Roman" w:cs="Times New Roman"/>
                <w:i/>
                <w:iCs/>
                <w:sz w:val="16"/>
                <w:szCs w:val="16"/>
              </w:rPr>
              <w:t>Diopatra</w:t>
            </w:r>
            <w:r w:rsidR="003D331B" w:rsidRPr="0049512D">
              <w:rPr>
                <w:rFonts w:ascii="Times New Roman" w:hAnsi="Times New Roman" w:cs="Times New Roman"/>
                <w:i/>
                <w:iCs/>
                <w:sz w:val="16"/>
                <w:szCs w:val="16"/>
              </w:rPr>
              <w:t xml:space="preserve"> </w:t>
            </w:r>
            <w:r w:rsidRPr="0049512D">
              <w:rPr>
                <w:rFonts w:ascii="Times New Roman" w:hAnsi="Times New Roman" w:cs="Times New Roman"/>
                <w:i/>
                <w:iCs/>
                <w:sz w:val="16"/>
                <w:szCs w:val="16"/>
              </w:rPr>
              <w:t>neapolitana</w:t>
            </w:r>
          </w:p>
        </w:tc>
        <w:tc>
          <w:tcPr>
            <w:tcW w:w="2693" w:type="dxa"/>
          </w:tcPr>
          <w:p w:rsidR="00EB75A8" w:rsidRPr="0049512D" w:rsidRDefault="00EB75A8" w:rsidP="00AC7338">
            <w:pPr>
              <w:spacing w:after="0" w:line="240" w:lineRule="auto"/>
              <w:contextualSpacing/>
              <w:jc w:val="both"/>
              <w:rPr>
                <w:rFonts w:ascii="Times New Roman" w:hAnsi="Times New Roman" w:cs="Times New Roman"/>
                <w:sz w:val="16"/>
                <w:szCs w:val="16"/>
              </w:rPr>
            </w:pPr>
            <w:r w:rsidRPr="0049512D">
              <w:rPr>
                <w:rFonts w:ascii="Times New Roman" w:hAnsi="Times New Roman" w:cs="Times New Roman"/>
                <w:sz w:val="16"/>
                <w:szCs w:val="16"/>
                <w:shd w:val="clear" w:color="auto" w:fill="FFFFFF"/>
              </w:rPr>
              <w:t>Tissue regenerative capacity as a biomarker</w:t>
            </w:r>
          </w:p>
        </w:tc>
        <w:tc>
          <w:tcPr>
            <w:tcW w:w="1134" w:type="dxa"/>
          </w:tcPr>
          <w:p w:rsidR="00EB75A8" w:rsidRPr="0049512D" w:rsidRDefault="00EB75A8" w:rsidP="00AC7338">
            <w:pPr>
              <w:spacing w:after="0" w:line="240" w:lineRule="auto"/>
              <w:contextualSpacing/>
              <w:jc w:val="both"/>
              <w:rPr>
                <w:rFonts w:ascii="Times New Roman" w:hAnsi="Times New Roman" w:cs="Times New Roman"/>
                <w:sz w:val="16"/>
                <w:szCs w:val="16"/>
              </w:rPr>
            </w:pPr>
            <w:r w:rsidRPr="0049512D">
              <w:rPr>
                <w:rFonts w:ascii="Times New Roman" w:hAnsi="Times New Roman" w:cs="Times New Roman"/>
                <w:sz w:val="16"/>
                <w:szCs w:val="16"/>
              </w:rPr>
              <w:t>39 days</w:t>
            </w:r>
          </w:p>
        </w:tc>
        <w:tc>
          <w:tcPr>
            <w:tcW w:w="1134" w:type="dxa"/>
          </w:tcPr>
          <w:p w:rsidR="00EB75A8" w:rsidRPr="0049512D" w:rsidRDefault="00EB75A8" w:rsidP="00AC7338">
            <w:pPr>
              <w:spacing w:after="0" w:line="240" w:lineRule="auto"/>
              <w:contextualSpacing/>
              <w:jc w:val="both"/>
              <w:rPr>
                <w:rFonts w:ascii="Times New Roman" w:hAnsi="Times New Roman" w:cs="Times New Roman"/>
                <w:sz w:val="16"/>
                <w:szCs w:val="16"/>
              </w:rPr>
            </w:pPr>
            <w:r w:rsidRPr="0049512D">
              <w:rPr>
                <w:rFonts w:ascii="Times New Roman" w:hAnsi="Times New Roman" w:cs="Times New Roman"/>
                <w:sz w:val="16"/>
                <w:szCs w:val="16"/>
              </w:rPr>
              <w:t>5, 25, 125, 625, 3125 μg/L</w:t>
            </w:r>
          </w:p>
        </w:tc>
        <w:tc>
          <w:tcPr>
            <w:tcW w:w="1559" w:type="dxa"/>
          </w:tcPr>
          <w:p w:rsidR="00EB75A8" w:rsidRPr="0049512D" w:rsidRDefault="00EB75A8" w:rsidP="00AC7338">
            <w:pPr>
              <w:pStyle w:val="ListParagraph"/>
              <w:numPr>
                <w:ilvl w:val="0"/>
                <w:numId w:val="7"/>
              </w:numPr>
              <w:spacing w:after="0" w:line="240" w:lineRule="auto"/>
              <w:ind w:left="175" w:hanging="142"/>
              <w:jc w:val="both"/>
              <w:rPr>
                <w:rFonts w:ascii="Times New Roman" w:hAnsi="Times New Roman" w:cs="Times New Roman"/>
                <w:sz w:val="16"/>
                <w:szCs w:val="16"/>
              </w:rPr>
            </w:pPr>
            <w:r w:rsidRPr="0049512D">
              <w:rPr>
                <w:rFonts w:ascii="Times New Roman" w:hAnsi="Times New Roman" w:cs="Times New Roman"/>
                <w:sz w:val="16"/>
                <w:szCs w:val="16"/>
              </w:rPr>
              <w:t xml:space="preserve">Diminished regenerative capacity </w:t>
            </w:r>
          </w:p>
          <w:p w:rsidR="00EB75A8" w:rsidRPr="0049512D" w:rsidRDefault="00EB75A8" w:rsidP="00AC7338">
            <w:pPr>
              <w:pStyle w:val="ListParagraph"/>
              <w:spacing w:after="0" w:line="240" w:lineRule="auto"/>
              <w:ind w:left="175" w:hanging="142"/>
              <w:jc w:val="both"/>
              <w:rPr>
                <w:rFonts w:ascii="Times New Roman" w:hAnsi="Times New Roman" w:cs="Times New Roman"/>
                <w:sz w:val="16"/>
                <w:szCs w:val="16"/>
              </w:rPr>
            </w:pPr>
          </w:p>
        </w:tc>
        <w:tc>
          <w:tcPr>
            <w:tcW w:w="1196" w:type="dxa"/>
          </w:tcPr>
          <w:p w:rsidR="00EB75A8" w:rsidRPr="0049512D" w:rsidRDefault="00EB75A8" w:rsidP="00AC7338">
            <w:pPr>
              <w:spacing w:after="0" w:line="240" w:lineRule="auto"/>
              <w:contextualSpacing/>
              <w:jc w:val="both"/>
              <w:rPr>
                <w:rFonts w:ascii="Times New Roman" w:hAnsi="Times New Roman" w:cs="Times New Roman"/>
                <w:sz w:val="16"/>
                <w:szCs w:val="16"/>
              </w:rPr>
            </w:pPr>
            <w:r w:rsidRPr="0049512D">
              <w:rPr>
                <w:rFonts w:ascii="Times New Roman" w:hAnsi="Times New Roman" w:cs="Times New Roman"/>
                <w:sz w:val="16"/>
                <w:szCs w:val="16"/>
              </w:rPr>
              <w:t>Freitas et al. (2015)</w:t>
            </w:r>
          </w:p>
        </w:tc>
      </w:tr>
      <w:tr w:rsidR="00D90E41" w:rsidRPr="0049512D" w:rsidTr="00AC7338">
        <w:tc>
          <w:tcPr>
            <w:tcW w:w="1526" w:type="dxa"/>
          </w:tcPr>
          <w:p w:rsidR="00EB75A8" w:rsidRPr="0049512D" w:rsidRDefault="00EB75A8" w:rsidP="00AC7338">
            <w:pPr>
              <w:spacing w:after="0" w:line="240" w:lineRule="auto"/>
              <w:contextualSpacing/>
              <w:jc w:val="both"/>
              <w:rPr>
                <w:rFonts w:ascii="Times New Roman" w:hAnsi="Times New Roman" w:cs="Times New Roman"/>
                <w:i/>
                <w:iCs/>
                <w:sz w:val="16"/>
                <w:szCs w:val="16"/>
              </w:rPr>
            </w:pPr>
            <w:r w:rsidRPr="0049512D">
              <w:rPr>
                <w:rFonts w:ascii="Times New Roman" w:hAnsi="Times New Roman" w:cs="Times New Roman"/>
                <w:i/>
                <w:iCs/>
                <w:sz w:val="16"/>
                <w:szCs w:val="16"/>
              </w:rPr>
              <w:t>Daphnia magna</w:t>
            </w:r>
          </w:p>
        </w:tc>
        <w:tc>
          <w:tcPr>
            <w:tcW w:w="2693" w:type="dxa"/>
          </w:tcPr>
          <w:p w:rsidR="00EB75A8" w:rsidRPr="0049512D" w:rsidRDefault="00970BD3" w:rsidP="00AC7338">
            <w:pPr>
              <w:spacing w:after="0" w:line="240" w:lineRule="auto"/>
              <w:contextualSpacing/>
              <w:jc w:val="both"/>
              <w:rPr>
                <w:rFonts w:ascii="Times New Roman" w:hAnsi="Times New Roman" w:cs="Times New Roman"/>
                <w:sz w:val="16"/>
                <w:szCs w:val="16"/>
                <w:shd w:val="clear" w:color="auto" w:fill="FFFFFF"/>
              </w:rPr>
            </w:pPr>
            <w:r w:rsidRPr="0049512D">
              <w:rPr>
                <w:rFonts w:ascii="Times New Roman" w:hAnsi="Times New Roman" w:cs="Times New Roman"/>
                <w:sz w:val="16"/>
                <w:szCs w:val="16"/>
                <w:shd w:val="clear" w:color="auto" w:fill="FFFFFF"/>
              </w:rPr>
              <w:t>Total cholinesterases, CAT</w:t>
            </w:r>
            <w:r w:rsidR="00EB75A8" w:rsidRPr="0049512D">
              <w:rPr>
                <w:rFonts w:ascii="Times New Roman" w:hAnsi="Times New Roman" w:cs="Times New Roman"/>
                <w:sz w:val="16"/>
                <w:szCs w:val="16"/>
                <w:shd w:val="clear" w:color="auto" w:fill="FFFFFF"/>
              </w:rPr>
              <w:t xml:space="preserve">, </w:t>
            </w:r>
            <w:r w:rsidRPr="0049512D">
              <w:rPr>
                <w:rFonts w:ascii="Times New Roman" w:hAnsi="Times New Roman" w:cs="Times New Roman"/>
                <w:sz w:val="16"/>
                <w:szCs w:val="16"/>
                <w:shd w:val="clear" w:color="auto" w:fill="FFFFFF"/>
              </w:rPr>
              <w:t xml:space="preserve">glutathione-S-transferases </w:t>
            </w:r>
            <w:r w:rsidRPr="0049512D">
              <w:rPr>
                <w:rFonts w:ascii="Times New Roman" w:hAnsi="Times New Roman" w:cs="Times New Roman"/>
                <w:sz w:val="16"/>
                <w:szCs w:val="16"/>
                <w:shd w:val="clear" w:color="auto" w:fill="FCFCFC"/>
              </w:rPr>
              <w:t>(GSTs),</w:t>
            </w:r>
            <w:r w:rsidRPr="0049512D">
              <w:rPr>
                <w:rFonts w:ascii="Times New Roman" w:hAnsi="Times New Roman" w:cs="Times New Roman"/>
                <w:sz w:val="16"/>
                <w:szCs w:val="16"/>
                <w:shd w:val="clear" w:color="auto" w:fill="FFFFFF"/>
              </w:rPr>
              <w:t xml:space="preserve"> </w:t>
            </w:r>
            <w:r w:rsidR="000C3DA4" w:rsidRPr="0049512D">
              <w:rPr>
                <w:rFonts w:ascii="Times New Roman" w:hAnsi="Times New Roman" w:cs="Times New Roman"/>
                <w:sz w:val="16"/>
                <w:szCs w:val="16"/>
              </w:rPr>
              <w:t xml:space="preserve">GPx </w:t>
            </w:r>
          </w:p>
          <w:p w:rsidR="00EB75A8" w:rsidRPr="0049512D" w:rsidRDefault="00EB75A8" w:rsidP="00AC7338">
            <w:pPr>
              <w:spacing w:after="0" w:line="240" w:lineRule="auto"/>
              <w:contextualSpacing/>
              <w:jc w:val="both"/>
              <w:rPr>
                <w:rFonts w:ascii="Times New Roman" w:hAnsi="Times New Roman" w:cs="Times New Roman"/>
                <w:sz w:val="16"/>
                <w:szCs w:val="16"/>
              </w:rPr>
            </w:pPr>
          </w:p>
        </w:tc>
        <w:tc>
          <w:tcPr>
            <w:tcW w:w="1134" w:type="dxa"/>
          </w:tcPr>
          <w:p w:rsidR="00EB75A8" w:rsidRPr="0049512D" w:rsidRDefault="00EB75A8" w:rsidP="00AC7338">
            <w:pPr>
              <w:spacing w:after="0" w:line="240" w:lineRule="auto"/>
              <w:contextualSpacing/>
              <w:jc w:val="both"/>
              <w:rPr>
                <w:rFonts w:ascii="Times New Roman" w:hAnsi="Times New Roman" w:cs="Times New Roman"/>
                <w:sz w:val="16"/>
                <w:szCs w:val="16"/>
              </w:rPr>
            </w:pPr>
            <w:r w:rsidRPr="0049512D">
              <w:rPr>
                <w:rFonts w:ascii="Times New Roman" w:hAnsi="Times New Roman" w:cs="Times New Roman"/>
                <w:sz w:val="16"/>
                <w:szCs w:val="16"/>
              </w:rPr>
              <w:t>48 h</w:t>
            </w:r>
          </w:p>
        </w:tc>
        <w:tc>
          <w:tcPr>
            <w:tcW w:w="1134" w:type="dxa"/>
          </w:tcPr>
          <w:p w:rsidR="00EB75A8" w:rsidRPr="0049512D" w:rsidRDefault="00EB75A8" w:rsidP="00AC7338">
            <w:pPr>
              <w:spacing w:after="0" w:line="240" w:lineRule="auto"/>
              <w:contextualSpacing/>
              <w:jc w:val="both"/>
              <w:rPr>
                <w:rFonts w:ascii="Times New Roman" w:hAnsi="Times New Roman" w:cs="Times New Roman"/>
                <w:sz w:val="16"/>
                <w:szCs w:val="16"/>
              </w:rPr>
            </w:pPr>
            <w:r w:rsidRPr="0049512D">
              <w:rPr>
                <w:rFonts w:ascii="Times New Roman" w:hAnsi="Times New Roman" w:cs="Times New Roman"/>
                <w:sz w:val="16"/>
                <w:szCs w:val="16"/>
              </w:rPr>
              <w:t>0.00001, 0.001, 0.25 mg/L</w:t>
            </w:r>
          </w:p>
        </w:tc>
        <w:tc>
          <w:tcPr>
            <w:tcW w:w="1559" w:type="dxa"/>
          </w:tcPr>
          <w:p w:rsidR="00EB75A8" w:rsidRPr="0049512D" w:rsidRDefault="00EB75A8" w:rsidP="00AC7338">
            <w:pPr>
              <w:pStyle w:val="ListParagraph"/>
              <w:numPr>
                <w:ilvl w:val="0"/>
                <w:numId w:val="7"/>
              </w:numPr>
              <w:spacing w:after="0" w:line="240" w:lineRule="auto"/>
              <w:ind w:left="175" w:hanging="142"/>
              <w:jc w:val="both"/>
              <w:rPr>
                <w:rFonts w:ascii="Times New Roman" w:hAnsi="Times New Roman" w:cs="Times New Roman"/>
                <w:sz w:val="16"/>
                <w:szCs w:val="16"/>
              </w:rPr>
            </w:pPr>
            <w:r w:rsidRPr="0049512D">
              <w:rPr>
                <w:rFonts w:ascii="Times New Roman" w:hAnsi="Times New Roman" w:cs="Times New Roman"/>
                <w:sz w:val="16"/>
                <w:szCs w:val="16"/>
              </w:rPr>
              <w:t xml:space="preserve">Inhibition of enzymes like </w:t>
            </w:r>
            <w:r w:rsidR="000C3DA4" w:rsidRPr="0049512D">
              <w:rPr>
                <w:rStyle w:val="title-text"/>
                <w:rFonts w:ascii="Times New Roman" w:hAnsi="Times New Roman" w:cs="Times New Roman"/>
                <w:sz w:val="16"/>
                <w:szCs w:val="16"/>
              </w:rPr>
              <w:t>AChE</w:t>
            </w:r>
            <w:r w:rsidRPr="0049512D">
              <w:rPr>
                <w:rFonts w:ascii="Times New Roman" w:hAnsi="Times New Roman" w:cs="Times New Roman"/>
                <w:sz w:val="16"/>
                <w:szCs w:val="16"/>
              </w:rPr>
              <w:t xml:space="preserve"> and </w:t>
            </w:r>
            <w:r w:rsidR="000C3DA4" w:rsidRPr="0049512D">
              <w:rPr>
                <w:rFonts w:ascii="Times New Roman" w:hAnsi="Times New Roman" w:cs="Times New Roman"/>
                <w:sz w:val="16"/>
                <w:szCs w:val="16"/>
              </w:rPr>
              <w:t>GPx</w:t>
            </w:r>
            <w:r w:rsidRPr="0049512D">
              <w:rPr>
                <w:rFonts w:ascii="Times New Roman" w:hAnsi="Times New Roman" w:cs="Times New Roman"/>
                <w:sz w:val="16"/>
                <w:szCs w:val="16"/>
              </w:rPr>
              <w:t xml:space="preserve"> </w:t>
            </w:r>
          </w:p>
        </w:tc>
        <w:tc>
          <w:tcPr>
            <w:tcW w:w="1196" w:type="dxa"/>
          </w:tcPr>
          <w:p w:rsidR="00EB75A8" w:rsidRPr="0049512D" w:rsidRDefault="00EB75A8" w:rsidP="00AC7338">
            <w:pPr>
              <w:spacing w:after="0" w:line="240" w:lineRule="auto"/>
              <w:contextualSpacing/>
              <w:jc w:val="both"/>
              <w:rPr>
                <w:rFonts w:ascii="Times New Roman" w:hAnsi="Times New Roman" w:cs="Times New Roman"/>
                <w:sz w:val="16"/>
                <w:szCs w:val="16"/>
              </w:rPr>
            </w:pPr>
            <w:r w:rsidRPr="0049512D">
              <w:rPr>
                <w:rFonts w:ascii="Times New Roman" w:hAnsi="Times New Roman" w:cs="Times New Roman"/>
                <w:sz w:val="16"/>
                <w:szCs w:val="16"/>
              </w:rPr>
              <w:t>Oliveira et al. (2015)</w:t>
            </w:r>
          </w:p>
        </w:tc>
      </w:tr>
      <w:tr w:rsidR="00D90E41" w:rsidRPr="0049512D" w:rsidTr="00AC7338">
        <w:tc>
          <w:tcPr>
            <w:tcW w:w="1526" w:type="dxa"/>
          </w:tcPr>
          <w:p w:rsidR="00EB75A8" w:rsidRPr="0049512D" w:rsidRDefault="00EB75A8" w:rsidP="00AC7338">
            <w:pPr>
              <w:spacing w:after="0" w:line="240" w:lineRule="auto"/>
              <w:contextualSpacing/>
              <w:jc w:val="both"/>
              <w:rPr>
                <w:rFonts w:ascii="Times New Roman" w:hAnsi="Times New Roman" w:cs="Times New Roman"/>
                <w:i/>
                <w:iCs/>
                <w:sz w:val="16"/>
                <w:szCs w:val="16"/>
              </w:rPr>
            </w:pPr>
            <w:r w:rsidRPr="0049512D">
              <w:rPr>
                <w:rFonts w:ascii="Times New Roman" w:hAnsi="Times New Roman" w:cs="Times New Roman"/>
                <w:i/>
                <w:iCs/>
                <w:sz w:val="16"/>
                <w:szCs w:val="16"/>
              </w:rPr>
              <w:t>Mytilus galloprovincialis</w:t>
            </w:r>
          </w:p>
        </w:tc>
        <w:tc>
          <w:tcPr>
            <w:tcW w:w="2693" w:type="dxa"/>
          </w:tcPr>
          <w:p w:rsidR="00EB75A8" w:rsidRPr="0049512D" w:rsidRDefault="00EB75A8" w:rsidP="00AC7338">
            <w:pPr>
              <w:spacing w:after="0" w:line="240" w:lineRule="auto"/>
              <w:contextualSpacing/>
              <w:jc w:val="both"/>
              <w:rPr>
                <w:rFonts w:ascii="Times New Roman" w:hAnsi="Times New Roman" w:cs="Times New Roman"/>
                <w:sz w:val="16"/>
                <w:szCs w:val="16"/>
              </w:rPr>
            </w:pPr>
            <w:r w:rsidRPr="0049512D">
              <w:rPr>
                <w:rFonts w:ascii="Times New Roman" w:hAnsi="Times New Roman" w:cs="Times New Roman"/>
                <w:sz w:val="16"/>
                <w:szCs w:val="16"/>
              </w:rPr>
              <w:t>Different bi</w:t>
            </w:r>
            <w:r w:rsidR="00970BD3" w:rsidRPr="0049512D">
              <w:rPr>
                <w:rFonts w:ascii="Times New Roman" w:hAnsi="Times New Roman" w:cs="Times New Roman"/>
                <w:sz w:val="16"/>
                <w:szCs w:val="16"/>
              </w:rPr>
              <w:t xml:space="preserve">ochemical assays were done like </w:t>
            </w:r>
            <w:r w:rsidR="000C3DA4" w:rsidRPr="0049512D">
              <w:rPr>
                <w:rFonts w:ascii="Times New Roman" w:hAnsi="Times New Roman" w:cs="Times New Roman"/>
                <w:sz w:val="16"/>
                <w:szCs w:val="16"/>
                <w:shd w:val="clear" w:color="auto" w:fill="FCFCFC"/>
              </w:rPr>
              <w:t>acetylcholinesterase (</w:t>
            </w:r>
            <w:r w:rsidRPr="0049512D">
              <w:rPr>
                <w:rFonts w:ascii="Times New Roman" w:hAnsi="Times New Roman" w:cs="Times New Roman"/>
                <w:sz w:val="16"/>
                <w:szCs w:val="16"/>
                <w:shd w:val="clear" w:color="auto" w:fill="FCFCFC"/>
              </w:rPr>
              <w:t>AChE</w:t>
            </w:r>
            <w:r w:rsidR="000C3DA4" w:rsidRPr="0049512D">
              <w:rPr>
                <w:rFonts w:ascii="Times New Roman" w:hAnsi="Times New Roman" w:cs="Times New Roman"/>
                <w:sz w:val="16"/>
                <w:szCs w:val="16"/>
                <w:shd w:val="clear" w:color="auto" w:fill="FCFCFC"/>
              </w:rPr>
              <w:t>)</w:t>
            </w:r>
            <w:r w:rsidRPr="0049512D">
              <w:rPr>
                <w:rFonts w:ascii="Times New Roman" w:hAnsi="Times New Roman" w:cs="Times New Roman"/>
                <w:sz w:val="16"/>
                <w:szCs w:val="16"/>
                <w:shd w:val="clear" w:color="auto" w:fill="FCFCFC"/>
              </w:rPr>
              <w:t xml:space="preserve">, </w:t>
            </w:r>
            <w:r w:rsidR="000C3DA4" w:rsidRPr="0049512D">
              <w:rPr>
                <w:rFonts w:ascii="Times New Roman" w:hAnsi="Times New Roman" w:cs="Times New Roman"/>
                <w:sz w:val="16"/>
                <w:szCs w:val="16"/>
                <w:shd w:val="clear" w:color="auto" w:fill="FCFCFC"/>
              </w:rPr>
              <w:t xml:space="preserve">GSTs, CAT, </w:t>
            </w:r>
            <w:r w:rsidR="00970BD3" w:rsidRPr="0049512D">
              <w:rPr>
                <w:rFonts w:ascii="Times New Roman" w:hAnsi="Times New Roman" w:cs="Times New Roman"/>
                <w:sz w:val="16"/>
                <w:szCs w:val="16"/>
              </w:rPr>
              <w:t>Lipid peroxidation levels</w:t>
            </w:r>
            <w:r w:rsidR="000C3DA4" w:rsidRPr="0049512D">
              <w:rPr>
                <w:rFonts w:ascii="Times New Roman" w:hAnsi="Times New Roman" w:cs="Times New Roman"/>
                <w:sz w:val="16"/>
                <w:szCs w:val="16"/>
              </w:rPr>
              <w:t xml:space="preserve"> (LPL)</w:t>
            </w:r>
            <w:r w:rsidR="00970BD3" w:rsidRPr="0049512D">
              <w:rPr>
                <w:rFonts w:ascii="Times New Roman" w:hAnsi="Times New Roman" w:cs="Times New Roman"/>
                <w:sz w:val="16"/>
                <w:szCs w:val="16"/>
              </w:rPr>
              <w:t xml:space="preserve">  </w:t>
            </w:r>
          </w:p>
          <w:p w:rsidR="00EB75A8" w:rsidRPr="0049512D" w:rsidRDefault="00EB75A8" w:rsidP="00AC7338">
            <w:pPr>
              <w:spacing w:after="0" w:line="240" w:lineRule="auto"/>
              <w:contextualSpacing/>
              <w:jc w:val="both"/>
              <w:rPr>
                <w:rFonts w:ascii="Times New Roman" w:hAnsi="Times New Roman" w:cs="Times New Roman"/>
                <w:sz w:val="16"/>
                <w:szCs w:val="16"/>
              </w:rPr>
            </w:pPr>
          </w:p>
        </w:tc>
        <w:tc>
          <w:tcPr>
            <w:tcW w:w="1134" w:type="dxa"/>
          </w:tcPr>
          <w:p w:rsidR="00EB75A8" w:rsidRPr="0049512D" w:rsidRDefault="00EB75A8" w:rsidP="00AC7338">
            <w:pPr>
              <w:spacing w:after="0" w:line="240" w:lineRule="auto"/>
              <w:contextualSpacing/>
              <w:jc w:val="both"/>
              <w:rPr>
                <w:rFonts w:ascii="Times New Roman" w:hAnsi="Times New Roman" w:cs="Times New Roman"/>
                <w:sz w:val="16"/>
                <w:szCs w:val="16"/>
              </w:rPr>
            </w:pPr>
            <w:r w:rsidRPr="0049512D">
              <w:rPr>
                <w:rFonts w:ascii="Times New Roman" w:hAnsi="Times New Roman" w:cs="Times New Roman"/>
                <w:sz w:val="16"/>
                <w:szCs w:val="16"/>
              </w:rPr>
              <w:t>10 days</w:t>
            </w:r>
          </w:p>
        </w:tc>
        <w:tc>
          <w:tcPr>
            <w:tcW w:w="1134" w:type="dxa"/>
          </w:tcPr>
          <w:p w:rsidR="00EB75A8" w:rsidRPr="0049512D" w:rsidRDefault="00EB75A8" w:rsidP="00AC7338">
            <w:pPr>
              <w:spacing w:after="0" w:line="240" w:lineRule="auto"/>
              <w:contextualSpacing/>
              <w:jc w:val="both"/>
              <w:rPr>
                <w:rFonts w:ascii="Times New Roman" w:hAnsi="Times New Roman" w:cs="Times New Roman"/>
                <w:sz w:val="16"/>
                <w:szCs w:val="16"/>
              </w:rPr>
            </w:pPr>
            <w:r w:rsidRPr="0049512D">
              <w:rPr>
                <w:rFonts w:ascii="Times New Roman" w:hAnsi="Times New Roman" w:cs="Times New Roman"/>
                <w:sz w:val="16"/>
                <w:szCs w:val="16"/>
              </w:rPr>
              <w:t>20, 200 μg/L</w:t>
            </w:r>
          </w:p>
        </w:tc>
        <w:tc>
          <w:tcPr>
            <w:tcW w:w="1559" w:type="dxa"/>
          </w:tcPr>
          <w:p w:rsidR="00EB75A8" w:rsidRPr="0049512D" w:rsidRDefault="00970BD3" w:rsidP="00AC7338">
            <w:pPr>
              <w:pStyle w:val="ListParagraph"/>
              <w:numPr>
                <w:ilvl w:val="0"/>
                <w:numId w:val="7"/>
              </w:numPr>
              <w:spacing w:after="0" w:line="240" w:lineRule="auto"/>
              <w:ind w:left="175" w:hanging="142"/>
              <w:jc w:val="both"/>
              <w:rPr>
                <w:rFonts w:ascii="Times New Roman" w:hAnsi="Times New Roman" w:cs="Times New Roman"/>
                <w:sz w:val="16"/>
                <w:szCs w:val="16"/>
              </w:rPr>
            </w:pPr>
            <w:r w:rsidRPr="0049512D">
              <w:rPr>
                <w:rFonts w:ascii="Times New Roman" w:hAnsi="Times New Roman" w:cs="Times New Roman"/>
                <w:sz w:val="16"/>
                <w:szCs w:val="16"/>
              </w:rPr>
              <w:t>H</w:t>
            </w:r>
            <w:r w:rsidR="00EB75A8" w:rsidRPr="0049512D">
              <w:rPr>
                <w:rFonts w:ascii="Times New Roman" w:hAnsi="Times New Roman" w:cs="Times New Roman"/>
                <w:sz w:val="16"/>
                <w:szCs w:val="16"/>
              </w:rPr>
              <w:t xml:space="preserve">epatic lipid peroxidation levels  </w:t>
            </w:r>
            <w:r w:rsidRPr="0049512D">
              <w:rPr>
                <w:rFonts w:ascii="Times New Roman" w:hAnsi="Times New Roman" w:cs="Times New Roman"/>
                <w:sz w:val="16"/>
                <w:szCs w:val="16"/>
              </w:rPr>
              <w:t>increased</w:t>
            </w:r>
          </w:p>
          <w:p w:rsidR="00EB75A8" w:rsidRPr="0049512D" w:rsidRDefault="00EB75A8" w:rsidP="00AC7338">
            <w:pPr>
              <w:pStyle w:val="ListParagraph"/>
              <w:numPr>
                <w:ilvl w:val="0"/>
                <w:numId w:val="7"/>
              </w:numPr>
              <w:spacing w:after="0" w:line="240" w:lineRule="auto"/>
              <w:ind w:left="175" w:hanging="142"/>
              <w:jc w:val="both"/>
              <w:rPr>
                <w:rFonts w:ascii="Times New Roman" w:hAnsi="Times New Roman" w:cs="Times New Roman"/>
                <w:sz w:val="16"/>
                <w:szCs w:val="16"/>
              </w:rPr>
            </w:pPr>
            <w:r w:rsidRPr="0049512D">
              <w:rPr>
                <w:rFonts w:ascii="Times New Roman" w:hAnsi="Times New Roman" w:cs="Times New Roman"/>
                <w:sz w:val="16"/>
                <w:szCs w:val="16"/>
              </w:rPr>
              <w:t xml:space="preserve">inhibition of </w:t>
            </w:r>
            <w:r w:rsidR="000C3DA4" w:rsidRPr="0049512D">
              <w:rPr>
                <w:rStyle w:val="title-text"/>
                <w:rFonts w:ascii="Times New Roman" w:hAnsi="Times New Roman" w:cs="Times New Roman"/>
                <w:sz w:val="16"/>
                <w:szCs w:val="16"/>
              </w:rPr>
              <w:t>AChE</w:t>
            </w:r>
            <w:r w:rsidRPr="0049512D">
              <w:rPr>
                <w:rFonts w:ascii="Times New Roman" w:hAnsi="Times New Roman" w:cs="Times New Roman"/>
                <w:sz w:val="16"/>
                <w:szCs w:val="16"/>
              </w:rPr>
              <w:t xml:space="preserve"> activity</w:t>
            </w:r>
          </w:p>
        </w:tc>
        <w:tc>
          <w:tcPr>
            <w:tcW w:w="1196" w:type="dxa"/>
          </w:tcPr>
          <w:p w:rsidR="00EB75A8" w:rsidRPr="0049512D" w:rsidRDefault="00EB75A8" w:rsidP="00AC7338">
            <w:pPr>
              <w:spacing w:after="0" w:line="240" w:lineRule="auto"/>
              <w:contextualSpacing/>
              <w:jc w:val="both"/>
              <w:rPr>
                <w:rFonts w:ascii="Times New Roman" w:hAnsi="Times New Roman" w:cs="Times New Roman"/>
                <w:sz w:val="16"/>
                <w:szCs w:val="16"/>
              </w:rPr>
            </w:pPr>
            <w:r w:rsidRPr="0049512D">
              <w:rPr>
                <w:rFonts w:ascii="Times New Roman" w:hAnsi="Times New Roman" w:cs="Times New Roman"/>
                <w:sz w:val="16"/>
                <w:szCs w:val="16"/>
              </w:rPr>
              <w:t>Solé et al. (2010)</w:t>
            </w:r>
          </w:p>
        </w:tc>
      </w:tr>
      <w:tr w:rsidR="00D90E41" w:rsidRPr="0049512D" w:rsidTr="00AC7338">
        <w:tc>
          <w:tcPr>
            <w:tcW w:w="1526" w:type="dxa"/>
          </w:tcPr>
          <w:p w:rsidR="00EB75A8" w:rsidRPr="0049512D" w:rsidRDefault="00EB75A8" w:rsidP="00AC7338">
            <w:pPr>
              <w:spacing w:after="0" w:line="240" w:lineRule="auto"/>
              <w:contextualSpacing/>
              <w:jc w:val="both"/>
              <w:rPr>
                <w:rFonts w:ascii="Times New Roman" w:hAnsi="Times New Roman" w:cs="Times New Roman"/>
                <w:i/>
                <w:iCs/>
                <w:sz w:val="16"/>
                <w:szCs w:val="16"/>
              </w:rPr>
            </w:pPr>
            <w:r w:rsidRPr="0049512D">
              <w:rPr>
                <w:rFonts w:ascii="Times New Roman" w:hAnsi="Times New Roman" w:cs="Times New Roman"/>
                <w:i/>
                <w:iCs/>
                <w:sz w:val="16"/>
                <w:szCs w:val="16"/>
              </w:rPr>
              <w:t>Anguilla anguilla</w:t>
            </w:r>
          </w:p>
        </w:tc>
        <w:tc>
          <w:tcPr>
            <w:tcW w:w="2693" w:type="dxa"/>
          </w:tcPr>
          <w:p w:rsidR="00EB75A8" w:rsidRPr="0049512D" w:rsidRDefault="00EB75A8" w:rsidP="00AC7338">
            <w:pPr>
              <w:spacing w:after="0" w:line="240" w:lineRule="auto"/>
              <w:contextualSpacing/>
              <w:jc w:val="both"/>
              <w:rPr>
                <w:rFonts w:ascii="Times New Roman" w:hAnsi="Times New Roman" w:cs="Times New Roman"/>
                <w:sz w:val="16"/>
                <w:szCs w:val="16"/>
              </w:rPr>
            </w:pPr>
            <w:r w:rsidRPr="0049512D">
              <w:rPr>
                <w:rFonts w:ascii="Times New Roman" w:hAnsi="Times New Roman" w:cs="Times New Roman"/>
                <w:sz w:val="16"/>
                <w:szCs w:val="16"/>
                <w:shd w:val="clear" w:color="auto" w:fill="FCFCFC"/>
              </w:rPr>
              <w:t>Ba</w:t>
            </w:r>
            <w:r w:rsidR="000C3DA4" w:rsidRPr="0049512D">
              <w:rPr>
                <w:rFonts w:ascii="Times New Roman" w:hAnsi="Times New Roman" w:cs="Times New Roman"/>
                <w:sz w:val="16"/>
                <w:szCs w:val="16"/>
                <w:shd w:val="clear" w:color="auto" w:fill="FCFCFC"/>
              </w:rPr>
              <w:t xml:space="preserve">ttery of antioxidant biomarkers: </w:t>
            </w:r>
            <w:r w:rsidR="00970BD3" w:rsidRPr="0049512D">
              <w:rPr>
                <w:rFonts w:ascii="Times New Roman" w:hAnsi="Times New Roman" w:cs="Times New Roman"/>
                <w:sz w:val="16"/>
                <w:szCs w:val="16"/>
                <w:shd w:val="clear" w:color="auto" w:fill="FCFCFC"/>
              </w:rPr>
              <w:t>CAT</w:t>
            </w:r>
            <w:r w:rsidR="00AC7338" w:rsidRPr="0049512D">
              <w:rPr>
                <w:rFonts w:ascii="Times New Roman" w:hAnsi="Times New Roman" w:cs="Times New Roman"/>
                <w:sz w:val="16"/>
                <w:szCs w:val="16"/>
                <w:shd w:val="clear" w:color="auto" w:fill="FCFCFC"/>
              </w:rPr>
              <w:t xml:space="preserve">, AChE </w:t>
            </w:r>
            <w:r w:rsidRPr="0049512D">
              <w:rPr>
                <w:rFonts w:ascii="Times New Roman" w:hAnsi="Times New Roman" w:cs="Times New Roman"/>
                <w:sz w:val="16"/>
                <w:szCs w:val="16"/>
                <w:shd w:val="clear" w:color="auto" w:fill="FCFCFC"/>
              </w:rPr>
              <w:t xml:space="preserve">and </w:t>
            </w:r>
            <w:r w:rsidR="00970BD3" w:rsidRPr="0049512D">
              <w:rPr>
                <w:rFonts w:ascii="Times New Roman" w:hAnsi="Times New Roman" w:cs="Times New Roman"/>
                <w:sz w:val="16"/>
                <w:szCs w:val="16"/>
                <w:shd w:val="clear" w:color="auto" w:fill="FCFCFC"/>
              </w:rPr>
              <w:t>GSTs</w:t>
            </w:r>
            <w:r w:rsidRPr="0049512D">
              <w:rPr>
                <w:rFonts w:ascii="Times New Roman" w:hAnsi="Times New Roman" w:cs="Times New Roman"/>
                <w:sz w:val="16"/>
                <w:szCs w:val="16"/>
                <w:shd w:val="clear" w:color="auto" w:fill="FCFCFC"/>
              </w:rPr>
              <w:t>, thiobarbituric acid rea</w:t>
            </w:r>
            <w:r w:rsidR="000C3DA4" w:rsidRPr="0049512D">
              <w:rPr>
                <w:rFonts w:ascii="Times New Roman" w:hAnsi="Times New Roman" w:cs="Times New Roman"/>
                <w:sz w:val="16"/>
                <w:szCs w:val="16"/>
                <w:shd w:val="clear" w:color="auto" w:fill="FCFCFC"/>
              </w:rPr>
              <w:t xml:space="preserve">ctive substances (TBARS) assay, </w:t>
            </w:r>
            <w:r w:rsidRPr="0049512D">
              <w:rPr>
                <w:rFonts w:ascii="Times New Roman" w:hAnsi="Times New Roman" w:cs="Times New Roman"/>
                <w:sz w:val="16"/>
                <w:szCs w:val="16"/>
                <w:shd w:val="clear" w:color="auto" w:fill="FCFCFC"/>
              </w:rPr>
              <w:t xml:space="preserve">lactate dehydrogenase, </w:t>
            </w:r>
            <w:r w:rsidR="000C3DA4" w:rsidRPr="0049512D">
              <w:rPr>
                <w:rFonts w:ascii="Times New Roman" w:hAnsi="Times New Roman" w:cs="Times New Roman"/>
                <w:sz w:val="16"/>
                <w:szCs w:val="16"/>
                <w:shd w:val="clear" w:color="auto" w:fill="FCFCFC"/>
              </w:rPr>
              <w:t>(LDH)</w:t>
            </w:r>
          </w:p>
        </w:tc>
        <w:tc>
          <w:tcPr>
            <w:tcW w:w="1134" w:type="dxa"/>
          </w:tcPr>
          <w:p w:rsidR="00EB75A8" w:rsidRPr="0049512D" w:rsidRDefault="00EB75A8" w:rsidP="00AC7338">
            <w:pPr>
              <w:spacing w:after="0" w:line="240" w:lineRule="auto"/>
              <w:contextualSpacing/>
              <w:jc w:val="both"/>
              <w:rPr>
                <w:rFonts w:ascii="Times New Roman" w:hAnsi="Times New Roman" w:cs="Times New Roman"/>
                <w:sz w:val="16"/>
                <w:szCs w:val="16"/>
              </w:rPr>
            </w:pPr>
            <w:r w:rsidRPr="0049512D">
              <w:rPr>
                <w:rFonts w:ascii="Times New Roman" w:hAnsi="Times New Roman" w:cs="Times New Roman"/>
                <w:sz w:val="16"/>
                <w:szCs w:val="16"/>
              </w:rPr>
              <w:t>96h</w:t>
            </w:r>
          </w:p>
        </w:tc>
        <w:tc>
          <w:tcPr>
            <w:tcW w:w="1134" w:type="dxa"/>
          </w:tcPr>
          <w:p w:rsidR="00EB75A8" w:rsidRPr="0049512D" w:rsidRDefault="00EB75A8" w:rsidP="00AC7338">
            <w:pPr>
              <w:spacing w:after="0" w:line="240" w:lineRule="auto"/>
              <w:contextualSpacing/>
              <w:jc w:val="both"/>
              <w:rPr>
                <w:rFonts w:ascii="Times New Roman" w:hAnsi="Times New Roman" w:cs="Times New Roman"/>
                <w:sz w:val="16"/>
                <w:szCs w:val="16"/>
              </w:rPr>
            </w:pPr>
            <w:r w:rsidRPr="0049512D">
              <w:rPr>
                <w:rFonts w:ascii="Times New Roman" w:hAnsi="Times New Roman" w:cs="Times New Roman"/>
                <w:sz w:val="16"/>
                <w:szCs w:val="16"/>
              </w:rPr>
              <w:t>5, 25, 125, 625, 3125 μg/L</w:t>
            </w:r>
          </w:p>
        </w:tc>
        <w:tc>
          <w:tcPr>
            <w:tcW w:w="1559" w:type="dxa"/>
          </w:tcPr>
          <w:p w:rsidR="00EB75A8" w:rsidRPr="0049512D" w:rsidRDefault="00EB75A8" w:rsidP="00AC7338">
            <w:pPr>
              <w:pStyle w:val="ListParagraph"/>
              <w:numPr>
                <w:ilvl w:val="0"/>
                <w:numId w:val="7"/>
              </w:numPr>
              <w:spacing w:after="0" w:line="240" w:lineRule="auto"/>
              <w:ind w:left="175" w:hanging="142"/>
              <w:jc w:val="both"/>
              <w:rPr>
                <w:rFonts w:ascii="Times New Roman" w:hAnsi="Times New Roman" w:cs="Times New Roman"/>
                <w:sz w:val="16"/>
                <w:szCs w:val="16"/>
              </w:rPr>
            </w:pPr>
            <w:r w:rsidRPr="0049512D">
              <w:rPr>
                <w:rFonts w:ascii="Times New Roman" w:hAnsi="Times New Roman" w:cs="Times New Roman"/>
                <w:sz w:val="16"/>
                <w:szCs w:val="16"/>
              </w:rPr>
              <w:t xml:space="preserve">Inhibition of </w:t>
            </w:r>
            <w:r w:rsidR="000C3DA4" w:rsidRPr="0049512D">
              <w:rPr>
                <w:rStyle w:val="title-text"/>
                <w:rFonts w:ascii="Times New Roman" w:hAnsi="Times New Roman" w:cs="Times New Roman"/>
                <w:sz w:val="16"/>
                <w:szCs w:val="16"/>
              </w:rPr>
              <w:t>AChE</w:t>
            </w:r>
            <w:r w:rsidRPr="0049512D">
              <w:rPr>
                <w:rFonts w:ascii="Times New Roman" w:hAnsi="Times New Roman" w:cs="Times New Roman"/>
                <w:sz w:val="16"/>
                <w:szCs w:val="16"/>
              </w:rPr>
              <w:t xml:space="preserve"> activity</w:t>
            </w:r>
          </w:p>
        </w:tc>
        <w:tc>
          <w:tcPr>
            <w:tcW w:w="1196" w:type="dxa"/>
          </w:tcPr>
          <w:p w:rsidR="00EB75A8" w:rsidRPr="0049512D" w:rsidRDefault="00EB75A8" w:rsidP="00AC7338">
            <w:pPr>
              <w:spacing w:after="0" w:line="240" w:lineRule="auto"/>
              <w:contextualSpacing/>
              <w:jc w:val="both"/>
              <w:rPr>
                <w:rFonts w:ascii="Times New Roman" w:hAnsi="Times New Roman" w:cs="Times New Roman"/>
                <w:sz w:val="16"/>
                <w:szCs w:val="16"/>
              </w:rPr>
            </w:pPr>
            <w:r w:rsidRPr="0049512D">
              <w:rPr>
                <w:rFonts w:ascii="Times New Roman" w:hAnsi="Times New Roman" w:cs="Times New Roman"/>
                <w:sz w:val="16"/>
                <w:szCs w:val="16"/>
              </w:rPr>
              <w:t>Nunes et al. (2015)</w:t>
            </w:r>
          </w:p>
        </w:tc>
      </w:tr>
      <w:tr w:rsidR="00D90E41" w:rsidRPr="0049512D" w:rsidTr="00AC7338">
        <w:tc>
          <w:tcPr>
            <w:tcW w:w="1526" w:type="dxa"/>
          </w:tcPr>
          <w:p w:rsidR="00EB75A8" w:rsidRPr="0049512D" w:rsidRDefault="00EB75A8" w:rsidP="00AC7338">
            <w:pPr>
              <w:spacing w:after="0" w:line="240" w:lineRule="auto"/>
              <w:contextualSpacing/>
              <w:jc w:val="both"/>
              <w:rPr>
                <w:rFonts w:ascii="Times New Roman" w:hAnsi="Times New Roman" w:cs="Times New Roman"/>
                <w:i/>
                <w:iCs/>
                <w:sz w:val="16"/>
                <w:szCs w:val="16"/>
              </w:rPr>
            </w:pPr>
            <w:r w:rsidRPr="0049512D">
              <w:rPr>
                <w:rFonts w:ascii="Times New Roman" w:hAnsi="Times New Roman" w:cs="Times New Roman"/>
                <w:i/>
                <w:iCs/>
                <w:sz w:val="16"/>
                <w:szCs w:val="16"/>
              </w:rPr>
              <w:t>Brachionus</w:t>
            </w:r>
            <w:r w:rsidR="00D90E41" w:rsidRPr="0049512D">
              <w:rPr>
                <w:rFonts w:ascii="Times New Roman" w:hAnsi="Times New Roman" w:cs="Times New Roman"/>
                <w:i/>
                <w:iCs/>
                <w:sz w:val="16"/>
                <w:szCs w:val="16"/>
              </w:rPr>
              <w:t xml:space="preserve"> </w:t>
            </w:r>
            <w:r w:rsidRPr="0049512D">
              <w:rPr>
                <w:rFonts w:ascii="Times New Roman" w:hAnsi="Times New Roman" w:cs="Times New Roman"/>
                <w:i/>
                <w:iCs/>
                <w:sz w:val="16"/>
                <w:szCs w:val="16"/>
              </w:rPr>
              <w:t>koreanus</w:t>
            </w:r>
          </w:p>
        </w:tc>
        <w:tc>
          <w:tcPr>
            <w:tcW w:w="2693" w:type="dxa"/>
          </w:tcPr>
          <w:p w:rsidR="00EB75A8" w:rsidRPr="0049512D" w:rsidRDefault="00EB75A8" w:rsidP="00AC7338">
            <w:pPr>
              <w:pStyle w:val="Heading1"/>
              <w:spacing w:before="0" w:line="240" w:lineRule="auto"/>
              <w:contextualSpacing/>
              <w:jc w:val="both"/>
              <w:outlineLvl w:val="0"/>
              <w:rPr>
                <w:rFonts w:ascii="Times New Roman" w:hAnsi="Times New Roman" w:cs="Times New Roman"/>
                <w:color w:val="auto"/>
                <w:sz w:val="16"/>
                <w:szCs w:val="16"/>
              </w:rPr>
            </w:pPr>
            <w:r w:rsidRPr="0049512D">
              <w:rPr>
                <w:rStyle w:val="title-text"/>
                <w:rFonts w:ascii="Times New Roman" w:hAnsi="Times New Roman" w:cs="Times New Roman"/>
                <w:color w:val="auto"/>
                <w:sz w:val="16"/>
                <w:szCs w:val="16"/>
              </w:rPr>
              <w:t>A</w:t>
            </w:r>
            <w:r w:rsidR="000C3DA4" w:rsidRPr="0049512D">
              <w:rPr>
                <w:rStyle w:val="title-text"/>
                <w:rFonts w:ascii="Times New Roman" w:hAnsi="Times New Roman" w:cs="Times New Roman"/>
                <w:color w:val="auto"/>
                <w:sz w:val="16"/>
                <w:szCs w:val="16"/>
              </w:rPr>
              <w:t>C</w:t>
            </w:r>
            <w:r w:rsidRPr="0049512D">
              <w:rPr>
                <w:rStyle w:val="title-text"/>
                <w:rFonts w:ascii="Times New Roman" w:hAnsi="Times New Roman" w:cs="Times New Roman"/>
                <w:color w:val="auto"/>
                <w:sz w:val="16"/>
                <w:szCs w:val="16"/>
              </w:rPr>
              <w:t>hE activity assessed</w:t>
            </w:r>
          </w:p>
          <w:p w:rsidR="00EB75A8" w:rsidRPr="0049512D" w:rsidRDefault="00EB75A8" w:rsidP="00AC7338">
            <w:pPr>
              <w:spacing w:after="0" w:line="240" w:lineRule="auto"/>
              <w:contextualSpacing/>
              <w:jc w:val="both"/>
              <w:rPr>
                <w:rFonts w:ascii="Times New Roman" w:hAnsi="Times New Roman" w:cs="Times New Roman"/>
                <w:sz w:val="16"/>
                <w:szCs w:val="16"/>
              </w:rPr>
            </w:pPr>
          </w:p>
        </w:tc>
        <w:tc>
          <w:tcPr>
            <w:tcW w:w="1134" w:type="dxa"/>
          </w:tcPr>
          <w:p w:rsidR="00EB75A8" w:rsidRPr="0049512D" w:rsidRDefault="00EB75A8" w:rsidP="00AC7338">
            <w:pPr>
              <w:spacing w:after="0" w:line="240" w:lineRule="auto"/>
              <w:contextualSpacing/>
              <w:jc w:val="both"/>
              <w:rPr>
                <w:rFonts w:ascii="Times New Roman" w:hAnsi="Times New Roman" w:cs="Times New Roman"/>
                <w:sz w:val="16"/>
                <w:szCs w:val="16"/>
              </w:rPr>
            </w:pPr>
            <w:r w:rsidRPr="0049512D">
              <w:rPr>
                <w:rFonts w:ascii="Times New Roman" w:hAnsi="Times New Roman" w:cs="Times New Roman"/>
                <w:sz w:val="16"/>
                <w:szCs w:val="16"/>
              </w:rPr>
              <w:t>24h</w:t>
            </w:r>
          </w:p>
        </w:tc>
        <w:tc>
          <w:tcPr>
            <w:tcW w:w="1134" w:type="dxa"/>
          </w:tcPr>
          <w:p w:rsidR="00EB75A8" w:rsidRPr="0049512D" w:rsidRDefault="00EB75A8" w:rsidP="00AC7338">
            <w:pPr>
              <w:spacing w:after="0" w:line="240" w:lineRule="auto"/>
              <w:contextualSpacing/>
              <w:jc w:val="both"/>
              <w:rPr>
                <w:rFonts w:ascii="Times New Roman" w:hAnsi="Times New Roman" w:cs="Times New Roman"/>
                <w:sz w:val="16"/>
                <w:szCs w:val="16"/>
              </w:rPr>
            </w:pPr>
            <w:r w:rsidRPr="0049512D">
              <w:rPr>
                <w:rFonts w:ascii="Times New Roman" w:hAnsi="Times New Roman" w:cs="Times New Roman"/>
                <w:sz w:val="16"/>
                <w:szCs w:val="16"/>
              </w:rPr>
              <w:t>0.1, 1, 10, 100, 1000, 10,000, 100,000 μg/L</w:t>
            </w:r>
          </w:p>
        </w:tc>
        <w:tc>
          <w:tcPr>
            <w:tcW w:w="1559" w:type="dxa"/>
          </w:tcPr>
          <w:p w:rsidR="00EB75A8" w:rsidRPr="0049512D" w:rsidRDefault="00EB75A8" w:rsidP="00AC7338">
            <w:pPr>
              <w:pStyle w:val="ListParagraph"/>
              <w:numPr>
                <w:ilvl w:val="0"/>
                <w:numId w:val="7"/>
              </w:numPr>
              <w:spacing w:after="0" w:line="240" w:lineRule="auto"/>
              <w:ind w:left="175" w:hanging="142"/>
              <w:jc w:val="both"/>
              <w:rPr>
                <w:rFonts w:ascii="Times New Roman" w:hAnsi="Times New Roman" w:cs="Times New Roman"/>
                <w:sz w:val="16"/>
                <w:szCs w:val="16"/>
              </w:rPr>
            </w:pPr>
            <w:r w:rsidRPr="0049512D">
              <w:rPr>
                <w:rFonts w:ascii="Times New Roman" w:hAnsi="Times New Roman" w:cs="Times New Roman"/>
                <w:sz w:val="16"/>
                <w:szCs w:val="16"/>
              </w:rPr>
              <w:t xml:space="preserve">Inhibition of </w:t>
            </w:r>
            <w:r w:rsidR="000C3DA4" w:rsidRPr="0049512D">
              <w:rPr>
                <w:rStyle w:val="title-text"/>
                <w:rFonts w:ascii="Times New Roman" w:hAnsi="Times New Roman" w:cs="Times New Roman"/>
                <w:sz w:val="16"/>
                <w:szCs w:val="16"/>
              </w:rPr>
              <w:t>AChE</w:t>
            </w:r>
            <w:r w:rsidRPr="0049512D">
              <w:rPr>
                <w:rFonts w:ascii="Times New Roman" w:hAnsi="Times New Roman" w:cs="Times New Roman"/>
                <w:sz w:val="16"/>
                <w:szCs w:val="16"/>
              </w:rPr>
              <w:t xml:space="preserve"> activity</w:t>
            </w:r>
          </w:p>
          <w:p w:rsidR="00EB75A8" w:rsidRPr="0049512D" w:rsidRDefault="00EB75A8" w:rsidP="00AC7338">
            <w:pPr>
              <w:pStyle w:val="ListParagraph"/>
              <w:spacing w:after="0" w:line="240" w:lineRule="auto"/>
              <w:ind w:left="175" w:hanging="142"/>
              <w:jc w:val="both"/>
              <w:rPr>
                <w:rFonts w:ascii="Times New Roman" w:hAnsi="Times New Roman" w:cs="Times New Roman"/>
                <w:sz w:val="16"/>
                <w:szCs w:val="16"/>
              </w:rPr>
            </w:pPr>
          </w:p>
        </w:tc>
        <w:tc>
          <w:tcPr>
            <w:tcW w:w="1196" w:type="dxa"/>
          </w:tcPr>
          <w:p w:rsidR="00EB75A8" w:rsidRPr="0049512D" w:rsidRDefault="00EB75A8" w:rsidP="00AC7338">
            <w:pPr>
              <w:spacing w:after="0" w:line="240" w:lineRule="auto"/>
              <w:contextualSpacing/>
              <w:jc w:val="both"/>
              <w:rPr>
                <w:rFonts w:ascii="Times New Roman" w:hAnsi="Times New Roman" w:cs="Times New Roman"/>
                <w:sz w:val="16"/>
                <w:szCs w:val="16"/>
              </w:rPr>
            </w:pPr>
            <w:r w:rsidRPr="0049512D">
              <w:rPr>
                <w:rFonts w:ascii="Times New Roman" w:hAnsi="Times New Roman" w:cs="Times New Roman"/>
                <w:sz w:val="16"/>
                <w:szCs w:val="16"/>
              </w:rPr>
              <w:t>Rhee et al. (2013)</w:t>
            </w:r>
          </w:p>
        </w:tc>
      </w:tr>
      <w:tr w:rsidR="00D90E41" w:rsidRPr="0049512D" w:rsidTr="00AC7338">
        <w:tc>
          <w:tcPr>
            <w:tcW w:w="1526" w:type="dxa"/>
          </w:tcPr>
          <w:p w:rsidR="00EB75A8" w:rsidRPr="0049512D" w:rsidRDefault="00EB75A8" w:rsidP="00AC7338">
            <w:pPr>
              <w:spacing w:after="0" w:line="240" w:lineRule="auto"/>
              <w:contextualSpacing/>
              <w:jc w:val="both"/>
              <w:rPr>
                <w:rFonts w:ascii="Times New Roman" w:hAnsi="Times New Roman" w:cs="Times New Roman"/>
                <w:i/>
                <w:iCs/>
                <w:sz w:val="16"/>
                <w:szCs w:val="16"/>
              </w:rPr>
            </w:pPr>
            <w:r w:rsidRPr="0049512D">
              <w:rPr>
                <w:rFonts w:ascii="Times New Roman" w:hAnsi="Times New Roman" w:cs="Times New Roman"/>
                <w:i/>
                <w:iCs/>
                <w:sz w:val="16"/>
                <w:szCs w:val="16"/>
              </w:rPr>
              <w:t>Oncorhynchus mykiss</w:t>
            </w:r>
          </w:p>
        </w:tc>
        <w:tc>
          <w:tcPr>
            <w:tcW w:w="2693" w:type="dxa"/>
          </w:tcPr>
          <w:p w:rsidR="00EB75A8" w:rsidRPr="0049512D" w:rsidRDefault="000C3DA4" w:rsidP="00AC7338">
            <w:pPr>
              <w:spacing w:after="0" w:line="240" w:lineRule="auto"/>
              <w:contextualSpacing/>
              <w:jc w:val="both"/>
              <w:rPr>
                <w:rFonts w:ascii="Times New Roman" w:hAnsi="Times New Roman" w:cs="Times New Roman"/>
                <w:sz w:val="16"/>
                <w:szCs w:val="16"/>
              </w:rPr>
            </w:pPr>
            <w:r w:rsidRPr="0049512D">
              <w:rPr>
                <w:rFonts w:ascii="Times New Roman" w:hAnsi="Times New Roman" w:cs="Times New Roman"/>
                <w:sz w:val="16"/>
                <w:szCs w:val="16"/>
              </w:rPr>
              <w:t>Biochemical biomarkers:</w:t>
            </w:r>
            <w:r w:rsidR="00EB75A8" w:rsidRPr="0049512D">
              <w:rPr>
                <w:rFonts w:ascii="Times New Roman" w:hAnsi="Times New Roman" w:cs="Times New Roman"/>
                <w:sz w:val="16"/>
                <w:szCs w:val="16"/>
              </w:rPr>
              <w:t xml:space="preserve"> CAT, GPx, glutathione reductase (GRed) and GSTs activity and also </w:t>
            </w:r>
            <w:r w:rsidR="00AC7338" w:rsidRPr="0049512D">
              <w:rPr>
                <w:rFonts w:ascii="Times New Roman" w:hAnsi="Times New Roman" w:cs="Times New Roman"/>
                <w:sz w:val="16"/>
                <w:szCs w:val="16"/>
              </w:rPr>
              <w:t>LPL, TBARS</w:t>
            </w:r>
            <w:r w:rsidR="00EB75A8" w:rsidRPr="0049512D">
              <w:rPr>
                <w:rFonts w:ascii="Times New Roman" w:hAnsi="Times New Roman" w:cs="Times New Roman"/>
                <w:sz w:val="16"/>
                <w:szCs w:val="16"/>
              </w:rPr>
              <w:t xml:space="preserve"> assessed</w:t>
            </w:r>
          </w:p>
          <w:p w:rsidR="00EB75A8" w:rsidRPr="0049512D" w:rsidRDefault="00EB75A8" w:rsidP="00AC7338">
            <w:pPr>
              <w:spacing w:after="0" w:line="240" w:lineRule="auto"/>
              <w:contextualSpacing/>
              <w:jc w:val="both"/>
              <w:rPr>
                <w:rFonts w:ascii="Times New Roman" w:hAnsi="Times New Roman" w:cs="Times New Roman"/>
                <w:sz w:val="16"/>
                <w:szCs w:val="16"/>
              </w:rPr>
            </w:pPr>
          </w:p>
        </w:tc>
        <w:tc>
          <w:tcPr>
            <w:tcW w:w="1134" w:type="dxa"/>
          </w:tcPr>
          <w:p w:rsidR="00EB75A8" w:rsidRPr="0049512D" w:rsidRDefault="00EB75A8" w:rsidP="00AC7338">
            <w:pPr>
              <w:spacing w:after="0" w:line="240" w:lineRule="auto"/>
              <w:contextualSpacing/>
              <w:jc w:val="both"/>
              <w:rPr>
                <w:rFonts w:ascii="Times New Roman" w:hAnsi="Times New Roman" w:cs="Times New Roman"/>
                <w:sz w:val="16"/>
                <w:szCs w:val="16"/>
              </w:rPr>
            </w:pPr>
            <w:r w:rsidRPr="0049512D">
              <w:rPr>
                <w:rFonts w:ascii="Times New Roman" w:hAnsi="Times New Roman" w:cs="Times New Roman"/>
                <w:sz w:val="16"/>
                <w:szCs w:val="16"/>
              </w:rPr>
              <w:t>96 h (acute exposure), 28 days (chronic exposure)</w:t>
            </w:r>
          </w:p>
        </w:tc>
        <w:tc>
          <w:tcPr>
            <w:tcW w:w="1134" w:type="dxa"/>
          </w:tcPr>
          <w:p w:rsidR="00EB75A8" w:rsidRPr="0049512D" w:rsidRDefault="00EB75A8" w:rsidP="00AC7338">
            <w:pPr>
              <w:spacing w:after="0" w:line="240" w:lineRule="auto"/>
              <w:contextualSpacing/>
              <w:jc w:val="both"/>
              <w:rPr>
                <w:rFonts w:ascii="Times New Roman" w:hAnsi="Times New Roman" w:cs="Times New Roman"/>
                <w:sz w:val="16"/>
                <w:szCs w:val="16"/>
              </w:rPr>
            </w:pPr>
            <w:r w:rsidRPr="0049512D">
              <w:rPr>
                <w:rFonts w:ascii="Times New Roman" w:hAnsi="Times New Roman" w:cs="Times New Roman"/>
                <w:sz w:val="16"/>
                <w:szCs w:val="16"/>
              </w:rPr>
              <w:t>0.05, 0.5, 5 mg/L (acute exposure), 12.5, 25, 50 μg/L (chronic exposure)</w:t>
            </w:r>
          </w:p>
        </w:tc>
        <w:tc>
          <w:tcPr>
            <w:tcW w:w="1559" w:type="dxa"/>
          </w:tcPr>
          <w:p w:rsidR="00EB75A8" w:rsidRPr="0049512D" w:rsidRDefault="00EB75A8" w:rsidP="00AC7338">
            <w:pPr>
              <w:pStyle w:val="ListParagraph"/>
              <w:numPr>
                <w:ilvl w:val="0"/>
                <w:numId w:val="7"/>
              </w:numPr>
              <w:spacing w:after="0" w:line="240" w:lineRule="auto"/>
              <w:ind w:left="175" w:hanging="142"/>
              <w:jc w:val="both"/>
              <w:rPr>
                <w:rFonts w:ascii="Times New Roman" w:hAnsi="Times New Roman" w:cs="Times New Roman"/>
                <w:sz w:val="16"/>
                <w:szCs w:val="16"/>
              </w:rPr>
            </w:pPr>
            <w:r w:rsidRPr="0049512D">
              <w:rPr>
                <w:rFonts w:ascii="Times New Roman" w:hAnsi="Times New Roman" w:cs="Times New Roman"/>
                <w:sz w:val="16"/>
                <w:szCs w:val="16"/>
              </w:rPr>
              <w:t xml:space="preserve">Increase in catalase activity </w:t>
            </w:r>
          </w:p>
          <w:p w:rsidR="00EB75A8" w:rsidRPr="0049512D" w:rsidRDefault="00EB75A8" w:rsidP="00AC7338">
            <w:pPr>
              <w:pStyle w:val="ListParagraph"/>
              <w:numPr>
                <w:ilvl w:val="0"/>
                <w:numId w:val="7"/>
              </w:numPr>
              <w:spacing w:after="0" w:line="240" w:lineRule="auto"/>
              <w:ind w:left="175" w:hanging="142"/>
              <w:jc w:val="both"/>
              <w:rPr>
                <w:rFonts w:ascii="Times New Roman" w:hAnsi="Times New Roman" w:cs="Times New Roman"/>
                <w:sz w:val="16"/>
                <w:szCs w:val="16"/>
              </w:rPr>
            </w:pPr>
            <w:r w:rsidRPr="0049512D">
              <w:rPr>
                <w:rFonts w:ascii="Times New Roman" w:hAnsi="Times New Roman" w:cs="Times New Roman"/>
                <w:sz w:val="16"/>
                <w:szCs w:val="16"/>
              </w:rPr>
              <w:t xml:space="preserve">Increase in </w:t>
            </w:r>
            <w:r w:rsidR="000C3DA4" w:rsidRPr="0049512D">
              <w:rPr>
                <w:rFonts w:ascii="Times New Roman" w:hAnsi="Times New Roman" w:cs="Times New Roman"/>
                <w:sz w:val="16"/>
                <w:szCs w:val="16"/>
              </w:rPr>
              <w:t>GPx</w:t>
            </w:r>
            <w:r w:rsidRPr="0049512D">
              <w:rPr>
                <w:rFonts w:ascii="Times New Roman" w:hAnsi="Times New Roman" w:cs="Times New Roman"/>
                <w:sz w:val="16"/>
                <w:szCs w:val="16"/>
              </w:rPr>
              <w:t xml:space="preserve"> activity</w:t>
            </w:r>
          </w:p>
        </w:tc>
        <w:tc>
          <w:tcPr>
            <w:tcW w:w="1196" w:type="dxa"/>
          </w:tcPr>
          <w:p w:rsidR="00EB75A8" w:rsidRPr="0049512D" w:rsidRDefault="00EB75A8" w:rsidP="00AC7338">
            <w:pPr>
              <w:spacing w:after="0" w:line="240" w:lineRule="auto"/>
              <w:contextualSpacing/>
              <w:jc w:val="both"/>
              <w:rPr>
                <w:rFonts w:ascii="Times New Roman" w:hAnsi="Times New Roman" w:cs="Times New Roman"/>
                <w:sz w:val="16"/>
                <w:szCs w:val="16"/>
              </w:rPr>
            </w:pPr>
            <w:r w:rsidRPr="0049512D">
              <w:rPr>
                <w:rFonts w:ascii="Times New Roman" w:hAnsi="Times New Roman" w:cs="Times New Roman"/>
                <w:sz w:val="16"/>
                <w:szCs w:val="16"/>
              </w:rPr>
              <w:t>Ramos et al. (2014)</w:t>
            </w:r>
          </w:p>
        </w:tc>
      </w:tr>
      <w:tr w:rsidR="00D90E41" w:rsidRPr="0049512D" w:rsidTr="00AC7338">
        <w:tc>
          <w:tcPr>
            <w:tcW w:w="1526" w:type="dxa"/>
          </w:tcPr>
          <w:p w:rsidR="00EB75A8" w:rsidRPr="0049512D" w:rsidRDefault="00EB75A8" w:rsidP="00AC7338">
            <w:pPr>
              <w:spacing w:after="0" w:line="240" w:lineRule="auto"/>
              <w:contextualSpacing/>
              <w:jc w:val="both"/>
              <w:rPr>
                <w:rFonts w:ascii="Times New Roman" w:hAnsi="Times New Roman" w:cs="Times New Roman"/>
                <w:i/>
                <w:iCs/>
                <w:sz w:val="16"/>
                <w:szCs w:val="16"/>
              </w:rPr>
            </w:pPr>
            <w:r w:rsidRPr="0049512D">
              <w:rPr>
                <w:rFonts w:ascii="Times New Roman" w:hAnsi="Times New Roman" w:cs="Times New Roman"/>
                <w:i/>
                <w:iCs/>
                <w:sz w:val="16"/>
                <w:szCs w:val="16"/>
              </w:rPr>
              <w:t> </w:t>
            </w:r>
            <w:r w:rsidRPr="0049512D">
              <w:rPr>
                <w:rStyle w:val="Emphasis"/>
                <w:rFonts w:ascii="Times New Roman" w:hAnsi="Times New Roman" w:cs="Times New Roman"/>
                <w:sz w:val="16"/>
                <w:szCs w:val="16"/>
              </w:rPr>
              <w:t>Tisbebatta</w:t>
            </w:r>
            <w:r w:rsidR="00D90E41" w:rsidRPr="0049512D">
              <w:rPr>
                <w:rStyle w:val="Emphasis"/>
                <w:rFonts w:ascii="Times New Roman" w:hAnsi="Times New Roman" w:cs="Times New Roman"/>
                <w:sz w:val="16"/>
                <w:szCs w:val="16"/>
              </w:rPr>
              <w:t xml:space="preserve"> </w:t>
            </w:r>
            <w:r w:rsidRPr="0049512D">
              <w:rPr>
                <w:rStyle w:val="Emphasis"/>
                <w:rFonts w:ascii="Times New Roman" w:hAnsi="Times New Roman" w:cs="Times New Roman"/>
                <w:sz w:val="16"/>
                <w:szCs w:val="16"/>
              </w:rPr>
              <w:t>gliai.</w:t>
            </w:r>
          </w:p>
        </w:tc>
        <w:tc>
          <w:tcPr>
            <w:tcW w:w="2693" w:type="dxa"/>
          </w:tcPr>
          <w:p w:rsidR="00EB75A8" w:rsidRPr="0049512D" w:rsidRDefault="00EB75A8" w:rsidP="00AC7338">
            <w:pPr>
              <w:spacing w:after="0" w:line="240" w:lineRule="auto"/>
              <w:contextualSpacing/>
              <w:jc w:val="both"/>
              <w:rPr>
                <w:rFonts w:ascii="Times New Roman" w:hAnsi="Times New Roman" w:cs="Times New Roman"/>
                <w:sz w:val="16"/>
                <w:szCs w:val="16"/>
              </w:rPr>
            </w:pPr>
            <w:r w:rsidRPr="0049512D">
              <w:rPr>
                <w:rFonts w:ascii="Times New Roman" w:hAnsi="Times New Roman" w:cs="Times New Roman"/>
                <w:sz w:val="16"/>
                <w:szCs w:val="16"/>
              </w:rPr>
              <w:t>Evaluation was done by calculating risk quotients (RQs) based on MEC (the highest exposure concentration of the compound in the medium)/PNEC (predicted no effect concentration) ratios</w:t>
            </w:r>
          </w:p>
        </w:tc>
        <w:tc>
          <w:tcPr>
            <w:tcW w:w="1134" w:type="dxa"/>
          </w:tcPr>
          <w:p w:rsidR="00EB75A8" w:rsidRPr="0049512D" w:rsidRDefault="00EB75A8" w:rsidP="00AC7338">
            <w:pPr>
              <w:spacing w:after="0" w:line="240" w:lineRule="auto"/>
              <w:contextualSpacing/>
              <w:jc w:val="both"/>
              <w:rPr>
                <w:rFonts w:ascii="Times New Roman" w:hAnsi="Times New Roman" w:cs="Times New Roman"/>
                <w:sz w:val="16"/>
                <w:szCs w:val="16"/>
              </w:rPr>
            </w:pPr>
            <w:r w:rsidRPr="0049512D">
              <w:rPr>
                <w:rFonts w:ascii="Times New Roman" w:hAnsi="Times New Roman" w:cs="Times New Roman"/>
                <w:sz w:val="16"/>
                <w:szCs w:val="16"/>
              </w:rPr>
              <w:t xml:space="preserve">48 h </w:t>
            </w:r>
          </w:p>
        </w:tc>
        <w:tc>
          <w:tcPr>
            <w:tcW w:w="1134" w:type="dxa"/>
          </w:tcPr>
          <w:p w:rsidR="00EB75A8" w:rsidRPr="0049512D" w:rsidRDefault="00EB75A8" w:rsidP="00AC7338">
            <w:pPr>
              <w:spacing w:after="0" w:line="240" w:lineRule="auto"/>
              <w:contextualSpacing/>
              <w:jc w:val="both"/>
              <w:rPr>
                <w:rFonts w:ascii="Times New Roman" w:hAnsi="Times New Roman" w:cs="Times New Roman"/>
                <w:sz w:val="16"/>
                <w:szCs w:val="16"/>
              </w:rPr>
            </w:pPr>
            <w:r w:rsidRPr="0049512D">
              <w:rPr>
                <w:rFonts w:ascii="Times New Roman" w:hAnsi="Times New Roman" w:cs="Times New Roman"/>
                <w:sz w:val="16"/>
                <w:szCs w:val="16"/>
              </w:rPr>
              <w:t>1.7, 2.2 ,3.4, 4.5 ,6.7, 8.4, 11.2, 16.8, 17.0, 22.6, 25.5, 34.0, 33.9, 51.0 mg/L ( in mixture with other pharmaceuticals)</w:t>
            </w:r>
          </w:p>
        </w:tc>
        <w:tc>
          <w:tcPr>
            <w:tcW w:w="1559" w:type="dxa"/>
          </w:tcPr>
          <w:p w:rsidR="00EB75A8" w:rsidRPr="0049512D" w:rsidRDefault="00AC7338" w:rsidP="00AC7338">
            <w:pPr>
              <w:pStyle w:val="ListParagraph"/>
              <w:numPr>
                <w:ilvl w:val="0"/>
                <w:numId w:val="7"/>
              </w:numPr>
              <w:spacing w:after="0" w:line="240" w:lineRule="auto"/>
              <w:ind w:left="175" w:hanging="142"/>
              <w:jc w:val="both"/>
              <w:rPr>
                <w:rFonts w:ascii="Times New Roman" w:hAnsi="Times New Roman" w:cs="Times New Roman"/>
                <w:sz w:val="16"/>
                <w:szCs w:val="16"/>
              </w:rPr>
            </w:pPr>
            <w:r w:rsidRPr="0049512D">
              <w:rPr>
                <w:rFonts w:ascii="Times New Roman" w:hAnsi="Times New Roman" w:cs="Times New Roman"/>
                <w:sz w:val="16"/>
                <w:szCs w:val="16"/>
              </w:rPr>
              <w:t>At environmental conc.</w:t>
            </w:r>
            <w:r w:rsidR="00EB75A8" w:rsidRPr="0049512D">
              <w:rPr>
                <w:rFonts w:ascii="Times New Roman" w:hAnsi="Times New Roman" w:cs="Times New Roman"/>
                <w:sz w:val="16"/>
                <w:szCs w:val="16"/>
              </w:rPr>
              <w:t>, low or no risk.</w:t>
            </w:r>
          </w:p>
          <w:p w:rsidR="00EB75A8" w:rsidRPr="0049512D" w:rsidRDefault="00EB75A8" w:rsidP="00AC7338">
            <w:pPr>
              <w:spacing w:after="0" w:line="240" w:lineRule="auto"/>
              <w:ind w:left="175" w:hanging="142"/>
              <w:jc w:val="both"/>
              <w:rPr>
                <w:rFonts w:ascii="Times New Roman" w:hAnsi="Times New Roman" w:cs="Times New Roman"/>
                <w:sz w:val="16"/>
                <w:szCs w:val="16"/>
              </w:rPr>
            </w:pPr>
          </w:p>
        </w:tc>
        <w:tc>
          <w:tcPr>
            <w:tcW w:w="1196" w:type="dxa"/>
          </w:tcPr>
          <w:p w:rsidR="00EB75A8" w:rsidRPr="0049512D" w:rsidRDefault="00EB75A8" w:rsidP="00AC7338">
            <w:pPr>
              <w:spacing w:after="0" w:line="240" w:lineRule="auto"/>
              <w:contextualSpacing/>
              <w:jc w:val="both"/>
              <w:rPr>
                <w:rFonts w:ascii="Times New Roman" w:hAnsi="Times New Roman" w:cs="Times New Roman"/>
                <w:sz w:val="16"/>
                <w:szCs w:val="16"/>
              </w:rPr>
            </w:pPr>
            <w:r w:rsidRPr="0049512D">
              <w:rPr>
                <w:rFonts w:ascii="Times New Roman" w:hAnsi="Times New Roman" w:cs="Times New Roman"/>
                <w:sz w:val="16"/>
                <w:szCs w:val="16"/>
              </w:rPr>
              <w:t>Trombini et al. (2016)</w:t>
            </w:r>
          </w:p>
        </w:tc>
      </w:tr>
      <w:tr w:rsidR="00D90E41" w:rsidRPr="0049512D" w:rsidTr="00AC7338">
        <w:tc>
          <w:tcPr>
            <w:tcW w:w="1526" w:type="dxa"/>
          </w:tcPr>
          <w:p w:rsidR="00EB75A8" w:rsidRPr="0049512D" w:rsidRDefault="00EB75A8" w:rsidP="00AC7338">
            <w:pPr>
              <w:spacing w:after="0" w:line="240" w:lineRule="auto"/>
              <w:contextualSpacing/>
              <w:rPr>
                <w:rFonts w:ascii="Times New Roman" w:hAnsi="Times New Roman" w:cs="Times New Roman"/>
                <w:i/>
                <w:iCs/>
                <w:sz w:val="16"/>
                <w:szCs w:val="16"/>
              </w:rPr>
            </w:pPr>
            <w:r w:rsidRPr="0049512D">
              <w:rPr>
                <w:rFonts w:ascii="Times New Roman" w:hAnsi="Times New Roman" w:cs="Times New Roman"/>
                <w:i/>
                <w:iCs/>
                <w:sz w:val="16"/>
                <w:szCs w:val="16"/>
                <w:shd w:val="clear" w:color="auto" w:fill="FFFFFF"/>
              </w:rPr>
              <w:t>Hediste</w:t>
            </w:r>
            <w:r w:rsidR="00D90E41" w:rsidRPr="0049512D">
              <w:rPr>
                <w:rFonts w:ascii="Times New Roman" w:hAnsi="Times New Roman" w:cs="Times New Roman"/>
                <w:i/>
                <w:iCs/>
                <w:sz w:val="16"/>
                <w:szCs w:val="16"/>
                <w:shd w:val="clear" w:color="auto" w:fill="FFFFFF"/>
              </w:rPr>
              <w:t xml:space="preserve"> </w:t>
            </w:r>
            <w:r w:rsidR="00385A0C" w:rsidRPr="0049512D">
              <w:rPr>
                <w:rFonts w:ascii="Times New Roman" w:hAnsi="Times New Roman" w:cs="Times New Roman"/>
                <w:i/>
                <w:iCs/>
                <w:sz w:val="16"/>
                <w:szCs w:val="16"/>
                <w:shd w:val="clear" w:color="auto" w:fill="FFFFFF"/>
              </w:rPr>
              <w:t>di</w:t>
            </w:r>
            <w:r w:rsidRPr="0049512D">
              <w:rPr>
                <w:rFonts w:ascii="Times New Roman" w:hAnsi="Times New Roman" w:cs="Times New Roman"/>
                <w:i/>
                <w:iCs/>
                <w:sz w:val="16"/>
                <w:szCs w:val="16"/>
                <w:shd w:val="clear" w:color="auto" w:fill="FFFFFF"/>
              </w:rPr>
              <w:t>versicolor</w:t>
            </w:r>
          </w:p>
        </w:tc>
        <w:tc>
          <w:tcPr>
            <w:tcW w:w="2693" w:type="dxa"/>
          </w:tcPr>
          <w:p w:rsidR="00EB75A8" w:rsidRPr="0049512D" w:rsidRDefault="00EB75A8" w:rsidP="00AC7338">
            <w:pPr>
              <w:spacing w:after="0" w:line="240" w:lineRule="auto"/>
              <w:contextualSpacing/>
              <w:jc w:val="both"/>
              <w:rPr>
                <w:rFonts w:ascii="Times New Roman" w:hAnsi="Times New Roman" w:cs="Times New Roman"/>
                <w:sz w:val="16"/>
                <w:szCs w:val="16"/>
                <w:shd w:val="clear" w:color="auto" w:fill="FFFFFF"/>
              </w:rPr>
            </w:pPr>
            <w:r w:rsidRPr="0049512D">
              <w:rPr>
                <w:rFonts w:ascii="Times New Roman" w:hAnsi="Times New Roman" w:cs="Times New Roman"/>
                <w:sz w:val="16"/>
                <w:szCs w:val="16"/>
                <w:shd w:val="clear" w:color="auto" w:fill="FFFFFF"/>
              </w:rPr>
              <w:t xml:space="preserve">Biomarkers such as CAT, GSTs, AChE, and cyclooxygenase (COX) activities, </w:t>
            </w:r>
            <w:r w:rsidR="00AC7338" w:rsidRPr="0049512D">
              <w:rPr>
                <w:rFonts w:ascii="Times New Roman" w:hAnsi="Times New Roman" w:cs="Times New Roman"/>
                <w:sz w:val="16"/>
                <w:szCs w:val="16"/>
                <w:shd w:val="clear" w:color="auto" w:fill="FFFFFF"/>
              </w:rPr>
              <w:t xml:space="preserve">LPL, </w:t>
            </w:r>
            <w:r w:rsidRPr="0049512D">
              <w:rPr>
                <w:rFonts w:ascii="Times New Roman" w:hAnsi="Times New Roman" w:cs="Times New Roman"/>
                <w:sz w:val="16"/>
                <w:szCs w:val="16"/>
                <w:shd w:val="clear" w:color="auto" w:fill="FFFFFF"/>
              </w:rPr>
              <w:t xml:space="preserve">TBARS </w:t>
            </w:r>
          </w:p>
        </w:tc>
        <w:tc>
          <w:tcPr>
            <w:tcW w:w="1134" w:type="dxa"/>
          </w:tcPr>
          <w:p w:rsidR="00EB75A8" w:rsidRPr="0049512D" w:rsidRDefault="00EB75A8" w:rsidP="00AC7338">
            <w:pPr>
              <w:spacing w:after="0" w:line="240" w:lineRule="auto"/>
              <w:contextualSpacing/>
              <w:jc w:val="both"/>
              <w:rPr>
                <w:rFonts w:ascii="Times New Roman" w:hAnsi="Times New Roman" w:cs="Times New Roman"/>
                <w:sz w:val="16"/>
                <w:szCs w:val="16"/>
              </w:rPr>
            </w:pPr>
            <w:r w:rsidRPr="0049512D">
              <w:rPr>
                <w:rFonts w:ascii="Times New Roman" w:hAnsi="Times New Roman" w:cs="Times New Roman"/>
                <w:sz w:val="16"/>
                <w:szCs w:val="16"/>
                <w:shd w:val="clear" w:color="auto" w:fill="FFFFFF"/>
              </w:rPr>
              <w:t>28 days</w:t>
            </w:r>
          </w:p>
        </w:tc>
        <w:tc>
          <w:tcPr>
            <w:tcW w:w="1134" w:type="dxa"/>
          </w:tcPr>
          <w:p w:rsidR="00EB75A8" w:rsidRPr="0049512D" w:rsidRDefault="00EB75A8" w:rsidP="00AC7338">
            <w:pPr>
              <w:spacing w:after="0" w:line="240" w:lineRule="auto"/>
              <w:contextualSpacing/>
              <w:jc w:val="both"/>
              <w:rPr>
                <w:rFonts w:ascii="Times New Roman" w:hAnsi="Times New Roman" w:cs="Times New Roman"/>
                <w:sz w:val="16"/>
                <w:szCs w:val="16"/>
              </w:rPr>
            </w:pPr>
            <w:r w:rsidRPr="0049512D">
              <w:rPr>
                <w:rFonts w:ascii="Times New Roman" w:hAnsi="Times New Roman" w:cs="Times New Roman"/>
                <w:sz w:val="16"/>
                <w:szCs w:val="16"/>
                <w:shd w:val="clear" w:color="auto" w:fill="FFFFFF"/>
              </w:rPr>
              <w:t>0, 30, 60, and 120 µg/L</w:t>
            </w:r>
          </w:p>
        </w:tc>
        <w:tc>
          <w:tcPr>
            <w:tcW w:w="1559" w:type="dxa"/>
          </w:tcPr>
          <w:p w:rsidR="00EB75A8" w:rsidRPr="0049512D" w:rsidRDefault="00EB75A8" w:rsidP="00AC7338">
            <w:pPr>
              <w:pStyle w:val="ListParagraph"/>
              <w:numPr>
                <w:ilvl w:val="0"/>
                <w:numId w:val="7"/>
              </w:numPr>
              <w:spacing w:after="0" w:line="240" w:lineRule="auto"/>
              <w:ind w:left="175" w:hanging="142"/>
              <w:jc w:val="both"/>
              <w:rPr>
                <w:rFonts w:ascii="Times New Roman" w:hAnsi="Times New Roman" w:cs="Times New Roman"/>
                <w:sz w:val="16"/>
                <w:szCs w:val="16"/>
              </w:rPr>
            </w:pPr>
            <w:r w:rsidRPr="0049512D">
              <w:rPr>
                <w:rFonts w:ascii="Times New Roman" w:hAnsi="Times New Roman" w:cs="Times New Roman"/>
                <w:sz w:val="16"/>
                <w:szCs w:val="16"/>
              </w:rPr>
              <w:t>No changes are observed in COX activity</w:t>
            </w:r>
          </w:p>
          <w:p w:rsidR="00EB75A8" w:rsidRPr="0049512D" w:rsidRDefault="00EB75A8" w:rsidP="00AC7338">
            <w:pPr>
              <w:pStyle w:val="ListParagraph"/>
              <w:numPr>
                <w:ilvl w:val="0"/>
                <w:numId w:val="7"/>
              </w:numPr>
              <w:spacing w:after="0" w:line="240" w:lineRule="auto"/>
              <w:ind w:left="175" w:hanging="142"/>
              <w:jc w:val="both"/>
              <w:rPr>
                <w:rFonts w:ascii="Times New Roman" w:hAnsi="Times New Roman" w:cs="Times New Roman"/>
                <w:sz w:val="16"/>
                <w:szCs w:val="16"/>
              </w:rPr>
            </w:pPr>
            <w:r w:rsidRPr="0049512D">
              <w:rPr>
                <w:rFonts w:ascii="Times New Roman" w:hAnsi="Times New Roman" w:cs="Times New Roman"/>
                <w:sz w:val="16"/>
                <w:szCs w:val="16"/>
              </w:rPr>
              <w:t xml:space="preserve">alteration are observed in CAT activity </w:t>
            </w:r>
          </w:p>
          <w:p w:rsidR="00EB75A8" w:rsidRPr="0049512D" w:rsidRDefault="00EB75A8" w:rsidP="00AC7338">
            <w:pPr>
              <w:pStyle w:val="ListParagraph"/>
              <w:numPr>
                <w:ilvl w:val="0"/>
                <w:numId w:val="7"/>
              </w:numPr>
              <w:spacing w:after="0" w:line="240" w:lineRule="auto"/>
              <w:ind w:left="175" w:hanging="142"/>
              <w:jc w:val="both"/>
              <w:rPr>
                <w:rFonts w:ascii="Times New Roman" w:hAnsi="Times New Roman" w:cs="Times New Roman"/>
                <w:sz w:val="16"/>
                <w:szCs w:val="16"/>
              </w:rPr>
            </w:pPr>
            <w:r w:rsidRPr="0049512D">
              <w:rPr>
                <w:rFonts w:ascii="Times New Roman" w:hAnsi="Times New Roman" w:cs="Times New Roman"/>
                <w:sz w:val="16"/>
                <w:szCs w:val="16"/>
              </w:rPr>
              <w:t xml:space="preserve">decrease in GSTs Activity </w:t>
            </w:r>
          </w:p>
        </w:tc>
        <w:tc>
          <w:tcPr>
            <w:tcW w:w="1196" w:type="dxa"/>
          </w:tcPr>
          <w:p w:rsidR="00EB75A8" w:rsidRPr="0049512D" w:rsidRDefault="004C23DF" w:rsidP="00AC7338">
            <w:pPr>
              <w:spacing w:after="0" w:line="240" w:lineRule="auto"/>
              <w:contextualSpacing/>
              <w:jc w:val="both"/>
              <w:rPr>
                <w:rFonts w:ascii="Times New Roman" w:hAnsi="Times New Roman" w:cs="Times New Roman"/>
                <w:sz w:val="16"/>
                <w:szCs w:val="16"/>
              </w:rPr>
            </w:pPr>
            <w:r w:rsidRPr="0049512D">
              <w:rPr>
                <w:rFonts w:ascii="Times New Roman" w:hAnsi="Times New Roman" w:cs="Times New Roman"/>
                <w:sz w:val="16"/>
                <w:szCs w:val="16"/>
                <w:shd w:val="clear" w:color="auto" w:fill="FFFFFF"/>
              </w:rPr>
              <w:t xml:space="preserve">Daniel et al. </w:t>
            </w:r>
            <w:r w:rsidR="00EB75A8" w:rsidRPr="0049512D">
              <w:rPr>
                <w:rFonts w:ascii="Times New Roman" w:hAnsi="Times New Roman" w:cs="Times New Roman"/>
                <w:sz w:val="16"/>
                <w:szCs w:val="16"/>
                <w:shd w:val="clear" w:color="auto" w:fill="FFFFFF"/>
              </w:rPr>
              <w:t>2022</w:t>
            </w:r>
          </w:p>
        </w:tc>
      </w:tr>
    </w:tbl>
    <w:p w:rsidR="00EB75A8" w:rsidRPr="00711852" w:rsidRDefault="00EB75A8" w:rsidP="00711852">
      <w:pPr>
        <w:spacing w:after="0" w:line="480" w:lineRule="auto"/>
        <w:ind w:firstLine="720"/>
        <w:contextualSpacing/>
        <w:jc w:val="both"/>
        <w:rPr>
          <w:rFonts w:ascii="Times New Roman" w:hAnsi="Times New Roman" w:cs="Times New Roman"/>
          <w:sz w:val="24"/>
          <w:szCs w:val="24"/>
          <w:lang w:val="en-IN"/>
        </w:rPr>
      </w:pPr>
    </w:p>
    <w:p w:rsidR="00B949AE" w:rsidRPr="00711852" w:rsidRDefault="009362E9" w:rsidP="00711852">
      <w:pPr>
        <w:spacing w:after="0" w:line="480" w:lineRule="auto"/>
        <w:contextualSpacing/>
        <w:jc w:val="both"/>
        <w:rPr>
          <w:rFonts w:ascii="Times New Roman" w:hAnsi="Times New Roman" w:cs="Times New Roman"/>
          <w:sz w:val="24"/>
          <w:szCs w:val="24"/>
        </w:rPr>
      </w:pPr>
      <w:r w:rsidRPr="00711852">
        <w:rPr>
          <w:rFonts w:ascii="Times New Roman" w:hAnsi="Times New Roman" w:cs="Times New Roman"/>
          <w:sz w:val="24"/>
          <w:szCs w:val="24"/>
        </w:rPr>
        <w:lastRenderedPageBreak/>
        <w:t xml:space="preserve">The other effects related to paracetamol exposure as observed in male fish </w:t>
      </w:r>
      <w:r w:rsidRPr="00711852">
        <w:rPr>
          <w:rFonts w:ascii="Times New Roman" w:hAnsi="Times New Roman" w:cs="Times New Roman"/>
          <w:i/>
          <w:sz w:val="24"/>
          <w:szCs w:val="24"/>
        </w:rPr>
        <w:t>Rhamdia quelen</w:t>
      </w:r>
      <w:r w:rsidRPr="00711852">
        <w:rPr>
          <w:rFonts w:ascii="Times New Roman" w:hAnsi="Times New Roman" w:cs="Times New Roman"/>
          <w:sz w:val="24"/>
          <w:szCs w:val="24"/>
        </w:rPr>
        <w:t xml:space="preserve"> are severe changes of hematological parameters, i.e., reducti</w:t>
      </w:r>
      <w:r w:rsidR="0085786D">
        <w:rPr>
          <w:rFonts w:ascii="Times New Roman" w:hAnsi="Times New Roman" w:cs="Times New Roman"/>
          <w:sz w:val="24"/>
          <w:szCs w:val="24"/>
        </w:rPr>
        <w:t>on of hemoglobin and hematocrit</w:t>
      </w:r>
      <w:r w:rsidRPr="00711852">
        <w:rPr>
          <w:rFonts w:ascii="Times New Roman" w:hAnsi="Times New Roman" w:cs="Times New Roman"/>
          <w:sz w:val="24"/>
          <w:szCs w:val="24"/>
        </w:rPr>
        <w:t>,</w:t>
      </w:r>
      <w:r w:rsidR="0085786D">
        <w:rPr>
          <w:rFonts w:ascii="Times New Roman" w:hAnsi="Times New Roman" w:cs="Times New Roman"/>
          <w:sz w:val="24"/>
          <w:szCs w:val="24"/>
        </w:rPr>
        <w:t xml:space="preserve"> mild blood congestion and </w:t>
      </w:r>
      <w:r w:rsidRPr="00711852">
        <w:rPr>
          <w:rFonts w:ascii="Times New Roman" w:hAnsi="Times New Roman" w:cs="Times New Roman"/>
          <w:sz w:val="24"/>
          <w:szCs w:val="24"/>
        </w:rPr>
        <w:t xml:space="preserve">leukocyte infiltration, and disruption of hypothalamic-pituitary-gonadal axis </w:t>
      </w:r>
      <w:r w:rsidR="004C23DF" w:rsidRPr="00711852">
        <w:rPr>
          <w:rFonts w:ascii="Times New Roman" w:hAnsi="Times New Roman" w:cs="Times New Roman"/>
          <w:sz w:val="24"/>
          <w:szCs w:val="24"/>
        </w:rPr>
        <w:t xml:space="preserve">(Guiloski et al. </w:t>
      </w:r>
      <w:r w:rsidRPr="00711852">
        <w:rPr>
          <w:rFonts w:ascii="Times New Roman" w:hAnsi="Times New Roman" w:cs="Times New Roman"/>
          <w:sz w:val="24"/>
          <w:szCs w:val="24"/>
        </w:rPr>
        <w:t>2017). The regenerative tissue capacity of a polychaete</w:t>
      </w:r>
      <w:r w:rsidRPr="00711852">
        <w:rPr>
          <w:rFonts w:ascii="Times New Roman" w:hAnsi="Times New Roman" w:cs="Times New Roman"/>
          <w:i/>
          <w:sz w:val="24"/>
          <w:szCs w:val="24"/>
        </w:rPr>
        <w:t>Diopatraneapolitana</w:t>
      </w:r>
      <w:r w:rsidRPr="00711852">
        <w:rPr>
          <w:rFonts w:ascii="Times New Roman" w:hAnsi="Times New Roman" w:cs="Times New Roman"/>
          <w:sz w:val="24"/>
          <w:szCs w:val="24"/>
        </w:rPr>
        <w:t xml:space="preserve"> has found to be decreased when exposed to environmentally relevant concentration of paracetamol (25 μg/L) (</w:t>
      </w:r>
      <w:r w:rsidR="00385A0C" w:rsidRPr="00711852">
        <w:rPr>
          <w:rFonts w:ascii="Times New Roman" w:hAnsi="Times New Roman" w:cs="Times New Roman"/>
          <w:sz w:val="24"/>
          <w:szCs w:val="24"/>
        </w:rPr>
        <w:t xml:space="preserve">Freitas et al. </w:t>
      </w:r>
      <w:r w:rsidRPr="00711852">
        <w:rPr>
          <w:rFonts w:ascii="Times New Roman" w:hAnsi="Times New Roman" w:cs="Times New Roman"/>
          <w:sz w:val="24"/>
          <w:szCs w:val="24"/>
        </w:rPr>
        <w:t xml:space="preserve">2015). Different plant species such as </w:t>
      </w:r>
      <w:r w:rsidRPr="00711852">
        <w:rPr>
          <w:rFonts w:ascii="Times New Roman" w:hAnsi="Times New Roman" w:cs="Times New Roman"/>
          <w:i/>
          <w:sz w:val="24"/>
          <w:szCs w:val="24"/>
        </w:rPr>
        <w:t>L. culinaris</w:t>
      </w:r>
      <w:r w:rsidRPr="00711852">
        <w:rPr>
          <w:rFonts w:ascii="Times New Roman" w:hAnsi="Times New Roman" w:cs="Times New Roman"/>
          <w:sz w:val="24"/>
          <w:szCs w:val="24"/>
        </w:rPr>
        <w:t xml:space="preserve"> Med. and </w:t>
      </w:r>
      <w:r w:rsidRPr="00711852">
        <w:rPr>
          <w:rFonts w:ascii="Times New Roman" w:hAnsi="Times New Roman" w:cs="Times New Roman"/>
          <w:i/>
          <w:sz w:val="24"/>
          <w:szCs w:val="24"/>
        </w:rPr>
        <w:t>P. sativum</w:t>
      </w:r>
      <w:r w:rsidRPr="00711852">
        <w:rPr>
          <w:rFonts w:ascii="Times New Roman" w:hAnsi="Times New Roman" w:cs="Times New Roman"/>
          <w:sz w:val="24"/>
          <w:szCs w:val="24"/>
        </w:rPr>
        <w:t xml:space="preserve"> L have shown cytotoxic effect in the roots when exposed to paracetamol. The paracetamol exerted effect on these plants species at each concentration tested. It hampered the mitotic processes, inhibits root growth and showed the presence of micronucleus </w:t>
      </w:r>
      <w:r w:rsidR="004C23DF" w:rsidRPr="00711852">
        <w:rPr>
          <w:rFonts w:ascii="Times New Roman" w:hAnsi="Times New Roman" w:cs="Times New Roman"/>
          <w:sz w:val="24"/>
          <w:szCs w:val="24"/>
        </w:rPr>
        <w:t xml:space="preserve">(Mercado and Galvis </w:t>
      </w:r>
      <w:r w:rsidRPr="00711852">
        <w:rPr>
          <w:rFonts w:ascii="Times New Roman" w:hAnsi="Times New Roman" w:cs="Times New Roman"/>
          <w:sz w:val="24"/>
          <w:szCs w:val="24"/>
        </w:rPr>
        <w:t>2023)</w:t>
      </w:r>
      <w:r w:rsidR="004C23DF" w:rsidRPr="00711852">
        <w:rPr>
          <w:rFonts w:ascii="Times New Roman" w:hAnsi="Times New Roman" w:cs="Times New Roman"/>
          <w:sz w:val="24"/>
          <w:szCs w:val="24"/>
        </w:rPr>
        <w:t>.</w:t>
      </w:r>
    </w:p>
    <w:p w:rsidR="009362E9" w:rsidRPr="00711852" w:rsidRDefault="009362E9" w:rsidP="00711852">
      <w:pPr>
        <w:spacing w:after="0" w:line="480" w:lineRule="auto"/>
        <w:contextualSpacing/>
        <w:jc w:val="both"/>
        <w:rPr>
          <w:rFonts w:ascii="Times New Roman" w:hAnsi="Times New Roman" w:cs="Times New Roman"/>
          <w:sz w:val="24"/>
          <w:szCs w:val="24"/>
        </w:rPr>
      </w:pPr>
      <w:r w:rsidRPr="00711852">
        <w:rPr>
          <w:rFonts w:ascii="Times New Roman" w:hAnsi="Times New Roman" w:cs="Times New Roman"/>
          <w:sz w:val="24"/>
          <w:szCs w:val="24"/>
        </w:rPr>
        <w:t xml:space="preserve">Other than </w:t>
      </w:r>
      <w:r w:rsidRPr="00711852">
        <w:rPr>
          <w:rFonts w:ascii="Times New Roman" w:hAnsi="Times New Roman" w:cs="Times New Roman"/>
          <w:i/>
          <w:sz w:val="24"/>
          <w:szCs w:val="24"/>
        </w:rPr>
        <w:t>in vivo</w:t>
      </w:r>
      <w:r w:rsidRPr="00711852">
        <w:rPr>
          <w:rFonts w:ascii="Times New Roman" w:hAnsi="Times New Roman" w:cs="Times New Roman"/>
          <w:sz w:val="24"/>
          <w:szCs w:val="24"/>
        </w:rPr>
        <w:t xml:space="preserve"> and </w:t>
      </w:r>
      <w:r w:rsidRPr="00711852">
        <w:rPr>
          <w:rFonts w:ascii="Times New Roman" w:hAnsi="Times New Roman" w:cs="Times New Roman"/>
          <w:i/>
          <w:sz w:val="24"/>
          <w:szCs w:val="24"/>
        </w:rPr>
        <w:t>in vitro</w:t>
      </w:r>
      <w:r w:rsidRPr="00711852">
        <w:rPr>
          <w:rFonts w:ascii="Times New Roman" w:hAnsi="Times New Roman" w:cs="Times New Roman"/>
          <w:sz w:val="24"/>
          <w:szCs w:val="24"/>
        </w:rPr>
        <w:t xml:space="preserve"> toxicological studies, the ratio between predicted or measured environmental concentration to the predicted or measured no effect concentration of the compound is also commonly used in ecological risk assessment of pharmaceu</w:t>
      </w:r>
      <w:r w:rsidR="004C23DF" w:rsidRPr="00711852">
        <w:rPr>
          <w:rFonts w:ascii="Times New Roman" w:hAnsi="Times New Roman" w:cs="Times New Roman"/>
          <w:sz w:val="24"/>
          <w:szCs w:val="24"/>
        </w:rPr>
        <w:t xml:space="preserve">tical compounds (Ashfaq et al. </w:t>
      </w:r>
      <w:r w:rsidRPr="00711852">
        <w:rPr>
          <w:rFonts w:ascii="Times New Roman" w:hAnsi="Times New Roman" w:cs="Times New Roman"/>
          <w:sz w:val="24"/>
          <w:szCs w:val="24"/>
        </w:rPr>
        <w:t xml:space="preserve">2017a, b) which is generally termed as risk quotient (RQ). It gives a direct insight on the harmful dosages of various pollutants. The value of RQhigher than 1 indicates high risk to the Aquatic community as shown by Bouissou-Schurtz et al. </w:t>
      </w:r>
      <w:r w:rsidR="004C23DF" w:rsidRPr="00711852">
        <w:rPr>
          <w:rFonts w:ascii="Times New Roman" w:hAnsi="Times New Roman" w:cs="Times New Roman"/>
          <w:sz w:val="24"/>
          <w:szCs w:val="24"/>
        </w:rPr>
        <w:t>(</w:t>
      </w:r>
      <w:r w:rsidRPr="00711852">
        <w:rPr>
          <w:rFonts w:ascii="Times New Roman" w:hAnsi="Times New Roman" w:cs="Times New Roman"/>
          <w:sz w:val="24"/>
          <w:szCs w:val="24"/>
        </w:rPr>
        <w:t>2014</w:t>
      </w:r>
      <w:r w:rsidR="004C23DF" w:rsidRPr="00711852">
        <w:rPr>
          <w:rFonts w:ascii="Times New Roman" w:hAnsi="Times New Roman" w:cs="Times New Roman"/>
          <w:sz w:val="24"/>
          <w:szCs w:val="24"/>
        </w:rPr>
        <w:t>)</w:t>
      </w:r>
      <w:r w:rsidRPr="00711852">
        <w:rPr>
          <w:rFonts w:ascii="Times New Roman" w:hAnsi="Times New Roman" w:cs="Times New Roman"/>
          <w:sz w:val="24"/>
          <w:szCs w:val="24"/>
        </w:rPr>
        <w:t xml:space="preserve">. It has been observed that the values of RQ for paracetamol as calculated in </w:t>
      </w:r>
      <w:r w:rsidRPr="00711852">
        <w:rPr>
          <w:rFonts w:ascii="Times New Roman" w:hAnsi="Times New Roman" w:cs="Times New Roman"/>
          <w:i/>
          <w:sz w:val="24"/>
          <w:szCs w:val="24"/>
        </w:rPr>
        <w:t>Streptocephalusproboscideus</w:t>
      </w:r>
      <w:r w:rsidRPr="00711852">
        <w:rPr>
          <w:rFonts w:ascii="Times New Roman" w:hAnsi="Times New Roman" w:cs="Times New Roman"/>
          <w:sz w:val="24"/>
          <w:szCs w:val="24"/>
        </w:rPr>
        <w:t xml:space="preserve">, </w:t>
      </w:r>
      <w:r w:rsidR="004C23DF" w:rsidRPr="00711852">
        <w:rPr>
          <w:rFonts w:ascii="Times New Roman" w:hAnsi="Times New Roman" w:cs="Times New Roman"/>
          <w:i/>
          <w:sz w:val="24"/>
          <w:szCs w:val="24"/>
        </w:rPr>
        <w:t>D</w:t>
      </w:r>
      <w:r w:rsidRPr="00711852">
        <w:rPr>
          <w:rFonts w:ascii="Times New Roman" w:hAnsi="Times New Roman" w:cs="Times New Roman"/>
          <w:i/>
          <w:sz w:val="24"/>
          <w:szCs w:val="24"/>
        </w:rPr>
        <w:t>aphnia</w:t>
      </w:r>
      <w:r w:rsidRPr="00711852">
        <w:rPr>
          <w:rFonts w:ascii="Times New Roman" w:hAnsi="Times New Roman" w:cs="Times New Roman"/>
          <w:sz w:val="24"/>
          <w:szCs w:val="24"/>
        </w:rPr>
        <w:t xml:space="preserve">,green algae and </w:t>
      </w:r>
      <w:r w:rsidRPr="00711852">
        <w:rPr>
          <w:rFonts w:ascii="Times New Roman" w:hAnsi="Times New Roman" w:cs="Times New Roman"/>
          <w:i/>
          <w:sz w:val="24"/>
          <w:szCs w:val="24"/>
        </w:rPr>
        <w:t>D. magna</w:t>
      </w:r>
      <w:r w:rsidRPr="00711852">
        <w:rPr>
          <w:rFonts w:ascii="Times New Roman" w:hAnsi="Times New Roman" w:cs="Times New Roman"/>
          <w:sz w:val="24"/>
          <w:szCs w:val="24"/>
        </w:rPr>
        <w:t xml:space="preserve"> were, 9.2, 64, 0.11 and 5.0 respectively. The values clearly indicate that except green algae all the other three under study are in high risk to paracetamol exposure.</w:t>
      </w:r>
    </w:p>
    <w:p w:rsidR="00B949AE" w:rsidRPr="00711852" w:rsidRDefault="00B949AE" w:rsidP="00711852">
      <w:pPr>
        <w:spacing w:after="0" w:line="480" w:lineRule="auto"/>
        <w:contextualSpacing/>
        <w:jc w:val="both"/>
        <w:rPr>
          <w:rFonts w:ascii="Times New Roman" w:hAnsi="Times New Roman" w:cs="Times New Roman"/>
          <w:sz w:val="24"/>
          <w:szCs w:val="24"/>
          <w:shd w:val="clear" w:color="auto" w:fill="FFFFFF"/>
        </w:rPr>
      </w:pPr>
    </w:p>
    <w:p w:rsidR="001D2411" w:rsidRPr="00711852" w:rsidRDefault="00094722" w:rsidP="00711852">
      <w:pPr>
        <w:spacing w:after="0" w:line="480" w:lineRule="auto"/>
        <w:contextualSpacing/>
        <w:jc w:val="both"/>
        <w:rPr>
          <w:rFonts w:ascii="Times New Roman" w:hAnsi="Times New Roman" w:cs="Times New Roman"/>
          <w:b/>
          <w:bCs/>
          <w:sz w:val="24"/>
          <w:szCs w:val="24"/>
        </w:rPr>
      </w:pPr>
      <w:r w:rsidRPr="00711852">
        <w:rPr>
          <w:rFonts w:ascii="Times New Roman" w:hAnsi="Times New Roman" w:cs="Times New Roman"/>
          <w:b/>
          <w:bCs/>
          <w:sz w:val="24"/>
          <w:szCs w:val="24"/>
        </w:rPr>
        <w:t xml:space="preserve">4. </w:t>
      </w:r>
      <w:r w:rsidR="001D2411" w:rsidRPr="00711852">
        <w:rPr>
          <w:rFonts w:ascii="Times New Roman" w:hAnsi="Times New Roman" w:cs="Times New Roman"/>
          <w:b/>
          <w:bCs/>
          <w:sz w:val="24"/>
          <w:szCs w:val="24"/>
        </w:rPr>
        <w:t xml:space="preserve">Mechanism of paracetamol degradation by </w:t>
      </w:r>
      <w:r w:rsidRPr="00711852">
        <w:rPr>
          <w:rFonts w:ascii="Times New Roman" w:hAnsi="Times New Roman" w:cs="Times New Roman"/>
          <w:b/>
          <w:bCs/>
          <w:sz w:val="24"/>
          <w:szCs w:val="24"/>
        </w:rPr>
        <w:t>Bacteria</w:t>
      </w:r>
    </w:p>
    <w:p w:rsidR="0032570B" w:rsidRPr="00711852" w:rsidRDefault="0032570B" w:rsidP="00711852">
      <w:pPr>
        <w:autoSpaceDE w:val="0"/>
        <w:autoSpaceDN w:val="0"/>
        <w:adjustRightInd w:val="0"/>
        <w:spacing w:after="0" w:line="480" w:lineRule="auto"/>
        <w:contextualSpacing/>
        <w:jc w:val="both"/>
        <w:rPr>
          <w:rFonts w:ascii="Times New Roman" w:hAnsi="Times New Roman" w:cs="Times New Roman"/>
          <w:kern w:val="0"/>
          <w:sz w:val="24"/>
          <w:szCs w:val="24"/>
        </w:rPr>
      </w:pPr>
      <w:r w:rsidRPr="00711852">
        <w:rPr>
          <w:rFonts w:ascii="Times New Roman" w:hAnsi="Times New Roman" w:cs="Times New Roman"/>
          <w:kern w:val="0"/>
          <w:sz w:val="24"/>
          <w:szCs w:val="24"/>
        </w:rPr>
        <w:t>The</w:t>
      </w:r>
      <w:r w:rsidR="00761FF1">
        <w:rPr>
          <w:rFonts w:ascii="Times New Roman" w:hAnsi="Times New Roman" w:cs="Times New Roman"/>
          <w:kern w:val="0"/>
          <w:sz w:val="24"/>
          <w:szCs w:val="24"/>
        </w:rPr>
        <w:t xml:space="preserve"> </w:t>
      </w:r>
      <w:r w:rsidRPr="00711852">
        <w:rPr>
          <w:rFonts w:ascii="Times New Roman" w:hAnsi="Times New Roman" w:cs="Times New Roman"/>
          <w:kern w:val="0"/>
          <w:sz w:val="24"/>
          <w:szCs w:val="24"/>
        </w:rPr>
        <w:t>micro</w:t>
      </w:r>
      <w:r w:rsidR="001D2411" w:rsidRPr="00711852">
        <w:rPr>
          <w:rFonts w:ascii="Times New Roman" w:hAnsi="Times New Roman" w:cs="Times New Roman"/>
          <w:kern w:val="0"/>
          <w:sz w:val="24"/>
          <w:szCs w:val="24"/>
        </w:rPr>
        <w:t xml:space="preserve">organisms </w:t>
      </w:r>
      <w:r w:rsidRPr="00711852">
        <w:rPr>
          <w:rFonts w:ascii="Times New Roman" w:hAnsi="Times New Roman" w:cs="Times New Roman"/>
          <w:kern w:val="0"/>
          <w:sz w:val="24"/>
          <w:szCs w:val="24"/>
        </w:rPr>
        <w:t xml:space="preserve">such as Bacteria, Algae and Fungi </w:t>
      </w:r>
      <w:r w:rsidR="001D2411" w:rsidRPr="00711852">
        <w:rPr>
          <w:rFonts w:ascii="Times New Roman" w:hAnsi="Times New Roman" w:cs="Times New Roman"/>
          <w:kern w:val="0"/>
          <w:sz w:val="24"/>
          <w:szCs w:val="24"/>
        </w:rPr>
        <w:t xml:space="preserve">utilize paracetamol as energy and carbon source. The degradation depends on environmental factors such as pH, temperature, and cellular structure such as cell structure and physiology of cell membrane. At high and </w:t>
      </w:r>
      <w:r w:rsidR="001D2411" w:rsidRPr="00711852">
        <w:rPr>
          <w:rFonts w:ascii="Times New Roman" w:hAnsi="Times New Roman" w:cs="Times New Roman"/>
          <w:kern w:val="0"/>
          <w:sz w:val="24"/>
          <w:szCs w:val="24"/>
        </w:rPr>
        <w:lastRenderedPageBreak/>
        <w:t xml:space="preserve">low temperature, the porosity and rigidity of cell membrane hinders the efficient uptake of molecules or enzyme activity thereby the reaction becomes slow. pH regulated the toxicity and uptake of molecules through the cell membrane. At acidic pH, the paracetamol is present in protonated form whereas at alkaline pH the phenolate form occurs. </w:t>
      </w:r>
    </w:p>
    <w:p w:rsidR="00761FF1" w:rsidRDefault="001D2411" w:rsidP="00711852">
      <w:pPr>
        <w:autoSpaceDE w:val="0"/>
        <w:autoSpaceDN w:val="0"/>
        <w:adjustRightInd w:val="0"/>
        <w:spacing w:after="0" w:line="480" w:lineRule="auto"/>
        <w:contextualSpacing/>
        <w:jc w:val="both"/>
        <w:rPr>
          <w:rFonts w:ascii="Times New Roman" w:hAnsi="Times New Roman" w:cs="Times New Roman"/>
          <w:kern w:val="0"/>
          <w:sz w:val="24"/>
          <w:szCs w:val="24"/>
        </w:rPr>
      </w:pPr>
      <w:r w:rsidRPr="00711852">
        <w:rPr>
          <w:rFonts w:ascii="Times New Roman" w:hAnsi="Times New Roman" w:cs="Times New Roman"/>
          <w:kern w:val="0"/>
          <w:sz w:val="24"/>
          <w:szCs w:val="24"/>
        </w:rPr>
        <w:t>The degradation of paracetamol occurs at optimum</w:t>
      </w:r>
      <w:r w:rsidR="00094722" w:rsidRPr="00711852">
        <w:rPr>
          <w:rFonts w:ascii="Times New Roman" w:hAnsi="Times New Roman" w:cs="Times New Roman"/>
          <w:kern w:val="0"/>
          <w:sz w:val="24"/>
          <w:szCs w:val="24"/>
        </w:rPr>
        <w:t xml:space="preserve"> temperature and pH (Żur et al.</w:t>
      </w:r>
      <w:r w:rsidRPr="00711852">
        <w:rPr>
          <w:rFonts w:ascii="Times New Roman" w:hAnsi="Times New Roman" w:cs="Times New Roman"/>
          <w:kern w:val="0"/>
          <w:sz w:val="24"/>
          <w:szCs w:val="24"/>
        </w:rPr>
        <w:t xml:space="preserve"> 2018). The degradation and mineralization of paracetamol is done with the help of a diverse array of enzymes and pathways. The degradation of paracetamol is reported under aerobic as well as anaerobic environments</w:t>
      </w:r>
      <w:r w:rsidR="00FF6EEE" w:rsidRPr="00711852">
        <w:rPr>
          <w:rFonts w:ascii="Times New Roman" w:hAnsi="Times New Roman" w:cs="Times New Roman"/>
          <w:kern w:val="0"/>
          <w:sz w:val="24"/>
          <w:szCs w:val="24"/>
        </w:rPr>
        <w:t xml:space="preserve"> </w:t>
      </w:r>
      <w:r w:rsidR="00FF6EEE" w:rsidRPr="00D90E41">
        <w:rPr>
          <w:rFonts w:ascii="Times New Roman" w:hAnsi="Times New Roman" w:cs="Times New Roman"/>
          <w:kern w:val="0"/>
          <w:sz w:val="24"/>
          <w:szCs w:val="24"/>
        </w:rPr>
        <w:t>(Figure 3</w:t>
      </w:r>
      <w:r w:rsidR="00761FF1">
        <w:rPr>
          <w:rFonts w:ascii="Times New Roman" w:hAnsi="Times New Roman" w:cs="Times New Roman"/>
          <w:kern w:val="0"/>
          <w:sz w:val="24"/>
          <w:szCs w:val="24"/>
        </w:rPr>
        <w:t xml:space="preserve"> and 4</w:t>
      </w:r>
      <w:r w:rsidR="00FF6EEE" w:rsidRPr="00D90E41">
        <w:rPr>
          <w:rFonts w:ascii="Times New Roman" w:hAnsi="Times New Roman" w:cs="Times New Roman"/>
          <w:kern w:val="0"/>
          <w:sz w:val="24"/>
          <w:szCs w:val="24"/>
        </w:rPr>
        <w:t>)</w:t>
      </w:r>
      <w:r w:rsidRPr="00D90E41">
        <w:rPr>
          <w:rFonts w:ascii="Times New Roman" w:hAnsi="Times New Roman" w:cs="Times New Roman"/>
          <w:kern w:val="0"/>
          <w:sz w:val="24"/>
          <w:szCs w:val="24"/>
        </w:rPr>
        <w:t>.</w:t>
      </w:r>
      <w:r w:rsidRPr="00711852">
        <w:rPr>
          <w:rFonts w:ascii="Times New Roman" w:hAnsi="Times New Roman" w:cs="Times New Roman"/>
          <w:kern w:val="0"/>
          <w:sz w:val="24"/>
          <w:szCs w:val="24"/>
        </w:rPr>
        <w:t xml:space="preserve"> </w:t>
      </w:r>
    </w:p>
    <w:p w:rsidR="00761FF1" w:rsidRDefault="00761FF1" w:rsidP="00711852">
      <w:pPr>
        <w:autoSpaceDE w:val="0"/>
        <w:autoSpaceDN w:val="0"/>
        <w:adjustRightInd w:val="0"/>
        <w:spacing w:after="0" w:line="480" w:lineRule="auto"/>
        <w:contextualSpacing/>
        <w:jc w:val="both"/>
        <w:rPr>
          <w:rFonts w:ascii="Times New Roman" w:hAnsi="Times New Roman" w:cs="Times New Roman"/>
          <w:kern w:val="0"/>
          <w:sz w:val="24"/>
          <w:szCs w:val="24"/>
        </w:rPr>
      </w:pPr>
    </w:p>
    <w:p w:rsidR="00711852" w:rsidRPr="00711852" w:rsidRDefault="001D2411" w:rsidP="00711852">
      <w:pPr>
        <w:autoSpaceDE w:val="0"/>
        <w:autoSpaceDN w:val="0"/>
        <w:adjustRightInd w:val="0"/>
        <w:spacing w:after="0" w:line="480" w:lineRule="auto"/>
        <w:contextualSpacing/>
        <w:jc w:val="both"/>
        <w:rPr>
          <w:rFonts w:ascii="Times New Roman" w:hAnsi="Times New Roman" w:cs="Times New Roman"/>
          <w:kern w:val="0"/>
          <w:sz w:val="24"/>
          <w:szCs w:val="24"/>
        </w:rPr>
      </w:pPr>
      <w:r w:rsidRPr="00711852">
        <w:rPr>
          <w:rFonts w:ascii="Times New Roman" w:hAnsi="Times New Roman" w:cs="Times New Roman"/>
          <w:kern w:val="0"/>
          <w:sz w:val="24"/>
          <w:szCs w:val="24"/>
        </w:rPr>
        <w:t>There are several pathways reported for paracetamol degradation</w:t>
      </w:r>
      <w:r w:rsidR="00761FF1">
        <w:rPr>
          <w:rFonts w:ascii="Times New Roman" w:hAnsi="Times New Roman" w:cs="Times New Roman"/>
          <w:kern w:val="0"/>
          <w:sz w:val="24"/>
          <w:szCs w:val="24"/>
        </w:rPr>
        <w:t xml:space="preserve"> under aerobic conditions</w:t>
      </w:r>
      <w:r w:rsidRPr="00711852">
        <w:rPr>
          <w:rFonts w:ascii="Times New Roman" w:hAnsi="Times New Roman" w:cs="Times New Roman"/>
          <w:kern w:val="0"/>
          <w:sz w:val="24"/>
          <w:szCs w:val="24"/>
        </w:rPr>
        <w:t xml:space="preserve">, </w:t>
      </w:r>
      <w:r w:rsidR="00761FF1">
        <w:rPr>
          <w:rFonts w:ascii="Times New Roman" w:hAnsi="Times New Roman" w:cs="Times New Roman"/>
          <w:kern w:val="0"/>
          <w:sz w:val="24"/>
          <w:szCs w:val="24"/>
        </w:rPr>
        <w:t>and</w:t>
      </w:r>
      <w:r w:rsidRPr="00711852">
        <w:rPr>
          <w:rFonts w:ascii="Times New Roman" w:hAnsi="Times New Roman" w:cs="Times New Roman"/>
          <w:kern w:val="0"/>
          <w:sz w:val="24"/>
          <w:szCs w:val="24"/>
        </w:rPr>
        <w:t xml:space="preserve"> it occurs mainly through</w:t>
      </w:r>
      <w:r w:rsidR="003D1FB4" w:rsidRPr="00711852">
        <w:rPr>
          <w:rFonts w:ascii="Times New Roman" w:hAnsi="Times New Roman" w:cs="Times New Roman"/>
          <w:kern w:val="0"/>
          <w:sz w:val="24"/>
          <w:szCs w:val="24"/>
        </w:rPr>
        <w:t xml:space="preserve"> </w:t>
      </w:r>
      <w:r w:rsidRPr="00711852">
        <w:rPr>
          <w:rFonts w:ascii="Times New Roman" w:hAnsi="Times New Roman" w:cs="Times New Roman"/>
          <w:kern w:val="0"/>
          <w:sz w:val="24"/>
          <w:szCs w:val="24"/>
        </w:rPr>
        <w:t>hydroquinone pathway and pyrocatechol pathway</w:t>
      </w:r>
      <w:r w:rsidR="00761FF1">
        <w:rPr>
          <w:rFonts w:ascii="Times New Roman" w:hAnsi="Times New Roman" w:cs="Times New Roman"/>
          <w:kern w:val="0"/>
          <w:sz w:val="24"/>
          <w:szCs w:val="24"/>
        </w:rPr>
        <w:t xml:space="preserve"> (Figure 3)</w:t>
      </w:r>
      <w:r w:rsidRPr="00711852">
        <w:rPr>
          <w:rFonts w:ascii="Times New Roman" w:hAnsi="Times New Roman" w:cs="Times New Roman"/>
          <w:kern w:val="0"/>
          <w:sz w:val="24"/>
          <w:szCs w:val="24"/>
        </w:rPr>
        <w:t>. In hydroquinone pathway, the paracetamol is converted to hydroquinone through amidohydroxylation in which the paracetamol is first converted to 4-aminophenol by releasing acetate. Thereafter, amino groups are replaced by hydroxyl group to form hydroquinone. In the case of hydroxylation, the paracetamol is converted to hydroquinone releasing acetamide. The hydroquinone is converted to 4-hydroxymuconic semialdehyde by hydroquinone 1,2-dioxygenase for further metabolism through tricarboxylic cycle. The enzymes involved in amidohydroxylation are amidohydroxylase and amino acid oxidase. The enzymes involved in initial hydroxylation are</w:t>
      </w:r>
      <w:r w:rsidR="00FF6EEE" w:rsidRPr="00711852">
        <w:rPr>
          <w:rFonts w:ascii="Times New Roman" w:hAnsi="Times New Roman" w:cs="Times New Roman"/>
          <w:kern w:val="0"/>
          <w:sz w:val="24"/>
          <w:szCs w:val="24"/>
        </w:rPr>
        <w:t xml:space="preserve"> </w:t>
      </w:r>
      <w:r w:rsidRPr="00711852">
        <w:rPr>
          <w:rFonts w:ascii="Times New Roman" w:hAnsi="Times New Roman" w:cs="Times New Roman"/>
          <w:kern w:val="0"/>
          <w:sz w:val="24"/>
          <w:szCs w:val="24"/>
        </w:rPr>
        <w:t xml:space="preserve">hydrolytic enzymes. </w:t>
      </w:r>
    </w:p>
    <w:p w:rsidR="0032570B" w:rsidRDefault="001D2411" w:rsidP="00711852">
      <w:pPr>
        <w:autoSpaceDE w:val="0"/>
        <w:autoSpaceDN w:val="0"/>
        <w:adjustRightInd w:val="0"/>
        <w:spacing w:after="0" w:line="480" w:lineRule="auto"/>
        <w:contextualSpacing/>
        <w:jc w:val="both"/>
        <w:rPr>
          <w:rFonts w:ascii="Times New Roman" w:hAnsi="Times New Roman" w:cs="Times New Roman"/>
          <w:kern w:val="0"/>
          <w:sz w:val="24"/>
          <w:szCs w:val="24"/>
        </w:rPr>
      </w:pPr>
      <w:r w:rsidRPr="00711852">
        <w:rPr>
          <w:rFonts w:ascii="Times New Roman" w:hAnsi="Times New Roman" w:cs="Times New Roman"/>
          <w:kern w:val="0"/>
          <w:sz w:val="24"/>
          <w:szCs w:val="24"/>
        </w:rPr>
        <w:t>In another pathway i.e., pyrocatechol pathway, the paracetamol is converted to N-(4-hydroxyphenyl)-acetamide by hydroxylase. The N-(4-hydroxyphenyl)-acetamide can be degraded through the following</w:t>
      </w:r>
      <w:r w:rsidR="003F7664" w:rsidRPr="00711852">
        <w:rPr>
          <w:rFonts w:ascii="Times New Roman" w:hAnsi="Times New Roman" w:cs="Times New Roman"/>
          <w:kern w:val="0"/>
          <w:sz w:val="24"/>
          <w:szCs w:val="24"/>
        </w:rPr>
        <w:t xml:space="preserve"> </w:t>
      </w:r>
      <w:r w:rsidRPr="00711852">
        <w:rPr>
          <w:rFonts w:ascii="Times New Roman" w:hAnsi="Times New Roman" w:cs="Times New Roman"/>
          <w:kern w:val="0"/>
          <w:sz w:val="24"/>
          <w:szCs w:val="24"/>
        </w:rPr>
        <w:t>routes</w:t>
      </w:r>
      <w:r w:rsidR="003E2F8E" w:rsidRPr="00711852">
        <w:rPr>
          <w:rFonts w:ascii="Times New Roman" w:hAnsi="Times New Roman" w:cs="Times New Roman"/>
          <w:kern w:val="0"/>
          <w:sz w:val="24"/>
          <w:szCs w:val="24"/>
        </w:rPr>
        <w:t xml:space="preserve"> </w:t>
      </w:r>
      <w:r w:rsidRPr="00711852">
        <w:rPr>
          <w:rFonts w:ascii="Times New Roman" w:hAnsi="Times New Roman" w:cs="Times New Roman"/>
          <w:kern w:val="0"/>
          <w:sz w:val="24"/>
          <w:szCs w:val="24"/>
        </w:rPr>
        <w:t>(a) N-(4-hydroxyphenyl)-acetamide oxidation to benzoquinone and hydroquinone</w:t>
      </w:r>
      <w:r w:rsidR="003E2F8E" w:rsidRPr="00711852">
        <w:rPr>
          <w:rFonts w:ascii="Times New Roman" w:hAnsi="Times New Roman" w:cs="Times New Roman"/>
          <w:kern w:val="0"/>
          <w:sz w:val="24"/>
          <w:szCs w:val="24"/>
        </w:rPr>
        <w:t xml:space="preserve">, </w:t>
      </w:r>
      <w:r w:rsidRPr="00711852">
        <w:rPr>
          <w:rFonts w:ascii="Times New Roman" w:hAnsi="Times New Roman" w:cs="Times New Roman"/>
          <w:kern w:val="0"/>
          <w:sz w:val="24"/>
          <w:szCs w:val="24"/>
        </w:rPr>
        <w:t xml:space="preserve">(b) N-(4-hydroxyphenyl)-acetamide conversion to pyrocatechol by oxygenase and formamide CGTase. These two routes finally generate </w:t>
      </w:r>
      <w:r w:rsidRPr="00711852">
        <w:rPr>
          <w:rFonts w:ascii="Times New Roman" w:hAnsi="Times New Roman" w:cs="Times New Roman"/>
          <w:kern w:val="0"/>
          <w:sz w:val="24"/>
          <w:szCs w:val="24"/>
        </w:rPr>
        <w:lastRenderedPageBreak/>
        <w:t xml:space="preserve">intermediates (p-phenol) which can undergo ring fission for further degradation through TCA cycle (Wu et al. </w:t>
      </w:r>
      <w:r w:rsidR="00094722" w:rsidRPr="00711852">
        <w:rPr>
          <w:rFonts w:ascii="Times New Roman" w:hAnsi="Times New Roman" w:cs="Times New Roman"/>
          <w:kern w:val="0"/>
          <w:sz w:val="24"/>
          <w:szCs w:val="24"/>
        </w:rPr>
        <w:t xml:space="preserve">2012; </w:t>
      </w:r>
      <w:r w:rsidRPr="00711852">
        <w:rPr>
          <w:rFonts w:ascii="Times New Roman" w:hAnsi="Times New Roman" w:cs="Times New Roman"/>
          <w:kern w:val="0"/>
          <w:sz w:val="24"/>
          <w:szCs w:val="24"/>
        </w:rPr>
        <w:t>Żur et al.</w:t>
      </w:r>
      <w:r w:rsidR="00094722" w:rsidRPr="00711852">
        <w:rPr>
          <w:rFonts w:ascii="Times New Roman" w:hAnsi="Times New Roman" w:cs="Times New Roman"/>
          <w:kern w:val="0"/>
          <w:sz w:val="24"/>
          <w:szCs w:val="24"/>
        </w:rPr>
        <w:t xml:space="preserve"> 2018</w:t>
      </w:r>
      <w:r w:rsidRPr="00711852">
        <w:rPr>
          <w:rFonts w:ascii="Times New Roman" w:hAnsi="Times New Roman" w:cs="Times New Roman"/>
          <w:kern w:val="0"/>
          <w:sz w:val="24"/>
          <w:szCs w:val="24"/>
        </w:rPr>
        <w:t>).</w:t>
      </w:r>
    </w:p>
    <w:p w:rsidR="00761FF1" w:rsidRDefault="00761FF1" w:rsidP="00711852">
      <w:pPr>
        <w:autoSpaceDE w:val="0"/>
        <w:autoSpaceDN w:val="0"/>
        <w:adjustRightInd w:val="0"/>
        <w:spacing w:after="0" w:line="480" w:lineRule="auto"/>
        <w:contextualSpacing/>
        <w:jc w:val="both"/>
        <w:rPr>
          <w:rFonts w:ascii="Times New Roman" w:hAnsi="Times New Roman" w:cs="Times New Roman"/>
          <w:kern w:val="0"/>
          <w:sz w:val="24"/>
          <w:szCs w:val="24"/>
        </w:rPr>
      </w:pPr>
    </w:p>
    <w:p w:rsidR="00761FF1" w:rsidRDefault="00761FF1" w:rsidP="00711852">
      <w:pPr>
        <w:autoSpaceDE w:val="0"/>
        <w:autoSpaceDN w:val="0"/>
        <w:adjustRightInd w:val="0"/>
        <w:spacing w:after="0" w:line="480" w:lineRule="auto"/>
        <w:contextualSpacing/>
        <w:jc w:val="both"/>
        <w:rPr>
          <w:rFonts w:ascii="Times New Roman" w:hAnsi="Times New Roman" w:cs="Times New Roman"/>
          <w:kern w:val="0"/>
          <w:sz w:val="24"/>
          <w:szCs w:val="24"/>
        </w:rPr>
      </w:pPr>
      <w:r w:rsidRPr="00761FF1">
        <w:rPr>
          <w:rFonts w:ascii="Times New Roman" w:hAnsi="Times New Roman" w:cs="Times New Roman"/>
          <w:noProof/>
          <w:kern w:val="0"/>
          <w:sz w:val="24"/>
          <w:szCs w:val="24"/>
        </w:rPr>
        <w:drawing>
          <wp:inline distT="0" distB="0" distL="0" distR="0">
            <wp:extent cx="5731510" cy="3072053"/>
            <wp:effectExtent l="19050" t="19050" r="21590" b="14047"/>
            <wp:docPr id="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srcRect/>
                    <a:stretch>
                      <a:fillRect/>
                    </a:stretch>
                  </pic:blipFill>
                  <pic:spPr bwMode="auto">
                    <a:xfrm>
                      <a:off x="0" y="0"/>
                      <a:ext cx="5731510" cy="3072053"/>
                    </a:xfrm>
                    <a:prstGeom prst="rect">
                      <a:avLst/>
                    </a:prstGeom>
                    <a:noFill/>
                    <a:ln w="9525">
                      <a:solidFill>
                        <a:schemeClr val="tx1"/>
                      </a:solidFill>
                      <a:miter lim="800000"/>
                      <a:headEnd/>
                      <a:tailEnd/>
                    </a:ln>
                  </pic:spPr>
                </pic:pic>
              </a:graphicData>
            </a:graphic>
          </wp:inline>
        </w:drawing>
      </w:r>
    </w:p>
    <w:p w:rsidR="00761FF1" w:rsidRDefault="00761FF1" w:rsidP="00761FF1">
      <w:pPr>
        <w:spacing w:line="480" w:lineRule="auto"/>
        <w:jc w:val="both"/>
        <w:rPr>
          <w:rFonts w:ascii="Times New Roman" w:hAnsi="Times New Roman" w:cs="Times New Roman"/>
          <w:b/>
          <w:sz w:val="24"/>
          <w:szCs w:val="24"/>
        </w:rPr>
      </w:pPr>
      <w:r w:rsidRPr="00711852">
        <w:rPr>
          <w:rFonts w:ascii="Times New Roman" w:hAnsi="Times New Roman" w:cs="Times New Roman"/>
          <w:b/>
          <w:sz w:val="24"/>
          <w:szCs w:val="24"/>
        </w:rPr>
        <w:t xml:space="preserve">Figure 3. Pathways of </w:t>
      </w:r>
      <w:r>
        <w:rPr>
          <w:rFonts w:ascii="Times New Roman" w:hAnsi="Times New Roman" w:cs="Times New Roman"/>
          <w:b/>
          <w:sz w:val="24"/>
          <w:szCs w:val="24"/>
        </w:rPr>
        <w:t>a</w:t>
      </w:r>
      <w:r w:rsidRPr="00711852">
        <w:rPr>
          <w:rFonts w:ascii="Times New Roman" w:hAnsi="Times New Roman" w:cs="Times New Roman"/>
          <w:b/>
          <w:sz w:val="24"/>
          <w:szCs w:val="24"/>
        </w:rPr>
        <w:t xml:space="preserve">erobic degradation </w:t>
      </w:r>
      <w:r>
        <w:rPr>
          <w:rFonts w:ascii="Times New Roman" w:hAnsi="Times New Roman" w:cs="Times New Roman"/>
          <w:b/>
          <w:sz w:val="24"/>
          <w:szCs w:val="24"/>
        </w:rPr>
        <w:t xml:space="preserve">of </w:t>
      </w:r>
      <w:r w:rsidRPr="00711852">
        <w:rPr>
          <w:rFonts w:ascii="Times New Roman" w:hAnsi="Times New Roman" w:cs="Times New Roman"/>
          <w:b/>
          <w:sz w:val="24"/>
          <w:szCs w:val="24"/>
        </w:rPr>
        <w:t xml:space="preserve">Paracetamol degradation by bacteria (Li et al. 2014; </w:t>
      </w:r>
      <w:r w:rsidRPr="00711852">
        <w:rPr>
          <w:rFonts w:ascii="Times New Roman" w:hAnsi="Times New Roman" w:cs="Times New Roman"/>
          <w:b/>
          <w:kern w:val="0"/>
          <w:sz w:val="24"/>
          <w:szCs w:val="24"/>
        </w:rPr>
        <w:t xml:space="preserve">Takenaka et al. 2003; </w:t>
      </w:r>
      <w:r w:rsidRPr="00711852">
        <w:rPr>
          <w:rFonts w:ascii="Times New Roman" w:hAnsi="Times New Roman" w:cs="Times New Roman"/>
          <w:b/>
          <w:sz w:val="24"/>
          <w:szCs w:val="24"/>
        </w:rPr>
        <w:t xml:space="preserve">Wu et al. 2012; Żur et al. 2018), </w:t>
      </w:r>
    </w:p>
    <w:p w:rsidR="0032570B" w:rsidRPr="00711852" w:rsidRDefault="001D2411" w:rsidP="00D90E41">
      <w:pPr>
        <w:autoSpaceDE w:val="0"/>
        <w:autoSpaceDN w:val="0"/>
        <w:adjustRightInd w:val="0"/>
        <w:spacing w:after="0" w:line="480" w:lineRule="auto"/>
        <w:contextualSpacing/>
        <w:jc w:val="both"/>
        <w:rPr>
          <w:rFonts w:ascii="Times New Roman" w:hAnsi="Times New Roman" w:cs="Times New Roman"/>
          <w:kern w:val="0"/>
          <w:sz w:val="24"/>
          <w:szCs w:val="24"/>
        </w:rPr>
      </w:pPr>
      <w:r w:rsidRPr="00711852">
        <w:rPr>
          <w:rFonts w:ascii="Times New Roman" w:hAnsi="Times New Roman" w:cs="Times New Roman"/>
          <w:kern w:val="0"/>
          <w:sz w:val="24"/>
          <w:szCs w:val="24"/>
        </w:rPr>
        <w:t xml:space="preserve">A different pathway of paracetamol degradation was observed in </w:t>
      </w:r>
      <w:r w:rsidR="0032570B" w:rsidRPr="00711852">
        <w:rPr>
          <w:rFonts w:ascii="Times New Roman" w:hAnsi="Times New Roman" w:cs="Times New Roman"/>
          <w:i/>
          <w:kern w:val="0"/>
          <w:sz w:val="24"/>
          <w:szCs w:val="24"/>
        </w:rPr>
        <w:t>B</w:t>
      </w:r>
      <w:r w:rsidRPr="00711852">
        <w:rPr>
          <w:rFonts w:ascii="Times New Roman" w:hAnsi="Times New Roman" w:cs="Times New Roman"/>
          <w:i/>
          <w:kern w:val="0"/>
          <w:sz w:val="24"/>
          <w:szCs w:val="24"/>
        </w:rPr>
        <w:t>urkholderia</w:t>
      </w:r>
      <w:r w:rsidRPr="00711852">
        <w:rPr>
          <w:rFonts w:ascii="Times New Roman" w:hAnsi="Times New Roman" w:cs="Times New Roman"/>
          <w:kern w:val="0"/>
          <w:sz w:val="24"/>
          <w:szCs w:val="24"/>
        </w:rPr>
        <w:t xml:space="preserve"> sp. AK-5, in which the p-aminophenol is transformed to 1,2,4-trihydroxybenzene by two successive hydroxylation generation 1,4-benzenediol as intermediate. Thereafter, 1,2,4-trihydroxybenzene undergo conversion to maleylacetic acid by 1,2,4-trihydroxybenzene 1,2-dioxygenase (Takenaka et al. 2003). Another pathway for paracetamol degradation was proposed while studying its microbial degradation in soil, where the paracetamol is converted to 3-hydroxyacetaminophen. The enzymes involved in the process are cytochrome</w:t>
      </w:r>
      <w:r w:rsidR="003E2F8E" w:rsidRPr="00711852">
        <w:rPr>
          <w:rFonts w:ascii="Times New Roman" w:hAnsi="Times New Roman" w:cs="Times New Roman"/>
          <w:kern w:val="0"/>
          <w:sz w:val="24"/>
          <w:szCs w:val="24"/>
        </w:rPr>
        <w:t xml:space="preserve"> P-450</w:t>
      </w:r>
      <w:r w:rsidRPr="00711852">
        <w:rPr>
          <w:rFonts w:ascii="Times New Roman" w:hAnsi="Times New Roman" w:cs="Times New Roman"/>
          <w:kern w:val="0"/>
          <w:sz w:val="24"/>
          <w:szCs w:val="24"/>
        </w:rPr>
        <w:t xml:space="preserve"> hydroxylase. This 3-hydroxyacetaminophen can be further degraded via two routes</w:t>
      </w:r>
      <w:r w:rsidR="00D90E41">
        <w:rPr>
          <w:rFonts w:ascii="Times New Roman" w:hAnsi="Times New Roman" w:cs="Times New Roman"/>
          <w:kern w:val="0"/>
          <w:sz w:val="24"/>
          <w:szCs w:val="24"/>
        </w:rPr>
        <w:t xml:space="preserve"> </w:t>
      </w:r>
      <w:r w:rsidRPr="00711852">
        <w:rPr>
          <w:rFonts w:ascii="Times New Roman" w:hAnsi="Times New Roman" w:cs="Times New Roman"/>
          <w:kern w:val="0"/>
          <w:sz w:val="24"/>
          <w:szCs w:val="24"/>
        </w:rPr>
        <w:t xml:space="preserve">(a) methylation to p-acetaniside which further gets degraded via intermediates such as 4-methoxy phenol, 1,4, dimethoxybenzene and 2-hexenoic acid, (b) oxygenation to N-acetylp-benzoquinone imine which further degraded via., para-benzoquinone (Li et al. 2014). </w:t>
      </w:r>
    </w:p>
    <w:p w:rsidR="001D2411" w:rsidRPr="00711852" w:rsidRDefault="001D2411" w:rsidP="00D90E41">
      <w:pPr>
        <w:autoSpaceDE w:val="0"/>
        <w:autoSpaceDN w:val="0"/>
        <w:adjustRightInd w:val="0"/>
        <w:spacing w:after="0" w:line="480" w:lineRule="auto"/>
        <w:contextualSpacing/>
        <w:jc w:val="both"/>
        <w:rPr>
          <w:rFonts w:ascii="Times New Roman" w:hAnsi="Times New Roman" w:cs="Times New Roman"/>
          <w:sz w:val="24"/>
          <w:szCs w:val="24"/>
        </w:rPr>
      </w:pPr>
      <w:r w:rsidRPr="00711852">
        <w:rPr>
          <w:rFonts w:ascii="Times New Roman" w:hAnsi="Times New Roman" w:cs="Times New Roman"/>
          <w:kern w:val="0"/>
          <w:sz w:val="24"/>
          <w:szCs w:val="24"/>
        </w:rPr>
        <w:lastRenderedPageBreak/>
        <w:t>When the genetic stud</w:t>
      </w:r>
      <w:r w:rsidR="0032570B" w:rsidRPr="00711852">
        <w:rPr>
          <w:rFonts w:ascii="Times New Roman" w:hAnsi="Times New Roman" w:cs="Times New Roman"/>
          <w:kern w:val="0"/>
          <w:sz w:val="24"/>
          <w:szCs w:val="24"/>
        </w:rPr>
        <w:t>i</w:t>
      </w:r>
      <w:r w:rsidRPr="00711852">
        <w:rPr>
          <w:rFonts w:ascii="Times New Roman" w:hAnsi="Times New Roman" w:cs="Times New Roman"/>
          <w:kern w:val="0"/>
          <w:sz w:val="24"/>
          <w:szCs w:val="24"/>
        </w:rPr>
        <w:t xml:space="preserve">es were performed to identify the genes involved in paracetamol degradation, it was observed that plasmid plays an important role in paracetamol degradation. The </w:t>
      </w:r>
      <w:r w:rsidRPr="00711852">
        <w:rPr>
          <w:rFonts w:ascii="Times New Roman" w:hAnsi="Times New Roman" w:cs="Times New Roman"/>
          <w:i/>
          <w:kern w:val="0"/>
          <w:sz w:val="24"/>
          <w:szCs w:val="24"/>
        </w:rPr>
        <w:t>Pseudomonas</w:t>
      </w:r>
      <w:r w:rsidRPr="00711852">
        <w:rPr>
          <w:rFonts w:ascii="Times New Roman" w:hAnsi="Times New Roman" w:cs="Times New Roman"/>
          <w:kern w:val="0"/>
          <w:sz w:val="24"/>
          <w:szCs w:val="24"/>
        </w:rPr>
        <w:t xml:space="preserve"> sp. ST-4 has been shown to degrade 4-aminophenol through plasmid (Khan et al. 2006). The genes responsible for hydroquinone degradation and their regulation </w:t>
      </w:r>
      <w:r w:rsidR="004C23DF" w:rsidRPr="00711852">
        <w:rPr>
          <w:rFonts w:ascii="Times New Roman" w:hAnsi="Times New Roman" w:cs="Times New Roman"/>
          <w:kern w:val="0"/>
          <w:sz w:val="24"/>
          <w:szCs w:val="24"/>
        </w:rPr>
        <w:t>have</w:t>
      </w:r>
      <w:r w:rsidRPr="00711852">
        <w:rPr>
          <w:rFonts w:ascii="Times New Roman" w:hAnsi="Times New Roman" w:cs="Times New Roman"/>
          <w:kern w:val="0"/>
          <w:sz w:val="24"/>
          <w:szCs w:val="24"/>
        </w:rPr>
        <w:t xml:space="preserve"> been elucidated in </w:t>
      </w:r>
      <w:r w:rsidRPr="00711852">
        <w:rPr>
          <w:rFonts w:ascii="Times New Roman" w:hAnsi="Times New Roman" w:cs="Times New Roman"/>
          <w:i/>
          <w:kern w:val="0"/>
          <w:sz w:val="24"/>
          <w:szCs w:val="24"/>
        </w:rPr>
        <w:t>Pseudomonasputida</w:t>
      </w:r>
      <w:r w:rsidRPr="00711852">
        <w:rPr>
          <w:rFonts w:ascii="Times New Roman" w:hAnsi="Times New Roman" w:cs="Times New Roman"/>
          <w:kern w:val="0"/>
          <w:sz w:val="24"/>
          <w:szCs w:val="24"/>
        </w:rPr>
        <w:t xml:space="preserve"> DLL-E4 (Hu et al. 2014).There are several </w:t>
      </w:r>
      <w:r w:rsidR="004C23DF" w:rsidRPr="00711852">
        <w:rPr>
          <w:rFonts w:ascii="Times New Roman" w:hAnsi="Times New Roman" w:cs="Times New Roman"/>
          <w:kern w:val="0"/>
          <w:sz w:val="24"/>
          <w:szCs w:val="24"/>
        </w:rPr>
        <w:t xml:space="preserve">reports </w:t>
      </w:r>
      <w:r w:rsidRPr="00711852">
        <w:rPr>
          <w:rFonts w:ascii="Times New Roman" w:hAnsi="Times New Roman" w:cs="Times New Roman"/>
          <w:kern w:val="0"/>
          <w:sz w:val="24"/>
          <w:szCs w:val="24"/>
        </w:rPr>
        <w:t xml:space="preserve">available where the </w:t>
      </w:r>
      <w:r w:rsidRPr="00711852">
        <w:rPr>
          <w:rFonts w:ascii="Times New Roman" w:hAnsi="Times New Roman" w:cs="Times New Roman"/>
          <w:i/>
          <w:iCs/>
          <w:kern w:val="0"/>
          <w:sz w:val="24"/>
          <w:szCs w:val="24"/>
        </w:rPr>
        <w:t>Pseudomonas</w:t>
      </w:r>
      <w:r w:rsidRPr="00711852">
        <w:rPr>
          <w:rFonts w:ascii="Times New Roman" w:hAnsi="Times New Roman" w:cs="Times New Roman"/>
          <w:kern w:val="0"/>
          <w:sz w:val="24"/>
          <w:szCs w:val="24"/>
        </w:rPr>
        <w:t xml:space="preserve"> sp. has been studied for paracetamol degradation in the concentration range 50-4000 mg/L and the pathway have been suggested based on the detection of intermediated or enzymes (Poddar et al. 2022; Zur et al. 2018; Zhang et al. 2013; Hu et al. 2013).</w:t>
      </w:r>
      <w:r w:rsidR="00D90E41">
        <w:rPr>
          <w:rFonts w:ascii="Times New Roman" w:hAnsi="Times New Roman" w:cs="Times New Roman"/>
          <w:kern w:val="0"/>
          <w:sz w:val="24"/>
          <w:szCs w:val="24"/>
        </w:rPr>
        <w:t xml:space="preserve"> </w:t>
      </w:r>
      <w:r w:rsidRPr="00711852">
        <w:rPr>
          <w:rFonts w:ascii="Times New Roman" w:hAnsi="Times New Roman" w:cs="Times New Roman"/>
          <w:kern w:val="0"/>
          <w:sz w:val="24"/>
          <w:szCs w:val="24"/>
        </w:rPr>
        <w:t>In a similar study</w:t>
      </w:r>
      <w:r w:rsidR="004C23DF" w:rsidRPr="00711852">
        <w:rPr>
          <w:rFonts w:ascii="Times New Roman" w:hAnsi="Times New Roman" w:cs="Times New Roman"/>
          <w:kern w:val="0"/>
          <w:sz w:val="24"/>
          <w:szCs w:val="24"/>
        </w:rPr>
        <w:t>,</w:t>
      </w:r>
      <w:r w:rsidRPr="00711852">
        <w:rPr>
          <w:rFonts w:ascii="Times New Roman" w:hAnsi="Times New Roman" w:cs="Times New Roman"/>
          <w:kern w:val="0"/>
          <w:sz w:val="24"/>
          <w:szCs w:val="24"/>
        </w:rPr>
        <w:t xml:space="preserve"> microbe</w:t>
      </w:r>
      <w:r w:rsidR="004C23DF" w:rsidRPr="00711852">
        <w:rPr>
          <w:rFonts w:ascii="Times New Roman" w:hAnsi="Times New Roman" w:cs="Times New Roman"/>
          <w:kern w:val="0"/>
          <w:sz w:val="24"/>
          <w:szCs w:val="24"/>
        </w:rPr>
        <w:t>s</w:t>
      </w:r>
      <w:r w:rsidRPr="00711852">
        <w:rPr>
          <w:rFonts w:ascii="Times New Roman" w:hAnsi="Times New Roman" w:cs="Times New Roman"/>
          <w:kern w:val="0"/>
          <w:sz w:val="24"/>
          <w:szCs w:val="24"/>
        </w:rPr>
        <w:t xml:space="preserve"> such as </w:t>
      </w:r>
      <w:r w:rsidRPr="00711852">
        <w:rPr>
          <w:rFonts w:ascii="Times New Roman" w:hAnsi="Times New Roman" w:cs="Times New Roman"/>
          <w:i/>
          <w:iCs/>
          <w:kern w:val="0"/>
          <w:sz w:val="24"/>
          <w:szCs w:val="24"/>
        </w:rPr>
        <w:t>Brevibacterium, Corynebacterium, Enterococcus</w:t>
      </w:r>
      <w:r w:rsidRPr="00711852">
        <w:rPr>
          <w:rFonts w:ascii="Times New Roman" w:hAnsi="Times New Roman" w:cs="Times New Roman"/>
          <w:kern w:val="0"/>
          <w:sz w:val="24"/>
          <w:szCs w:val="24"/>
        </w:rPr>
        <w:t xml:space="preserve"> and </w:t>
      </w:r>
      <w:r w:rsidRPr="00711852">
        <w:rPr>
          <w:rFonts w:ascii="Times New Roman" w:hAnsi="Times New Roman" w:cs="Times New Roman"/>
          <w:i/>
          <w:iCs/>
          <w:kern w:val="0"/>
          <w:sz w:val="24"/>
          <w:szCs w:val="24"/>
        </w:rPr>
        <w:t>Bacillus</w:t>
      </w:r>
      <w:r w:rsidRPr="00711852">
        <w:rPr>
          <w:rFonts w:ascii="Times New Roman" w:hAnsi="Times New Roman" w:cs="Times New Roman"/>
          <w:kern w:val="0"/>
          <w:sz w:val="24"/>
          <w:szCs w:val="24"/>
        </w:rPr>
        <w:t xml:space="preserve"> sp., isolated </w:t>
      </w:r>
      <w:r w:rsidR="004C23DF" w:rsidRPr="00711852">
        <w:rPr>
          <w:rFonts w:ascii="Times New Roman" w:hAnsi="Times New Roman" w:cs="Times New Roman"/>
          <w:kern w:val="0"/>
          <w:sz w:val="24"/>
          <w:szCs w:val="24"/>
        </w:rPr>
        <w:t>from activated sludge sample were</w:t>
      </w:r>
      <w:r w:rsidRPr="00711852">
        <w:rPr>
          <w:rFonts w:ascii="Times New Roman" w:hAnsi="Times New Roman" w:cs="Times New Roman"/>
          <w:kern w:val="0"/>
          <w:sz w:val="24"/>
          <w:szCs w:val="24"/>
        </w:rPr>
        <w:t xml:space="preserve"> studied</w:t>
      </w:r>
      <w:r w:rsidRPr="00711852">
        <w:rPr>
          <w:rFonts w:ascii="Times New Roman" w:hAnsi="Times New Roman" w:cs="Times New Roman"/>
          <w:sz w:val="24"/>
          <w:szCs w:val="24"/>
          <w:shd w:val="clear" w:color="auto" w:fill="FCFCFC"/>
        </w:rPr>
        <w:t xml:space="preserve"> for paracetamol degradation. </w:t>
      </w:r>
      <w:r w:rsidR="004C23DF" w:rsidRPr="00711852">
        <w:rPr>
          <w:rFonts w:ascii="Times New Roman" w:hAnsi="Times New Roman" w:cs="Times New Roman"/>
          <w:sz w:val="24"/>
          <w:szCs w:val="24"/>
          <w:shd w:val="clear" w:color="auto" w:fill="FCFCFC"/>
        </w:rPr>
        <w:t xml:space="preserve">Cultures of </w:t>
      </w:r>
      <w:r w:rsidRPr="00711852">
        <w:rPr>
          <w:rFonts w:ascii="Times New Roman" w:hAnsi="Times New Roman" w:cs="Times New Roman"/>
          <w:i/>
          <w:iCs/>
          <w:sz w:val="24"/>
          <w:szCs w:val="24"/>
          <w:shd w:val="clear" w:color="auto" w:fill="FCFCFC"/>
        </w:rPr>
        <w:t>Brevibacterium</w:t>
      </w:r>
      <w:r w:rsidRPr="00711852">
        <w:rPr>
          <w:rFonts w:ascii="Times New Roman" w:hAnsi="Times New Roman" w:cs="Times New Roman"/>
          <w:sz w:val="24"/>
          <w:szCs w:val="24"/>
          <w:shd w:val="clear" w:color="auto" w:fill="FCFCFC"/>
        </w:rPr>
        <w:t xml:space="preserve">, </w:t>
      </w:r>
      <w:r w:rsidRPr="00711852">
        <w:rPr>
          <w:rFonts w:ascii="Times New Roman" w:hAnsi="Times New Roman" w:cs="Times New Roman"/>
          <w:i/>
          <w:iCs/>
          <w:sz w:val="24"/>
          <w:szCs w:val="24"/>
          <w:shd w:val="clear" w:color="auto" w:fill="FCFCFC"/>
        </w:rPr>
        <w:t>Corynebacterium</w:t>
      </w:r>
      <w:r w:rsidRPr="00711852">
        <w:rPr>
          <w:rFonts w:ascii="Times New Roman" w:hAnsi="Times New Roman" w:cs="Times New Roman"/>
          <w:sz w:val="24"/>
          <w:szCs w:val="24"/>
          <w:shd w:val="clear" w:color="auto" w:fill="FCFCFC"/>
        </w:rPr>
        <w:t xml:space="preserve"> and </w:t>
      </w:r>
      <w:r w:rsidRPr="00711852">
        <w:rPr>
          <w:rFonts w:ascii="Times New Roman" w:hAnsi="Times New Roman" w:cs="Times New Roman"/>
          <w:i/>
          <w:iCs/>
          <w:sz w:val="24"/>
          <w:szCs w:val="24"/>
          <w:shd w:val="clear" w:color="auto" w:fill="FCFCFC"/>
        </w:rPr>
        <w:t xml:space="preserve">Enterococcus </w:t>
      </w:r>
      <w:r w:rsidRPr="00711852">
        <w:rPr>
          <w:rFonts w:ascii="Times New Roman" w:hAnsi="Times New Roman" w:cs="Times New Roman"/>
          <w:sz w:val="24"/>
          <w:szCs w:val="24"/>
          <w:shd w:val="clear" w:color="auto" w:fill="FCFCFC"/>
        </w:rPr>
        <w:t xml:space="preserve">resulted in 86-97% degradation of paracetmol at 200mg/L concentration but in case </w:t>
      </w:r>
      <w:r w:rsidRPr="00711852">
        <w:rPr>
          <w:rFonts w:ascii="Times New Roman" w:hAnsi="Times New Roman" w:cs="Times New Roman"/>
          <w:i/>
          <w:iCs/>
          <w:sz w:val="24"/>
          <w:szCs w:val="24"/>
          <w:shd w:val="clear" w:color="auto" w:fill="FCFCFC"/>
        </w:rPr>
        <w:t xml:space="preserve">Bacillus </w:t>
      </w:r>
      <w:r w:rsidRPr="00711852">
        <w:rPr>
          <w:rFonts w:ascii="Times New Roman" w:hAnsi="Times New Roman" w:cs="Times New Roman"/>
          <w:sz w:val="24"/>
          <w:szCs w:val="24"/>
          <w:shd w:val="clear" w:color="auto" w:fill="FCFCFC"/>
        </w:rPr>
        <w:t xml:space="preserve">complete mineralization of paracetamol was observed </w:t>
      </w:r>
      <w:r w:rsidR="004C23DF" w:rsidRPr="00711852">
        <w:rPr>
          <w:rFonts w:ascii="Times New Roman" w:hAnsi="Times New Roman" w:cs="Times New Roman"/>
          <w:sz w:val="24"/>
          <w:szCs w:val="24"/>
          <w:shd w:val="clear" w:color="auto" w:fill="FCFCFC"/>
        </w:rPr>
        <w:t xml:space="preserve">along with </w:t>
      </w:r>
      <w:r w:rsidRPr="00711852">
        <w:rPr>
          <w:rFonts w:ascii="Times New Roman" w:hAnsi="Times New Roman" w:cs="Times New Roman"/>
          <w:sz w:val="24"/>
          <w:szCs w:val="24"/>
          <w:shd w:val="clear" w:color="auto" w:fill="FCFCFC"/>
        </w:rPr>
        <w:t>detect</w:t>
      </w:r>
      <w:r w:rsidR="00197BE5" w:rsidRPr="00711852">
        <w:rPr>
          <w:rFonts w:ascii="Times New Roman" w:hAnsi="Times New Roman" w:cs="Times New Roman"/>
          <w:sz w:val="24"/>
          <w:szCs w:val="24"/>
          <w:shd w:val="clear" w:color="auto" w:fill="FCFCFC"/>
        </w:rPr>
        <w:t>ion of degradation intermediates</w:t>
      </w:r>
      <w:r w:rsidRPr="00711852">
        <w:rPr>
          <w:rFonts w:ascii="Times New Roman" w:hAnsi="Times New Roman" w:cs="Times New Roman"/>
          <w:sz w:val="24"/>
          <w:szCs w:val="24"/>
          <w:shd w:val="clear" w:color="auto" w:fill="FCFCFC"/>
        </w:rPr>
        <w:t xml:space="preserve"> viz., 4-aminophenol, hydr</w:t>
      </w:r>
      <w:r w:rsidR="00197BE5" w:rsidRPr="00711852">
        <w:rPr>
          <w:rFonts w:ascii="Times New Roman" w:hAnsi="Times New Roman" w:cs="Times New Roman"/>
          <w:sz w:val="24"/>
          <w:szCs w:val="24"/>
          <w:shd w:val="clear" w:color="auto" w:fill="FCFCFC"/>
        </w:rPr>
        <w:t xml:space="preserve">oquinone and 2-hexenoic acid </w:t>
      </w:r>
      <w:r w:rsidRPr="00711852">
        <w:rPr>
          <w:rFonts w:ascii="Times New Roman" w:hAnsi="Times New Roman" w:cs="Times New Roman"/>
          <w:sz w:val="24"/>
          <w:szCs w:val="24"/>
          <w:shd w:val="clear" w:color="auto" w:fill="FCFCFC"/>
        </w:rPr>
        <w:t>(Palma et al. 2021)</w:t>
      </w:r>
      <w:r w:rsidRPr="00711852">
        <w:rPr>
          <w:rFonts w:ascii="Times New Roman" w:hAnsi="Times New Roman" w:cs="Times New Roman"/>
          <w:i/>
          <w:iCs/>
          <w:sz w:val="24"/>
          <w:szCs w:val="24"/>
          <w:shd w:val="clear" w:color="auto" w:fill="FCFCFC"/>
        </w:rPr>
        <w:t>.</w:t>
      </w:r>
    </w:p>
    <w:p w:rsidR="00D90E41" w:rsidRDefault="00D90E41" w:rsidP="00711852">
      <w:pPr>
        <w:spacing w:after="0" w:line="480" w:lineRule="auto"/>
        <w:contextualSpacing/>
        <w:jc w:val="both"/>
        <w:rPr>
          <w:rFonts w:ascii="Times New Roman" w:hAnsi="Times New Roman" w:cs="Times New Roman"/>
          <w:sz w:val="24"/>
          <w:szCs w:val="24"/>
        </w:rPr>
      </w:pPr>
    </w:p>
    <w:p w:rsidR="00761FF1" w:rsidRDefault="001D2411" w:rsidP="00711852">
      <w:pPr>
        <w:spacing w:after="0" w:line="480" w:lineRule="auto"/>
        <w:contextualSpacing/>
        <w:jc w:val="both"/>
        <w:rPr>
          <w:rFonts w:ascii="Times New Roman" w:hAnsi="Times New Roman" w:cs="Times New Roman"/>
          <w:sz w:val="24"/>
          <w:szCs w:val="24"/>
        </w:rPr>
      </w:pPr>
      <w:r w:rsidRPr="00711852">
        <w:rPr>
          <w:rFonts w:ascii="Times New Roman" w:hAnsi="Times New Roman" w:cs="Times New Roman"/>
          <w:sz w:val="24"/>
          <w:szCs w:val="24"/>
        </w:rPr>
        <w:t xml:space="preserve">The degradation of paracetamol under anaerobic condition was also attempted by the researchers. Recently a study on paracetamol degradation by </w:t>
      </w:r>
      <w:r w:rsidRPr="00711852">
        <w:rPr>
          <w:rFonts w:ascii="Times New Roman" w:hAnsi="Times New Roman" w:cs="Times New Roman"/>
          <w:i/>
          <w:iCs/>
          <w:sz w:val="24"/>
          <w:szCs w:val="24"/>
        </w:rPr>
        <w:t>Bacillus drentensis</w:t>
      </w:r>
      <w:r w:rsidRPr="00711852">
        <w:rPr>
          <w:rFonts w:ascii="Times New Roman" w:hAnsi="Times New Roman" w:cs="Times New Roman"/>
          <w:sz w:val="24"/>
          <w:szCs w:val="24"/>
        </w:rPr>
        <w:t xml:space="preserve"> strain S1 was performed under anaerobic conditions and the pathway was also deciphered based on the detection of degradation intermediates viz., phenothiazine and 2-isopropyl-5-methylcyclohexanone (Figure </w:t>
      </w:r>
      <w:r w:rsidR="00761FF1">
        <w:rPr>
          <w:rFonts w:ascii="Times New Roman" w:hAnsi="Times New Roman" w:cs="Times New Roman"/>
          <w:sz w:val="24"/>
          <w:szCs w:val="24"/>
        </w:rPr>
        <w:t>4</w:t>
      </w:r>
      <w:r w:rsidRPr="00711852">
        <w:rPr>
          <w:rFonts w:ascii="Times New Roman" w:hAnsi="Times New Roman" w:cs="Times New Roman"/>
          <w:sz w:val="24"/>
          <w:szCs w:val="24"/>
        </w:rPr>
        <w:t>). This strain was reported to degrade 94.5% (initial concentration 300mg/ L) at pilot sca</w:t>
      </w:r>
      <w:r w:rsidR="00094722" w:rsidRPr="00711852">
        <w:rPr>
          <w:rFonts w:ascii="Times New Roman" w:hAnsi="Times New Roman" w:cs="Times New Roman"/>
          <w:sz w:val="24"/>
          <w:szCs w:val="24"/>
        </w:rPr>
        <w:t xml:space="preserve">le under anaerobic conditions (Chopra </w:t>
      </w:r>
      <w:r w:rsidR="003F7664" w:rsidRPr="00711852">
        <w:rPr>
          <w:rFonts w:ascii="Times New Roman" w:hAnsi="Times New Roman" w:cs="Times New Roman"/>
          <w:sz w:val="24"/>
          <w:szCs w:val="24"/>
        </w:rPr>
        <w:t xml:space="preserve">and Kumar </w:t>
      </w:r>
      <w:r w:rsidRPr="00711852">
        <w:rPr>
          <w:rFonts w:ascii="Times New Roman" w:hAnsi="Times New Roman" w:cs="Times New Roman"/>
          <w:sz w:val="24"/>
          <w:szCs w:val="24"/>
        </w:rPr>
        <w:t xml:space="preserve">2020). </w:t>
      </w:r>
    </w:p>
    <w:p w:rsidR="00761FF1" w:rsidRDefault="00761FF1" w:rsidP="00711852">
      <w:pPr>
        <w:spacing w:after="0" w:line="480" w:lineRule="auto"/>
        <w:contextualSpacing/>
        <w:jc w:val="both"/>
        <w:rPr>
          <w:rFonts w:ascii="Times New Roman" w:hAnsi="Times New Roman" w:cs="Times New Roman"/>
          <w:sz w:val="24"/>
          <w:szCs w:val="24"/>
        </w:rPr>
      </w:pPr>
    </w:p>
    <w:p w:rsidR="00761FF1" w:rsidRDefault="00761FF1" w:rsidP="00711852">
      <w:pPr>
        <w:spacing w:after="0" w:line="480" w:lineRule="auto"/>
        <w:contextualSpacing/>
        <w:jc w:val="both"/>
        <w:rPr>
          <w:rFonts w:ascii="Times New Roman" w:hAnsi="Times New Roman" w:cs="Times New Roman"/>
          <w:sz w:val="24"/>
          <w:szCs w:val="24"/>
        </w:rPr>
      </w:pPr>
      <w:r w:rsidRPr="00761FF1">
        <w:rPr>
          <w:rFonts w:ascii="Times New Roman" w:hAnsi="Times New Roman" w:cs="Times New Roman"/>
          <w:noProof/>
          <w:sz w:val="24"/>
          <w:szCs w:val="24"/>
        </w:rPr>
        <w:lastRenderedPageBreak/>
        <w:drawing>
          <wp:inline distT="0" distB="0" distL="0" distR="0">
            <wp:extent cx="5731510" cy="2991161"/>
            <wp:effectExtent l="19050" t="19050" r="21590" b="18739"/>
            <wp:docPr id="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srcRect/>
                    <a:stretch>
                      <a:fillRect/>
                    </a:stretch>
                  </pic:blipFill>
                  <pic:spPr bwMode="auto">
                    <a:xfrm>
                      <a:off x="0" y="0"/>
                      <a:ext cx="5731510" cy="2991161"/>
                    </a:xfrm>
                    <a:prstGeom prst="rect">
                      <a:avLst/>
                    </a:prstGeom>
                    <a:noFill/>
                    <a:ln w="9525">
                      <a:solidFill>
                        <a:schemeClr val="tx1"/>
                      </a:solidFill>
                      <a:miter lim="800000"/>
                      <a:headEnd/>
                      <a:tailEnd/>
                    </a:ln>
                  </pic:spPr>
                </pic:pic>
              </a:graphicData>
            </a:graphic>
          </wp:inline>
        </w:drawing>
      </w:r>
    </w:p>
    <w:p w:rsidR="00761FF1" w:rsidRPr="00711852" w:rsidRDefault="00761FF1" w:rsidP="00761FF1">
      <w:pPr>
        <w:spacing w:line="480" w:lineRule="auto"/>
        <w:jc w:val="both"/>
        <w:rPr>
          <w:rFonts w:ascii="Times New Roman" w:hAnsi="Times New Roman" w:cs="Times New Roman"/>
          <w:b/>
          <w:sz w:val="24"/>
          <w:szCs w:val="24"/>
        </w:rPr>
      </w:pPr>
      <w:r w:rsidRPr="00711852">
        <w:rPr>
          <w:rFonts w:ascii="Times New Roman" w:hAnsi="Times New Roman" w:cs="Times New Roman"/>
          <w:b/>
          <w:sz w:val="24"/>
          <w:szCs w:val="24"/>
        </w:rPr>
        <w:t xml:space="preserve">Figure </w:t>
      </w:r>
      <w:r>
        <w:rPr>
          <w:rFonts w:ascii="Times New Roman" w:hAnsi="Times New Roman" w:cs="Times New Roman"/>
          <w:b/>
          <w:sz w:val="24"/>
          <w:szCs w:val="24"/>
        </w:rPr>
        <w:t>4</w:t>
      </w:r>
      <w:r w:rsidRPr="00711852">
        <w:rPr>
          <w:rFonts w:ascii="Times New Roman" w:hAnsi="Times New Roman" w:cs="Times New Roman"/>
          <w:b/>
          <w:sz w:val="24"/>
          <w:szCs w:val="24"/>
        </w:rPr>
        <w:t xml:space="preserve">. Pathways of </w:t>
      </w:r>
      <w:r>
        <w:rPr>
          <w:rFonts w:ascii="Times New Roman" w:hAnsi="Times New Roman" w:cs="Times New Roman"/>
          <w:b/>
          <w:sz w:val="24"/>
          <w:szCs w:val="24"/>
        </w:rPr>
        <w:t>ana</w:t>
      </w:r>
      <w:r w:rsidRPr="00711852">
        <w:rPr>
          <w:rFonts w:ascii="Times New Roman" w:hAnsi="Times New Roman" w:cs="Times New Roman"/>
          <w:b/>
          <w:sz w:val="24"/>
          <w:szCs w:val="24"/>
        </w:rPr>
        <w:t xml:space="preserve">erobic degradation </w:t>
      </w:r>
      <w:r>
        <w:rPr>
          <w:rFonts w:ascii="Times New Roman" w:hAnsi="Times New Roman" w:cs="Times New Roman"/>
          <w:b/>
          <w:sz w:val="24"/>
          <w:szCs w:val="24"/>
        </w:rPr>
        <w:t xml:space="preserve">of </w:t>
      </w:r>
      <w:r w:rsidRPr="00711852">
        <w:rPr>
          <w:rFonts w:ascii="Times New Roman" w:hAnsi="Times New Roman" w:cs="Times New Roman"/>
          <w:b/>
          <w:sz w:val="24"/>
          <w:szCs w:val="24"/>
        </w:rPr>
        <w:t>Paracetamol degradation by bacteria</w:t>
      </w:r>
      <w:r>
        <w:rPr>
          <w:rFonts w:ascii="Times New Roman" w:hAnsi="Times New Roman" w:cs="Times New Roman"/>
          <w:b/>
          <w:sz w:val="24"/>
          <w:szCs w:val="24"/>
        </w:rPr>
        <w:t xml:space="preserve"> </w:t>
      </w:r>
      <w:r w:rsidRPr="00711852">
        <w:rPr>
          <w:rFonts w:ascii="Times New Roman" w:hAnsi="Times New Roman" w:cs="Times New Roman"/>
          <w:b/>
          <w:sz w:val="24"/>
          <w:szCs w:val="24"/>
        </w:rPr>
        <w:t>(</w:t>
      </w:r>
      <w:r w:rsidR="00222605" w:rsidRPr="00711852">
        <w:rPr>
          <w:rFonts w:ascii="Times New Roman" w:hAnsi="Times New Roman" w:cs="Times New Roman"/>
          <w:b/>
          <w:color w:val="222222"/>
          <w:sz w:val="24"/>
          <w:szCs w:val="24"/>
          <w:shd w:val="clear" w:color="auto" w:fill="FFFFFF"/>
        </w:rPr>
        <w:t xml:space="preserve">Chacón </w:t>
      </w:r>
      <w:r w:rsidR="00222605" w:rsidRPr="00711852">
        <w:rPr>
          <w:rFonts w:ascii="Times New Roman" w:hAnsi="Times New Roman" w:cs="Times New Roman"/>
          <w:b/>
          <w:sz w:val="24"/>
          <w:szCs w:val="24"/>
        </w:rPr>
        <w:t>et al. 2022</w:t>
      </w:r>
      <w:r w:rsidR="00222605">
        <w:rPr>
          <w:rFonts w:ascii="Times New Roman" w:hAnsi="Times New Roman" w:cs="Times New Roman"/>
          <w:b/>
          <w:sz w:val="24"/>
          <w:szCs w:val="24"/>
        </w:rPr>
        <w:t xml:space="preserve">; </w:t>
      </w:r>
      <w:r w:rsidRPr="00711852">
        <w:rPr>
          <w:rFonts w:ascii="Times New Roman" w:hAnsi="Times New Roman" w:cs="Times New Roman"/>
          <w:b/>
          <w:sz w:val="24"/>
          <w:szCs w:val="24"/>
        </w:rPr>
        <w:t xml:space="preserve">Chopra and </w:t>
      </w:r>
      <w:r w:rsidRPr="00711852">
        <w:rPr>
          <w:rFonts w:ascii="Times New Roman" w:hAnsi="Times New Roman" w:cs="Times New Roman"/>
          <w:b/>
          <w:color w:val="222222"/>
          <w:sz w:val="24"/>
          <w:szCs w:val="24"/>
          <w:shd w:val="clear" w:color="auto" w:fill="FFFFFF"/>
        </w:rPr>
        <w:t>Kumar</w:t>
      </w:r>
      <w:r w:rsidRPr="00711852">
        <w:rPr>
          <w:rFonts w:ascii="Times New Roman" w:hAnsi="Times New Roman" w:cs="Times New Roman"/>
          <w:b/>
          <w:sz w:val="24"/>
          <w:szCs w:val="24"/>
        </w:rPr>
        <w:t xml:space="preserve"> 2020).</w:t>
      </w:r>
    </w:p>
    <w:p w:rsidR="00761FF1" w:rsidRDefault="00761FF1" w:rsidP="00711852">
      <w:pPr>
        <w:spacing w:after="0" w:line="480" w:lineRule="auto"/>
        <w:contextualSpacing/>
        <w:jc w:val="both"/>
        <w:rPr>
          <w:rFonts w:ascii="Times New Roman" w:hAnsi="Times New Roman" w:cs="Times New Roman"/>
          <w:sz w:val="24"/>
          <w:szCs w:val="24"/>
        </w:rPr>
      </w:pPr>
    </w:p>
    <w:p w:rsidR="001D2411" w:rsidRPr="00711852" w:rsidRDefault="001D2411" w:rsidP="00711852">
      <w:pPr>
        <w:spacing w:after="0" w:line="480" w:lineRule="auto"/>
        <w:contextualSpacing/>
        <w:jc w:val="both"/>
        <w:rPr>
          <w:rFonts w:ascii="Times New Roman" w:hAnsi="Times New Roman" w:cs="Times New Roman"/>
          <w:sz w:val="24"/>
          <w:szCs w:val="24"/>
          <w:shd w:val="clear" w:color="auto" w:fill="FFFFFF"/>
        </w:rPr>
      </w:pPr>
      <w:r w:rsidRPr="00711852">
        <w:rPr>
          <w:rFonts w:ascii="Times New Roman" w:hAnsi="Times New Roman" w:cs="Times New Roman"/>
          <w:sz w:val="24"/>
          <w:szCs w:val="24"/>
        </w:rPr>
        <w:t>In another study, the degradation of paracetamol was reported in mangrove sediments. A total of 16 microbial genera (</w:t>
      </w:r>
      <w:r w:rsidRPr="00711852">
        <w:rPr>
          <w:rFonts w:ascii="Times New Roman" w:hAnsi="Times New Roman" w:cs="Times New Roman"/>
          <w:i/>
          <w:iCs/>
          <w:sz w:val="24"/>
          <w:szCs w:val="24"/>
        </w:rPr>
        <w:t>Bacillus, Enterobacter and Arthrobacter</w:t>
      </w:r>
      <w:r w:rsidRPr="00711852">
        <w:rPr>
          <w:rFonts w:ascii="Times New Roman" w:hAnsi="Times New Roman" w:cs="Times New Roman"/>
          <w:sz w:val="24"/>
          <w:szCs w:val="24"/>
        </w:rPr>
        <w:t xml:space="preserve"> could be identified) were found to be associated with paracetamol degradation. Furthermore, they have studied the role of electron acceptor viz., NaNO</w:t>
      </w:r>
      <w:r w:rsidRPr="00711852">
        <w:rPr>
          <w:rFonts w:ascii="Times New Roman" w:hAnsi="Times New Roman" w:cs="Times New Roman"/>
          <w:sz w:val="24"/>
          <w:szCs w:val="24"/>
          <w:vertAlign w:val="subscript"/>
        </w:rPr>
        <w:t>3</w:t>
      </w:r>
      <w:r w:rsidRPr="00711852">
        <w:rPr>
          <w:rFonts w:ascii="Times New Roman" w:hAnsi="Times New Roman" w:cs="Times New Roman"/>
          <w:sz w:val="24"/>
          <w:szCs w:val="24"/>
        </w:rPr>
        <w:t>, Na</w:t>
      </w:r>
      <w:r w:rsidRPr="00711852">
        <w:rPr>
          <w:rFonts w:ascii="Times New Roman" w:hAnsi="Times New Roman" w:cs="Times New Roman"/>
          <w:sz w:val="24"/>
          <w:szCs w:val="24"/>
          <w:vertAlign w:val="subscript"/>
        </w:rPr>
        <w:t>2</w:t>
      </w:r>
      <w:r w:rsidRPr="00711852">
        <w:rPr>
          <w:rFonts w:ascii="Times New Roman" w:hAnsi="Times New Roman" w:cs="Times New Roman"/>
          <w:sz w:val="24"/>
          <w:szCs w:val="24"/>
        </w:rPr>
        <w:t>SO</w:t>
      </w:r>
      <w:r w:rsidRPr="00711852">
        <w:rPr>
          <w:rFonts w:ascii="Times New Roman" w:hAnsi="Times New Roman" w:cs="Times New Roman"/>
          <w:sz w:val="24"/>
          <w:szCs w:val="24"/>
          <w:vertAlign w:val="subscript"/>
        </w:rPr>
        <w:t>4</w:t>
      </w:r>
      <w:r w:rsidRPr="00711852">
        <w:rPr>
          <w:rFonts w:ascii="Times New Roman" w:hAnsi="Times New Roman" w:cs="Times New Roman"/>
          <w:sz w:val="24"/>
          <w:szCs w:val="24"/>
        </w:rPr>
        <w:t> and NaHCO</w:t>
      </w:r>
      <w:r w:rsidRPr="00711852">
        <w:rPr>
          <w:rFonts w:ascii="Times New Roman" w:hAnsi="Times New Roman" w:cs="Times New Roman"/>
          <w:sz w:val="24"/>
          <w:szCs w:val="24"/>
          <w:vertAlign w:val="subscript"/>
        </w:rPr>
        <w:t>3</w:t>
      </w:r>
      <w:r w:rsidRPr="00711852">
        <w:rPr>
          <w:rFonts w:ascii="Times New Roman" w:hAnsi="Times New Roman" w:cs="Times New Roman"/>
          <w:sz w:val="24"/>
          <w:szCs w:val="24"/>
        </w:rPr>
        <w:t> addition for enhanced paracetamol degradation under anaerobic conditions and NaNO</w:t>
      </w:r>
      <w:r w:rsidRPr="00212794">
        <w:rPr>
          <w:rFonts w:ascii="Times New Roman" w:hAnsi="Times New Roman" w:cs="Times New Roman"/>
          <w:sz w:val="24"/>
          <w:szCs w:val="24"/>
          <w:vertAlign w:val="subscript"/>
        </w:rPr>
        <w:t>3</w:t>
      </w:r>
      <w:r w:rsidRPr="00711852">
        <w:rPr>
          <w:rFonts w:ascii="Times New Roman" w:hAnsi="Times New Roman" w:cs="Times New Roman"/>
          <w:sz w:val="24"/>
          <w:szCs w:val="24"/>
        </w:rPr>
        <w:t xml:space="preserve"> showed the best degradation in case of mangrove sediments (Yang et al., 2020).  </w:t>
      </w:r>
      <w:r w:rsidRPr="00711852">
        <w:rPr>
          <w:rFonts w:ascii="Times New Roman" w:hAnsi="Times New Roman" w:cs="Times New Roman"/>
          <w:sz w:val="24"/>
          <w:szCs w:val="24"/>
          <w:shd w:val="clear" w:color="auto" w:fill="FFFFFF"/>
        </w:rPr>
        <w:t xml:space="preserve">Chacón et al </w:t>
      </w:r>
      <w:r w:rsidR="00094722" w:rsidRPr="00711852">
        <w:rPr>
          <w:rFonts w:ascii="Times New Roman" w:hAnsi="Times New Roman" w:cs="Times New Roman"/>
          <w:sz w:val="24"/>
          <w:szCs w:val="24"/>
          <w:shd w:val="clear" w:color="auto" w:fill="FFFFFF"/>
        </w:rPr>
        <w:t xml:space="preserve">(2022) </w:t>
      </w:r>
      <w:r w:rsidRPr="00711852">
        <w:rPr>
          <w:rFonts w:ascii="Times New Roman" w:hAnsi="Times New Roman" w:cs="Times New Roman"/>
          <w:sz w:val="24"/>
          <w:szCs w:val="24"/>
          <w:shd w:val="clear" w:color="auto" w:fill="FFFFFF"/>
        </w:rPr>
        <w:t xml:space="preserve">studied the role of </w:t>
      </w:r>
      <w:r w:rsidRPr="00711852">
        <w:rPr>
          <w:rFonts w:ascii="Times New Roman" w:hAnsi="Times New Roman" w:cs="Times New Roman"/>
          <w:sz w:val="24"/>
          <w:szCs w:val="24"/>
        </w:rPr>
        <w:t>raw biochar and designer redox-active biochars in paracetamol degradation. They observed that under anaerobic conditions, the degradation of paracetamol occurs via methylation route as 4-methoxyphenol was predominantly present during</w:t>
      </w:r>
      <w:r w:rsidR="00212794">
        <w:rPr>
          <w:rFonts w:ascii="Times New Roman" w:hAnsi="Times New Roman" w:cs="Times New Roman"/>
          <w:sz w:val="24"/>
          <w:szCs w:val="24"/>
        </w:rPr>
        <w:t xml:space="preserve"> the</w:t>
      </w:r>
      <w:r w:rsidRPr="00711852">
        <w:rPr>
          <w:rFonts w:ascii="Times New Roman" w:hAnsi="Times New Roman" w:cs="Times New Roman"/>
          <w:sz w:val="24"/>
          <w:szCs w:val="24"/>
        </w:rPr>
        <w:t xml:space="preserve"> degradation</w:t>
      </w:r>
      <w:r w:rsidR="00094722" w:rsidRPr="00711852">
        <w:rPr>
          <w:rFonts w:ascii="Times New Roman" w:hAnsi="Times New Roman" w:cs="Times New Roman"/>
          <w:sz w:val="24"/>
          <w:szCs w:val="24"/>
        </w:rPr>
        <w:t>.</w:t>
      </w:r>
    </w:p>
    <w:p w:rsidR="003F7664" w:rsidRPr="00711852" w:rsidRDefault="003F7664" w:rsidP="00711852">
      <w:pPr>
        <w:spacing w:after="0" w:line="480" w:lineRule="auto"/>
        <w:contextualSpacing/>
        <w:jc w:val="both"/>
        <w:rPr>
          <w:rFonts w:ascii="Times New Roman" w:hAnsi="Times New Roman" w:cs="Times New Roman"/>
          <w:b/>
          <w:sz w:val="24"/>
          <w:szCs w:val="24"/>
          <w:shd w:val="clear" w:color="auto" w:fill="FFFFFF"/>
        </w:rPr>
      </w:pPr>
    </w:p>
    <w:p w:rsidR="009362E9" w:rsidRPr="00711852" w:rsidRDefault="00094722" w:rsidP="00711852">
      <w:pPr>
        <w:spacing w:after="0" w:line="480" w:lineRule="auto"/>
        <w:contextualSpacing/>
        <w:jc w:val="both"/>
        <w:rPr>
          <w:rFonts w:ascii="Times New Roman" w:hAnsi="Times New Roman" w:cs="Times New Roman"/>
          <w:b/>
          <w:sz w:val="24"/>
          <w:szCs w:val="24"/>
          <w:shd w:val="clear" w:color="auto" w:fill="FFFFFF"/>
        </w:rPr>
      </w:pPr>
      <w:r w:rsidRPr="00711852">
        <w:rPr>
          <w:rFonts w:ascii="Times New Roman" w:hAnsi="Times New Roman" w:cs="Times New Roman"/>
          <w:b/>
          <w:sz w:val="24"/>
          <w:szCs w:val="24"/>
          <w:shd w:val="clear" w:color="auto" w:fill="FFFFFF"/>
        </w:rPr>
        <w:t xml:space="preserve">5. </w:t>
      </w:r>
      <w:r w:rsidR="007123BE" w:rsidRPr="00711852">
        <w:rPr>
          <w:rFonts w:ascii="Times New Roman" w:hAnsi="Times New Roman" w:cs="Times New Roman"/>
          <w:b/>
          <w:sz w:val="24"/>
          <w:szCs w:val="24"/>
          <w:shd w:val="clear" w:color="auto" w:fill="FFFFFF"/>
        </w:rPr>
        <w:t>Conclusion</w:t>
      </w:r>
    </w:p>
    <w:p w:rsidR="00113ABD" w:rsidRPr="00711852" w:rsidRDefault="000B582B" w:rsidP="00711852">
      <w:pPr>
        <w:autoSpaceDE w:val="0"/>
        <w:autoSpaceDN w:val="0"/>
        <w:adjustRightInd w:val="0"/>
        <w:spacing w:after="0" w:line="480" w:lineRule="auto"/>
        <w:contextualSpacing/>
        <w:jc w:val="both"/>
        <w:rPr>
          <w:rFonts w:ascii="Times New Roman" w:hAnsi="Times New Roman" w:cs="Times New Roman"/>
          <w:sz w:val="24"/>
          <w:szCs w:val="24"/>
        </w:rPr>
      </w:pPr>
      <w:r w:rsidRPr="00711852">
        <w:rPr>
          <w:rFonts w:ascii="Times New Roman" w:hAnsi="Times New Roman" w:cs="Times New Roman"/>
          <w:kern w:val="0"/>
          <w:sz w:val="24"/>
          <w:szCs w:val="24"/>
        </w:rPr>
        <w:t xml:space="preserve">Paracetamol or acetaminophen is one of the most commonly used over-the-counter </w:t>
      </w:r>
      <w:r w:rsidR="00C356B6" w:rsidRPr="00711852">
        <w:rPr>
          <w:rFonts w:ascii="Times New Roman" w:hAnsi="Times New Roman" w:cs="Times New Roman"/>
          <w:kern w:val="0"/>
          <w:sz w:val="24"/>
          <w:szCs w:val="24"/>
        </w:rPr>
        <w:t xml:space="preserve">pharmaceutical </w:t>
      </w:r>
      <w:r w:rsidRPr="00711852">
        <w:rPr>
          <w:rFonts w:ascii="Times New Roman" w:hAnsi="Times New Roman" w:cs="Times New Roman"/>
          <w:kern w:val="0"/>
          <w:sz w:val="24"/>
          <w:szCs w:val="24"/>
        </w:rPr>
        <w:t xml:space="preserve">drug </w:t>
      </w:r>
      <w:r w:rsidR="00C356B6" w:rsidRPr="00711852">
        <w:rPr>
          <w:rFonts w:ascii="Times New Roman" w:hAnsi="Times New Roman" w:cs="Times New Roman"/>
          <w:kern w:val="0"/>
          <w:sz w:val="24"/>
          <w:szCs w:val="24"/>
        </w:rPr>
        <w:t xml:space="preserve">worldwide. It </w:t>
      </w:r>
      <w:r w:rsidRPr="00711852">
        <w:rPr>
          <w:rFonts w:ascii="Times New Roman" w:hAnsi="Times New Roman" w:cs="Times New Roman"/>
          <w:kern w:val="0"/>
          <w:sz w:val="24"/>
          <w:szCs w:val="24"/>
        </w:rPr>
        <w:t>is the standard first-line treatment for fever and</w:t>
      </w:r>
      <w:r w:rsidR="00C356B6" w:rsidRPr="00711852">
        <w:rPr>
          <w:rFonts w:ascii="Times New Roman" w:hAnsi="Times New Roman" w:cs="Times New Roman"/>
          <w:kern w:val="0"/>
          <w:sz w:val="24"/>
          <w:szCs w:val="24"/>
        </w:rPr>
        <w:t xml:space="preserve"> p</w:t>
      </w:r>
      <w:r w:rsidRPr="00711852">
        <w:rPr>
          <w:rFonts w:ascii="Times New Roman" w:hAnsi="Times New Roman" w:cs="Times New Roman"/>
          <w:kern w:val="0"/>
          <w:sz w:val="24"/>
          <w:szCs w:val="24"/>
        </w:rPr>
        <w:t>ain</w:t>
      </w:r>
      <w:r w:rsidR="00C356B6" w:rsidRPr="00711852">
        <w:rPr>
          <w:rFonts w:ascii="Times New Roman" w:hAnsi="Times New Roman" w:cs="Times New Roman"/>
          <w:kern w:val="0"/>
          <w:sz w:val="24"/>
          <w:szCs w:val="24"/>
        </w:rPr>
        <w:t xml:space="preserve">. Its </w:t>
      </w:r>
      <w:r w:rsidR="00C356B6" w:rsidRPr="00711852">
        <w:rPr>
          <w:rFonts w:ascii="Times New Roman" w:hAnsi="Times New Roman" w:cs="Times New Roman"/>
          <w:kern w:val="0"/>
          <w:sz w:val="24"/>
          <w:szCs w:val="24"/>
        </w:rPr>
        <w:lastRenderedPageBreak/>
        <w:t xml:space="preserve">use has further increased post-Covid. </w:t>
      </w:r>
      <w:r w:rsidR="00F5546F" w:rsidRPr="00711852">
        <w:rPr>
          <w:rFonts w:ascii="Times New Roman" w:hAnsi="Times New Roman" w:cs="Times New Roman"/>
          <w:kern w:val="0"/>
          <w:sz w:val="24"/>
          <w:szCs w:val="24"/>
        </w:rPr>
        <w:t xml:space="preserve">Paracetamol’s easy availability has resulted in excessive use </w:t>
      </w:r>
      <w:r w:rsidR="00C356B6" w:rsidRPr="00711852">
        <w:rPr>
          <w:rFonts w:ascii="Times New Roman" w:hAnsi="Times New Roman" w:cs="Times New Roman"/>
          <w:kern w:val="0"/>
          <w:sz w:val="24"/>
          <w:szCs w:val="24"/>
        </w:rPr>
        <w:t>le</w:t>
      </w:r>
      <w:r w:rsidR="00F5546F" w:rsidRPr="00711852">
        <w:rPr>
          <w:rFonts w:ascii="Times New Roman" w:hAnsi="Times New Roman" w:cs="Times New Roman"/>
          <w:kern w:val="0"/>
          <w:sz w:val="24"/>
          <w:szCs w:val="24"/>
        </w:rPr>
        <w:t>a</w:t>
      </w:r>
      <w:r w:rsidR="00C356B6" w:rsidRPr="00711852">
        <w:rPr>
          <w:rFonts w:ascii="Times New Roman" w:hAnsi="Times New Roman" w:cs="Times New Roman"/>
          <w:kern w:val="0"/>
          <w:sz w:val="24"/>
          <w:szCs w:val="24"/>
        </w:rPr>
        <w:t>d</w:t>
      </w:r>
      <w:r w:rsidR="00F5546F" w:rsidRPr="00711852">
        <w:rPr>
          <w:rFonts w:ascii="Times New Roman" w:hAnsi="Times New Roman" w:cs="Times New Roman"/>
          <w:kern w:val="0"/>
          <w:sz w:val="24"/>
          <w:szCs w:val="24"/>
        </w:rPr>
        <w:t>ing</w:t>
      </w:r>
      <w:r w:rsidR="00C356B6" w:rsidRPr="00711852">
        <w:rPr>
          <w:rFonts w:ascii="Times New Roman" w:hAnsi="Times New Roman" w:cs="Times New Roman"/>
          <w:kern w:val="0"/>
          <w:sz w:val="24"/>
          <w:szCs w:val="24"/>
        </w:rPr>
        <w:t xml:space="preserve"> to an increase in its concentration in the environment. Acetaminophen levels have been found to be among the highest of all the pharmaceuticals in surface and river waters. </w:t>
      </w:r>
      <w:r w:rsidR="00070564" w:rsidRPr="00711852">
        <w:rPr>
          <w:rFonts w:ascii="Times New Roman" w:hAnsi="Times New Roman" w:cs="Times New Roman"/>
          <w:kern w:val="0"/>
          <w:sz w:val="24"/>
          <w:szCs w:val="24"/>
        </w:rPr>
        <w:t xml:space="preserve">Several researchers have tested the </w:t>
      </w:r>
      <w:r w:rsidR="00C356B6" w:rsidRPr="00711852">
        <w:rPr>
          <w:rFonts w:ascii="Times New Roman" w:hAnsi="Times New Roman" w:cs="Times New Roman"/>
          <w:kern w:val="0"/>
          <w:sz w:val="24"/>
          <w:szCs w:val="24"/>
        </w:rPr>
        <w:t>risks associated with exposure to paracetamol</w:t>
      </w:r>
      <w:r w:rsidR="00070564" w:rsidRPr="00711852">
        <w:rPr>
          <w:rFonts w:ascii="Times New Roman" w:hAnsi="Times New Roman" w:cs="Times New Roman"/>
          <w:kern w:val="0"/>
          <w:sz w:val="24"/>
          <w:szCs w:val="24"/>
        </w:rPr>
        <w:t xml:space="preserve"> in the environment in several organisms and have reported hepatotoxic and neurotoxic effects. I</w:t>
      </w:r>
      <w:r w:rsidR="00070564" w:rsidRPr="00711852">
        <w:rPr>
          <w:rFonts w:ascii="Times New Roman" w:hAnsi="Times New Roman" w:cs="Times New Roman"/>
          <w:sz w:val="24"/>
          <w:szCs w:val="24"/>
        </w:rPr>
        <w:t xml:space="preserve">t has been observed that the mechanism of toxicity of paracetamol is highly conserved and same in both vertebrates and invertebrates. </w:t>
      </w:r>
      <w:r w:rsidR="00955E95" w:rsidRPr="00711852">
        <w:rPr>
          <w:rFonts w:ascii="Times New Roman" w:hAnsi="Times New Roman" w:cs="Times New Roman"/>
          <w:sz w:val="24"/>
          <w:szCs w:val="24"/>
        </w:rPr>
        <w:t>For r</w:t>
      </w:r>
      <w:r w:rsidR="00BF7A06" w:rsidRPr="00711852">
        <w:rPr>
          <w:rFonts w:ascii="Times New Roman" w:hAnsi="Times New Roman" w:cs="Times New Roman"/>
          <w:sz w:val="24"/>
          <w:szCs w:val="24"/>
        </w:rPr>
        <w:t xml:space="preserve">emoval of </w:t>
      </w:r>
      <w:r w:rsidR="00955E95" w:rsidRPr="00711852">
        <w:rPr>
          <w:rFonts w:ascii="Times New Roman" w:hAnsi="Times New Roman" w:cs="Times New Roman"/>
          <w:sz w:val="24"/>
          <w:szCs w:val="24"/>
        </w:rPr>
        <w:t xml:space="preserve">paracetamol from the environment, biological route through bacterial biodegradation has been shown to be quiet effective and eco-friendly. Various pathways of paracetamol degradation and mineralization like </w:t>
      </w:r>
      <w:r w:rsidR="00955E95" w:rsidRPr="00711852">
        <w:rPr>
          <w:rFonts w:ascii="Times New Roman" w:hAnsi="Times New Roman" w:cs="Times New Roman"/>
          <w:kern w:val="0"/>
          <w:sz w:val="24"/>
          <w:szCs w:val="24"/>
        </w:rPr>
        <w:t>hydroquinone and pyrocatechol pathways among others</w:t>
      </w:r>
      <w:r w:rsidR="00955E95" w:rsidRPr="00711852">
        <w:rPr>
          <w:rFonts w:ascii="Times New Roman" w:hAnsi="Times New Roman" w:cs="Times New Roman"/>
          <w:sz w:val="24"/>
          <w:szCs w:val="24"/>
        </w:rPr>
        <w:t xml:space="preserve"> have been reported in different bacterial strains. Bacterial biodegradation of paracetamol under anaerobic conditions have also been studied. Further research into more effect</w:t>
      </w:r>
      <w:r w:rsidR="00113ABD" w:rsidRPr="00711852">
        <w:rPr>
          <w:rFonts w:ascii="Times New Roman" w:hAnsi="Times New Roman" w:cs="Times New Roman"/>
          <w:sz w:val="24"/>
          <w:szCs w:val="24"/>
        </w:rPr>
        <w:t>ive and widely applicable routes of removal of paracetamol from the environment along with its rational and efficient use is much needed for better management of this most commonly used medicine that is here to stay for many more years to come.</w:t>
      </w:r>
    </w:p>
    <w:p w:rsidR="00955E95" w:rsidRPr="00711852" w:rsidRDefault="00955E95" w:rsidP="00711852">
      <w:pPr>
        <w:autoSpaceDE w:val="0"/>
        <w:autoSpaceDN w:val="0"/>
        <w:adjustRightInd w:val="0"/>
        <w:spacing w:after="0" w:line="480" w:lineRule="auto"/>
        <w:contextualSpacing/>
        <w:jc w:val="both"/>
        <w:rPr>
          <w:rFonts w:ascii="Times New Roman" w:hAnsi="Times New Roman" w:cs="Times New Roman"/>
          <w:sz w:val="24"/>
          <w:szCs w:val="24"/>
        </w:rPr>
      </w:pPr>
    </w:p>
    <w:p w:rsidR="00FB4A9E" w:rsidRPr="00711852" w:rsidRDefault="00FB4A9E" w:rsidP="00711852">
      <w:pPr>
        <w:spacing w:after="0" w:line="480" w:lineRule="auto"/>
        <w:contextualSpacing/>
        <w:jc w:val="both"/>
        <w:rPr>
          <w:rFonts w:ascii="Times New Roman" w:hAnsi="Times New Roman" w:cs="Times New Roman"/>
          <w:b/>
          <w:bCs/>
          <w:sz w:val="24"/>
          <w:szCs w:val="24"/>
        </w:rPr>
      </w:pPr>
      <w:r w:rsidRPr="00711852">
        <w:rPr>
          <w:rFonts w:ascii="Times New Roman" w:hAnsi="Times New Roman" w:cs="Times New Roman"/>
          <w:b/>
          <w:bCs/>
          <w:sz w:val="24"/>
          <w:szCs w:val="24"/>
        </w:rPr>
        <w:t>References</w:t>
      </w:r>
    </w:p>
    <w:p w:rsidR="00CB6ED9" w:rsidRPr="009E1952" w:rsidRDefault="00CB6ED9" w:rsidP="00711852">
      <w:pPr>
        <w:spacing w:after="0" w:line="480" w:lineRule="auto"/>
        <w:ind w:left="426" w:hanging="426"/>
        <w:contextualSpacing/>
        <w:jc w:val="both"/>
        <w:rPr>
          <w:rFonts w:ascii="Times New Roman" w:hAnsi="Times New Roman" w:cs="Times New Roman"/>
          <w:sz w:val="24"/>
          <w:szCs w:val="24"/>
          <w:shd w:val="clear" w:color="auto" w:fill="FFFFFF"/>
          <w:lang w:val="en-IN"/>
        </w:rPr>
      </w:pPr>
      <w:r w:rsidRPr="009E1952">
        <w:rPr>
          <w:rFonts w:ascii="Times New Roman" w:hAnsi="Times New Roman" w:cs="Times New Roman"/>
          <w:sz w:val="24"/>
          <w:szCs w:val="24"/>
          <w:shd w:val="clear" w:color="auto" w:fill="FFFFFF"/>
          <w:lang w:val="en-IN"/>
        </w:rPr>
        <w:t>Artnak KE, Wilkinson SS (1998) Fulminant hepatic failure in acute acetaminophen overdose. Dimensions Crit Care Nursing 17(3): 135-144. 51.</w:t>
      </w:r>
    </w:p>
    <w:p w:rsidR="00CB6ED9" w:rsidRPr="009E1952" w:rsidRDefault="00CB6ED9" w:rsidP="00711852">
      <w:pPr>
        <w:spacing w:after="0" w:line="480" w:lineRule="auto"/>
        <w:ind w:left="426" w:hanging="426"/>
        <w:contextualSpacing/>
        <w:jc w:val="both"/>
        <w:rPr>
          <w:rFonts w:ascii="Times New Roman" w:hAnsi="Times New Roman" w:cs="Times New Roman"/>
          <w:sz w:val="24"/>
          <w:szCs w:val="24"/>
          <w:shd w:val="clear" w:color="auto" w:fill="FFFFFF"/>
          <w:lang w:val="en-IN"/>
        </w:rPr>
      </w:pPr>
      <w:r w:rsidRPr="009E1952">
        <w:rPr>
          <w:rFonts w:ascii="Times New Roman" w:hAnsi="Times New Roman" w:cs="Times New Roman"/>
          <w:sz w:val="24"/>
          <w:szCs w:val="24"/>
          <w:shd w:val="clear" w:color="auto" w:fill="FFFFFF"/>
          <w:lang w:val="en-IN"/>
        </w:rPr>
        <w:t xml:space="preserve">Ashfaq M, Khan KN, Saif-Ur-Rehman M, Mustafa G, Nazar MF, Sun Q, Iqbal J, Mulla SJ, Yu C-P (2017a) Ecological risk assessment of pharmaceuticals in the receiving environment of pharmaceutical wastewater in Pakistan. Ecotoxicol Environ Saf 136:31–39. https:// doi.org/10.1016/j.ecoenv.2016.10.029 </w:t>
      </w:r>
    </w:p>
    <w:p w:rsidR="00CB6ED9" w:rsidRPr="009E1952" w:rsidRDefault="00CB6ED9" w:rsidP="00711852">
      <w:pPr>
        <w:spacing w:after="0" w:line="480" w:lineRule="auto"/>
        <w:ind w:left="426" w:hanging="426"/>
        <w:contextualSpacing/>
        <w:jc w:val="both"/>
        <w:rPr>
          <w:rFonts w:ascii="Times New Roman" w:hAnsi="Times New Roman" w:cs="Times New Roman"/>
          <w:sz w:val="24"/>
          <w:szCs w:val="24"/>
          <w:shd w:val="clear" w:color="auto" w:fill="FFFFFF"/>
          <w:lang w:val="en-IN"/>
        </w:rPr>
      </w:pPr>
      <w:r w:rsidRPr="009E1952">
        <w:rPr>
          <w:rFonts w:ascii="Times New Roman" w:hAnsi="Times New Roman" w:cs="Times New Roman"/>
          <w:sz w:val="24"/>
          <w:szCs w:val="24"/>
          <w:shd w:val="clear" w:color="auto" w:fill="FFFFFF"/>
          <w:lang w:val="en-IN"/>
        </w:rPr>
        <w:t xml:space="preserve">Ashfaq M, Noor N, Saif-Ur-Rehman M, Sun Q, Mustafa G, Nazar MF, Yu C-P (2017b) Determination of commonly used Pharmaceuticals in hospital waste of Pakistan and </w:t>
      </w:r>
      <w:r w:rsidRPr="009E1952">
        <w:rPr>
          <w:rFonts w:ascii="Times New Roman" w:hAnsi="Times New Roman" w:cs="Times New Roman"/>
          <w:sz w:val="24"/>
          <w:szCs w:val="24"/>
          <w:shd w:val="clear" w:color="auto" w:fill="FFFFFF"/>
          <w:lang w:val="en-IN"/>
        </w:rPr>
        <w:lastRenderedPageBreak/>
        <w:t xml:space="preserve">evaluation of their ecological risk assessment. Clean Water Air Soil 45. </w:t>
      </w:r>
      <w:hyperlink r:id="rId17" w:history="1">
        <w:r w:rsidRPr="009E1952">
          <w:rPr>
            <w:rStyle w:val="Hyperlink"/>
            <w:rFonts w:ascii="Times New Roman" w:hAnsi="Times New Roman" w:cs="Times New Roman"/>
            <w:sz w:val="24"/>
            <w:szCs w:val="24"/>
            <w:shd w:val="clear" w:color="auto" w:fill="FFFFFF"/>
            <w:lang w:val="en-IN"/>
          </w:rPr>
          <w:t>https://doi.org/10.1002/clen. 201500392</w:t>
        </w:r>
      </w:hyperlink>
    </w:p>
    <w:p w:rsidR="00CB6ED9" w:rsidRPr="009E1952" w:rsidRDefault="00CB6ED9" w:rsidP="00711852">
      <w:pPr>
        <w:spacing w:after="0" w:line="480" w:lineRule="auto"/>
        <w:ind w:left="426" w:hanging="426"/>
        <w:contextualSpacing/>
        <w:jc w:val="both"/>
        <w:rPr>
          <w:rFonts w:ascii="Times New Roman" w:hAnsi="Times New Roman" w:cs="Times New Roman"/>
          <w:sz w:val="24"/>
          <w:szCs w:val="24"/>
        </w:rPr>
      </w:pPr>
      <w:r w:rsidRPr="009E1952">
        <w:rPr>
          <w:rFonts w:ascii="Times New Roman" w:hAnsi="Times New Roman" w:cs="Times New Roman"/>
          <w:sz w:val="24"/>
          <w:szCs w:val="24"/>
        </w:rPr>
        <w:t>Ayoub SS (2021) Paracetamol (acetaminophen): A familiar drug with an unexplained mechanism of action. </w:t>
      </w:r>
      <w:r w:rsidRPr="009E1952">
        <w:rPr>
          <w:rFonts w:ascii="Times New Roman" w:hAnsi="Times New Roman" w:cs="Times New Roman"/>
          <w:iCs/>
          <w:sz w:val="24"/>
          <w:szCs w:val="24"/>
        </w:rPr>
        <w:t>Temperature</w:t>
      </w:r>
      <w:r w:rsidRPr="009E1952">
        <w:rPr>
          <w:rFonts w:ascii="Times New Roman" w:hAnsi="Times New Roman" w:cs="Times New Roman"/>
          <w:sz w:val="24"/>
          <w:szCs w:val="24"/>
        </w:rPr>
        <w:t>, </w:t>
      </w:r>
      <w:r w:rsidRPr="009E1952">
        <w:rPr>
          <w:rFonts w:ascii="Times New Roman" w:hAnsi="Times New Roman" w:cs="Times New Roman"/>
          <w:iCs/>
          <w:sz w:val="24"/>
          <w:szCs w:val="24"/>
        </w:rPr>
        <w:t>8</w:t>
      </w:r>
      <w:r w:rsidRPr="009E1952">
        <w:rPr>
          <w:rFonts w:ascii="Times New Roman" w:hAnsi="Times New Roman" w:cs="Times New Roman"/>
          <w:sz w:val="24"/>
          <w:szCs w:val="24"/>
        </w:rPr>
        <w:t>(4), pp.351-371.</w:t>
      </w:r>
    </w:p>
    <w:p w:rsidR="00CB6ED9" w:rsidRPr="009E1952" w:rsidRDefault="00CB6ED9" w:rsidP="00711852">
      <w:pPr>
        <w:spacing w:after="0" w:line="480" w:lineRule="auto"/>
        <w:ind w:left="426" w:hanging="426"/>
        <w:contextualSpacing/>
        <w:jc w:val="both"/>
        <w:rPr>
          <w:rFonts w:ascii="Times New Roman" w:hAnsi="Times New Roman" w:cs="Times New Roman"/>
          <w:sz w:val="24"/>
          <w:szCs w:val="24"/>
          <w:shd w:val="clear" w:color="auto" w:fill="FFFFFF"/>
          <w:lang w:val="en-IN"/>
        </w:rPr>
      </w:pPr>
      <w:r w:rsidRPr="009E1952">
        <w:rPr>
          <w:rFonts w:ascii="Times New Roman" w:hAnsi="Times New Roman" w:cs="Times New Roman"/>
          <w:sz w:val="24"/>
          <w:szCs w:val="24"/>
          <w:shd w:val="clear" w:color="auto" w:fill="FFFFFF"/>
          <w:lang w:val="en-IN"/>
        </w:rPr>
        <w:t>Blecharz Klin K, Joniec Maciejak I, Jawna K, Pyrzanowska J, Piechal A, et al. (2015a) Developmental exposure to paracetamol causes biochemical alterations in medulla oblongata. Environ Toxicol Pharmacol 40(2): 369-374.</w:t>
      </w:r>
    </w:p>
    <w:p w:rsidR="00CB6ED9" w:rsidRPr="009E1952" w:rsidRDefault="00CB6ED9" w:rsidP="00711852">
      <w:pPr>
        <w:spacing w:after="0" w:line="480" w:lineRule="auto"/>
        <w:ind w:left="426" w:hanging="426"/>
        <w:contextualSpacing/>
        <w:jc w:val="both"/>
        <w:rPr>
          <w:rFonts w:ascii="Times New Roman" w:hAnsi="Times New Roman" w:cs="Times New Roman"/>
          <w:sz w:val="24"/>
          <w:szCs w:val="24"/>
          <w:shd w:val="clear" w:color="auto" w:fill="FFFFFF"/>
          <w:lang w:val="en-IN"/>
        </w:rPr>
      </w:pPr>
      <w:r w:rsidRPr="009E1952">
        <w:rPr>
          <w:rFonts w:ascii="Times New Roman" w:hAnsi="Times New Roman" w:cs="Times New Roman"/>
          <w:sz w:val="24"/>
          <w:szCs w:val="24"/>
          <w:shd w:val="clear" w:color="auto" w:fill="FFFFFF"/>
          <w:lang w:val="en-IN"/>
        </w:rPr>
        <w:t xml:space="preserve">Blecharz Klin K, Joniec Maciejak I, Jawna K, Pyrzanowska J, Piechal A, et al. (2015b) Effect of prenatal and early life paracetamol exposure on the level of neurotransmitters in rats-focus on the spinal cord. Int J Dev Neurosci 47(pt B): 133-139. </w:t>
      </w:r>
    </w:p>
    <w:p w:rsidR="00CB6ED9" w:rsidRPr="009E1952" w:rsidRDefault="00CB6ED9" w:rsidP="00711852">
      <w:pPr>
        <w:spacing w:after="0" w:line="480" w:lineRule="auto"/>
        <w:ind w:left="426" w:hanging="426"/>
        <w:contextualSpacing/>
        <w:jc w:val="both"/>
        <w:rPr>
          <w:rFonts w:ascii="Times New Roman" w:hAnsi="Times New Roman" w:cs="Times New Roman"/>
          <w:sz w:val="24"/>
          <w:szCs w:val="24"/>
          <w:shd w:val="clear" w:color="auto" w:fill="FFFFFF"/>
          <w:lang w:val="en-IN"/>
        </w:rPr>
      </w:pPr>
      <w:r w:rsidRPr="009E1952">
        <w:rPr>
          <w:rFonts w:ascii="Times New Roman" w:hAnsi="Times New Roman" w:cs="Times New Roman"/>
          <w:sz w:val="24"/>
          <w:szCs w:val="24"/>
          <w:shd w:val="clear" w:color="auto" w:fill="FFFFFF"/>
          <w:lang w:val="en-IN"/>
        </w:rPr>
        <w:t xml:space="preserve">Bouissou-Schurtz C, Houeto P, Guerbet M, Bachelot M, Casellas C, Mauclarie AC, Panetier P, Delval C, Masset D (2014) Ecological risk assessment of the presence of pharmaceutical residues in a French national water survey. Regul Toxicol Pharmacol 69:296– 303. </w:t>
      </w:r>
      <w:hyperlink r:id="rId18" w:history="1">
        <w:r w:rsidRPr="009E1952">
          <w:rPr>
            <w:rStyle w:val="Hyperlink"/>
            <w:rFonts w:ascii="Times New Roman" w:hAnsi="Times New Roman" w:cs="Times New Roman"/>
            <w:sz w:val="24"/>
            <w:szCs w:val="24"/>
            <w:shd w:val="clear" w:color="auto" w:fill="FFFFFF"/>
            <w:lang w:val="en-IN"/>
          </w:rPr>
          <w:t>https://doi.org/10.1016/j.yrtph.2014.04.006</w:t>
        </w:r>
      </w:hyperlink>
    </w:p>
    <w:p w:rsidR="00CB6ED9" w:rsidRPr="009E1952" w:rsidRDefault="00CB6ED9" w:rsidP="00711852">
      <w:pPr>
        <w:spacing w:after="0" w:line="480" w:lineRule="auto"/>
        <w:ind w:left="426" w:hanging="426"/>
        <w:contextualSpacing/>
        <w:jc w:val="both"/>
        <w:rPr>
          <w:rFonts w:ascii="Times New Roman" w:hAnsi="Times New Roman" w:cs="Times New Roman"/>
          <w:sz w:val="24"/>
          <w:szCs w:val="24"/>
          <w:shd w:val="clear" w:color="auto" w:fill="FFFFFF"/>
          <w:lang w:val="en-IN"/>
        </w:rPr>
      </w:pPr>
      <w:r w:rsidRPr="009E1952">
        <w:rPr>
          <w:rFonts w:ascii="Times New Roman" w:hAnsi="Times New Roman" w:cs="Times New Roman"/>
          <w:sz w:val="24"/>
          <w:szCs w:val="24"/>
          <w:shd w:val="clear" w:color="auto" w:fill="FFFFFF"/>
          <w:lang w:val="en-IN"/>
        </w:rPr>
        <w:t>Bridger S, Henderson K, Glucksman E, Ellis AJ, Henry JA, et al. (1998) Deaths from low dose paracetamol poisoning. Br Med J 316(7146): 1724-1725.</w:t>
      </w:r>
    </w:p>
    <w:p w:rsidR="00CB6ED9" w:rsidRPr="009E1952" w:rsidRDefault="00CB6ED9" w:rsidP="00711852">
      <w:pPr>
        <w:spacing w:after="0" w:line="480" w:lineRule="auto"/>
        <w:ind w:left="426" w:hanging="426"/>
        <w:contextualSpacing/>
        <w:jc w:val="both"/>
        <w:rPr>
          <w:rFonts w:ascii="Times New Roman" w:hAnsi="Times New Roman" w:cs="Times New Roman"/>
          <w:color w:val="222222"/>
          <w:sz w:val="24"/>
          <w:szCs w:val="24"/>
          <w:shd w:val="clear" w:color="auto" w:fill="FFFFFF"/>
        </w:rPr>
      </w:pPr>
      <w:r w:rsidRPr="009E1952">
        <w:rPr>
          <w:rFonts w:ascii="Times New Roman" w:hAnsi="Times New Roman" w:cs="Times New Roman"/>
          <w:color w:val="222222"/>
          <w:sz w:val="24"/>
          <w:szCs w:val="24"/>
          <w:shd w:val="clear" w:color="auto" w:fill="FFFFFF"/>
        </w:rPr>
        <w:t>Chacón FJ, Cayuela ML, &amp; Sánchez-Monedero MA (2022) Paracetamol degradation pathways in soil after biochar addition. </w:t>
      </w:r>
      <w:r w:rsidRPr="009E1952">
        <w:rPr>
          <w:rFonts w:ascii="Times New Roman" w:hAnsi="Times New Roman" w:cs="Times New Roman"/>
          <w:iCs/>
          <w:color w:val="222222"/>
          <w:sz w:val="24"/>
          <w:szCs w:val="24"/>
          <w:shd w:val="clear" w:color="auto" w:fill="FFFFFF"/>
        </w:rPr>
        <w:t>Environmental Pollution</w:t>
      </w:r>
      <w:r w:rsidRPr="009E1952">
        <w:rPr>
          <w:rFonts w:ascii="Times New Roman" w:hAnsi="Times New Roman" w:cs="Times New Roman"/>
          <w:color w:val="222222"/>
          <w:sz w:val="24"/>
          <w:szCs w:val="24"/>
          <w:shd w:val="clear" w:color="auto" w:fill="FFFFFF"/>
        </w:rPr>
        <w:t>, </w:t>
      </w:r>
      <w:r w:rsidRPr="009E1952">
        <w:rPr>
          <w:rFonts w:ascii="Times New Roman" w:hAnsi="Times New Roman" w:cs="Times New Roman"/>
          <w:iCs/>
          <w:color w:val="222222"/>
          <w:sz w:val="24"/>
          <w:szCs w:val="24"/>
          <w:shd w:val="clear" w:color="auto" w:fill="FFFFFF"/>
        </w:rPr>
        <w:t>307</w:t>
      </w:r>
      <w:r w:rsidRPr="009E1952">
        <w:rPr>
          <w:rFonts w:ascii="Times New Roman" w:hAnsi="Times New Roman" w:cs="Times New Roman"/>
          <w:color w:val="222222"/>
          <w:sz w:val="24"/>
          <w:szCs w:val="24"/>
          <w:shd w:val="clear" w:color="auto" w:fill="FFFFFF"/>
        </w:rPr>
        <w:t>, 119546.</w:t>
      </w:r>
    </w:p>
    <w:p w:rsidR="00CB6ED9" w:rsidRPr="009E1952" w:rsidRDefault="00CB6ED9" w:rsidP="00711852">
      <w:pPr>
        <w:spacing w:after="0" w:line="480" w:lineRule="auto"/>
        <w:ind w:left="426" w:hanging="426"/>
        <w:contextualSpacing/>
        <w:jc w:val="both"/>
        <w:rPr>
          <w:rFonts w:ascii="Times New Roman" w:hAnsi="Times New Roman" w:cs="Times New Roman"/>
          <w:color w:val="222222"/>
          <w:sz w:val="24"/>
          <w:szCs w:val="24"/>
          <w:shd w:val="clear" w:color="auto" w:fill="FFFFFF"/>
        </w:rPr>
      </w:pPr>
      <w:r w:rsidRPr="009E1952">
        <w:rPr>
          <w:rFonts w:ascii="Times New Roman" w:hAnsi="Times New Roman" w:cs="Times New Roman"/>
          <w:color w:val="222222"/>
          <w:sz w:val="24"/>
          <w:szCs w:val="24"/>
          <w:shd w:val="clear" w:color="auto" w:fill="FFFFFF"/>
        </w:rPr>
        <w:t>Chopra S, &amp; Kumar D (2020) Characterization, optimization and kinetics study of acetaminophen degradation by Bacillus drentensis strain S1 and waste water degradation analysis. </w:t>
      </w:r>
      <w:r w:rsidRPr="009E1952">
        <w:rPr>
          <w:rFonts w:ascii="Times New Roman" w:hAnsi="Times New Roman" w:cs="Times New Roman"/>
          <w:iCs/>
          <w:color w:val="222222"/>
          <w:sz w:val="24"/>
          <w:szCs w:val="24"/>
          <w:shd w:val="clear" w:color="auto" w:fill="FFFFFF"/>
        </w:rPr>
        <w:t>Bioresources and Bioprocessing</w:t>
      </w:r>
      <w:r w:rsidRPr="009E1952">
        <w:rPr>
          <w:rFonts w:ascii="Times New Roman" w:hAnsi="Times New Roman" w:cs="Times New Roman"/>
          <w:color w:val="222222"/>
          <w:sz w:val="24"/>
          <w:szCs w:val="24"/>
          <w:shd w:val="clear" w:color="auto" w:fill="FFFFFF"/>
        </w:rPr>
        <w:t> </w:t>
      </w:r>
      <w:r w:rsidRPr="009E1952">
        <w:rPr>
          <w:rFonts w:ascii="Times New Roman" w:hAnsi="Times New Roman" w:cs="Times New Roman"/>
          <w:iCs/>
          <w:color w:val="222222"/>
          <w:sz w:val="24"/>
          <w:szCs w:val="24"/>
          <w:shd w:val="clear" w:color="auto" w:fill="FFFFFF"/>
        </w:rPr>
        <w:t>7</w:t>
      </w:r>
      <w:r w:rsidRPr="009E1952">
        <w:rPr>
          <w:rFonts w:ascii="Times New Roman" w:hAnsi="Times New Roman" w:cs="Times New Roman"/>
          <w:color w:val="222222"/>
          <w:sz w:val="24"/>
          <w:szCs w:val="24"/>
          <w:shd w:val="clear" w:color="auto" w:fill="FFFFFF"/>
        </w:rPr>
        <w:t>, 1-18.</w:t>
      </w:r>
    </w:p>
    <w:p w:rsidR="00385A0C" w:rsidRPr="009E1952" w:rsidRDefault="00385A0C" w:rsidP="00711852">
      <w:pPr>
        <w:spacing w:after="0" w:line="480" w:lineRule="auto"/>
        <w:ind w:left="426" w:hanging="426"/>
        <w:contextualSpacing/>
        <w:jc w:val="both"/>
        <w:rPr>
          <w:rFonts w:ascii="Times New Roman" w:hAnsi="Times New Roman" w:cs="Times New Roman"/>
          <w:color w:val="222222"/>
          <w:sz w:val="24"/>
          <w:szCs w:val="24"/>
          <w:shd w:val="clear" w:color="auto" w:fill="FFFFFF"/>
        </w:rPr>
      </w:pPr>
      <w:r w:rsidRPr="009E1952">
        <w:rPr>
          <w:rFonts w:ascii="Times New Roman" w:hAnsi="Times New Roman" w:cs="Times New Roman"/>
          <w:color w:val="222222"/>
          <w:sz w:val="24"/>
          <w:szCs w:val="24"/>
          <w:shd w:val="clear" w:color="auto" w:fill="FFFFFF"/>
        </w:rPr>
        <w:t>Daniel D, Nunes B, Pinto E, Ferreira IM, &amp; Correia AT (2022) Assessment of paracetamol toxic effects under varying seawater pH conditions on the marine polychaeteHedistediversicolor using biochemical endpoints. </w:t>
      </w:r>
      <w:r w:rsidRPr="009E1952">
        <w:rPr>
          <w:rFonts w:ascii="Times New Roman" w:hAnsi="Times New Roman" w:cs="Times New Roman"/>
          <w:iCs/>
          <w:color w:val="222222"/>
          <w:sz w:val="24"/>
          <w:szCs w:val="24"/>
          <w:shd w:val="clear" w:color="auto" w:fill="FFFFFF"/>
        </w:rPr>
        <w:t>Biology</w:t>
      </w:r>
      <w:r w:rsidRPr="009E1952">
        <w:rPr>
          <w:rFonts w:ascii="Times New Roman" w:hAnsi="Times New Roman" w:cs="Times New Roman"/>
          <w:color w:val="222222"/>
          <w:sz w:val="24"/>
          <w:szCs w:val="24"/>
          <w:shd w:val="clear" w:color="auto" w:fill="FFFFFF"/>
        </w:rPr>
        <w:t> </w:t>
      </w:r>
      <w:r w:rsidRPr="009E1952">
        <w:rPr>
          <w:rFonts w:ascii="Times New Roman" w:hAnsi="Times New Roman" w:cs="Times New Roman"/>
          <w:iCs/>
          <w:color w:val="222222"/>
          <w:sz w:val="24"/>
          <w:szCs w:val="24"/>
          <w:shd w:val="clear" w:color="auto" w:fill="FFFFFF"/>
        </w:rPr>
        <w:t>11</w:t>
      </w:r>
      <w:r w:rsidRPr="009E1952">
        <w:rPr>
          <w:rFonts w:ascii="Times New Roman" w:hAnsi="Times New Roman" w:cs="Times New Roman"/>
          <w:color w:val="222222"/>
          <w:sz w:val="24"/>
          <w:szCs w:val="24"/>
          <w:shd w:val="clear" w:color="auto" w:fill="FFFFFF"/>
        </w:rPr>
        <w:t>(4), 581.</w:t>
      </w:r>
    </w:p>
    <w:p w:rsidR="00CB6ED9" w:rsidRPr="009E1952" w:rsidRDefault="00CB6ED9" w:rsidP="00711852">
      <w:pPr>
        <w:spacing w:after="0" w:line="480" w:lineRule="auto"/>
        <w:ind w:left="426" w:hanging="426"/>
        <w:contextualSpacing/>
        <w:jc w:val="both"/>
        <w:rPr>
          <w:rFonts w:ascii="Times New Roman" w:hAnsi="Times New Roman" w:cs="Times New Roman"/>
          <w:sz w:val="24"/>
          <w:szCs w:val="24"/>
          <w:shd w:val="clear" w:color="auto" w:fill="FFFFFF"/>
          <w:lang w:val="en-IN"/>
        </w:rPr>
      </w:pPr>
      <w:r w:rsidRPr="009E1952">
        <w:rPr>
          <w:rFonts w:ascii="Times New Roman" w:hAnsi="Times New Roman" w:cs="Times New Roman"/>
          <w:sz w:val="24"/>
          <w:szCs w:val="24"/>
          <w:shd w:val="clear" w:color="auto" w:fill="FFFFFF"/>
          <w:lang w:val="en-IN"/>
        </w:rPr>
        <w:lastRenderedPageBreak/>
        <w:t xml:space="preserve">Delwing-de Lima D, Wollinger LF, Casagrande ACM, Delwing F, da Cruz JGP, Wyse ATS, Magro DD-D (2010) Guanidino compounds inhibit acetylcholinesterase and butyrylcholinesterase activities: effect neuroprotector of vitamins E plus C. Int J Dev Neurosci 28:465– 473. </w:t>
      </w:r>
      <w:hyperlink r:id="rId19" w:history="1">
        <w:r w:rsidRPr="009E1952">
          <w:rPr>
            <w:rStyle w:val="Hyperlink"/>
            <w:rFonts w:ascii="Times New Roman" w:hAnsi="Times New Roman" w:cs="Times New Roman"/>
            <w:sz w:val="24"/>
            <w:szCs w:val="24"/>
            <w:shd w:val="clear" w:color="auto" w:fill="FFFFFF"/>
            <w:lang w:val="en-IN"/>
          </w:rPr>
          <w:t>https://doi.org/10.1016/j.ijdevneu.2010.06.008</w:t>
        </w:r>
      </w:hyperlink>
    </w:p>
    <w:p w:rsidR="00CB6ED9" w:rsidRPr="009E1952" w:rsidRDefault="00CB6ED9" w:rsidP="00711852">
      <w:pPr>
        <w:spacing w:after="0" w:line="480" w:lineRule="auto"/>
        <w:ind w:left="426" w:hanging="426"/>
        <w:contextualSpacing/>
        <w:jc w:val="both"/>
        <w:rPr>
          <w:rFonts w:ascii="Times New Roman" w:hAnsi="Times New Roman" w:cs="Times New Roman"/>
          <w:sz w:val="24"/>
          <w:szCs w:val="24"/>
          <w:shd w:val="clear" w:color="auto" w:fill="FFFFFF"/>
          <w:lang w:val="en-IN"/>
        </w:rPr>
      </w:pPr>
      <w:r w:rsidRPr="009E1952">
        <w:rPr>
          <w:rFonts w:ascii="Times New Roman" w:hAnsi="Times New Roman" w:cs="Times New Roman"/>
          <w:sz w:val="24"/>
          <w:szCs w:val="24"/>
          <w:shd w:val="clear" w:color="auto" w:fill="FFFFFF"/>
          <w:lang w:val="en-IN"/>
        </w:rPr>
        <w:t>Denison H, Kaczynski J, Wallerstedt S (1987) Paracetamol medication and alcohol abuse: a dangerous combination for the liver and kidney. Scand J Gastroenterol 22(6): 701-704</w:t>
      </w:r>
    </w:p>
    <w:p w:rsidR="00CB6ED9" w:rsidRPr="009E1952" w:rsidRDefault="00CB6ED9" w:rsidP="00711852">
      <w:pPr>
        <w:spacing w:after="0" w:line="480" w:lineRule="auto"/>
        <w:ind w:left="426" w:hanging="426"/>
        <w:contextualSpacing/>
        <w:jc w:val="both"/>
        <w:rPr>
          <w:rFonts w:ascii="Times New Roman" w:hAnsi="Times New Roman" w:cs="Times New Roman"/>
          <w:sz w:val="24"/>
          <w:szCs w:val="24"/>
          <w:shd w:val="clear" w:color="auto" w:fill="FFFFFF"/>
        </w:rPr>
      </w:pPr>
      <w:r w:rsidRPr="009E1952">
        <w:rPr>
          <w:rFonts w:ascii="Times New Roman" w:hAnsi="Times New Roman" w:cs="Times New Roman"/>
          <w:sz w:val="24"/>
          <w:szCs w:val="24"/>
          <w:shd w:val="clear" w:color="auto" w:fill="FFFFFF"/>
        </w:rPr>
        <w:t>Di Martino P, Conflant P, Drache</w:t>
      </w:r>
      <w:r w:rsidR="006D1D4C" w:rsidRPr="009E1952">
        <w:rPr>
          <w:rFonts w:ascii="Times New Roman" w:hAnsi="Times New Roman" w:cs="Times New Roman"/>
          <w:sz w:val="24"/>
          <w:szCs w:val="24"/>
          <w:shd w:val="clear" w:color="auto" w:fill="FFFFFF"/>
        </w:rPr>
        <w:t xml:space="preserve"> M</w:t>
      </w:r>
      <w:r w:rsidRPr="009E1952">
        <w:rPr>
          <w:rFonts w:ascii="Times New Roman" w:hAnsi="Times New Roman" w:cs="Times New Roman"/>
          <w:sz w:val="24"/>
          <w:szCs w:val="24"/>
          <w:shd w:val="clear" w:color="auto" w:fill="FFFFFF"/>
        </w:rPr>
        <w:t xml:space="preserve">, Huvenne J-P, &amp; Guyot-Hermann A-M </w:t>
      </w:r>
      <w:r w:rsidR="006D1D4C" w:rsidRPr="009E1952">
        <w:rPr>
          <w:rFonts w:ascii="Times New Roman" w:hAnsi="Times New Roman" w:cs="Times New Roman"/>
          <w:sz w:val="24"/>
          <w:szCs w:val="24"/>
          <w:shd w:val="clear" w:color="auto" w:fill="FFFFFF"/>
        </w:rPr>
        <w:t>(1997)</w:t>
      </w:r>
      <w:r w:rsidRPr="009E1952">
        <w:rPr>
          <w:rFonts w:ascii="Times New Roman" w:hAnsi="Times New Roman" w:cs="Times New Roman"/>
          <w:sz w:val="24"/>
          <w:szCs w:val="24"/>
          <w:shd w:val="clear" w:color="auto" w:fill="FFFFFF"/>
        </w:rPr>
        <w:t> </w:t>
      </w:r>
      <w:r w:rsidRPr="009E1952">
        <w:rPr>
          <w:rFonts w:ascii="Times New Roman" w:hAnsi="Times New Roman" w:cs="Times New Roman"/>
          <w:iCs/>
          <w:sz w:val="24"/>
          <w:szCs w:val="24"/>
          <w:shd w:val="clear" w:color="auto" w:fill="FFFFFF"/>
        </w:rPr>
        <w:t>Preparation and physical characterization of forms II and III of paracetamol. Journal of Thermal Analysis 48(3), 447–458.</w:t>
      </w:r>
      <w:r w:rsidRPr="009E1952">
        <w:rPr>
          <w:rFonts w:ascii="Times New Roman" w:hAnsi="Times New Roman" w:cs="Times New Roman"/>
          <w:sz w:val="24"/>
          <w:szCs w:val="24"/>
          <w:shd w:val="clear" w:color="auto" w:fill="FFFFFF"/>
        </w:rPr>
        <w:t> doi:10.1007/bf01979491 </w:t>
      </w:r>
    </w:p>
    <w:p w:rsidR="00CB6ED9" w:rsidRPr="009E1952" w:rsidRDefault="00CB6ED9" w:rsidP="00711852">
      <w:pPr>
        <w:spacing w:after="0" w:line="480" w:lineRule="auto"/>
        <w:ind w:left="426" w:hanging="426"/>
        <w:contextualSpacing/>
        <w:jc w:val="both"/>
        <w:rPr>
          <w:rFonts w:ascii="Times New Roman" w:hAnsi="Times New Roman" w:cs="Times New Roman"/>
          <w:sz w:val="24"/>
          <w:szCs w:val="24"/>
          <w:shd w:val="clear" w:color="auto" w:fill="FFFFFF"/>
          <w:lang w:val="en-IN"/>
        </w:rPr>
      </w:pPr>
      <w:r w:rsidRPr="009E1952">
        <w:rPr>
          <w:rFonts w:ascii="Times New Roman" w:hAnsi="Times New Roman" w:cs="Times New Roman"/>
          <w:sz w:val="24"/>
          <w:szCs w:val="24"/>
          <w:shd w:val="clear" w:color="auto" w:fill="FFFFFF"/>
          <w:lang w:val="en-IN"/>
        </w:rPr>
        <w:t>Endesfelder CB, Scheuer T, Schmitz T (2021) Paracetamol (Acetaminophen) and the Developing Brain. International Journal of Molecular Sciences 22(20): 11156.</w:t>
      </w:r>
    </w:p>
    <w:p w:rsidR="00CB6ED9" w:rsidRPr="009E1952" w:rsidRDefault="00CB6ED9" w:rsidP="00711852">
      <w:pPr>
        <w:spacing w:after="0" w:line="480" w:lineRule="auto"/>
        <w:ind w:left="426" w:hanging="426"/>
        <w:contextualSpacing/>
        <w:jc w:val="both"/>
        <w:rPr>
          <w:rFonts w:ascii="Times New Roman" w:hAnsi="Times New Roman" w:cs="Times New Roman"/>
          <w:sz w:val="24"/>
          <w:szCs w:val="24"/>
          <w:shd w:val="clear" w:color="auto" w:fill="FFFFFF"/>
          <w:lang w:val="en-IN"/>
        </w:rPr>
      </w:pPr>
      <w:r w:rsidRPr="009E1952">
        <w:rPr>
          <w:rFonts w:ascii="Times New Roman" w:hAnsi="Times New Roman" w:cs="Times New Roman"/>
          <w:sz w:val="24"/>
          <w:szCs w:val="24"/>
          <w:shd w:val="clear" w:color="auto" w:fill="FFFFFF"/>
          <w:lang w:val="en-IN"/>
        </w:rPr>
        <w:t xml:space="preserve">Freitas R, Coelho D, Pires A, Soares AMVM, Figueira E, Nunes B (2015) Preliminary evaluation of Diopatraneapolitana regenerative capacity as a biomarker for paracetamol exposure. Environ Sci Pollut Res 22:13382–13392. </w:t>
      </w:r>
      <w:hyperlink r:id="rId20" w:history="1">
        <w:r w:rsidRPr="009E1952">
          <w:rPr>
            <w:rStyle w:val="Hyperlink"/>
            <w:rFonts w:ascii="Times New Roman" w:hAnsi="Times New Roman" w:cs="Times New Roman"/>
            <w:sz w:val="24"/>
            <w:szCs w:val="24"/>
            <w:shd w:val="clear" w:color="auto" w:fill="FFFFFF"/>
            <w:lang w:val="en-IN"/>
          </w:rPr>
          <w:t>https://doi.org/10.1007/s11356-015-4589-1</w:t>
        </w:r>
      </w:hyperlink>
    </w:p>
    <w:p w:rsidR="00CB6ED9" w:rsidRPr="009E1952" w:rsidRDefault="00CB6ED9" w:rsidP="00711852">
      <w:pPr>
        <w:spacing w:after="0" w:line="480" w:lineRule="auto"/>
        <w:ind w:left="426" w:hanging="426"/>
        <w:contextualSpacing/>
        <w:jc w:val="both"/>
        <w:rPr>
          <w:rFonts w:ascii="Times New Roman" w:hAnsi="Times New Roman" w:cs="Times New Roman"/>
          <w:sz w:val="24"/>
          <w:szCs w:val="24"/>
          <w:shd w:val="clear" w:color="auto" w:fill="FFFFFF"/>
          <w:lang w:val="en-IN"/>
        </w:rPr>
      </w:pPr>
      <w:r w:rsidRPr="009E1952">
        <w:rPr>
          <w:rFonts w:ascii="Times New Roman" w:hAnsi="Times New Roman" w:cs="Times New Roman"/>
          <w:sz w:val="24"/>
          <w:szCs w:val="24"/>
          <w:shd w:val="clear" w:color="auto" w:fill="FFFFFF"/>
          <w:lang w:val="en-IN"/>
        </w:rPr>
        <w:t>Ghanem CI, Perez MJ, Manautou JE, Mottino AD (2016) Acetaminophen from liver to brain: New insights into drug pharmacological action and toxicity. Pharmacol Res 109: 119-131.</w:t>
      </w:r>
    </w:p>
    <w:p w:rsidR="00CB6ED9" w:rsidRPr="009E1952" w:rsidRDefault="00CB6ED9" w:rsidP="00711852">
      <w:pPr>
        <w:spacing w:after="0" w:line="480" w:lineRule="auto"/>
        <w:ind w:left="426" w:hanging="426"/>
        <w:contextualSpacing/>
        <w:jc w:val="both"/>
        <w:rPr>
          <w:rFonts w:ascii="Times New Roman" w:hAnsi="Times New Roman" w:cs="Times New Roman"/>
          <w:sz w:val="24"/>
          <w:szCs w:val="24"/>
          <w:shd w:val="clear" w:color="auto" w:fill="FFFFFF"/>
          <w:lang w:val="en-IN"/>
        </w:rPr>
      </w:pPr>
      <w:r w:rsidRPr="009E1952">
        <w:rPr>
          <w:rFonts w:ascii="Times New Roman" w:hAnsi="Times New Roman" w:cs="Times New Roman"/>
          <w:sz w:val="24"/>
          <w:szCs w:val="24"/>
          <w:shd w:val="clear" w:color="auto" w:fill="FFFFFF"/>
          <w:lang w:val="en-IN"/>
        </w:rPr>
        <w:t xml:space="preserve">Guiloski IC, Ribas JLC, Piancini LDS, Dagostim AC, Cirio SM, Favaro LF, Boschen SL, Cestari MM, da Cunha C, de Assis HC (2017) Paracetamol causes endocrine disruption and hepatotoxicity in male fish Rhamdia quelen after subchronic exposure. Environ Toxicol Pharmacol 57:111–120. </w:t>
      </w:r>
      <w:hyperlink r:id="rId21" w:history="1">
        <w:r w:rsidRPr="009E1952">
          <w:rPr>
            <w:rStyle w:val="Hyperlink"/>
            <w:rFonts w:ascii="Times New Roman" w:hAnsi="Times New Roman" w:cs="Times New Roman"/>
            <w:sz w:val="24"/>
            <w:szCs w:val="24"/>
            <w:shd w:val="clear" w:color="auto" w:fill="FFFFFF"/>
            <w:lang w:val="en-IN"/>
          </w:rPr>
          <w:t>https://doi.org/10.1016/j.etap.2017.05.005</w:t>
        </w:r>
      </w:hyperlink>
    </w:p>
    <w:p w:rsidR="00CB6ED9" w:rsidRPr="009E1952" w:rsidRDefault="00CB6ED9" w:rsidP="00711852">
      <w:pPr>
        <w:spacing w:after="0" w:line="480" w:lineRule="auto"/>
        <w:ind w:left="426" w:hanging="426"/>
        <w:contextualSpacing/>
        <w:jc w:val="both"/>
        <w:rPr>
          <w:rFonts w:ascii="Times New Roman" w:hAnsi="Times New Roman" w:cs="Times New Roman"/>
          <w:iCs/>
          <w:sz w:val="24"/>
          <w:szCs w:val="24"/>
        </w:rPr>
      </w:pPr>
      <w:r w:rsidRPr="009E1952">
        <w:rPr>
          <w:rFonts w:ascii="Times New Roman" w:hAnsi="Times New Roman" w:cs="Times New Roman"/>
          <w:iCs/>
          <w:sz w:val="24"/>
          <w:szCs w:val="24"/>
        </w:rPr>
        <w:t>Haynes WM (ed.) (2014) CRC Handbook of Chemistry and Physics. 94th Edition. CRC Press LLC, Boca Raton: FL 2013-2014, p. 3-314</w:t>
      </w:r>
    </w:p>
    <w:p w:rsidR="00CB6ED9" w:rsidRPr="009E1952" w:rsidRDefault="00CB6ED9" w:rsidP="00711852">
      <w:pPr>
        <w:spacing w:after="0" w:line="480" w:lineRule="auto"/>
        <w:ind w:left="426" w:hanging="426"/>
        <w:contextualSpacing/>
        <w:jc w:val="both"/>
        <w:rPr>
          <w:rFonts w:ascii="Times New Roman" w:hAnsi="Times New Roman" w:cs="Times New Roman"/>
          <w:sz w:val="24"/>
          <w:szCs w:val="24"/>
          <w:shd w:val="clear" w:color="auto" w:fill="FFFFFF"/>
          <w:lang w:val="en-IN"/>
        </w:rPr>
      </w:pPr>
      <w:r w:rsidRPr="009E1952">
        <w:rPr>
          <w:rFonts w:ascii="Times New Roman" w:hAnsi="Times New Roman" w:cs="Times New Roman"/>
          <w:sz w:val="24"/>
          <w:szCs w:val="24"/>
          <w:shd w:val="clear" w:color="auto" w:fill="FFFFFF"/>
          <w:lang w:val="en-IN"/>
        </w:rPr>
        <w:lastRenderedPageBreak/>
        <w:t>Himmelstein DU, Woolhandler SJ, Adler RD (1984) Elevated SGOT/SGPT ratio in alcoholic patients with acetaminophen hepatotoxicity. Am J Gastroenterol 79(9): 718-720.</w:t>
      </w:r>
    </w:p>
    <w:p w:rsidR="00CB6ED9" w:rsidRPr="009E1952" w:rsidRDefault="00CB6ED9" w:rsidP="00711852">
      <w:pPr>
        <w:spacing w:after="0" w:line="480" w:lineRule="auto"/>
        <w:ind w:left="426" w:hanging="426"/>
        <w:contextualSpacing/>
        <w:jc w:val="both"/>
        <w:rPr>
          <w:rFonts w:ascii="Times New Roman" w:hAnsi="Times New Roman" w:cs="Times New Roman"/>
          <w:color w:val="222222"/>
          <w:sz w:val="24"/>
          <w:szCs w:val="24"/>
          <w:shd w:val="clear" w:color="auto" w:fill="FFFFFF"/>
        </w:rPr>
      </w:pPr>
      <w:r w:rsidRPr="009E1952">
        <w:rPr>
          <w:rFonts w:ascii="Times New Roman" w:hAnsi="Times New Roman" w:cs="Times New Roman"/>
          <w:color w:val="222222"/>
          <w:sz w:val="24"/>
          <w:szCs w:val="24"/>
          <w:shd w:val="clear" w:color="auto" w:fill="FFFFFF"/>
        </w:rPr>
        <w:t>Hu J</w:t>
      </w:r>
      <w:r w:rsidR="006D1D4C" w:rsidRPr="009E1952">
        <w:rPr>
          <w:rFonts w:ascii="Times New Roman" w:hAnsi="Times New Roman" w:cs="Times New Roman"/>
          <w:color w:val="222222"/>
          <w:sz w:val="24"/>
          <w:szCs w:val="24"/>
          <w:shd w:val="clear" w:color="auto" w:fill="FFFFFF"/>
        </w:rPr>
        <w:t>, Zhang</w:t>
      </w:r>
      <w:r w:rsidRPr="009E1952">
        <w:rPr>
          <w:rFonts w:ascii="Times New Roman" w:hAnsi="Times New Roman" w:cs="Times New Roman"/>
          <w:color w:val="222222"/>
          <w:sz w:val="24"/>
          <w:szCs w:val="24"/>
          <w:shd w:val="clear" w:color="auto" w:fill="FFFFFF"/>
        </w:rPr>
        <w:t xml:space="preserve"> L L, Chen JM, &amp; Liu Y (2013) Degradation of paracetamol by Pseudomonas aeruginosa strain HJ1012. </w:t>
      </w:r>
      <w:r w:rsidRPr="009E1952">
        <w:rPr>
          <w:rFonts w:ascii="Times New Roman" w:hAnsi="Times New Roman" w:cs="Times New Roman"/>
          <w:iCs/>
          <w:color w:val="222222"/>
          <w:sz w:val="24"/>
          <w:szCs w:val="24"/>
          <w:shd w:val="clear" w:color="auto" w:fill="FFFFFF"/>
        </w:rPr>
        <w:t>Journal of Environmental Science and Health Part A</w:t>
      </w:r>
      <w:r w:rsidRPr="009E1952">
        <w:rPr>
          <w:rFonts w:ascii="Times New Roman" w:hAnsi="Times New Roman" w:cs="Times New Roman"/>
          <w:color w:val="222222"/>
          <w:sz w:val="24"/>
          <w:szCs w:val="24"/>
          <w:shd w:val="clear" w:color="auto" w:fill="FFFFFF"/>
        </w:rPr>
        <w:t>, </w:t>
      </w:r>
      <w:r w:rsidRPr="009E1952">
        <w:rPr>
          <w:rFonts w:ascii="Times New Roman" w:hAnsi="Times New Roman" w:cs="Times New Roman"/>
          <w:iCs/>
          <w:color w:val="222222"/>
          <w:sz w:val="24"/>
          <w:szCs w:val="24"/>
          <w:shd w:val="clear" w:color="auto" w:fill="FFFFFF"/>
        </w:rPr>
        <w:t>48</w:t>
      </w:r>
      <w:r w:rsidRPr="009E1952">
        <w:rPr>
          <w:rFonts w:ascii="Times New Roman" w:hAnsi="Times New Roman" w:cs="Times New Roman"/>
          <w:color w:val="222222"/>
          <w:sz w:val="24"/>
          <w:szCs w:val="24"/>
          <w:shd w:val="clear" w:color="auto" w:fill="FFFFFF"/>
        </w:rPr>
        <w:t>(7), 791-799.</w:t>
      </w:r>
    </w:p>
    <w:p w:rsidR="00CB6ED9" w:rsidRPr="009E1952" w:rsidRDefault="00CB6ED9" w:rsidP="00711852">
      <w:pPr>
        <w:spacing w:after="0" w:line="480" w:lineRule="auto"/>
        <w:ind w:left="426" w:hanging="426"/>
        <w:contextualSpacing/>
        <w:jc w:val="both"/>
        <w:rPr>
          <w:rFonts w:ascii="Times New Roman" w:hAnsi="Times New Roman" w:cs="Times New Roman"/>
          <w:color w:val="222222"/>
          <w:sz w:val="24"/>
          <w:szCs w:val="24"/>
          <w:shd w:val="clear" w:color="auto" w:fill="FFFFFF"/>
        </w:rPr>
      </w:pPr>
      <w:r w:rsidRPr="009E1952">
        <w:rPr>
          <w:rFonts w:ascii="Times New Roman" w:hAnsi="Times New Roman" w:cs="Times New Roman"/>
          <w:color w:val="222222"/>
          <w:sz w:val="24"/>
          <w:szCs w:val="24"/>
          <w:shd w:val="clear" w:color="auto" w:fill="FFFFFF"/>
        </w:rPr>
        <w:t>Hu</w:t>
      </w:r>
      <w:r w:rsidR="006D1D4C" w:rsidRPr="009E1952">
        <w:rPr>
          <w:rFonts w:ascii="Times New Roman" w:hAnsi="Times New Roman" w:cs="Times New Roman"/>
          <w:color w:val="222222"/>
          <w:sz w:val="24"/>
          <w:szCs w:val="24"/>
          <w:shd w:val="clear" w:color="auto" w:fill="FFFFFF"/>
        </w:rPr>
        <w:t xml:space="preserve"> X</w:t>
      </w:r>
      <w:r w:rsidRPr="009E1952">
        <w:rPr>
          <w:rFonts w:ascii="Times New Roman" w:hAnsi="Times New Roman" w:cs="Times New Roman"/>
          <w:color w:val="222222"/>
          <w:sz w:val="24"/>
          <w:szCs w:val="24"/>
          <w:shd w:val="clear" w:color="auto" w:fill="FFFFFF"/>
        </w:rPr>
        <w:t>, Wang J, Wang F, Chen Q, Huang Y, &amp; Cui Z (2014) Complete genome sequence of the p-nitrophenol-degrading bacterium Pseudomonas putida DLL-E4. </w:t>
      </w:r>
      <w:r w:rsidRPr="009E1952">
        <w:rPr>
          <w:rFonts w:ascii="Times New Roman" w:hAnsi="Times New Roman" w:cs="Times New Roman"/>
          <w:iCs/>
          <w:color w:val="222222"/>
          <w:sz w:val="24"/>
          <w:szCs w:val="24"/>
          <w:shd w:val="clear" w:color="auto" w:fill="FFFFFF"/>
        </w:rPr>
        <w:t>Genome announcements</w:t>
      </w:r>
      <w:r w:rsidRPr="009E1952">
        <w:rPr>
          <w:rFonts w:ascii="Times New Roman" w:hAnsi="Times New Roman" w:cs="Times New Roman"/>
          <w:color w:val="222222"/>
          <w:sz w:val="24"/>
          <w:szCs w:val="24"/>
          <w:shd w:val="clear" w:color="auto" w:fill="FFFFFF"/>
        </w:rPr>
        <w:t> </w:t>
      </w:r>
      <w:r w:rsidRPr="009E1952">
        <w:rPr>
          <w:rFonts w:ascii="Times New Roman" w:hAnsi="Times New Roman" w:cs="Times New Roman"/>
          <w:iCs/>
          <w:color w:val="222222"/>
          <w:sz w:val="24"/>
          <w:szCs w:val="24"/>
          <w:shd w:val="clear" w:color="auto" w:fill="FFFFFF"/>
        </w:rPr>
        <w:t>2</w:t>
      </w:r>
      <w:r w:rsidRPr="009E1952">
        <w:rPr>
          <w:rFonts w:ascii="Times New Roman" w:hAnsi="Times New Roman" w:cs="Times New Roman"/>
          <w:color w:val="222222"/>
          <w:sz w:val="24"/>
          <w:szCs w:val="24"/>
          <w:shd w:val="clear" w:color="auto" w:fill="FFFFFF"/>
        </w:rPr>
        <w:t>(3), 10-1128.</w:t>
      </w:r>
    </w:p>
    <w:p w:rsidR="00CB6ED9" w:rsidRPr="009E1952" w:rsidRDefault="00CB6ED9" w:rsidP="00711852">
      <w:pPr>
        <w:spacing w:after="0" w:line="480" w:lineRule="auto"/>
        <w:ind w:left="426" w:hanging="426"/>
        <w:contextualSpacing/>
        <w:jc w:val="both"/>
        <w:rPr>
          <w:rFonts w:ascii="Times New Roman" w:hAnsi="Times New Roman" w:cs="Times New Roman"/>
          <w:iCs/>
          <w:sz w:val="24"/>
          <w:szCs w:val="24"/>
        </w:rPr>
      </w:pPr>
      <w:r w:rsidRPr="009E1952">
        <w:rPr>
          <w:rFonts w:ascii="Times New Roman" w:hAnsi="Times New Roman" w:cs="Times New Roman"/>
          <w:iCs/>
          <w:sz w:val="24"/>
          <w:szCs w:val="24"/>
        </w:rPr>
        <w:t>IARC (1990) IARC Working Group on the Evaluation of Carcinogenic Risks to Humans. Pharmaceutical Drugs. Lyon (FR): International Agency for Research on Cancer; 1990. (IARC Monographs on the Evaluation of the Carcinogenic Risks to Humans, No. 50.) Paracetamol (Acetaminophen) Available from: https://www.ncbi.nlm.nih.gov/books/NBK526213/</w:t>
      </w:r>
    </w:p>
    <w:p w:rsidR="00CB6ED9" w:rsidRPr="009E1952" w:rsidRDefault="00FC576B" w:rsidP="00711852">
      <w:pPr>
        <w:spacing w:after="0" w:line="480" w:lineRule="auto"/>
        <w:ind w:left="426" w:hanging="426"/>
        <w:contextualSpacing/>
        <w:jc w:val="both"/>
        <w:rPr>
          <w:rFonts w:ascii="Times New Roman" w:hAnsi="Times New Roman" w:cs="Times New Roman"/>
          <w:iCs/>
          <w:sz w:val="24"/>
          <w:szCs w:val="24"/>
        </w:rPr>
      </w:pPr>
      <w:r w:rsidRPr="009E1952">
        <w:rPr>
          <w:rFonts w:ascii="Times New Roman" w:hAnsi="Times New Roman" w:cs="Times New Roman"/>
          <w:iCs/>
          <w:sz w:val="24"/>
          <w:szCs w:val="24"/>
        </w:rPr>
        <w:t>ILO (2008)</w:t>
      </w:r>
      <w:r w:rsidR="00CB6ED9" w:rsidRPr="009E1952">
        <w:rPr>
          <w:rFonts w:ascii="Times New Roman" w:hAnsi="Times New Roman" w:cs="Times New Roman"/>
          <w:iCs/>
          <w:sz w:val="24"/>
          <w:szCs w:val="24"/>
        </w:rPr>
        <w:t xml:space="preserve"> ILO-WHO International Chemical Safety Cards (ICSCs) ICSC: 1330 (November 2008) https://www.inchem.org/documents/icsc/icsc/eics1330.htm</w:t>
      </w:r>
    </w:p>
    <w:p w:rsidR="009E1952" w:rsidRPr="009E1952" w:rsidRDefault="009E1952" w:rsidP="00711852">
      <w:pPr>
        <w:spacing w:after="0" w:line="480" w:lineRule="auto"/>
        <w:ind w:left="426" w:hanging="426"/>
        <w:contextualSpacing/>
        <w:jc w:val="both"/>
        <w:rPr>
          <w:rFonts w:ascii="Times New Roman" w:hAnsi="Times New Roman" w:cs="Times New Roman"/>
          <w:sz w:val="24"/>
          <w:szCs w:val="24"/>
          <w:shd w:val="clear" w:color="auto" w:fill="FFFFFF"/>
        </w:rPr>
      </w:pPr>
      <w:r w:rsidRPr="009E1952">
        <w:rPr>
          <w:rFonts w:ascii="Times New Roman" w:hAnsi="Times New Roman" w:cs="Times New Roman"/>
          <w:sz w:val="24"/>
          <w:szCs w:val="24"/>
          <w:shd w:val="clear" w:color="auto" w:fill="FFFFFF"/>
        </w:rPr>
        <w:t>Irwin RD, Boorman GA, Cunningham ML, Heinloth AN, Malarkey DE and Paules RS (2004) Application of toxicogenomics to toxicology: basic concepts in the analysis of microarray data. </w:t>
      </w:r>
      <w:r w:rsidRPr="009E1952">
        <w:rPr>
          <w:rFonts w:ascii="Times New Roman" w:hAnsi="Times New Roman" w:cs="Times New Roman"/>
          <w:iCs/>
          <w:sz w:val="24"/>
          <w:szCs w:val="24"/>
          <w:shd w:val="clear" w:color="auto" w:fill="FFFFFF"/>
        </w:rPr>
        <w:t>Toxicologic pathology</w:t>
      </w:r>
      <w:r w:rsidRPr="009E1952">
        <w:rPr>
          <w:rFonts w:ascii="Times New Roman" w:hAnsi="Times New Roman" w:cs="Times New Roman"/>
          <w:sz w:val="24"/>
          <w:szCs w:val="24"/>
          <w:shd w:val="clear" w:color="auto" w:fill="FFFFFF"/>
        </w:rPr>
        <w:t> </w:t>
      </w:r>
      <w:r w:rsidRPr="009E1952">
        <w:rPr>
          <w:rFonts w:ascii="Times New Roman" w:hAnsi="Times New Roman" w:cs="Times New Roman"/>
          <w:iCs/>
          <w:sz w:val="24"/>
          <w:szCs w:val="24"/>
          <w:shd w:val="clear" w:color="auto" w:fill="FFFFFF"/>
        </w:rPr>
        <w:t>32</w:t>
      </w:r>
      <w:r w:rsidRPr="009E1952">
        <w:rPr>
          <w:rFonts w:ascii="Times New Roman" w:hAnsi="Times New Roman" w:cs="Times New Roman"/>
          <w:sz w:val="24"/>
          <w:szCs w:val="24"/>
          <w:shd w:val="clear" w:color="auto" w:fill="FFFFFF"/>
        </w:rPr>
        <w:t>(1_suppl), pp.72-83.</w:t>
      </w:r>
    </w:p>
    <w:p w:rsidR="00CB6ED9" w:rsidRPr="009E1952" w:rsidRDefault="00CB6ED9" w:rsidP="00711852">
      <w:pPr>
        <w:spacing w:after="0" w:line="480" w:lineRule="auto"/>
        <w:ind w:left="426" w:hanging="426"/>
        <w:contextualSpacing/>
        <w:jc w:val="both"/>
        <w:rPr>
          <w:rFonts w:ascii="Times New Roman" w:hAnsi="Times New Roman" w:cs="Times New Roman"/>
          <w:sz w:val="24"/>
          <w:szCs w:val="24"/>
          <w:shd w:val="clear" w:color="auto" w:fill="FFFFFF"/>
          <w:lang w:val="en-IN"/>
        </w:rPr>
      </w:pPr>
      <w:r w:rsidRPr="009E1952">
        <w:rPr>
          <w:rFonts w:ascii="Times New Roman" w:hAnsi="Times New Roman" w:cs="Times New Roman"/>
          <w:sz w:val="24"/>
          <w:szCs w:val="24"/>
          <w:shd w:val="clear" w:color="auto" w:fill="FFFFFF"/>
          <w:lang w:val="en-IN"/>
        </w:rPr>
        <w:t xml:space="preserve">Johnson MW, Friedman PA, Mitch WE (1981) Alcoholism, nonprescription drugs and hepatotoxicity: the risk from unknown acetaminophen ingestion. Am J Gastroenterol 76: 530-533. </w:t>
      </w:r>
    </w:p>
    <w:p w:rsidR="00CB6ED9" w:rsidRPr="009E1952" w:rsidRDefault="00CB6ED9" w:rsidP="00711852">
      <w:pPr>
        <w:spacing w:after="0" w:line="480" w:lineRule="auto"/>
        <w:ind w:left="426" w:hanging="426"/>
        <w:contextualSpacing/>
        <w:jc w:val="both"/>
        <w:rPr>
          <w:rFonts w:ascii="Times New Roman" w:hAnsi="Times New Roman" w:cs="Times New Roman"/>
          <w:sz w:val="24"/>
          <w:szCs w:val="24"/>
        </w:rPr>
      </w:pPr>
      <w:r w:rsidRPr="009E1952">
        <w:rPr>
          <w:rFonts w:ascii="Times New Roman" w:hAnsi="Times New Roman" w:cs="Times New Roman"/>
          <w:sz w:val="24"/>
          <w:szCs w:val="24"/>
        </w:rPr>
        <w:t>Jóźwiak-Bebenista M and Nowak JZ (2014) Paracetamol: mechanism of action, applications and safety concern. </w:t>
      </w:r>
      <w:r w:rsidRPr="009E1952">
        <w:rPr>
          <w:rFonts w:ascii="Times New Roman" w:hAnsi="Times New Roman" w:cs="Times New Roman"/>
          <w:iCs/>
          <w:sz w:val="24"/>
          <w:szCs w:val="24"/>
        </w:rPr>
        <w:t>Acta poloniaepharmaceutica</w:t>
      </w:r>
      <w:r w:rsidRPr="009E1952">
        <w:rPr>
          <w:rFonts w:ascii="Times New Roman" w:hAnsi="Times New Roman" w:cs="Times New Roman"/>
          <w:sz w:val="24"/>
          <w:szCs w:val="24"/>
        </w:rPr>
        <w:t> </w:t>
      </w:r>
      <w:r w:rsidRPr="009E1952">
        <w:rPr>
          <w:rFonts w:ascii="Times New Roman" w:hAnsi="Times New Roman" w:cs="Times New Roman"/>
          <w:iCs/>
          <w:sz w:val="24"/>
          <w:szCs w:val="24"/>
        </w:rPr>
        <w:t>71</w:t>
      </w:r>
      <w:r w:rsidRPr="009E1952">
        <w:rPr>
          <w:rFonts w:ascii="Times New Roman" w:hAnsi="Times New Roman" w:cs="Times New Roman"/>
          <w:sz w:val="24"/>
          <w:szCs w:val="24"/>
        </w:rPr>
        <w:t>(1), pp.11-23.</w:t>
      </w:r>
    </w:p>
    <w:p w:rsidR="00CB6ED9" w:rsidRPr="009E1952" w:rsidRDefault="00CB6ED9" w:rsidP="00711852">
      <w:pPr>
        <w:spacing w:after="0" w:line="480" w:lineRule="auto"/>
        <w:ind w:left="426" w:hanging="426"/>
        <w:contextualSpacing/>
        <w:jc w:val="both"/>
        <w:rPr>
          <w:rFonts w:ascii="Times New Roman" w:hAnsi="Times New Roman" w:cs="Times New Roman"/>
          <w:sz w:val="24"/>
          <w:szCs w:val="24"/>
          <w:shd w:val="clear" w:color="auto" w:fill="FFFFFF"/>
          <w:lang w:val="en-IN"/>
        </w:rPr>
      </w:pPr>
      <w:r w:rsidRPr="009E1952">
        <w:rPr>
          <w:rFonts w:ascii="Times New Roman" w:hAnsi="Times New Roman" w:cs="Times New Roman"/>
          <w:sz w:val="24"/>
          <w:szCs w:val="24"/>
          <w:shd w:val="clear" w:color="auto" w:fill="FFFFFF"/>
          <w:lang w:val="en-IN"/>
        </w:rPr>
        <w:t xml:space="preserve">Kavitha P, Ramesh R, Bupesh G, Stalin A, Subramanian P (2011) Hepatoprotective activity of Tribulus terrestris extract against acetaminophen-induced toxicity in a freshwater fish </w:t>
      </w:r>
      <w:r w:rsidRPr="009E1952">
        <w:rPr>
          <w:rFonts w:ascii="Times New Roman" w:hAnsi="Times New Roman" w:cs="Times New Roman"/>
          <w:sz w:val="24"/>
          <w:szCs w:val="24"/>
          <w:shd w:val="clear" w:color="auto" w:fill="FFFFFF"/>
          <w:lang w:val="en-IN"/>
        </w:rPr>
        <w:lastRenderedPageBreak/>
        <w:t>(Oreochromis mossambicus). In Vitro Cell Dev Biol Anim 47:698–706. https:// doi.org/10.1007/s11626-011-9457-9</w:t>
      </w:r>
    </w:p>
    <w:p w:rsidR="00CB6ED9" w:rsidRPr="009E1952" w:rsidRDefault="00CB6ED9" w:rsidP="00711852">
      <w:pPr>
        <w:spacing w:after="0" w:line="480" w:lineRule="auto"/>
        <w:ind w:left="426" w:hanging="426"/>
        <w:contextualSpacing/>
        <w:jc w:val="both"/>
        <w:rPr>
          <w:rFonts w:ascii="Times New Roman" w:hAnsi="Times New Roman" w:cs="Times New Roman"/>
          <w:color w:val="222222"/>
          <w:sz w:val="24"/>
          <w:szCs w:val="24"/>
          <w:shd w:val="clear" w:color="auto" w:fill="FFFFFF"/>
        </w:rPr>
      </w:pPr>
      <w:r w:rsidRPr="009E1952">
        <w:rPr>
          <w:rFonts w:ascii="Times New Roman" w:hAnsi="Times New Roman" w:cs="Times New Roman"/>
          <w:color w:val="222222"/>
          <w:sz w:val="24"/>
          <w:szCs w:val="24"/>
          <w:shd w:val="clear" w:color="auto" w:fill="FFFFFF"/>
        </w:rPr>
        <w:t>Khan SA, Hamayun M, &amp; Ahmed S (2006) Degradation of 4-aminophenol by newly isolated Pseudomonas sp. strain ST-4. </w:t>
      </w:r>
      <w:r w:rsidRPr="009E1952">
        <w:rPr>
          <w:rFonts w:ascii="Times New Roman" w:hAnsi="Times New Roman" w:cs="Times New Roman"/>
          <w:iCs/>
          <w:color w:val="222222"/>
          <w:sz w:val="24"/>
          <w:szCs w:val="24"/>
          <w:shd w:val="clear" w:color="auto" w:fill="FFFFFF"/>
        </w:rPr>
        <w:t>Enzyme and Microbial Technology</w:t>
      </w:r>
      <w:r w:rsidRPr="009E1952">
        <w:rPr>
          <w:rFonts w:ascii="Times New Roman" w:hAnsi="Times New Roman" w:cs="Times New Roman"/>
          <w:color w:val="222222"/>
          <w:sz w:val="24"/>
          <w:szCs w:val="24"/>
          <w:shd w:val="clear" w:color="auto" w:fill="FFFFFF"/>
        </w:rPr>
        <w:t> </w:t>
      </w:r>
      <w:r w:rsidRPr="009E1952">
        <w:rPr>
          <w:rFonts w:ascii="Times New Roman" w:hAnsi="Times New Roman" w:cs="Times New Roman"/>
          <w:iCs/>
          <w:color w:val="222222"/>
          <w:sz w:val="24"/>
          <w:szCs w:val="24"/>
          <w:shd w:val="clear" w:color="auto" w:fill="FFFFFF"/>
        </w:rPr>
        <w:t>38</w:t>
      </w:r>
      <w:r w:rsidRPr="009E1952">
        <w:rPr>
          <w:rFonts w:ascii="Times New Roman" w:hAnsi="Times New Roman" w:cs="Times New Roman"/>
          <w:color w:val="222222"/>
          <w:sz w:val="24"/>
          <w:szCs w:val="24"/>
          <w:shd w:val="clear" w:color="auto" w:fill="FFFFFF"/>
        </w:rPr>
        <w:t>(1-2), 10-13.</w:t>
      </w:r>
    </w:p>
    <w:p w:rsidR="00CB6ED9" w:rsidRPr="009E1952" w:rsidRDefault="00CB6ED9" w:rsidP="00711852">
      <w:pPr>
        <w:spacing w:after="0" w:line="480" w:lineRule="auto"/>
        <w:ind w:left="426" w:hanging="426"/>
        <w:contextualSpacing/>
        <w:jc w:val="both"/>
        <w:rPr>
          <w:rFonts w:ascii="Times New Roman" w:hAnsi="Times New Roman" w:cs="Times New Roman"/>
          <w:sz w:val="24"/>
          <w:szCs w:val="24"/>
        </w:rPr>
      </w:pPr>
      <w:r w:rsidRPr="009E1952">
        <w:rPr>
          <w:rFonts w:ascii="Times New Roman" w:hAnsi="Times New Roman" w:cs="Times New Roman"/>
          <w:iCs/>
          <w:sz w:val="24"/>
          <w:szCs w:val="24"/>
        </w:rPr>
        <w:t>Lewis RJ Sr (2007) Hawley's Condensed Chemical Dictionary 15th Edition. John Wiley &amp; Sons, Inc. New York, NY., p. 11</w:t>
      </w:r>
    </w:p>
    <w:p w:rsidR="00CB6ED9" w:rsidRPr="009E1952" w:rsidRDefault="00CB6ED9" w:rsidP="00711852">
      <w:pPr>
        <w:spacing w:after="0" w:line="480" w:lineRule="auto"/>
        <w:ind w:left="426" w:hanging="426"/>
        <w:contextualSpacing/>
        <w:jc w:val="both"/>
        <w:rPr>
          <w:rFonts w:ascii="Times New Roman" w:hAnsi="Times New Roman" w:cs="Times New Roman"/>
          <w:color w:val="222222"/>
          <w:sz w:val="24"/>
          <w:szCs w:val="24"/>
          <w:shd w:val="clear" w:color="auto" w:fill="FFFFFF"/>
        </w:rPr>
      </w:pPr>
      <w:r w:rsidRPr="009E1952">
        <w:rPr>
          <w:rFonts w:ascii="Times New Roman" w:hAnsi="Times New Roman" w:cs="Times New Roman"/>
          <w:color w:val="222222"/>
          <w:sz w:val="24"/>
          <w:szCs w:val="24"/>
          <w:shd w:val="clear" w:color="auto" w:fill="FFFFFF"/>
        </w:rPr>
        <w:t>Li J, Ye Q, &amp; Gan J (2014) Degradation and transformation products of acetaminophen in soil. </w:t>
      </w:r>
      <w:r w:rsidRPr="009E1952">
        <w:rPr>
          <w:rFonts w:ascii="Times New Roman" w:hAnsi="Times New Roman" w:cs="Times New Roman"/>
          <w:iCs/>
          <w:color w:val="222222"/>
          <w:sz w:val="24"/>
          <w:szCs w:val="24"/>
          <w:shd w:val="clear" w:color="auto" w:fill="FFFFFF"/>
        </w:rPr>
        <w:t>Water Research</w:t>
      </w:r>
      <w:r w:rsidRPr="009E1952">
        <w:rPr>
          <w:rFonts w:ascii="Times New Roman" w:hAnsi="Times New Roman" w:cs="Times New Roman"/>
          <w:color w:val="222222"/>
          <w:sz w:val="24"/>
          <w:szCs w:val="24"/>
          <w:shd w:val="clear" w:color="auto" w:fill="FFFFFF"/>
        </w:rPr>
        <w:t> </w:t>
      </w:r>
      <w:r w:rsidRPr="009E1952">
        <w:rPr>
          <w:rFonts w:ascii="Times New Roman" w:hAnsi="Times New Roman" w:cs="Times New Roman"/>
          <w:iCs/>
          <w:color w:val="222222"/>
          <w:sz w:val="24"/>
          <w:szCs w:val="24"/>
          <w:shd w:val="clear" w:color="auto" w:fill="FFFFFF"/>
        </w:rPr>
        <w:t>49</w:t>
      </w:r>
      <w:r w:rsidRPr="009E1952">
        <w:rPr>
          <w:rFonts w:ascii="Times New Roman" w:hAnsi="Times New Roman" w:cs="Times New Roman"/>
          <w:color w:val="222222"/>
          <w:sz w:val="24"/>
          <w:szCs w:val="24"/>
          <w:shd w:val="clear" w:color="auto" w:fill="FFFFFF"/>
        </w:rPr>
        <w:t>, 44-52.</w:t>
      </w:r>
    </w:p>
    <w:p w:rsidR="00CB6ED9" w:rsidRPr="009E1952" w:rsidRDefault="00CB6ED9" w:rsidP="00711852">
      <w:pPr>
        <w:spacing w:after="0" w:line="480" w:lineRule="auto"/>
        <w:ind w:left="426" w:hanging="426"/>
        <w:contextualSpacing/>
        <w:jc w:val="both"/>
        <w:rPr>
          <w:rFonts w:ascii="Times New Roman" w:hAnsi="Times New Roman" w:cs="Times New Roman"/>
          <w:sz w:val="24"/>
          <w:szCs w:val="24"/>
          <w:shd w:val="clear" w:color="auto" w:fill="FFFFFF"/>
          <w:lang w:val="en-IN"/>
        </w:rPr>
      </w:pPr>
      <w:r w:rsidRPr="009E1952">
        <w:rPr>
          <w:rFonts w:ascii="Times New Roman" w:hAnsi="Times New Roman" w:cs="Times New Roman"/>
          <w:sz w:val="24"/>
          <w:szCs w:val="24"/>
          <w:shd w:val="clear" w:color="auto" w:fill="FFFFFF"/>
          <w:lang w:val="en-IN"/>
        </w:rPr>
        <w:t>Mercado SAS, Galvis DGV</w:t>
      </w:r>
      <w:r w:rsidR="00FC576B" w:rsidRPr="009E1952">
        <w:rPr>
          <w:rFonts w:ascii="Times New Roman" w:hAnsi="Times New Roman" w:cs="Times New Roman"/>
          <w:sz w:val="24"/>
          <w:szCs w:val="24"/>
          <w:shd w:val="clear" w:color="auto" w:fill="FFFFFF"/>
          <w:lang w:val="en-IN"/>
        </w:rPr>
        <w:t xml:space="preserve"> (2023)</w:t>
      </w:r>
      <w:r w:rsidRPr="009E1952">
        <w:rPr>
          <w:rFonts w:ascii="Times New Roman" w:hAnsi="Times New Roman" w:cs="Times New Roman"/>
          <w:sz w:val="24"/>
          <w:szCs w:val="24"/>
          <w:shd w:val="clear" w:color="auto" w:fill="FFFFFF"/>
          <w:lang w:val="en-IN"/>
        </w:rPr>
        <w:t xml:space="preserve"> Paracetamol ecotoxicological bioassay using the bioindicators </w:t>
      </w:r>
      <w:r w:rsidRPr="009E1952">
        <w:rPr>
          <w:rFonts w:ascii="Times New Roman" w:hAnsi="Times New Roman" w:cs="Times New Roman"/>
          <w:iCs/>
          <w:sz w:val="24"/>
          <w:szCs w:val="24"/>
          <w:shd w:val="clear" w:color="auto" w:fill="FFFFFF"/>
          <w:lang w:val="en-IN"/>
        </w:rPr>
        <w:t>Lens culinaris</w:t>
      </w:r>
      <w:r w:rsidRPr="009E1952">
        <w:rPr>
          <w:rFonts w:ascii="Times New Roman" w:hAnsi="Times New Roman" w:cs="Times New Roman"/>
          <w:sz w:val="24"/>
          <w:szCs w:val="24"/>
          <w:shd w:val="clear" w:color="auto" w:fill="FFFFFF"/>
          <w:lang w:val="en-IN"/>
        </w:rPr>
        <w:t> Med. and </w:t>
      </w:r>
      <w:r w:rsidRPr="009E1952">
        <w:rPr>
          <w:rFonts w:ascii="Times New Roman" w:hAnsi="Times New Roman" w:cs="Times New Roman"/>
          <w:iCs/>
          <w:sz w:val="24"/>
          <w:szCs w:val="24"/>
          <w:shd w:val="clear" w:color="auto" w:fill="FFFFFF"/>
          <w:lang w:val="en-IN"/>
        </w:rPr>
        <w:t>Pisum sativum</w:t>
      </w:r>
      <w:r w:rsidRPr="009E1952">
        <w:rPr>
          <w:rFonts w:ascii="Times New Roman" w:hAnsi="Times New Roman" w:cs="Times New Roman"/>
          <w:sz w:val="24"/>
          <w:szCs w:val="24"/>
          <w:shd w:val="clear" w:color="auto" w:fill="FFFFFF"/>
          <w:lang w:val="en-IN"/>
        </w:rPr>
        <w:t> L. </w:t>
      </w:r>
      <w:r w:rsidRPr="009E1952">
        <w:rPr>
          <w:rFonts w:ascii="Times New Roman" w:hAnsi="Times New Roman" w:cs="Times New Roman"/>
          <w:iCs/>
          <w:sz w:val="24"/>
          <w:szCs w:val="24"/>
          <w:shd w:val="clear" w:color="auto" w:fill="FFFFFF"/>
          <w:lang w:val="en-IN"/>
        </w:rPr>
        <w:t>Environ Sci Pollut Res</w:t>
      </w:r>
      <w:r w:rsidRPr="009E1952">
        <w:rPr>
          <w:rFonts w:ascii="Times New Roman" w:hAnsi="Times New Roman" w:cs="Times New Roman"/>
          <w:sz w:val="24"/>
          <w:szCs w:val="24"/>
          <w:shd w:val="clear" w:color="auto" w:fill="FFFFFF"/>
          <w:lang w:val="en-IN"/>
        </w:rPr>
        <w:t> </w:t>
      </w:r>
      <w:r w:rsidRPr="009E1952">
        <w:rPr>
          <w:rFonts w:ascii="Times New Roman" w:hAnsi="Times New Roman" w:cs="Times New Roman"/>
          <w:b/>
          <w:bCs/>
          <w:sz w:val="24"/>
          <w:szCs w:val="24"/>
          <w:shd w:val="clear" w:color="auto" w:fill="FFFFFF"/>
          <w:lang w:val="en-IN"/>
        </w:rPr>
        <w:t>30</w:t>
      </w:r>
      <w:r w:rsidR="00FC576B" w:rsidRPr="009E1952">
        <w:rPr>
          <w:rFonts w:ascii="Times New Roman" w:hAnsi="Times New Roman" w:cs="Times New Roman"/>
          <w:sz w:val="24"/>
          <w:szCs w:val="24"/>
          <w:shd w:val="clear" w:color="auto" w:fill="FFFFFF"/>
          <w:lang w:val="en-IN"/>
        </w:rPr>
        <w:t>, 61965–61976</w:t>
      </w:r>
      <w:r w:rsidRPr="009E1952">
        <w:rPr>
          <w:rFonts w:ascii="Times New Roman" w:hAnsi="Times New Roman" w:cs="Times New Roman"/>
          <w:sz w:val="24"/>
          <w:szCs w:val="24"/>
          <w:shd w:val="clear" w:color="auto" w:fill="FFFFFF"/>
          <w:lang w:val="en-IN"/>
        </w:rPr>
        <w:t xml:space="preserve">. </w:t>
      </w:r>
      <w:hyperlink r:id="rId22" w:history="1">
        <w:r w:rsidRPr="009E1952">
          <w:rPr>
            <w:rStyle w:val="Hyperlink"/>
            <w:rFonts w:ascii="Times New Roman" w:hAnsi="Times New Roman" w:cs="Times New Roman"/>
            <w:sz w:val="24"/>
            <w:szCs w:val="24"/>
            <w:shd w:val="clear" w:color="auto" w:fill="FFFFFF"/>
            <w:lang w:val="en-IN"/>
          </w:rPr>
          <w:t>https://doi.org/10.1007/s11356-023-26475-7</w:t>
        </w:r>
      </w:hyperlink>
    </w:p>
    <w:p w:rsidR="00CB6ED9" w:rsidRPr="009E1952" w:rsidRDefault="00CB6ED9" w:rsidP="00711852">
      <w:pPr>
        <w:spacing w:after="0" w:line="480" w:lineRule="auto"/>
        <w:ind w:left="426" w:hanging="426"/>
        <w:contextualSpacing/>
        <w:jc w:val="both"/>
        <w:rPr>
          <w:rFonts w:ascii="Times New Roman" w:hAnsi="Times New Roman" w:cs="Times New Roman"/>
          <w:sz w:val="24"/>
          <w:szCs w:val="24"/>
          <w:shd w:val="clear" w:color="auto" w:fill="FFFFFF"/>
          <w:lang w:val="en-IN"/>
        </w:rPr>
      </w:pPr>
      <w:r w:rsidRPr="009E1952">
        <w:rPr>
          <w:rFonts w:ascii="Times New Roman" w:hAnsi="Times New Roman" w:cs="Times New Roman"/>
          <w:sz w:val="24"/>
          <w:szCs w:val="24"/>
          <w:shd w:val="clear" w:color="auto" w:fill="FFFFFF"/>
          <w:lang w:val="en-IN"/>
        </w:rPr>
        <w:t>Monteiro DE, de Almeida JA, Rantin FT, Kalinin AL (2006) Oxidative stress biomarkers in the freshwater characid fish, Brycon cephalus, exposed to organophosphorus insecticide Folisuper 600(methyl parathion). Comp BiochemPhysiol C 143:141–149. https://doi. org/10.1016/j.cbpc.2006.01.004</w:t>
      </w:r>
    </w:p>
    <w:p w:rsidR="00CB6ED9" w:rsidRPr="009E1952" w:rsidRDefault="00CB6ED9" w:rsidP="00711852">
      <w:pPr>
        <w:spacing w:after="0" w:line="480" w:lineRule="auto"/>
        <w:ind w:left="426" w:hanging="426"/>
        <w:contextualSpacing/>
        <w:jc w:val="both"/>
        <w:rPr>
          <w:rFonts w:ascii="Times New Roman" w:hAnsi="Times New Roman" w:cs="Times New Roman"/>
          <w:sz w:val="24"/>
          <w:szCs w:val="24"/>
          <w:shd w:val="clear" w:color="auto" w:fill="FFFFFF"/>
          <w:lang w:val="en-IN"/>
        </w:rPr>
      </w:pPr>
      <w:r w:rsidRPr="009E1952">
        <w:rPr>
          <w:rFonts w:ascii="Times New Roman" w:hAnsi="Times New Roman" w:cs="Times New Roman"/>
          <w:sz w:val="24"/>
          <w:szCs w:val="24"/>
          <w:shd w:val="clear" w:color="auto" w:fill="FFFFFF"/>
          <w:lang w:val="en-IN"/>
        </w:rPr>
        <w:t xml:space="preserve">Mossa ATH, Heikal TM, Omara EAA (2012) Physiological and histopathological changes in the liver of male rats exposed to paracetamol and diazinon. Asian Pac J Trop Biomed 2(3): S1683-S1690. </w:t>
      </w:r>
    </w:p>
    <w:p w:rsidR="00CB6ED9" w:rsidRPr="009E1952" w:rsidRDefault="00CB6ED9" w:rsidP="00711852">
      <w:pPr>
        <w:spacing w:after="0" w:line="480" w:lineRule="auto"/>
        <w:ind w:left="426" w:hanging="426"/>
        <w:contextualSpacing/>
        <w:jc w:val="both"/>
        <w:rPr>
          <w:rFonts w:ascii="Times New Roman" w:hAnsi="Times New Roman" w:cs="Times New Roman"/>
          <w:sz w:val="24"/>
          <w:szCs w:val="24"/>
        </w:rPr>
      </w:pPr>
      <w:r w:rsidRPr="009E1952">
        <w:rPr>
          <w:rFonts w:ascii="Times New Roman" w:hAnsi="Times New Roman" w:cs="Times New Roman"/>
          <w:sz w:val="24"/>
          <w:szCs w:val="24"/>
        </w:rPr>
        <w:t>Mullins ME, Yeager LH and Freeman WE (2020) Metabolic and mitochondrial treatments for severe paracetamol poisoning: a systematic review. </w:t>
      </w:r>
      <w:r w:rsidRPr="009E1952">
        <w:rPr>
          <w:rFonts w:ascii="Times New Roman" w:hAnsi="Times New Roman" w:cs="Times New Roman"/>
          <w:iCs/>
          <w:sz w:val="24"/>
          <w:szCs w:val="24"/>
        </w:rPr>
        <w:t>Clinical Toxicology</w:t>
      </w:r>
      <w:r w:rsidRPr="009E1952">
        <w:rPr>
          <w:rFonts w:ascii="Times New Roman" w:hAnsi="Times New Roman" w:cs="Times New Roman"/>
          <w:sz w:val="24"/>
          <w:szCs w:val="24"/>
        </w:rPr>
        <w:t> </w:t>
      </w:r>
      <w:r w:rsidRPr="009E1952">
        <w:rPr>
          <w:rFonts w:ascii="Times New Roman" w:hAnsi="Times New Roman" w:cs="Times New Roman"/>
          <w:iCs/>
          <w:sz w:val="24"/>
          <w:szCs w:val="24"/>
        </w:rPr>
        <w:t>58</w:t>
      </w:r>
      <w:r w:rsidRPr="009E1952">
        <w:rPr>
          <w:rFonts w:ascii="Times New Roman" w:hAnsi="Times New Roman" w:cs="Times New Roman"/>
          <w:sz w:val="24"/>
          <w:szCs w:val="24"/>
        </w:rPr>
        <w:t>(12), pp.1284-1296.</w:t>
      </w:r>
    </w:p>
    <w:p w:rsidR="00CB6ED9" w:rsidRPr="009E1952" w:rsidRDefault="00CB6ED9" w:rsidP="00711852">
      <w:pPr>
        <w:spacing w:after="0" w:line="480" w:lineRule="auto"/>
        <w:ind w:left="426" w:hanging="426"/>
        <w:contextualSpacing/>
        <w:jc w:val="both"/>
        <w:rPr>
          <w:rFonts w:ascii="Times New Roman" w:hAnsi="Times New Roman" w:cs="Times New Roman"/>
          <w:sz w:val="24"/>
          <w:szCs w:val="24"/>
          <w:shd w:val="clear" w:color="auto" w:fill="FFFFFF"/>
          <w:lang w:val="en-IN"/>
        </w:rPr>
      </w:pPr>
      <w:r w:rsidRPr="009E1952">
        <w:rPr>
          <w:rFonts w:ascii="Times New Roman" w:hAnsi="Times New Roman" w:cs="Times New Roman"/>
          <w:sz w:val="24"/>
          <w:szCs w:val="24"/>
          <w:shd w:val="clear" w:color="auto" w:fill="FFFFFF"/>
          <w:lang w:val="en-IN"/>
        </w:rPr>
        <w:t xml:space="preserve">Nava-Álvarez R, Raz-Estrada AC, Garcia-Medina S, Gómez-Oliván LM, Galar-Martínez M (2014) Oxidative stress induced by mixture of diclofenac and acetaminophen on common carp (Cyprinus carpio). Water Air Soil Pollut 225:1873. </w:t>
      </w:r>
      <w:hyperlink r:id="rId23" w:history="1">
        <w:r w:rsidRPr="009E1952">
          <w:rPr>
            <w:rStyle w:val="Hyperlink"/>
            <w:rFonts w:ascii="Times New Roman" w:hAnsi="Times New Roman" w:cs="Times New Roman"/>
            <w:sz w:val="24"/>
            <w:szCs w:val="24"/>
            <w:shd w:val="clear" w:color="auto" w:fill="FFFFFF"/>
            <w:lang w:val="en-IN"/>
          </w:rPr>
          <w:t>https://doi.org/10.1007/s11270- 014-1873-5</w:t>
        </w:r>
      </w:hyperlink>
    </w:p>
    <w:p w:rsidR="00CB6ED9" w:rsidRPr="009E1952" w:rsidRDefault="00CB6ED9" w:rsidP="00711852">
      <w:pPr>
        <w:spacing w:after="0" w:line="480" w:lineRule="auto"/>
        <w:ind w:left="426" w:hanging="426"/>
        <w:contextualSpacing/>
        <w:jc w:val="both"/>
        <w:rPr>
          <w:rFonts w:ascii="Times New Roman" w:hAnsi="Times New Roman" w:cs="Times New Roman"/>
          <w:iCs/>
          <w:sz w:val="24"/>
          <w:szCs w:val="24"/>
        </w:rPr>
      </w:pPr>
      <w:r w:rsidRPr="009E1952">
        <w:rPr>
          <w:rFonts w:ascii="Times New Roman" w:hAnsi="Times New Roman" w:cs="Times New Roman"/>
          <w:iCs/>
          <w:sz w:val="24"/>
          <w:szCs w:val="24"/>
        </w:rPr>
        <w:lastRenderedPageBreak/>
        <w:t>NTP (1992) National Toxicology Program, Institute of Environmental Health Sciences, National Institutes of Health (NTP). 1992. National Toxicology Program Chemical Repository Database. Research Triangle Park, North Carolina.</w:t>
      </w:r>
    </w:p>
    <w:p w:rsidR="00CB6ED9" w:rsidRPr="009E1952" w:rsidRDefault="00CB6ED9" w:rsidP="00711852">
      <w:pPr>
        <w:spacing w:after="0" w:line="480" w:lineRule="auto"/>
        <w:ind w:left="426" w:hanging="426"/>
        <w:contextualSpacing/>
        <w:jc w:val="both"/>
        <w:rPr>
          <w:rFonts w:ascii="Times New Roman" w:hAnsi="Times New Roman" w:cs="Times New Roman"/>
          <w:sz w:val="24"/>
          <w:szCs w:val="24"/>
          <w:shd w:val="clear" w:color="auto" w:fill="FFFFFF"/>
          <w:lang w:val="en-IN"/>
        </w:rPr>
      </w:pPr>
      <w:r w:rsidRPr="009E1952">
        <w:rPr>
          <w:rFonts w:ascii="Times New Roman" w:hAnsi="Times New Roman" w:cs="Times New Roman"/>
          <w:sz w:val="24"/>
          <w:szCs w:val="24"/>
          <w:shd w:val="clear" w:color="auto" w:fill="FFFFFF"/>
          <w:lang w:val="en-IN"/>
        </w:rPr>
        <w:t xml:space="preserve">Nunes B, Verde MF, Soares AMVM (2015) Biochemical effects of the pharmaceutical drug paracetamol on </w:t>
      </w:r>
      <w:r w:rsidRPr="009E1952">
        <w:rPr>
          <w:rFonts w:ascii="Times New Roman" w:hAnsi="Times New Roman" w:cs="Times New Roman"/>
          <w:i/>
          <w:sz w:val="24"/>
          <w:szCs w:val="24"/>
          <w:shd w:val="clear" w:color="auto" w:fill="FFFFFF"/>
          <w:lang w:val="en-IN"/>
        </w:rPr>
        <w:t>Anguilla anguilla</w:t>
      </w:r>
      <w:r w:rsidRPr="009E1952">
        <w:rPr>
          <w:rFonts w:ascii="Times New Roman" w:hAnsi="Times New Roman" w:cs="Times New Roman"/>
          <w:sz w:val="24"/>
          <w:szCs w:val="24"/>
          <w:shd w:val="clear" w:color="auto" w:fill="FFFFFF"/>
          <w:lang w:val="en-IN"/>
        </w:rPr>
        <w:t xml:space="preserve">. Environ Sci Pollut Res 22:11574–11584. </w:t>
      </w:r>
      <w:hyperlink r:id="rId24" w:history="1">
        <w:r w:rsidRPr="009E1952">
          <w:rPr>
            <w:rStyle w:val="Hyperlink"/>
            <w:rFonts w:ascii="Times New Roman" w:hAnsi="Times New Roman" w:cs="Times New Roman"/>
            <w:sz w:val="24"/>
            <w:szCs w:val="24"/>
            <w:shd w:val="clear" w:color="auto" w:fill="FFFFFF"/>
            <w:lang w:val="en-IN"/>
          </w:rPr>
          <w:t>https://doi.org/10.1007/s11356-015- 4329-6</w:t>
        </w:r>
      </w:hyperlink>
    </w:p>
    <w:p w:rsidR="00CB6ED9" w:rsidRPr="009E1952" w:rsidRDefault="00CB6ED9" w:rsidP="00711852">
      <w:pPr>
        <w:spacing w:after="0" w:line="480" w:lineRule="auto"/>
        <w:ind w:left="426" w:hanging="426"/>
        <w:contextualSpacing/>
        <w:jc w:val="both"/>
        <w:rPr>
          <w:rFonts w:ascii="Times New Roman" w:hAnsi="Times New Roman" w:cs="Times New Roman"/>
          <w:sz w:val="24"/>
          <w:szCs w:val="24"/>
          <w:shd w:val="clear" w:color="auto" w:fill="FFFFFF"/>
          <w:lang w:val="en-IN"/>
        </w:rPr>
      </w:pPr>
      <w:r w:rsidRPr="009E1952">
        <w:rPr>
          <w:rFonts w:ascii="Times New Roman" w:hAnsi="Times New Roman" w:cs="Times New Roman"/>
          <w:sz w:val="24"/>
          <w:szCs w:val="24"/>
          <w:shd w:val="clear" w:color="auto" w:fill="FFFFFF"/>
          <w:lang w:val="en-IN"/>
        </w:rPr>
        <w:t xml:space="preserve">Oliveira LLD, Antunes SC, Gonçalves F, Rocha O, Nunes B (2015) Evaluation of ecotoxicological effects of drugs on Daphnia magna using different enzymatic biomarkers. Ecotoxicol Environ Saf 119: 123–131. </w:t>
      </w:r>
      <w:hyperlink r:id="rId25" w:history="1">
        <w:r w:rsidRPr="009E1952">
          <w:rPr>
            <w:rStyle w:val="Hyperlink"/>
            <w:rFonts w:ascii="Times New Roman" w:hAnsi="Times New Roman" w:cs="Times New Roman"/>
            <w:sz w:val="24"/>
            <w:szCs w:val="24"/>
            <w:shd w:val="clear" w:color="auto" w:fill="FFFFFF"/>
            <w:lang w:val="en-IN"/>
          </w:rPr>
          <w:t>https://doi.org/10.1016/j.ecoenv.2015.04.028</w:t>
        </w:r>
      </w:hyperlink>
    </w:p>
    <w:p w:rsidR="00CB6ED9" w:rsidRPr="009E1952" w:rsidRDefault="00CB6ED9" w:rsidP="00711852">
      <w:pPr>
        <w:spacing w:after="0" w:line="480" w:lineRule="auto"/>
        <w:ind w:left="426" w:hanging="426"/>
        <w:contextualSpacing/>
        <w:jc w:val="both"/>
        <w:rPr>
          <w:rFonts w:ascii="Times New Roman" w:hAnsi="Times New Roman" w:cs="Times New Roman"/>
          <w:color w:val="222222"/>
          <w:sz w:val="24"/>
          <w:szCs w:val="24"/>
          <w:shd w:val="clear" w:color="auto" w:fill="FFFFFF"/>
        </w:rPr>
      </w:pPr>
      <w:r w:rsidRPr="009E1952">
        <w:rPr>
          <w:rFonts w:ascii="Times New Roman" w:hAnsi="Times New Roman" w:cs="Times New Roman"/>
          <w:color w:val="222222"/>
          <w:sz w:val="24"/>
          <w:szCs w:val="24"/>
          <w:shd w:val="clear" w:color="auto" w:fill="FFFFFF"/>
        </w:rPr>
        <w:t>Palma TL, Magno G, &amp; Costa MC (2021) Biodegradation of paracetamol by some gram-positive bacterial isolates. </w:t>
      </w:r>
      <w:r w:rsidRPr="009E1952">
        <w:rPr>
          <w:rFonts w:ascii="Times New Roman" w:hAnsi="Times New Roman" w:cs="Times New Roman"/>
          <w:iCs/>
          <w:color w:val="222222"/>
          <w:sz w:val="24"/>
          <w:szCs w:val="24"/>
          <w:shd w:val="clear" w:color="auto" w:fill="FFFFFF"/>
        </w:rPr>
        <w:t>Current microbiology</w:t>
      </w:r>
      <w:r w:rsidRPr="009E1952">
        <w:rPr>
          <w:rFonts w:ascii="Times New Roman" w:hAnsi="Times New Roman" w:cs="Times New Roman"/>
          <w:color w:val="222222"/>
          <w:sz w:val="24"/>
          <w:szCs w:val="24"/>
          <w:shd w:val="clear" w:color="auto" w:fill="FFFFFF"/>
        </w:rPr>
        <w:t>, </w:t>
      </w:r>
      <w:r w:rsidRPr="009E1952">
        <w:rPr>
          <w:rFonts w:ascii="Times New Roman" w:hAnsi="Times New Roman" w:cs="Times New Roman"/>
          <w:iCs/>
          <w:color w:val="222222"/>
          <w:sz w:val="24"/>
          <w:szCs w:val="24"/>
          <w:shd w:val="clear" w:color="auto" w:fill="FFFFFF"/>
        </w:rPr>
        <w:t>78</w:t>
      </w:r>
      <w:r w:rsidRPr="009E1952">
        <w:rPr>
          <w:rFonts w:ascii="Times New Roman" w:hAnsi="Times New Roman" w:cs="Times New Roman"/>
          <w:color w:val="222222"/>
          <w:sz w:val="24"/>
          <w:szCs w:val="24"/>
          <w:shd w:val="clear" w:color="auto" w:fill="FFFFFF"/>
        </w:rPr>
        <w:t>, 2774-2786.</w:t>
      </w:r>
    </w:p>
    <w:p w:rsidR="00CB6ED9" w:rsidRPr="009E1952" w:rsidRDefault="00CB6ED9" w:rsidP="00711852">
      <w:pPr>
        <w:spacing w:after="0" w:line="480" w:lineRule="auto"/>
        <w:ind w:left="426" w:hanging="426"/>
        <w:contextualSpacing/>
        <w:jc w:val="both"/>
        <w:rPr>
          <w:rFonts w:ascii="Times New Roman" w:hAnsi="Times New Roman" w:cs="Times New Roman"/>
          <w:sz w:val="24"/>
          <w:szCs w:val="24"/>
          <w:shd w:val="clear" w:color="auto" w:fill="FFFFFF"/>
          <w:lang w:val="en-IN"/>
        </w:rPr>
      </w:pPr>
      <w:r w:rsidRPr="009E1952">
        <w:rPr>
          <w:rFonts w:ascii="Times New Roman" w:hAnsi="Times New Roman" w:cs="Times New Roman"/>
          <w:sz w:val="24"/>
          <w:szCs w:val="24"/>
          <w:shd w:val="clear" w:color="auto" w:fill="FFFFFF"/>
          <w:lang w:val="en-IN"/>
        </w:rPr>
        <w:t xml:space="preserve">Parolini M, Binelli A (2012) Sub-lethal effects induced by a mixture of three non-steroidal anti-inflammatory drugs (NSAIDs) on the freshwater bivalve </w:t>
      </w:r>
      <w:r w:rsidRPr="009E1952">
        <w:rPr>
          <w:rFonts w:ascii="Times New Roman" w:hAnsi="Times New Roman" w:cs="Times New Roman"/>
          <w:i/>
          <w:sz w:val="24"/>
          <w:szCs w:val="24"/>
          <w:shd w:val="clear" w:color="auto" w:fill="FFFFFF"/>
          <w:lang w:val="en-IN"/>
        </w:rPr>
        <w:t>Dreissena polymorpha</w:t>
      </w:r>
      <w:r w:rsidRPr="009E1952">
        <w:rPr>
          <w:rFonts w:ascii="Times New Roman" w:hAnsi="Times New Roman" w:cs="Times New Roman"/>
          <w:sz w:val="24"/>
          <w:szCs w:val="24"/>
          <w:shd w:val="clear" w:color="auto" w:fill="FFFFFF"/>
          <w:lang w:val="en-IN"/>
        </w:rPr>
        <w:t xml:space="preserve">. Ecotoxicology 21:379–392. </w:t>
      </w:r>
      <w:hyperlink r:id="rId26" w:history="1">
        <w:r w:rsidRPr="009E1952">
          <w:rPr>
            <w:rStyle w:val="Hyperlink"/>
            <w:rFonts w:ascii="Times New Roman" w:hAnsi="Times New Roman" w:cs="Times New Roman"/>
            <w:sz w:val="24"/>
            <w:szCs w:val="24"/>
            <w:shd w:val="clear" w:color="auto" w:fill="FFFFFF"/>
            <w:lang w:val="en-IN"/>
          </w:rPr>
          <w:t>https://doi.org/10.1007/s10646-011-0799-6</w:t>
        </w:r>
      </w:hyperlink>
    </w:p>
    <w:p w:rsidR="00CB6ED9" w:rsidRPr="009E1952" w:rsidRDefault="00CB6ED9" w:rsidP="00711852">
      <w:pPr>
        <w:spacing w:after="0" w:line="480" w:lineRule="auto"/>
        <w:ind w:left="426" w:hanging="426"/>
        <w:contextualSpacing/>
        <w:jc w:val="both"/>
        <w:rPr>
          <w:rFonts w:ascii="Times New Roman" w:hAnsi="Times New Roman" w:cs="Times New Roman"/>
          <w:color w:val="222222"/>
          <w:sz w:val="24"/>
          <w:szCs w:val="24"/>
          <w:shd w:val="clear" w:color="auto" w:fill="FFFFFF"/>
        </w:rPr>
      </w:pPr>
      <w:r w:rsidRPr="009E1952">
        <w:rPr>
          <w:rFonts w:ascii="Times New Roman" w:hAnsi="Times New Roman" w:cs="Times New Roman"/>
          <w:color w:val="222222"/>
          <w:sz w:val="24"/>
          <w:szCs w:val="24"/>
          <w:shd w:val="clear" w:color="auto" w:fill="FFFFFF"/>
        </w:rPr>
        <w:t>Poddar K, Sarkar D, Chakraborty D, Patil PB, Maity S, &amp; Sarkar A (2022) Paracetamol biodegradation by Pseudomonas strain PrS10 isolated from pharmaceutical effluents. International Biodeterioration &amp; Biodegradation 175, 105490.</w:t>
      </w:r>
    </w:p>
    <w:p w:rsidR="00CB6ED9" w:rsidRPr="009E1952" w:rsidRDefault="00CB6ED9" w:rsidP="00711852">
      <w:pPr>
        <w:spacing w:after="0" w:line="480" w:lineRule="auto"/>
        <w:ind w:left="426" w:hanging="426"/>
        <w:contextualSpacing/>
        <w:jc w:val="both"/>
        <w:rPr>
          <w:rFonts w:ascii="Times New Roman" w:hAnsi="Times New Roman" w:cs="Times New Roman"/>
          <w:sz w:val="24"/>
          <w:szCs w:val="24"/>
        </w:rPr>
      </w:pPr>
      <w:r w:rsidRPr="009E1952">
        <w:rPr>
          <w:rFonts w:ascii="Times New Roman" w:hAnsi="Times New Roman" w:cs="Times New Roman"/>
          <w:sz w:val="24"/>
          <w:szCs w:val="24"/>
        </w:rPr>
        <w:t>Przybyła GW, Szychowski KA and Gmiński J (2021) Paracetamol–An old drug with new mechanisms of action. </w:t>
      </w:r>
      <w:r w:rsidRPr="009E1952">
        <w:rPr>
          <w:rFonts w:ascii="Times New Roman" w:hAnsi="Times New Roman" w:cs="Times New Roman"/>
          <w:iCs/>
          <w:sz w:val="24"/>
          <w:szCs w:val="24"/>
        </w:rPr>
        <w:t>Clinical and Experimental Pharmacology and Physiology</w:t>
      </w:r>
      <w:r w:rsidRPr="009E1952">
        <w:rPr>
          <w:rFonts w:ascii="Times New Roman" w:hAnsi="Times New Roman" w:cs="Times New Roman"/>
          <w:sz w:val="24"/>
          <w:szCs w:val="24"/>
        </w:rPr>
        <w:t> </w:t>
      </w:r>
      <w:r w:rsidRPr="009E1952">
        <w:rPr>
          <w:rFonts w:ascii="Times New Roman" w:hAnsi="Times New Roman" w:cs="Times New Roman"/>
          <w:iCs/>
          <w:sz w:val="24"/>
          <w:szCs w:val="24"/>
        </w:rPr>
        <w:t>48</w:t>
      </w:r>
      <w:r w:rsidRPr="009E1952">
        <w:rPr>
          <w:rFonts w:ascii="Times New Roman" w:hAnsi="Times New Roman" w:cs="Times New Roman"/>
          <w:sz w:val="24"/>
          <w:szCs w:val="24"/>
        </w:rPr>
        <w:t>(1), pp.3-19.</w:t>
      </w:r>
    </w:p>
    <w:p w:rsidR="00CB6ED9" w:rsidRPr="009E1952" w:rsidRDefault="00CB6ED9" w:rsidP="00711852">
      <w:pPr>
        <w:spacing w:after="0" w:line="480" w:lineRule="auto"/>
        <w:ind w:left="426" w:hanging="426"/>
        <w:contextualSpacing/>
        <w:jc w:val="both"/>
        <w:rPr>
          <w:rFonts w:ascii="Times New Roman" w:hAnsi="Times New Roman" w:cs="Times New Roman"/>
          <w:sz w:val="24"/>
          <w:szCs w:val="24"/>
          <w:shd w:val="clear" w:color="auto" w:fill="FFFFFF"/>
          <w:lang w:val="en-IN"/>
        </w:rPr>
      </w:pPr>
      <w:r w:rsidRPr="009E1952">
        <w:rPr>
          <w:rFonts w:ascii="Times New Roman" w:hAnsi="Times New Roman" w:cs="Times New Roman"/>
          <w:sz w:val="24"/>
          <w:szCs w:val="24"/>
          <w:shd w:val="clear" w:color="auto" w:fill="FFFFFF"/>
          <w:lang w:val="en-IN"/>
        </w:rPr>
        <w:t xml:space="preserve">Ramos AS, Correia AT, Antunes SC, Gonçalves F, Nunes B (2014) Effects of acetaminophen exposure in </w:t>
      </w:r>
      <w:r w:rsidRPr="009E1952">
        <w:rPr>
          <w:rFonts w:ascii="Times New Roman" w:hAnsi="Times New Roman" w:cs="Times New Roman"/>
          <w:i/>
          <w:sz w:val="24"/>
          <w:szCs w:val="24"/>
          <w:shd w:val="clear" w:color="auto" w:fill="FFFFFF"/>
          <w:lang w:val="en-IN"/>
        </w:rPr>
        <w:t>Oncorhynchus mykiss</w:t>
      </w:r>
      <w:r w:rsidRPr="009E1952">
        <w:rPr>
          <w:rFonts w:ascii="Times New Roman" w:hAnsi="Times New Roman" w:cs="Times New Roman"/>
          <w:sz w:val="24"/>
          <w:szCs w:val="24"/>
          <w:shd w:val="clear" w:color="auto" w:fill="FFFFFF"/>
          <w:lang w:val="en-IN"/>
        </w:rPr>
        <w:t xml:space="preserve"> gills and liver: detoxification mechanisms, oxidative defense system and peroxidative damage. Environ Toxicol Pharmacol 37:1221– 1228. </w:t>
      </w:r>
      <w:hyperlink r:id="rId27" w:history="1">
        <w:r w:rsidRPr="009E1952">
          <w:rPr>
            <w:rStyle w:val="Hyperlink"/>
            <w:rFonts w:ascii="Times New Roman" w:hAnsi="Times New Roman" w:cs="Times New Roman"/>
            <w:sz w:val="24"/>
            <w:szCs w:val="24"/>
            <w:shd w:val="clear" w:color="auto" w:fill="FFFFFF"/>
            <w:lang w:val="en-IN"/>
          </w:rPr>
          <w:t>https://doi.org/10.1016/j.etap.2014.04.005</w:t>
        </w:r>
      </w:hyperlink>
    </w:p>
    <w:p w:rsidR="00CB6ED9" w:rsidRPr="009E1952" w:rsidRDefault="00CB6ED9" w:rsidP="00711852">
      <w:pPr>
        <w:spacing w:after="0" w:line="480" w:lineRule="auto"/>
        <w:ind w:left="426" w:hanging="426"/>
        <w:contextualSpacing/>
        <w:jc w:val="both"/>
        <w:rPr>
          <w:rFonts w:ascii="Times New Roman" w:hAnsi="Times New Roman" w:cs="Times New Roman"/>
          <w:sz w:val="24"/>
          <w:szCs w:val="24"/>
          <w:shd w:val="clear" w:color="auto" w:fill="FFFFFF"/>
          <w:lang w:val="en-IN"/>
        </w:rPr>
      </w:pPr>
      <w:r w:rsidRPr="009E1952">
        <w:rPr>
          <w:rFonts w:ascii="Times New Roman" w:hAnsi="Times New Roman" w:cs="Times New Roman"/>
          <w:sz w:val="24"/>
          <w:szCs w:val="24"/>
          <w:shd w:val="clear" w:color="auto" w:fill="FFFFFF"/>
          <w:lang w:val="en-IN"/>
        </w:rPr>
        <w:lastRenderedPageBreak/>
        <w:t xml:space="preserve">Rhee J-S, Kim BM, Jeong CB, Park HG, Leung KMY, Lee YM, Lee JS (2013) Effect of pharmaceuticals exposure on acetylcholinesterase (AchE) activity and on the expression of AchE gene in the monogonont rotifer, Brachionuskoreanus. Comp BiochemPhysiol C 158:216–224. </w:t>
      </w:r>
      <w:hyperlink r:id="rId28" w:history="1">
        <w:r w:rsidRPr="009E1952">
          <w:rPr>
            <w:rStyle w:val="Hyperlink"/>
            <w:rFonts w:ascii="Times New Roman" w:hAnsi="Times New Roman" w:cs="Times New Roman"/>
            <w:sz w:val="24"/>
            <w:szCs w:val="24"/>
            <w:shd w:val="clear" w:color="auto" w:fill="FFFFFF"/>
            <w:lang w:val="en-IN"/>
          </w:rPr>
          <w:t>https://doi.org/10.1016/j.cbpc.2013.08.005</w:t>
        </w:r>
      </w:hyperlink>
    </w:p>
    <w:p w:rsidR="00CB6ED9" w:rsidRPr="009E1952" w:rsidRDefault="00CB6ED9" w:rsidP="00711852">
      <w:pPr>
        <w:spacing w:after="0" w:line="480" w:lineRule="auto"/>
        <w:ind w:left="426" w:hanging="426"/>
        <w:contextualSpacing/>
        <w:jc w:val="both"/>
        <w:rPr>
          <w:rFonts w:ascii="Times New Roman" w:hAnsi="Times New Roman" w:cs="Times New Roman"/>
          <w:sz w:val="24"/>
          <w:szCs w:val="24"/>
          <w:shd w:val="clear" w:color="auto" w:fill="FFFFFF"/>
          <w:lang w:val="en-IN"/>
        </w:rPr>
      </w:pPr>
      <w:r w:rsidRPr="009E1952">
        <w:rPr>
          <w:rFonts w:ascii="Times New Roman" w:hAnsi="Times New Roman" w:cs="Times New Roman"/>
          <w:sz w:val="24"/>
          <w:szCs w:val="24"/>
          <w:shd w:val="clear" w:color="auto" w:fill="FFFFFF"/>
          <w:lang w:val="en-IN"/>
        </w:rPr>
        <w:t xml:space="preserve">Rios-Miguel AB, Smith GJ, Cremers G, van Alen, T, Jetten MS, den Camp HJO and Welte CU </w:t>
      </w:r>
      <w:r w:rsidR="00FC576B" w:rsidRPr="009E1952">
        <w:rPr>
          <w:rFonts w:ascii="Times New Roman" w:hAnsi="Times New Roman" w:cs="Times New Roman"/>
          <w:sz w:val="24"/>
          <w:szCs w:val="24"/>
          <w:shd w:val="clear" w:color="auto" w:fill="FFFFFF"/>
          <w:lang w:val="en-IN"/>
        </w:rPr>
        <w:t>(</w:t>
      </w:r>
      <w:r w:rsidRPr="009E1952">
        <w:rPr>
          <w:rFonts w:ascii="Times New Roman" w:hAnsi="Times New Roman" w:cs="Times New Roman"/>
          <w:sz w:val="24"/>
          <w:szCs w:val="24"/>
          <w:shd w:val="clear" w:color="auto" w:fill="FFFFFF"/>
          <w:lang w:val="en-IN"/>
        </w:rPr>
        <w:t>2022</w:t>
      </w:r>
      <w:r w:rsidR="00FC576B" w:rsidRPr="009E1952">
        <w:rPr>
          <w:rFonts w:ascii="Times New Roman" w:hAnsi="Times New Roman" w:cs="Times New Roman"/>
          <w:sz w:val="24"/>
          <w:szCs w:val="24"/>
          <w:shd w:val="clear" w:color="auto" w:fill="FFFFFF"/>
          <w:lang w:val="en-IN"/>
        </w:rPr>
        <w:t>)</w:t>
      </w:r>
      <w:r w:rsidRPr="009E1952">
        <w:rPr>
          <w:rFonts w:ascii="Times New Roman" w:hAnsi="Times New Roman" w:cs="Times New Roman"/>
          <w:sz w:val="24"/>
          <w:szCs w:val="24"/>
          <w:shd w:val="clear" w:color="auto" w:fill="FFFFFF"/>
          <w:lang w:val="en-IN"/>
        </w:rPr>
        <w:t xml:space="preserve"> Microbial paracetamol degradation involves a high diversity of novel amidase enzyme candidates. </w:t>
      </w:r>
      <w:r w:rsidR="009E1952">
        <w:rPr>
          <w:rFonts w:ascii="Times New Roman" w:hAnsi="Times New Roman" w:cs="Times New Roman"/>
          <w:iCs/>
          <w:sz w:val="24"/>
          <w:szCs w:val="24"/>
          <w:shd w:val="clear" w:color="auto" w:fill="FFFFFF"/>
          <w:lang w:val="en-IN"/>
        </w:rPr>
        <w:t>Water R</w:t>
      </w:r>
      <w:r w:rsidRPr="009E1952">
        <w:rPr>
          <w:rFonts w:ascii="Times New Roman" w:hAnsi="Times New Roman" w:cs="Times New Roman"/>
          <w:iCs/>
          <w:sz w:val="24"/>
          <w:szCs w:val="24"/>
          <w:shd w:val="clear" w:color="auto" w:fill="FFFFFF"/>
          <w:lang w:val="en-IN"/>
        </w:rPr>
        <w:t>esearch X</w:t>
      </w:r>
      <w:r w:rsidRPr="009E1952">
        <w:rPr>
          <w:rFonts w:ascii="Times New Roman" w:hAnsi="Times New Roman" w:cs="Times New Roman"/>
          <w:sz w:val="24"/>
          <w:szCs w:val="24"/>
          <w:shd w:val="clear" w:color="auto" w:fill="FFFFFF"/>
          <w:lang w:val="en-IN"/>
        </w:rPr>
        <w:t>, </w:t>
      </w:r>
      <w:r w:rsidRPr="009E1952">
        <w:rPr>
          <w:rFonts w:ascii="Times New Roman" w:hAnsi="Times New Roman" w:cs="Times New Roman"/>
          <w:iCs/>
          <w:sz w:val="24"/>
          <w:szCs w:val="24"/>
          <w:shd w:val="clear" w:color="auto" w:fill="FFFFFF"/>
          <w:lang w:val="en-IN"/>
        </w:rPr>
        <w:t>16</w:t>
      </w:r>
      <w:r w:rsidRPr="009E1952">
        <w:rPr>
          <w:rFonts w:ascii="Times New Roman" w:hAnsi="Times New Roman" w:cs="Times New Roman"/>
          <w:sz w:val="24"/>
          <w:szCs w:val="24"/>
          <w:shd w:val="clear" w:color="auto" w:fill="FFFFFF"/>
          <w:lang w:val="en-IN"/>
        </w:rPr>
        <w:t>, p.100152.</w:t>
      </w:r>
    </w:p>
    <w:p w:rsidR="00CB6ED9" w:rsidRPr="009E1952" w:rsidRDefault="00CB6ED9" w:rsidP="00711852">
      <w:pPr>
        <w:spacing w:after="0" w:line="480" w:lineRule="auto"/>
        <w:ind w:left="426" w:hanging="426"/>
        <w:contextualSpacing/>
        <w:jc w:val="both"/>
        <w:rPr>
          <w:rFonts w:ascii="Times New Roman" w:hAnsi="Times New Roman" w:cs="Times New Roman"/>
          <w:sz w:val="24"/>
          <w:szCs w:val="24"/>
        </w:rPr>
      </w:pPr>
      <w:r w:rsidRPr="009E1952">
        <w:rPr>
          <w:rFonts w:ascii="Times New Roman" w:hAnsi="Times New Roman" w:cs="Times New Roman"/>
          <w:sz w:val="24"/>
          <w:szCs w:val="24"/>
        </w:rPr>
        <w:t>Rotundo L and Pyrsopoulos N (2020) Liver injury induced by paracetamol and challenges associated with intentional and unintentional use. </w:t>
      </w:r>
      <w:r w:rsidR="009E1952">
        <w:rPr>
          <w:rFonts w:ascii="Times New Roman" w:hAnsi="Times New Roman" w:cs="Times New Roman"/>
          <w:iCs/>
          <w:sz w:val="24"/>
          <w:szCs w:val="24"/>
        </w:rPr>
        <w:t>World Journal o</w:t>
      </w:r>
      <w:r w:rsidR="009E1952" w:rsidRPr="009E1952">
        <w:rPr>
          <w:rFonts w:ascii="Times New Roman" w:hAnsi="Times New Roman" w:cs="Times New Roman"/>
          <w:iCs/>
          <w:sz w:val="24"/>
          <w:szCs w:val="24"/>
        </w:rPr>
        <w:t>f Hepatology</w:t>
      </w:r>
      <w:r w:rsidR="009E1952" w:rsidRPr="009E1952">
        <w:rPr>
          <w:rFonts w:ascii="Times New Roman" w:hAnsi="Times New Roman" w:cs="Times New Roman"/>
          <w:sz w:val="24"/>
          <w:szCs w:val="24"/>
        </w:rPr>
        <w:t> </w:t>
      </w:r>
      <w:r w:rsidRPr="009E1952">
        <w:rPr>
          <w:rFonts w:ascii="Times New Roman" w:hAnsi="Times New Roman" w:cs="Times New Roman"/>
          <w:iCs/>
          <w:sz w:val="24"/>
          <w:szCs w:val="24"/>
        </w:rPr>
        <w:t>12</w:t>
      </w:r>
      <w:r w:rsidRPr="009E1952">
        <w:rPr>
          <w:rFonts w:ascii="Times New Roman" w:hAnsi="Times New Roman" w:cs="Times New Roman"/>
          <w:sz w:val="24"/>
          <w:szCs w:val="24"/>
        </w:rPr>
        <w:t>(4), p.125.</w:t>
      </w:r>
    </w:p>
    <w:p w:rsidR="00CB6ED9" w:rsidRPr="009E1952" w:rsidRDefault="00CB6ED9" w:rsidP="00711852">
      <w:pPr>
        <w:spacing w:after="0" w:line="480" w:lineRule="auto"/>
        <w:ind w:left="426" w:hanging="426"/>
        <w:contextualSpacing/>
        <w:jc w:val="both"/>
        <w:rPr>
          <w:rFonts w:ascii="Times New Roman" w:hAnsi="Times New Roman" w:cs="Times New Roman"/>
          <w:sz w:val="24"/>
          <w:szCs w:val="24"/>
          <w:shd w:val="clear" w:color="auto" w:fill="FFFFFF"/>
        </w:rPr>
      </w:pPr>
      <w:r w:rsidRPr="009E1952">
        <w:rPr>
          <w:rFonts w:ascii="Times New Roman" w:hAnsi="Times New Roman" w:cs="Times New Roman"/>
          <w:sz w:val="24"/>
          <w:szCs w:val="24"/>
          <w:shd w:val="clear" w:color="auto" w:fill="FFFFFF"/>
          <w:lang w:val="en-IN"/>
        </w:rPr>
        <w:t xml:space="preserve">Solé M, Shaw JP, Frickers PE, Readman JW, Hutchinson TH (2010) Effects on feeding rate and biomarkers responses of marine mussel experimentally exposed to propranolol and acetaminophen. Anal Bioanal Chem 396:649–656. </w:t>
      </w:r>
      <w:hyperlink r:id="rId29" w:history="1">
        <w:r w:rsidRPr="009E1952">
          <w:rPr>
            <w:rStyle w:val="Hyperlink"/>
            <w:rFonts w:ascii="Times New Roman" w:hAnsi="Times New Roman" w:cs="Times New Roman"/>
            <w:sz w:val="24"/>
            <w:szCs w:val="24"/>
            <w:shd w:val="clear" w:color="auto" w:fill="FFFFFF"/>
            <w:lang w:val="en-IN"/>
          </w:rPr>
          <w:t>https://doi.org/10.1007/s00216-009- 3182-1</w:t>
        </w:r>
      </w:hyperlink>
    </w:p>
    <w:p w:rsidR="0081217C" w:rsidRPr="009E1952" w:rsidRDefault="0081217C" w:rsidP="00711852">
      <w:pPr>
        <w:spacing w:after="0" w:line="480" w:lineRule="auto"/>
        <w:ind w:left="426" w:hanging="426"/>
        <w:contextualSpacing/>
        <w:jc w:val="both"/>
        <w:rPr>
          <w:rFonts w:ascii="Times New Roman" w:hAnsi="Times New Roman" w:cs="Times New Roman"/>
          <w:sz w:val="24"/>
          <w:szCs w:val="24"/>
          <w:shd w:val="clear" w:color="auto" w:fill="FFFFFF"/>
          <w:lang w:val="en-IN"/>
        </w:rPr>
      </w:pPr>
      <w:r w:rsidRPr="009E1952">
        <w:rPr>
          <w:rFonts w:ascii="Times New Roman" w:hAnsi="Times New Roman" w:cs="Times New Roman"/>
          <w:sz w:val="24"/>
          <w:szCs w:val="24"/>
          <w:shd w:val="clear" w:color="auto" w:fill="FFFFFF"/>
        </w:rPr>
        <w:t>Swann JP (1994) FDA and the practice of pharmacy: prescription drug regulation before the Durham-Humphrey Amendment of 1951. </w:t>
      </w:r>
      <w:r w:rsidRPr="009E1952">
        <w:rPr>
          <w:rFonts w:ascii="Times New Roman" w:hAnsi="Times New Roman" w:cs="Times New Roman"/>
          <w:iCs/>
          <w:sz w:val="24"/>
          <w:szCs w:val="24"/>
          <w:shd w:val="clear" w:color="auto" w:fill="FFFFFF"/>
        </w:rPr>
        <w:t>Pharmacy in History</w:t>
      </w:r>
      <w:r w:rsidRPr="009E1952">
        <w:rPr>
          <w:rFonts w:ascii="Times New Roman" w:hAnsi="Times New Roman" w:cs="Times New Roman"/>
          <w:sz w:val="24"/>
          <w:szCs w:val="24"/>
          <w:shd w:val="clear" w:color="auto" w:fill="FFFFFF"/>
        </w:rPr>
        <w:t> </w:t>
      </w:r>
      <w:r w:rsidRPr="009E1952">
        <w:rPr>
          <w:rFonts w:ascii="Times New Roman" w:hAnsi="Times New Roman" w:cs="Times New Roman"/>
          <w:iCs/>
          <w:sz w:val="24"/>
          <w:szCs w:val="24"/>
          <w:shd w:val="clear" w:color="auto" w:fill="FFFFFF"/>
        </w:rPr>
        <w:t>36</w:t>
      </w:r>
      <w:r w:rsidRPr="009E1952">
        <w:rPr>
          <w:rFonts w:ascii="Times New Roman" w:hAnsi="Times New Roman" w:cs="Times New Roman"/>
          <w:sz w:val="24"/>
          <w:szCs w:val="24"/>
          <w:shd w:val="clear" w:color="auto" w:fill="FFFFFF"/>
        </w:rPr>
        <w:t>(2), pp.55-70.</w:t>
      </w:r>
    </w:p>
    <w:p w:rsidR="0081217C" w:rsidRPr="009E1952" w:rsidRDefault="00CB6ED9" w:rsidP="00711852">
      <w:pPr>
        <w:spacing w:after="0" w:line="480" w:lineRule="auto"/>
        <w:ind w:left="426" w:hanging="426"/>
        <w:contextualSpacing/>
        <w:jc w:val="both"/>
        <w:rPr>
          <w:rFonts w:ascii="Times New Roman" w:hAnsi="Times New Roman" w:cs="Times New Roman"/>
          <w:color w:val="222222"/>
          <w:sz w:val="24"/>
          <w:szCs w:val="24"/>
          <w:shd w:val="clear" w:color="auto" w:fill="FFFFFF"/>
        </w:rPr>
      </w:pPr>
      <w:r w:rsidRPr="009E1952">
        <w:rPr>
          <w:rFonts w:ascii="Times New Roman" w:hAnsi="Times New Roman" w:cs="Times New Roman"/>
          <w:color w:val="222222"/>
          <w:sz w:val="24"/>
          <w:szCs w:val="24"/>
          <w:shd w:val="clear" w:color="auto" w:fill="FFFFFF"/>
        </w:rPr>
        <w:t>Takenaka S, Okugawa S, Kadowaki M, Murakami S, &amp; Aoki K (2003) The metabolic pathway of 4-aminophenol in Burkholderia sp. strain AK-5 differs from that of aniline and aniline with C-4 substituents. </w:t>
      </w:r>
      <w:r w:rsidRPr="009E1952">
        <w:rPr>
          <w:rFonts w:ascii="Times New Roman" w:hAnsi="Times New Roman" w:cs="Times New Roman"/>
          <w:iCs/>
          <w:color w:val="222222"/>
          <w:sz w:val="24"/>
          <w:szCs w:val="24"/>
          <w:shd w:val="clear" w:color="auto" w:fill="FFFFFF"/>
        </w:rPr>
        <w:t>Applied and Environmental Microbiology</w:t>
      </w:r>
      <w:r w:rsidRPr="009E1952">
        <w:rPr>
          <w:rFonts w:ascii="Times New Roman" w:hAnsi="Times New Roman" w:cs="Times New Roman"/>
          <w:color w:val="222222"/>
          <w:sz w:val="24"/>
          <w:szCs w:val="24"/>
          <w:shd w:val="clear" w:color="auto" w:fill="FFFFFF"/>
        </w:rPr>
        <w:t> </w:t>
      </w:r>
      <w:r w:rsidRPr="009E1952">
        <w:rPr>
          <w:rFonts w:ascii="Times New Roman" w:hAnsi="Times New Roman" w:cs="Times New Roman"/>
          <w:iCs/>
          <w:color w:val="222222"/>
          <w:sz w:val="24"/>
          <w:szCs w:val="24"/>
          <w:shd w:val="clear" w:color="auto" w:fill="FFFFFF"/>
        </w:rPr>
        <w:t>69</w:t>
      </w:r>
      <w:r w:rsidRPr="009E1952">
        <w:rPr>
          <w:rFonts w:ascii="Times New Roman" w:hAnsi="Times New Roman" w:cs="Times New Roman"/>
          <w:color w:val="222222"/>
          <w:sz w:val="24"/>
          <w:szCs w:val="24"/>
          <w:shd w:val="clear" w:color="auto" w:fill="FFFFFF"/>
        </w:rPr>
        <w:t>(9), 5410-5413.</w:t>
      </w:r>
    </w:p>
    <w:p w:rsidR="00716CB3" w:rsidRPr="009E1952" w:rsidRDefault="00716CB3" w:rsidP="00711852">
      <w:pPr>
        <w:spacing w:after="0" w:line="480" w:lineRule="auto"/>
        <w:ind w:left="426" w:hanging="426"/>
        <w:contextualSpacing/>
        <w:jc w:val="both"/>
        <w:rPr>
          <w:rFonts w:ascii="Times New Roman" w:hAnsi="Times New Roman" w:cs="Times New Roman"/>
          <w:color w:val="222222"/>
          <w:sz w:val="24"/>
          <w:szCs w:val="24"/>
          <w:shd w:val="clear" w:color="auto" w:fill="FFFFFF"/>
        </w:rPr>
      </w:pPr>
      <w:r w:rsidRPr="009E1952">
        <w:rPr>
          <w:rFonts w:ascii="Times New Roman" w:hAnsi="Times New Roman" w:cs="Times New Roman"/>
          <w:color w:val="222222"/>
          <w:sz w:val="24"/>
          <w:szCs w:val="24"/>
          <w:shd w:val="clear" w:color="auto" w:fill="FFFFFF"/>
        </w:rPr>
        <w:t>Trombini C, Hampel M, &amp; Blasco J (2016) Evaluation of acute effects of four pharmaceuticals and their mixtures on the copepod Tisbebattagliai. </w:t>
      </w:r>
      <w:r w:rsidRPr="009E1952">
        <w:rPr>
          <w:rFonts w:ascii="Times New Roman" w:hAnsi="Times New Roman" w:cs="Times New Roman"/>
          <w:iCs/>
          <w:color w:val="222222"/>
          <w:sz w:val="24"/>
          <w:szCs w:val="24"/>
          <w:shd w:val="clear" w:color="auto" w:fill="FFFFFF"/>
        </w:rPr>
        <w:t>Chemosphere</w:t>
      </w:r>
      <w:r w:rsidRPr="009E1952">
        <w:rPr>
          <w:rFonts w:ascii="Times New Roman" w:hAnsi="Times New Roman" w:cs="Times New Roman"/>
          <w:color w:val="222222"/>
          <w:sz w:val="24"/>
          <w:szCs w:val="24"/>
          <w:shd w:val="clear" w:color="auto" w:fill="FFFFFF"/>
        </w:rPr>
        <w:t> </w:t>
      </w:r>
      <w:r w:rsidRPr="009E1952">
        <w:rPr>
          <w:rFonts w:ascii="Times New Roman" w:hAnsi="Times New Roman" w:cs="Times New Roman"/>
          <w:iCs/>
          <w:color w:val="222222"/>
          <w:sz w:val="24"/>
          <w:szCs w:val="24"/>
          <w:shd w:val="clear" w:color="auto" w:fill="FFFFFF"/>
        </w:rPr>
        <w:t>155</w:t>
      </w:r>
      <w:r w:rsidRPr="009E1952">
        <w:rPr>
          <w:rFonts w:ascii="Times New Roman" w:hAnsi="Times New Roman" w:cs="Times New Roman"/>
          <w:color w:val="222222"/>
          <w:sz w:val="24"/>
          <w:szCs w:val="24"/>
          <w:shd w:val="clear" w:color="auto" w:fill="FFFFFF"/>
        </w:rPr>
        <w:t>, 319-328.</w:t>
      </w:r>
    </w:p>
    <w:p w:rsidR="00D6001C" w:rsidRPr="00711852" w:rsidRDefault="00D6001C" w:rsidP="00711852">
      <w:pPr>
        <w:spacing w:after="0" w:line="480" w:lineRule="auto"/>
        <w:ind w:left="426" w:hanging="426"/>
        <w:contextualSpacing/>
        <w:jc w:val="both"/>
        <w:rPr>
          <w:rFonts w:ascii="Times New Roman" w:hAnsi="Times New Roman" w:cs="Times New Roman"/>
          <w:color w:val="222222"/>
          <w:sz w:val="24"/>
          <w:szCs w:val="24"/>
          <w:shd w:val="clear" w:color="auto" w:fill="FFFFFF"/>
        </w:rPr>
      </w:pPr>
      <w:r w:rsidRPr="00711852">
        <w:rPr>
          <w:rFonts w:ascii="Times New Roman" w:hAnsi="Times New Roman" w:cs="Times New Roman"/>
          <w:color w:val="222222"/>
          <w:sz w:val="24"/>
          <w:szCs w:val="24"/>
          <w:shd w:val="clear" w:color="auto" w:fill="FFFFFF"/>
        </w:rPr>
        <w:lastRenderedPageBreak/>
        <w:t>Valverde JL (2006) Proposal for a Regulation of the European Parliament and of the Council on Advanced Therapy Medicinal Products and amending Directive 2001/83/EC &amp; Regulation (EC) No. 726/2004 (COM (2005) 567).</w:t>
      </w:r>
    </w:p>
    <w:p w:rsidR="00CB6ED9" w:rsidRPr="00711852" w:rsidRDefault="00CB6ED9" w:rsidP="00711852">
      <w:pPr>
        <w:spacing w:after="0" w:line="480" w:lineRule="auto"/>
        <w:ind w:left="426" w:hanging="426"/>
        <w:contextualSpacing/>
        <w:jc w:val="both"/>
        <w:rPr>
          <w:rFonts w:ascii="Times New Roman" w:hAnsi="Times New Roman" w:cs="Times New Roman"/>
          <w:sz w:val="24"/>
          <w:szCs w:val="24"/>
          <w:shd w:val="clear" w:color="auto" w:fill="FFFFFF"/>
          <w:lang w:val="en-IN"/>
        </w:rPr>
      </w:pPr>
      <w:r w:rsidRPr="00711852">
        <w:rPr>
          <w:rFonts w:ascii="Times New Roman" w:hAnsi="Times New Roman" w:cs="Times New Roman"/>
          <w:sz w:val="24"/>
          <w:szCs w:val="24"/>
          <w:shd w:val="clear" w:color="auto" w:fill="FFFFFF"/>
          <w:lang w:val="en-IN"/>
        </w:rPr>
        <w:t xml:space="preserve">Weiner L, Kreimer D, Roth E, Silman I (1994) Oxidative stress transforms acetylcholinesterase to a molten globule-like state. BiochemBiophys Res Commun 198:915–922. </w:t>
      </w:r>
      <w:hyperlink r:id="rId30" w:history="1">
        <w:r w:rsidRPr="00711852">
          <w:rPr>
            <w:rStyle w:val="Hyperlink"/>
            <w:rFonts w:ascii="Times New Roman" w:hAnsi="Times New Roman" w:cs="Times New Roman"/>
            <w:sz w:val="24"/>
            <w:szCs w:val="24"/>
            <w:shd w:val="clear" w:color="auto" w:fill="FFFFFF"/>
            <w:lang w:val="en-IN"/>
          </w:rPr>
          <w:t>https://doi.org/10.1006/bbrc. 1994.1130</w:t>
        </w:r>
      </w:hyperlink>
    </w:p>
    <w:p w:rsidR="00CB6ED9" w:rsidRPr="009E1952" w:rsidRDefault="00CB6ED9" w:rsidP="00711852">
      <w:pPr>
        <w:spacing w:after="0" w:line="480" w:lineRule="auto"/>
        <w:ind w:left="426" w:hanging="426"/>
        <w:contextualSpacing/>
        <w:jc w:val="both"/>
        <w:rPr>
          <w:rFonts w:ascii="Times New Roman" w:hAnsi="Times New Roman" w:cs="Times New Roman"/>
          <w:color w:val="222222"/>
          <w:sz w:val="24"/>
          <w:szCs w:val="24"/>
          <w:shd w:val="clear" w:color="auto" w:fill="FFFFFF"/>
        </w:rPr>
      </w:pPr>
      <w:r w:rsidRPr="00711852">
        <w:rPr>
          <w:rFonts w:ascii="Times New Roman" w:hAnsi="Times New Roman" w:cs="Times New Roman"/>
          <w:color w:val="222222"/>
          <w:sz w:val="24"/>
          <w:szCs w:val="24"/>
          <w:shd w:val="clear" w:color="auto" w:fill="FFFFFF"/>
        </w:rPr>
        <w:t xml:space="preserve">Wu S, Zhang L, &amp; Chen J (2012) Paracetamol in the environment and its degradation by </w:t>
      </w:r>
      <w:r w:rsidRPr="009E1952">
        <w:rPr>
          <w:rFonts w:ascii="Times New Roman" w:hAnsi="Times New Roman" w:cs="Times New Roman"/>
          <w:color w:val="222222"/>
          <w:sz w:val="24"/>
          <w:szCs w:val="24"/>
          <w:shd w:val="clear" w:color="auto" w:fill="FFFFFF"/>
        </w:rPr>
        <w:t>microorganisms. </w:t>
      </w:r>
      <w:r w:rsidRPr="009E1952">
        <w:rPr>
          <w:rFonts w:ascii="Times New Roman" w:hAnsi="Times New Roman" w:cs="Times New Roman"/>
          <w:iCs/>
          <w:color w:val="222222"/>
          <w:sz w:val="24"/>
          <w:szCs w:val="24"/>
          <w:shd w:val="clear" w:color="auto" w:fill="FFFFFF"/>
        </w:rPr>
        <w:t>Applied microbiology and biotechnology</w:t>
      </w:r>
      <w:r w:rsidRPr="009E1952">
        <w:rPr>
          <w:rFonts w:ascii="Times New Roman" w:hAnsi="Times New Roman" w:cs="Times New Roman"/>
          <w:color w:val="222222"/>
          <w:sz w:val="24"/>
          <w:szCs w:val="24"/>
          <w:shd w:val="clear" w:color="auto" w:fill="FFFFFF"/>
        </w:rPr>
        <w:t> </w:t>
      </w:r>
      <w:r w:rsidRPr="009E1952">
        <w:rPr>
          <w:rFonts w:ascii="Times New Roman" w:hAnsi="Times New Roman" w:cs="Times New Roman"/>
          <w:iCs/>
          <w:color w:val="222222"/>
          <w:sz w:val="24"/>
          <w:szCs w:val="24"/>
          <w:shd w:val="clear" w:color="auto" w:fill="FFFFFF"/>
        </w:rPr>
        <w:t>96</w:t>
      </w:r>
      <w:r w:rsidRPr="009E1952">
        <w:rPr>
          <w:rFonts w:ascii="Times New Roman" w:hAnsi="Times New Roman" w:cs="Times New Roman"/>
          <w:color w:val="222222"/>
          <w:sz w:val="24"/>
          <w:szCs w:val="24"/>
          <w:shd w:val="clear" w:color="auto" w:fill="FFFFFF"/>
        </w:rPr>
        <w:t>, 875-884.</w:t>
      </w:r>
    </w:p>
    <w:p w:rsidR="00CB6ED9" w:rsidRPr="009E1952" w:rsidRDefault="00CB6ED9" w:rsidP="00711852">
      <w:pPr>
        <w:spacing w:after="0" w:line="480" w:lineRule="auto"/>
        <w:ind w:left="426" w:hanging="426"/>
        <w:contextualSpacing/>
        <w:jc w:val="both"/>
        <w:rPr>
          <w:rFonts w:ascii="Times New Roman" w:hAnsi="Times New Roman" w:cs="Times New Roman"/>
          <w:color w:val="222222"/>
          <w:sz w:val="24"/>
          <w:szCs w:val="24"/>
          <w:shd w:val="clear" w:color="auto" w:fill="FFFFFF"/>
        </w:rPr>
      </w:pPr>
      <w:r w:rsidRPr="00711852">
        <w:rPr>
          <w:rFonts w:ascii="Times New Roman" w:hAnsi="Times New Roman" w:cs="Times New Roman"/>
          <w:color w:val="222222"/>
          <w:sz w:val="24"/>
          <w:szCs w:val="24"/>
          <w:shd w:val="clear" w:color="auto" w:fill="FFFFFF"/>
        </w:rPr>
        <w:t>Yang CW, Chen YE, &amp; Chang BV (2020) Microbial communities associated with acetaminophen biodegradation from mangrove sediment</w:t>
      </w:r>
      <w:r w:rsidRPr="009E1952">
        <w:rPr>
          <w:rFonts w:ascii="Times New Roman" w:hAnsi="Times New Roman" w:cs="Times New Roman"/>
          <w:color w:val="222222"/>
          <w:sz w:val="24"/>
          <w:szCs w:val="24"/>
          <w:shd w:val="clear" w:color="auto" w:fill="FFFFFF"/>
        </w:rPr>
        <w:t>. </w:t>
      </w:r>
      <w:r w:rsidRPr="009E1952">
        <w:rPr>
          <w:rFonts w:ascii="Times New Roman" w:hAnsi="Times New Roman" w:cs="Times New Roman"/>
          <w:iCs/>
          <w:color w:val="222222"/>
          <w:sz w:val="24"/>
          <w:szCs w:val="24"/>
          <w:shd w:val="clear" w:color="auto" w:fill="FFFFFF"/>
        </w:rPr>
        <w:t>Sustainability</w:t>
      </w:r>
      <w:r w:rsidRPr="009E1952">
        <w:rPr>
          <w:rFonts w:ascii="Times New Roman" w:hAnsi="Times New Roman" w:cs="Times New Roman"/>
          <w:color w:val="222222"/>
          <w:sz w:val="24"/>
          <w:szCs w:val="24"/>
          <w:shd w:val="clear" w:color="auto" w:fill="FFFFFF"/>
        </w:rPr>
        <w:t>, </w:t>
      </w:r>
      <w:r w:rsidRPr="009E1952">
        <w:rPr>
          <w:rFonts w:ascii="Times New Roman" w:hAnsi="Times New Roman" w:cs="Times New Roman"/>
          <w:iCs/>
          <w:color w:val="222222"/>
          <w:sz w:val="24"/>
          <w:szCs w:val="24"/>
          <w:shd w:val="clear" w:color="auto" w:fill="FFFFFF"/>
        </w:rPr>
        <w:t>12</w:t>
      </w:r>
      <w:r w:rsidRPr="009E1952">
        <w:rPr>
          <w:rFonts w:ascii="Times New Roman" w:hAnsi="Times New Roman" w:cs="Times New Roman"/>
          <w:color w:val="222222"/>
          <w:sz w:val="24"/>
          <w:szCs w:val="24"/>
          <w:shd w:val="clear" w:color="auto" w:fill="FFFFFF"/>
        </w:rPr>
        <w:t>(13), 5410.</w:t>
      </w:r>
    </w:p>
    <w:p w:rsidR="00CB6ED9" w:rsidRPr="00711852" w:rsidRDefault="00CB6ED9" w:rsidP="00711852">
      <w:pPr>
        <w:spacing w:after="0" w:line="480" w:lineRule="auto"/>
        <w:ind w:left="426" w:hanging="426"/>
        <w:contextualSpacing/>
        <w:jc w:val="both"/>
        <w:rPr>
          <w:rFonts w:ascii="Times New Roman" w:hAnsi="Times New Roman" w:cs="Times New Roman"/>
          <w:sz w:val="24"/>
          <w:szCs w:val="24"/>
          <w:shd w:val="clear" w:color="auto" w:fill="FFFFFF"/>
          <w:lang w:val="en-IN"/>
        </w:rPr>
      </w:pPr>
      <w:r w:rsidRPr="00711852">
        <w:rPr>
          <w:rFonts w:ascii="Times New Roman" w:hAnsi="Times New Roman" w:cs="Times New Roman"/>
          <w:sz w:val="24"/>
          <w:szCs w:val="24"/>
          <w:shd w:val="clear" w:color="auto" w:fill="FFFFFF"/>
          <w:lang w:val="en-IN"/>
        </w:rPr>
        <w:t xml:space="preserve">Yasunaga M, Matsuda S, Murata M (1985) Two cases of acute liver injury caused by ingesting small dose of acetoaminophen. Acta Hepatologica Japonica 26: 493- 499 </w:t>
      </w:r>
    </w:p>
    <w:p w:rsidR="00CB6ED9" w:rsidRPr="00711852" w:rsidRDefault="00CB6ED9" w:rsidP="00711852">
      <w:pPr>
        <w:spacing w:after="0" w:line="480" w:lineRule="auto"/>
        <w:ind w:left="426" w:hanging="426"/>
        <w:contextualSpacing/>
        <w:jc w:val="both"/>
        <w:rPr>
          <w:rFonts w:ascii="Times New Roman" w:hAnsi="Times New Roman" w:cs="Times New Roman"/>
          <w:sz w:val="24"/>
          <w:szCs w:val="24"/>
          <w:shd w:val="clear" w:color="auto" w:fill="FFFFFF"/>
          <w:lang w:val="en-IN"/>
        </w:rPr>
      </w:pPr>
      <w:r w:rsidRPr="00711852">
        <w:rPr>
          <w:rFonts w:ascii="Times New Roman" w:hAnsi="Times New Roman" w:cs="Times New Roman"/>
          <w:color w:val="222222"/>
          <w:sz w:val="24"/>
          <w:szCs w:val="24"/>
          <w:shd w:val="clear" w:color="auto" w:fill="FFFFFF"/>
        </w:rPr>
        <w:t xml:space="preserve">Zhang L, Hu J, Zhu R, Zhou Q, &amp; Chen J (2013) Degradation of paracetamol by pure bacterial </w:t>
      </w:r>
      <w:r w:rsidRPr="009E1952">
        <w:rPr>
          <w:rFonts w:ascii="Times New Roman" w:hAnsi="Times New Roman" w:cs="Times New Roman"/>
          <w:color w:val="222222"/>
          <w:sz w:val="24"/>
          <w:szCs w:val="24"/>
          <w:shd w:val="clear" w:color="auto" w:fill="FFFFFF"/>
        </w:rPr>
        <w:t>cultures and their microbial consortium. </w:t>
      </w:r>
      <w:r w:rsidRPr="009E1952">
        <w:rPr>
          <w:rFonts w:ascii="Times New Roman" w:hAnsi="Times New Roman" w:cs="Times New Roman"/>
          <w:iCs/>
          <w:color w:val="222222"/>
          <w:sz w:val="24"/>
          <w:szCs w:val="24"/>
          <w:shd w:val="clear" w:color="auto" w:fill="FFFFFF"/>
        </w:rPr>
        <w:t>Applied microbiology and biotechnology</w:t>
      </w:r>
      <w:r w:rsidRPr="009E1952">
        <w:rPr>
          <w:rFonts w:ascii="Times New Roman" w:hAnsi="Times New Roman" w:cs="Times New Roman"/>
          <w:color w:val="222222"/>
          <w:sz w:val="24"/>
          <w:szCs w:val="24"/>
          <w:shd w:val="clear" w:color="auto" w:fill="FFFFFF"/>
        </w:rPr>
        <w:t> </w:t>
      </w:r>
      <w:r w:rsidRPr="009E1952">
        <w:rPr>
          <w:rFonts w:ascii="Times New Roman" w:hAnsi="Times New Roman" w:cs="Times New Roman"/>
          <w:iCs/>
          <w:color w:val="222222"/>
          <w:sz w:val="24"/>
          <w:szCs w:val="24"/>
          <w:shd w:val="clear" w:color="auto" w:fill="FFFFFF"/>
        </w:rPr>
        <w:t>97</w:t>
      </w:r>
      <w:r w:rsidRPr="009E1952">
        <w:rPr>
          <w:rFonts w:ascii="Times New Roman" w:hAnsi="Times New Roman" w:cs="Times New Roman"/>
          <w:color w:val="222222"/>
          <w:sz w:val="24"/>
          <w:szCs w:val="24"/>
          <w:shd w:val="clear" w:color="auto" w:fill="FFFFFF"/>
        </w:rPr>
        <w:t>, 3687-3698.</w:t>
      </w:r>
    </w:p>
    <w:p w:rsidR="00CB6ED9" w:rsidRPr="009E1952" w:rsidRDefault="00CB6ED9" w:rsidP="00711852">
      <w:pPr>
        <w:spacing w:after="0" w:line="480" w:lineRule="auto"/>
        <w:ind w:left="426" w:hanging="426"/>
        <w:contextualSpacing/>
        <w:jc w:val="both"/>
        <w:rPr>
          <w:rFonts w:ascii="Times New Roman" w:hAnsi="Times New Roman" w:cs="Times New Roman"/>
          <w:sz w:val="24"/>
          <w:szCs w:val="24"/>
          <w:shd w:val="clear" w:color="auto" w:fill="FFFFFF"/>
        </w:rPr>
      </w:pPr>
      <w:r w:rsidRPr="00711852">
        <w:rPr>
          <w:rFonts w:ascii="Times New Roman" w:hAnsi="Times New Roman" w:cs="Times New Roman"/>
          <w:sz w:val="24"/>
          <w:szCs w:val="24"/>
          <w:shd w:val="clear" w:color="auto" w:fill="FFFFFF"/>
        </w:rPr>
        <w:t xml:space="preserve">Żur J, Piński A, Marchlewicz A, Hupert-Kocurek K, Wojcieszyńska D, &amp; Guzik U (2018) Organic micropollutants paracetamol and ibuprofen—toxicity, biodegradation, and genetic background of their utilization by </w:t>
      </w:r>
      <w:r w:rsidRPr="009E1952">
        <w:rPr>
          <w:rFonts w:ascii="Times New Roman" w:hAnsi="Times New Roman" w:cs="Times New Roman"/>
          <w:sz w:val="24"/>
          <w:szCs w:val="24"/>
          <w:shd w:val="clear" w:color="auto" w:fill="FFFFFF"/>
        </w:rPr>
        <w:t>bacteria. </w:t>
      </w:r>
      <w:r w:rsidRPr="009E1952">
        <w:rPr>
          <w:rFonts w:ascii="Times New Roman" w:hAnsi="Times New Roman" w:cs="Times New Roman"/>
          <w:iCs/>
          <w:sz w:val="24"/>
          <w:szCs w:val="24"/>
          <w:shd w:val="clear" w:color="auto" w:fill="FFFFFF"/>
        </w:rPr>
        <w:t>Environmental Science and Pollution Research</w:t>
      </w:r>
      <w:r w:rsidRPr="009E1952">
        <w:rPr>
          <w:rFonts w:ascii="Times New Roman" w:hAnsi="Times New Roman" w:cs="Times New Roman"/>
          <w:sz w:val="24"/>
          <w:szCs w:val="24"/>
          <w:shd w:val="clear" w:color="auto" w:fill="FFFFFF"/>
        </w:rPr>
        <w:t> </w:t>
      </w:r>
      <w:r w:rsidRPr="009E1952">
        <w:rPr>
          <w:rFonts w:ascii="Times New Roman" w:hAnsi="Times New Roman" w:cs="Times New Roman"/>
          <w:iCs/>
          <w:sz w:val="24"/>
          <w:szCs w:val="24"/>
          <w:shd w:val="clear" w:color="auto" w:fill="FFFFFF"/>
        </w:rPr>
        <w:t>25</w:t>
      </w:r>
      <w:r w:rsidRPr="009E1952">
        <w:rPr>
          <w:rFonts w:ascii="Times New Roman" w:hAnsi="Times New Roman" w:cs="Times New Roman"/>
          <w:sz w:val="24"/>
          <w:szCs w:val="24"/>
          <w:shd w:val="clear" w:color="auto" w:fill="FFFFFF"/>
        </w:rPr>
        <w:t>, 21498-21524.</w:t>
      </w:r>
    </w:p>
    <w:p w:rsidR="00E80E15" w:rsidRPr="00711852" w:rsidRDefault="00E80E15" w:rsidP="00711852">
      <w:pPr>
        <w:spacing w:after="0" w:line="480" w:lineRule="auto"/>
        <w:ind w:left="426" w:hanging="426"/>
        <w:contextualSpacing/>
        <w:jc w:val="both"/>
        <w:rPr>
          <w:rFonts w:ascii="Times New Roman" w:hAnsi="Times New Roman" w:cs="Times New Roman"/>
          <w:sz w:val="24"/>
          <w:szCs w:val="24"/>
        </w:rPr>
      </w:pPr>
    </w:p>
    <w:sectPr w:rsidR="00E80E15" w:rsidRPr="00711852" w:rsidSect="001B13DB">
      <w:footerReference w:type="default" r:id="rId31"/>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123F" w:rsidRDefault="004F123F" w:rsidP="00094722">
      <w:pPr>
        <w:spacing w:after="0" w:line="240" w:lineRule="auto"/>
      </w:pPr>
      <w:r>
        <w:separator/>
      </w:r>
    </w:p>
  </w:endnote>
  <w:endnote w:type="continuationSeparator" w:id="1">
    <w:p w:rsidR="004F123F" w:rsidRDefault="004F123F" w:rsidP="0009472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2098235"/>
      <w:docPartObj>
        <w:docPartGallery w:val="Page Numbers (Bottom of Page)"/>
        <w:docPartUnique/>
      </w:docPartObj>
    </w:sdtPr>
    <w:sdtContent>
      <w:p w:rsidR="00094722" w:rsidRDefault="00B309F9">
        <w:pPr>
          <w:pStyle w:val="Footer"/>
          <w:jc w:val="right"/>
        </w:pPr>
        <w:r>
          <w:fldChar w:fldCharType="begin"/>
        </w:r>
        <w:r w:rsidR="00AD6C5E">
          <w:instrText xml:space="preserve"> PAGE   \* MERGEFORMAT </w:instrText>
        </w:r>
        <w:r>
          <w:fldChar w:fldCharType="separate"/>
        </w:r>
        <w:r w:rsidR="00E440EF">
          <w:rPr>
            <w:noProof/>
          </w:rPr>
          <w:t>8</w:t>
        </w:r>
        <w:r>
          <w:rPr>
            <w:noProof/>
          </w:rPr>
          <w:fldChar w:fldCharType="end"/>
        </w:r>
      </w:p>
    </w:sdtContent>
  </w:sdt>
  <w:p w:rsidR="00094722" w:rsidRDefault="0009472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123F" w:rsidRDefault="004F123F" w:rsidP="00094722">
      <w:pPr>
        <w:spacing w:after="0" w:line="240" w:lineRule="auto"/>
      </w:pPr>
      <w:r>
        <w:separator/>
      </w:r>
    </w:p>
  </w:footnote>
  <w:footnote w:type="continuationSeparator" w:id="1">
    <w:p w:rsidR="004F123F" w:rsidRDefault="004F123F" w:rsidP="0009472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2C356C"/>
    <w:multiLevelType w:val="hybridMultilevel"/>
    <w:tmpl w:val="D65C466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2A1A6C13"/>
    <w:multiLevelType w:val="hybridMultilevel"/>
    <w:tmpl w:val="A9E8B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D4F0BF4"/>
    <w:multiLevelType w:val="hybridMultilevel"/>
    <w:tmpl w:val="8DF0B36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53D4236F"/>
    <w:multiLevelType w:val="hybridMultilevel"/>
    <w:tmpl w:val="1A94ED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54CD006C"/>
    <w:multiLevelType w:val="hybridMultilevel"/>
    <w:tmpl w:val="FD68331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61E021B6"/>
    <w:multiLevelType w:val="hybridMultilevel"/>
    <w:tmpl w:val="B1885C6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6D01173C"/>
    <w:multiLevelType w:val="hybridMultilevel"/>
    <w:tmpl w:val="4140C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5"/>
  </w:num>
  <w:num w:numId="5">
    <w:abstractNumId w:val="4"/>
  </w:num>
  <w:num w:numId="6">
    <w:abstractNumId w:val="6"/>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footnotePr>
    <w:footnote w:id="0"/>
    <w:footnote w:id="1"/>
  </w:footnotePr>
  <w:endnotePr>
    <w:endnote w:id="0"/>
    <w:endnote w:id="1"/>
  </w:endnotePr>
  <w:compat/>
  <w:rsids>
    <w:rsidRoot w:val="009362E9"/>
    <w:rsid w:val="00011BF7"/>
    <w:rsid w:val="00070564"/>
    <w:rsid w:val="00094722"/>
    <w:rsid w:val="000B582B"/>
    <w:rsid w:val="000C3DA4"/>
    <w:rsid w:val="000E58BD"/>
    <w:rsid w:val="00113ABD"/>
    <w:rsid w:val="00120B56"/>
    <w:rsid w:val="0014064D"/>
    <w:rsid w:val="0014246B"/>
    <w:rsid w:val="00150C86"/>
    <w:rsid w:val="00160BE0"/>
    <w:rsid w:val="00197BE5"/>
    <w:rsid w:val="001B13DB"/>
    <w:rsid w:val="001D2411"/>
    <w:rsid w:val="001E354F"/>
    <w:rsid w:val="00207842"/>
    <w:rsid w:val="00212794"/>
    <w:rsid w:val="00222605"/>
    <w:rsid w:val="002A0FD8"/>
    <w:rsid w:val="002F6108"/>
    <w:rsid w:val="0032570B"/>
    <w:rsid w:val="00366B99"/>
    <w:rsid w:val="00385A0C"/>
    <w:rsid w:val="003B39D0"/>
    <w:rsid w:val="003D1FB4"/>
    <w:rsid w:val="003D331B"/>
    <w:rsid w:val="003E2F8E"/>
    <w:rsid w:val="003F7664"/>
    <w:rsid w:val="00491A8D"/>
    <w:rsid w:val="0049512D"/>
    <w:rsid w:val="004B0D20"/>
    <w:rsid w:val="004C23DF"/>
    <w:rsid w:val="004E5DEE"/>
    <w:rsid w:val="004F123F"/>
    <w:rsid w:val="00501968"/>
    <w:rsid w:val="00526158"/>
    <w:rsid w:val="00554F06"/>
    <w:rsid w:val="00635971"/>
    <w:rsid w:val="006D147B"/>
    <w:rsid w:val="006D1D4C"/>
    <w:rsid w:val="00711852"/>
    <w:rsid w:val="007123BE"/>
    <w:rsid w:val="00716CB3"/>
    <w:rsid w:val="00761FF1"/>
    <w:rsid w:val="007C4A2F"/>
    <w:rsid w:val="007F0B1F"/>
    <w:rsid w:val="0081217C"/>
    <w:rsid w:val="008556EE"/>
    <w:rsid w:val="0085786D"/>
    <w:rsid w:val="00895CFC"/>
    <w:rsid w:val="008B4D1D"/>
    <w:rsid w:val="009362E9"/>
    <w:rsid w:val="00955E95"/>
    <w:rsid w:val="00970BD3"/>
    <w:rsid w:val="009963B7"/>
    <w:rsid w:val="009C1661"/>
    <w:rsid w:val="009E1952"/>
    <w:rsid w:val="00A31BC6"/>
    <w:rsid w:val="00A458F9"/>
    <w:rsid w:val="00A83E88"/>
    <w:rsid w:val="00AC7338"/>
    <w:rsid w:val="00AD4D17"/>
    <w:rsid w:val="00AD6C5E"/>
    <w:rsid w:val="00B26F62"/>
    <w:rsid w:val="00B309F9"/>
    <w:rsid w:val="00B542B8"/>
    <w:rsid w:val="00B561BF"/>
    <w:rsid w:val="00B86C30"/>
    <w:rsid w:val="00B949AE"/>
    <w:rsid w:val="00BD3B6C"/>
    <w:rsid w:val="00BD54D8"/>
    <w:rsid w:val="00BD6646"/>
    <w:rsid w:val="00BF7A06"/>
    <w:rsid w:val="00C356B6"/>
    <w:rsid w:val="00CA4926"/>
    <w:rsid w:val="00CB6ED9"/>
    <w:rsid w:val="00CF765E"/>
    <w:rsid w:val="00D11458"/>
    <w:rsid w:val="00D6001C"/>
    <w:rsid w:val="00D90E41"/>
    <w:rsid w:val="00DC7BE1"/>
    <w:rsid w:val="00DD3577"/>
    <w:rsid w:val="00E440EF"/>
    <w:rsid w:val="00E80E15"/>
    <w:rsid w:val="00EA63A2"/>
    <w:rsid w:val="00EB75A8"/>
    <w:rsid w:val="00EF4F63"/>
    <w:rsid w:val="00F5546F"/>
    <w:rsid w:val="00FB4A9E"/>
    <w:rsid w:val="00FC576B"/>
    <w:rsid w:val="00FD4D1E"/>
    <w:rsid w:val="00FF6EE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62E9"/>
    <w:pPr>
      <w:spacing w:after="200" w:line="276" w:lineRule="auto"/>
    </w:pPr>
    <w:rPr>
      <w:kern w:val="2"/>
      <w:lang w:val="en-US"/>
    </w:rPr>
  </w:style>
  <w:style w:type="paragraph" w:styleId="Heading1">
    <w:name w:val="heading 1"/>
    <w:basedOn w:val="Normal"/>
    <w:next w:val="Normal"/>
    <w:link w:val="Heading1Char"/>
    <w:uiPriority w:val="9"/>
    <w:qFormat/>
    <w:rsid w:val="00EB75A8"/>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val="en-IN"/>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362E9"/>
    <w:rPr>
      <w:color w:val="0000FF"/>
      <w:u w:val="single"/>
    </w:rPr>
  </w:style>
  <w:style w:type="table" w:styleId="TableGrid">
    <w:name w:val="Table Grid"/>
    <w:basedOn w:val="TableNormal"/>
    <w:uiPriority w:val="39"/>
    <w:rsid w:val="009362E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lex-1">
    <w:name w:val="flex-1"/>
    <w:basedOn w:val="DefaultParagraphFont"/>
    <w:rsid w:val="009362E9"/>
  </w:style>
  <w:style w:type="paragraph" w:styleId="BalloonText">
    <w:name w:val="Balloon Text"/>
    <w:basedOn w:val="Normal"/>
    <w:link w:val="BalloonTextChar"/>
    <w:uiPriority w:val="99"/>
    <w:semiHidden/>
    <w:unhideWhenUsed/>
    <w:rsid w:val="009362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62E9"/>
    <w:rPr>
      <w:rFonts w:ascii="Tahoma" w:hAnsi="Tahoma" w:cs="Tahoma"/>
      <w:kern w:val="2"/>
      <w:sz w:val="16"/>
      <w:szCs w:val="16"/>
      <w:lang w:val="en-US"/>
    </w:rPr>
  </w:style>
  <w:style w:type="character" w:customStyle="1" w:styleId="Heading1Char">
    <w:name w:val="Heading 1 Char"/>
    <w:basedOn w:val="DefaultParagraphFont"/>
    <w:link w:val="Heading1"/>
    <w:uiPriority w:val="9"/>
    <w:rsid w:val="00EB75A8"/>
    <w:rPr>
      <w:rFonts w:asciiTheme="majorHAnsi" w:eastAsiaTheme="majorEastAsia" w:hAnsiTheme="majorHAnsi" w:cstheme="majorBidi"/>
      <w:color w:val="2F5496" w:themeColor="accent1" w:themeShade="BF"/>
      <w:kern w:val="2"/>
      <w:sz w:val="32"/>
      <w:szCs w:val="32"/>
    </w:rPr>
  </w:style>
  <w:style w:type="character" w:styleId="Emphasis">
    <w:name w:val="Emphasis"/>
    <w:basedOn w:val="DefaultParagraphFont"/>
    <w:uiPriority w:val="20"/>
    <w:qFormat/>
    <w:rsid w:val="00EB75A8"/>
    <w:rPr>
      <w:i/>
      <w:iCs/>
    </w:rPr>
  </w:style>
  <w:style w:type="paragraph" w:styleId="ListParagraph">
    <w:name w:val="List Paragraph"/>
    <w:basedOn w:val="Normal"/>
    <w:uiPriority w:val="34"/>
    <w:qFormat/>
    <w:rsid w:val="00EB75A8"/>
    <w:pPr>
      <w:spacing w:after="160" w:line="259" w:lineRule="auto"/>
      <w:ind w:left="720"/>
      <w:contextualSpacing/>
    </w:pPr>
    <w:rPr>
      <w:lang w:val="en-IN"/>
    </w:rPr>
  </w:style>
  <w:style w:type="character" w:customStyle="1" w:styleId="title-text">
    <w:name w:val="title-text"/>
    <w:basedOn w:val="DefaultParagraphFont"/>
    <w:rsid w:val="00EB75A8"/>
  </w:style>
  <w:style w:type="paragraph" w:styleId="Header">
    <w:name w:val="header"/>
    <w:basedOn w:val="Normal"/>
    <w:link w:val="HeaderChar"/>
    <w:uiPriority w:val="99"/>
    <w:semiHidden/>
    <w:unhideWhenUsed/>
    <w:rsid w:val="0009472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94722"/>
    <w:rPr>
      <w:kern w:val="2"/>
      <w:lang w:val="en-US"/>
    </w:rPr>
  </w:style>
  <w:style w:type="paragraph" w:styleId="Footer">
    <w:name w:val="footer"/>
    <w:basedOn w:val="Normal"/>
    <w:link w:val="FooterChar"/>
    <w:uiPriority w:val="99"/>
    <w:unhideWhenUsed/>
    <w:rsid w:val="000947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4722"/>
    <w:rPr>
      <w:kern w:val="2"/>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smita@dr.du.ac.in" TargetMode="External"/><Relationship Id="rId13" Type="http://schemas.openxmlformats.org/officeDocument/2006/relationships/image" Target="media/image3.emf"/><Relationship Id="rId18" Type="http://schemas.openxmlformats.org/officeDocument/2006/relationships/hyperlink" Target="https://doi.org/10.1016/j.yrtph.2014.04.006" TargetMode="External"/><Relationship Id="rId26" Type="http://schemas.openxmlformats.org/officeDocument/2006/relationships/hyperlink" Target="https://doi.org/10.1007/s10646-011-0799-6" TargetMode="External"/><Relationship Id="rId3" Type="http://schemas.openxmlformats.org/officeDocument/2006/relationships/styles" Target="styles.xml"/><Relationship Id="rId21" Type="http://schemas.openxmlformats.org/officeDocument/2006/relationships/hyperlink" Target="https://doi.org/10.1016/j.etap.2017.05.005"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doi.org/10.1002/clen.%20201500392" TargetMode="External"/><Relationship Id="rId25" Type="http://schemas.openxmlformats.org/officeDocument/2006/relationships/hyperlink" Target="https://doi.org/10.1016/j.ecoenv.2015.04.028"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yperlink" Target="https://doi.org/10.1007/s11356-015-4589-1" TargetMode="External"/><Relationship Id="rId29" Type="http://schemas.openxmlformats.org/officeDocument/2006/relationships/hyperlink" Target="https://doi.org/10.1007/s00216-009-%203182-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doi.org/10.1007/s11356-015-%204329-6"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yperlink" Target="https://doi.org/10.1007/s11270-%20014-1873-5" TargetMode="External"/><Relationship Id="rId28" Type="http://schemas.openxmlformats.org/officeDocument/2006/relationships/hyperlink" Target="https://doi.org/10.1016/j.cbpc.2013.08.005" TargetMode="External"/><Relationship Id="rId10" Type="http://schemas.openxmlformats.org/officeDocument/2006/relationships/hyperlink" Target="https://en.wikipedia.org/wiki/Excedrin_(brand)" TargetMode="External"/><Relationship Id="rId19" Type="http://schemas.openxmlformats.org/officeDocument/2006/relationships/hyperlink" Target="https://doi.org/10.1016/j.ijdevneu.2010.06.008"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en.wikipedia.org/wiki/Tylenol_(brand)" TargetMode="External"/><Relationship Id="rId14" Type="http://schemas.openxmlformats.org/officeDocument/2006/relationships/package" Target="embeddings/Microsoft_Office_PowerPoint_Slide1.sldx"/><Relationship Id="rId22" Type="http://schemas.openxmlformats.org/officeDocument/2006/relationships/hyperlink" Target="https://doi.org/10.1007/s11356-023-26475-7" TargetMode="External"/><Relationship Id="rId27" Type="http://schemas.openxmlformats.org/officeDocument/2006/relationships/hyperlink" Target="https://doi.org/10.1016/j.etap.2014.04.005" TargetMode="External"/><Relationship Id="rId30" Type="http://schemas.openxmlformats.org/officeDocument/2006/relationships/hyperlink" Target="https://doi.org/10.1006/bbrc.%201994.11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0DDF01-E802-4537-94DF-38D6733FD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21</Pages>
  <Words>5402</Words>
  <Characters>30792</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ASMITA GUPTA</dc:creator>
  <cp:lastModifiedBy>ASMITA GUPTA</cp:lastModifiedBy>
  <cp:revision>16</cp:revision>
  <dcterms:created xsi:type="dcterms:W3CDTF">2023-09-24T08:02:00Z</dcterms:created>
  <dcterms:modified xsi:type="dcterms:W3CDTF">2023-09-24T15:25:00Z</dcterms:modified>
</cp:coreProperties>
</file>