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B171" w14:textId="77777777" w:rsidR="005E43AC" w:rsidRPr="008C16B2" w:rsidRDefault="005E43AC" w:rsidP="005E43A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Facile synthesis, spectroscopic and single crystal X-ray characteriz</w:t>
      </w:r>
      <w:r w:rsidR="00AE36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ation of 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[Co(</w:t>
      </w:r>
      <w:proofErr w:type="spellStart"/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bpy</w:t>
      </w:r>
      <w:proofErr w:type="spellEnd"/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)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CO</w:t>
      </w:r>
      <w:proofErr w:type="gramStart"/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3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](</w:t>
      </w:r>
      <w:proofErr w:type="gramEnd"/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C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7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4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NO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3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S).3H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vertAlign w:val="subscript"/>
          <w:lang w:val="en-US"/>
        </w:rPr>
        <w:t>2</w:t>
      </w:r>
      <w:r w:rsidRPr="008E145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complex with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antibacterial and anticancer screening </w:t>
      </w:r>
    </w:p>
    <w:p w14:paraId="28033549" w14:textId="77777777" w:rsidR="000B1A46" w:rsidRPr="008C16B2" w:rsidRDefault="000B1A46" w:rsidP="008C16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Santosh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Arora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a</w:t>
      </w:r>
      <w:proofErr w:type="spellEnd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Dinesh </w:t>
      </w:r>
      <w:proofErr w:type="spellStart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Talwar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a</w:t>
      </w:r>
      <w:proofErr w:type="spellEnd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*</w:t>
      </w:r>
      <w:r w:rsidR="006E2C3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648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Baljinder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3648A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Singh</w:t>
      </w:r>
      <w:r w:rsidR="003648AB" w:rsidRPr="003648A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b</w:t>
      </w:r>
      <w:proofErr w:type="spellEnd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,</w:t>
      </w:r>
      <w:r w:rsidR="00B01CC8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648A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Vimal K. </w:t>
      </w:r>
      <w:proofErr w:type="spellStart"/>
      <w:r w:rsidR="003648A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Bhardwaj</w:t>
      </w:r>
      <w:r w:rsidR="00B01CC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c</w:t>
      </w:r>
      <w:proofErr w:type="spellEnd"/>
    </w:p>
    <w:p w14:paraId="1E200777" w14:textId="77777777" w:rsidR="00C510DF" w:rsidRPr="008C16B2" w:rsidRDefault="00C510DF" w:rsidP="008C16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DCB20D1" w14:textId="77777777" w:rsidR="00C510DF" w:rsidRPr="008C16B2" w:rsidRDefault="00C510DF" w:rsidP="008C16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GB"/>
        </w:rPr>
        <w:t>a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Department</w:t>
      </w:r>
      <w:proofErr w:type="spellEnd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of Chemistry, DAV College, Sec-10, Chandigarh-160010</w:t>
      </w:r>
    </w:p>
    <w:p w14:paraId="04B6E1CC" w14:textId="77777777" w:rsidR="00C510DF" w:rsidRPr="00B01CC8" w:rsidRDefault="00C510DF" w:rsidP="00B01CC8">
      <w:pPr>
        <w:pStyle w:val="ElsAffiliation"/>
        <w:spacing w:line="360" w:lineRule="auto"/>
        <w:jc w:val="both"/>
        <w:rPr>
          <w:color w:val="000000" w:themeColor="text1"/>
        </w:rPr>
      </w:pPr>
      <w:r w:rsidRPr="008C16B2">
        <w:rPr>
          <w:i w:val="0"/>
          <w:color w:val="000000" w:themeColor="text1"/>
          <w:sz w:val="24"/>
          <w:szCs w:val="24"/>
          <w:vertAlign w:val="superscript"/>
          <w:lang w:val="en-GB"/>
        </w:rPr>
        <w:t>b</w:t>
      </w:r>
      <w:r w:rsidR="003648AB">
        <w:rPr>
          <w:i w:val="0"/>
          <w:color w:val="000000" w:themeColor="text1"/>
          <w:sz w:val="24"/>
        </w:rPr>
        <w:t xml:space="preserve">Department of </w:t>
      </w:r>
      <w:r w:rsidR="003648AB" w:rsidRPr="003648AB">
        <w:rPr>
          <w:i w:val="0"/>
          <w:color w:val="000000" w:themeColor="text1"/>
          <w:sz w:val="24"/>
          <w:szCs w:val="24"/>
          <w:lang w:val="en-GB"/>
        </w:rPr>
        <w:t>Biotechnology, Panjab University, Chandigarh-160014</w:t>
      </w:r>
    </w:p>
    <w:p w14:paraId="770109DA" w14:textId="77777777" w:rsidR="003648AB" w:rsidRPr="008C16B2" w:rsidRDefault="00B01CC8" w:rsidP="003648AB">
      <w:pPr>
        <w:pStyle w:val="ElsAffiliation"/>
        <w:spacing w:line="360" w:lineRule="auto"/>
        <w:jc w:val="both"/>
        <w:rPr>
          <w:color w:val="000000" w:themeColor="text1"/>
        </w:rPr>
      </w:pPr>
      <w:r>
        <w:rPr>
          <w:i w:val="0"/>
          <w:color w:val="000000" w:themeColor="text1"/>
          <w:sz w:val="24"/>
          <w:szCs w:val="24"/>
          <w:vertAlign w:val="superscript"/>
          <w:lang w:val="en-GB"/>
        </w:rPr>
        <w:t>c</w:t>
      </w:r>
      <w:r w:rsidR="003648AB" w:rsidRPr="008C16B2">
        <w:rPr>
          <w:i w:val="0"/>
          <w:color w:val="000000" w:themeColor="text1"/>
          <w:sz w:val="24"/>
        </w:rPr>
        <w:t>Department of Chemistry, Dr B R Ambedkar National Institute of Technology, Jalandhar 144011, Punjab, India.</w:t>
      </w:r>
    </w:p>
    <w:p w14:paraId="7DE3D99E" w14:textId="77777777" w:rsidR="00C510DF" w:rsidRPr="008C16B2" w:rsidRDefault="00C510DF" w:rsidP="008C16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20721E" w14:textId="77777777" w:rsidR="00C510DF" w:rsidRPr="008C16B2" w:rsidRDefault="00C510DF" w:rsidP="008C16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address: </w:t>
      </w:r>
      <w:hyperlink r:id="rId5" w:history="1">
        <w:r w:rsidRPr="008C16B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dinesh_talwar58@yahoo.co.in</w:t>
        </w:r>
      </w:hyperlink>
    </w:p>
    <w:p w14:paraId="5CC6BC24" w14:textId="77777777" w:rsidR="00C510DF" w:rsidRPr="008C16B2" w:rsidRDefault="00C510DF" w:rsidP="008C16B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14:paraId="4F2CA9B6" w14:textId="77777777" w:rsidR="00C510DF" w:rsidRPr="008C16B2" w:rsidRDefault="00C510DF" w:rsidP="008C16B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Abstract</w:t>
      </w:r>
    </w:p>
    <w:p w14:paraId="7F7795E3" w14:textId="73E8DBFB" w:rsidR="00C510DF" w:rsidRPr="00BB0515" w:rsidRDefault="00A073C4" w:rsidP="008C16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facile synthesis of c</w:t>
      </w:r>
      <w:r w:rsidR="008F58A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obalt (III) complex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[Co(</w:t>
      </w:r>
      <w:proofErr w:type="spellStart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bpy</w:t>
      </w:r>
      <w:proofErr w:type="spellEnd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proofErr w:type="gramStart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](</w:t>
      </w:r>
      <w:proofErr w:type="gramEnd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7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AC1CE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="00AC1CE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S).3H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8F58A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(where </w:t>
      </w:r>
      <w:proofErr w:type="spellStart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bpy</w:t>
      </w:r>
      <w:proofErr w:type="spellEnd"/>
      <w:r w:rsidR="0090773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= 2,2’-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bipyridine, C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7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AC1CE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="00AC1CE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S= </w:t>
      </w:r>
      <w:proofErr w:type="spellStart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Sacc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rinate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 has been performed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mixing 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solutions of 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[Co(</w:t>
      </w:r>
      <w:proofErr w:type="spellStart"/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bpy</w:t>
      </w:r>
      <w:proofErr w:type="spellEnd"/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]Cl.3H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8F58A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17660D" w:rsidRPr="00174A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Sodium </w:t>
      </w:r>
      <w:proofErr w:type="spellStart"/>
      <w:r w:rsidR="006F6B01" w:rsidRPr="00174A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saccharinate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equimolar ratio in water. The composition of structure was strengthened by elemental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135E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spectroscopic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studies </w:t>
      </w:r>
      <w:r w:rsidR="0077324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such as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4323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CHN,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FT-IR,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1</w:t>
      </w:r>
      <w:r w:rsidR="00797F0E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 NMR and UV</w:t>
      </w:r>
      <w:r w:rsidR="00BA63A3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-Vis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Single</w:t>
      </w:r>
      <w:r w:rsidR="0024323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crystal X-ray</w:t>
      </w:r>
      <w:r w:rsidR="00422E6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structure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investigation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revealed 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one [Co(</w:t>
      </w:r>
      <w:proofErr w:type="spellStart"/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bpy</w:t>
      </w:r>
      <w:proofErr w:type="spellEnd"/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+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cationic counterpart</w:t>
      </w:r>
      <w:r w:rsidR="00422E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</w:t>
      </w:r>
      <w:proofErr w:type="spellStart"/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sacc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arinate</w:t>
      </w:r>
      <w:proofErr w:type="spellEnd"/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outer sphere and 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three wat</w:t>
      </w:r>
      <w:r w:rsidR="006F6B0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er molecules of crystallization</w:t>
      </w:r>
      <w:r w:rsidR="00CE2CB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Robust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hydrogen bonding interactions</w:t>
      </w:r>
      <w:r w:rsidR="006E2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D2FA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were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witnessed</w:t>
      </w:r>
      <w:r w:rsidR="004D2FA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from structural data. </w:t>
      </w:r>
      <w:r w:rsidR="005401A4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E0C86">
        <w:rPr>
          <w:rFonts w:ascii="Times New Roman" w:hAnsi="Times New Roman" w:cs="Times New Roman"/>
          <w:color w:val="000000" w:themeColor="text1"/>
          <w:sz w:val="24"/>
          <w:szCs w:val="24"/>
        </w:rPr>
        <w:t>road spectrum activity</w:t>
      </w:r>
      <w:r w:rsidR="00540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witnessed for the complex as it was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1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active against both </w:t>
      </w:r>
      <w:r w:rsidR="00845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gram positive and </w:t>
      </w:r>
      <w:proofErr w:type="gramStart"/>
      <w:r w:rsidR="00845BE8">
        <w:rPr>
          <w:rFonts w:ascii="Times New Roman" w:hAnsi="Times New Roman" w:cs="Times New Roman"/>
          <w:color w:val="000000" w:themeColor="text1"/>
          <w:sz w:val="24"/>
          <w:szCs w:val="24"/>
        </w:rPr>
        <w:t>gram negative</w:t>
      </w:r>
      <w:proofErr w:type="gramEnd"/>
      <w:r w:rsidR="00845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1A4">
        <w:rPr>
          <w:rFonts w:ascii="Times New Roman" w:hAnsi="Times New Roman" w:cs="Times New Roman"/>
          <w:color w:val="000000" w:themeColor="text1"/>
          <w:sz w:val="24"/>
          <w:szCs w:val="24"/>
        </w:rPr>
        <w:t>bacterial strains</w:t>
      </w:r>
      <w:r w:rsidR="00AE0C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16B4" w:rsidRPr="00324C5D">
        <w:rPr>
          <w:rFonts w:ascii="Times New Roman" w:hAnsi="Times New Roman" w:cs="Times New Roman"/>
          <w:sz w:val="24"/>
          <w:szCs w:val="24"/>
        </w:rPr>
        <w:t>Furthermore, the complex showed growth-inhibitory eff</w:t>
      </w:r>
      <w:r w:rsidR="00B816B4">
        <w:rPr>
          <w:rFonts w:ascii="Times New Roman" w:hAnsi="Times New Roman" w:cs="Times New Roman"/>
          <w:sz w:val="24"/>
          <w:szCs w:val="24"/>
        </w:rPr>
        <w:t>ect against PANC-1</w:t>
      </w:r>
      <w:r w:rsidR="00B816B4" w:rsidRPr="00324C5D">
        <w:rPr>
          <w:rFonts w:ascii="Times New Roman" w:hAnsi="Times New Roman" w:cs="Times New Roman"/>
          <w:sz w:val="24"/>
          <w:szCs w:val="24"/>
        </w:rPr>
        <w:t xml:space="preserve"> cells.</w:t>
      </w:r>
    </w:p>
    <w:p w14:paraId="29BE1F73" w14:textId="77777777" w:rsidR="003F0175" w:rsidRPr="008C16B2" w:rsidRDefault="003F0175" w:rsidP="008C16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DC94D86" w14:textId="50FA9992" w:rsidR="00C510DF" w:rsidRPr="008C16B2" w:rsidRDefault="00C510DF" w:rsidP="00C510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Keywords: - </w:t>
      </w:r>
      <w:r w:rsidR="002915D0" w:rsidRPr="00174A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CoCl</w:t>
      </w:r>
      <w:r w:rsidR="002915D0" w:rsidRPr="00174A2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2915D0" w:rsidRPr="00174A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.6H</w:t>
      </w:r>
      <w:r w:rsidR="002915D0" w:rsidRPr="00174A2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2915D0" w:rsidRPr="00174A2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Sacc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arinate</w:t>
      </w:r>
      <w:proofErr w:type="spellEnd"/>
      <w:r w:rsidR="005C26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2915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X-ray crystallography</w:t>
      </w:r>
      <w:r w:rsidR="0014294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2915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Antibacterial</w:t>
      </w:r>
      <w:r w:rsidR="00477B1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Anticancer</w:t>
      </w:r>
    </w:p>
    <w:p w14:paraId="2EB00A36" w14:textId="77777777" w:rsidR="00C510DF" w:rsidRPr="008C16B2" w:rsidRDefault="00C510DF" w:rsidP="00C510DF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1. Introduction</w:t>
      </w:r>
    </w:p>
    <w:p w14:paraId="32848F43" w14:textId="77777777" w:rsidR="00576B64" w:rsidRPr="008C16B2" w:rsidRDefault="005C26D0" w:rsidP="0017660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exploration into </w:t>
      </w:r>
      <w:r w:rsidR="007861D8">
        <w:rPr>
          <w:rFonts w:ascii="Times New Roman" w:hAnsi="Times New Roman" w:cs="Times New Roman"/>
          <w:color w:val="000000" w:themeColor="text1"/>
          <w:sz w:val="24"/>
          <w:szCs w:val="24"/>
        </w:rPr>
        <w:t>anion binding studies in past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years has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encouraged</w:t>
      </w:r>
      <w:r w:rsidR="00584C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0D595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cientists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the fabrication </w:t>
      </w:r>
      <w:r w:rsidR="00584C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0D595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sup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ramolecular architectures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with unique packing patterns and hydrogen bonding interactions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30D4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synthetic </w:t>
      </w:r>
      <w:r w:rsidR="007861D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methodology</w:t>
      </w:r>
      <w:r w:rsidR="00B30D4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utilized is </w:t>
      </w:r>
      <w:r w:rsidR="007861D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purposely</w:t>
      </w:r>
      <w:r w:rsidR="00B30D4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incorporating hydrogen bonding groups into </w:t>
      </w:r>
      <w:r w:rsidR="007861D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ordered</w:t>
      </w:r>
      <w:r w:rsidR="00B30D4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receptor molecules. </w:t>
      </w:r>
      <w:r w:rsidR="00B30D4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innovative receptors with the </w:t>
      </w:r>
      <w:r w:rsidR="007861D8">
        <w:rPr>
          <w:rFonts w:ascii="Times New Roman" w:hAnsi="Times New Roman" w:cs="Times New Roman"/>
          <w:color w:val="000000" w:themeColor="text1"/>
          <w:sz w:val="24"/>
          <w:szCs w:val="24"/>
        </w:rPr>
        <w:t>precise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1D8">
        <w:rPr>
          <w:rFonts w:ascii="Times New Roman" w:hAnsi="Times New Roman" w:cs="Times New Roman"/>
          <w:color w:val="000000" w:themeColor="text1"/>
          <w:sz w:val="24"/>
          <w:szCs w:val="24"/>
        </w:rPr>
        <w:t>functional moieties need to be designed</w:t>
      </w:r>
      <w:r w:rsidR="00B30D4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systematically bind with 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biologically</w:t>
      </w:r>
      <w:r w:rsidR="0017660D" w:rsidRPr="0017660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B30D4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30D4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industrially</w:t>
      </w:r>
      <w:proofErr w:type="gramEnd"/>
      <w:r w:rsidR="00B30D4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B30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environmentally important 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anions </w:t>
      </w:r>
      <w:r w:rsidR="00FE2E00">
        <w:rPr>
          <w:rFonts w:ascii="Times New Roman" w:hAnsi="Times New Roman" w:cs="Times New Roman"/>
          <w:color w:val="000000" w:themeColor="text1"/>
          <w:sz w:val="24"/>
          <w:szCs w:val="24"/>
        </w:rPr>
        <w:t>[1,2</w:t>
      </w:r>
      <w:r w:rsidR="007A10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</w:t>
      </w:r>
      <w:r w:rsidR="00E9577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anions possess </w:t>
      </w:r>
      <w:r w:rsidR="009527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diverse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27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shape</w:t>
      </w:r>
      <w:r w:rsidR="00E9577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EF356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geometries</w:t>
      </w:r>
      <w:r w:rsidR="009527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contrast </w:t>
      </w:r>
      <w:r w:rsidR="00314BF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to cations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577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>challenge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their binding to receptors </w:t>
      </w:r>
      <w:r w:rsidR="00FE2E00">
        <w:rPr>
          <w:rFonts w:ascii="Times New Roman" w:hAnsi="Times New Roman" w:cs="Times New Roman"/>
          <w:color w:val="000000" w:themeColor="text1"/>
          <w:sz w:val="24"/>
          <w:szCs w:val="24"/>
        </w:rPr>
        <w:t>[3</w:t>
      </w:r>
      <w:r w:rsidR="007A10CB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  <w:r w:rsidR="00216A2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Thus fabrication</w:t>
      </w:r>
      <w:r w:rsidR="00576B6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supramolecular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76B6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architectures </w:t>
      </w:r>
      <w:r w:rsidR="00216A2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requires</w:t>
      </w:r>
      <w:r w:rsidR="00576B6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7A10CB">
        <w:rPr>
          <w:rFonts w:ascii="Times New Roman" w:hAnsi="Times New Roman" w:cs="Times New Roman"/>
          <w:color w:val="000000" w:themeColor="text1"/>
          <w:sz w:val="24"/>
          <w:szCs w:val="24"/>
        </w:rPr>
        <w:t>carefully chosen</w:t>
      </w:r>
      <w:r w:rsidR="00216A2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precise supramolecular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6A2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synthon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(host) which forms hydrogen bonding interactions with the anions (guest)</w:t>
      </w:r>
      <w:r w:rsidR="00FE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[4,5</w:t>
      </w:r>
      <w:r w:rsidR="007A10CB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14:paraId="2278C86C" w14:textId="38E243F7" w:rsidR="00477B12" w:rsidRPr="00B0742C" w:rsidRDefault="00362EE0" w:rsidP="0017660D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the literature, </w:t>
      </w:r>
      <w:r w:rsidR="0018688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several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anion receptors have been fabricated</w:t>
      </w:r>
      <w:r w:rsidR="00FE2E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[6,7</w:t>
      </w:r>
      <w:r w:rsidR="00186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8688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but our </w:t>
      </w:r>
      <w:r w:rsidR="00216A2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selection of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[Co(</w:t>
      </w:r>
      <w:proofErr w:type="spellStart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bpy</w:t>
      </w:r>
      <w:proofErr w:type="spellEnd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proofErr w:type="gramStart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+</w:t>
      </w:r>
      <w:proofErr w:type="gramEnd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anion receptor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stemmed from its potency</w:t>
      </w:r>
      <w:r w:rsidR="00216A2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form</w:t>
      </w:r>
      <w:r w:rsidR="001766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B7C62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robust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hydrogen </w:t>
      </w:r>
      <w:r w:rsidRPr="00AE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bond</w:t>
      </w:r>
      <w:r w:rsidR="00AE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ing inter</w:t>
      </w:r>
      <w:r w:rsidR="00274B67" w:rsidRPr="00AE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AE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274B67" w:rsidRPr="00AE408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tions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from C=O (carbonate group)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In </w:t>
      </w:r>
      <w:r w:rsidR="008B7C6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continuance</w:t>
      </w:r>
      <w:r w:rsidR="00B514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7C6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preceding</w:t>
      </w:r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</w:t>
      </w:r>
      <w:r w:rsidR="00FE2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[8,9]</w:t>
      </w:r>
      <w:r w:rsidR="0018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this paper, </w:t>
      </w:r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6887">
        <w:rPr>
          <w:rFonts w:ascii="Times New Roman" w:hAnsi="Times New Roman" w:cs="Times New Roman"/>
          <w:color w:val="000000" w:themeColor="text1"/>
          <w:sz w:val="24"/>
          <w:szCs w:val="24"/>
        </w:rPr>
        <w:t>binding</w:t>
      </w:r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[Co(</w:t>
      </w:r>
      <w:proofErr w:type="spellStart"/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bpy</w:t>
      </w:r>
      <w:proofErr w:type="spellEnd"/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proofErr w:type="gramStart"/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+</w:t>
      </w:r>
      <w:proofErr w:type="gramEnd"/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 xml:space="preserve"> </w:t>
      </w:r>
      <w:r w:rsidR="0001275C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receptor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8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industrially important </w:t>
      </w:r>
      <w:proofErr w:type="spellStart"/>
      <w:r w:rsidR="00186887">
        <w:rPr>
          <w:rFonts w:ascii="Times New Roman" w:hAnsi="Times New Roman" w:cs="Times New Roman"/>
          <w:color w:val="000000" w:themeColor="text1"/>
          <w:sz w:val="24"/>
          <w:szCs w:val="24"/>
        </w:rPr>
        <w:t>saccharinate</w:t>
      </w:r>
      <w:proofErr w:type="spellEnd"/>
      <w:r w:rsidR="0018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anion through </w:t>
      </w:r>
      <w:r w:rsidR="0018688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hydrogen bonding interactions</w:t>
      </w:r>
      <w:r w:rsidR="001868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studied by X-ray structural study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34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This anion is selected </w:t>
      </w:r>
      <w:r w:rsidR="0054588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because i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 </w:t>
      </w:r>
      <w:r w:rsidR="008B7C62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proposes probable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coordination </w:t>
      </w:r>
      <w:proofErr w:type="spellStart"/>
      <w:r w:rsidR="00225F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centres</w:t>
      </w:r>
      <w:proofErr w:type="spellEnd"/>
      <w:r w:rsidR="00225F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such</w:t>
      </w:r>
      <w:r w:rsidR="003D0A3E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4B1EC0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imino</w:t>
      </w:r>
      <w:proofErr w:type="spellEnd"/>
      <w:r w:rsidR="004B1EC0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nitrogen, two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sulfonyl a</w:t>
      </w:r>
      <w:r w:rsidR="00D60B0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 one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carbonyl oxygen atom</w:t>
      </w:r>
      <w:r w:rsidR="0054588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binding with the 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selected </w:t>
      </w:r>
      <w:r w:rsidR="0054588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receptor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34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434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 </w:t>
      </w:r>
      <w:proofErr w:type="gramStart"/>
      <w:r w:rsidR="00434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possess</w:t>
      </w:r>
      <w:proofErr w:type="gramEnd"/>
      <w:r w:rsidR="00434FE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diverse and remarkable c</w:t>
      </w:r>
      <w:r w:rsidR="00434FE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oordination chemistry 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 it </w:t>
      </w:r>
      <w:r w:rsidR="00225F9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causes robust hydrogen bonding interacti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ons in solid-state architectures. It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B7C62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well </w:t>
      </w:r>
      <w:r w:rsidR="00225F9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acknowledged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</w:t>
      </w:r>
      <w:proofErr w:type="gramStart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artificial</w:t>
      </w:r>
      <w:proofErr w:type="gramEnd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sweetener and polyfunctional</w:t>
      </w:r>
      <w:r w:rsidR="00225F9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ligand </w:t>
      </w:r>
      <w:r w:rsidR="00FE2E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[10,11</w:t>
      </w:r>
      <w:r w:rsidR="002E03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].</w:t>
      </w:r>
      <w:r w:rsidR="0054588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0EAD8ADD" w14:textId="77777777" w:rsidR="00C510DF" w:rsidRPr="008C16B2" w:rsidRDefault="00C510DF" w:rsidP="006A17D8">
      <w:pPr>
        <w:tabs>
          <w:tab w:val="left" w:pos="673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2. Experimental</w:t>
      </w:r>
      <w:r w:rsidR="006A17D8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ab/>
      </w:r>
    </w:p>
    <w:p w14:paraId="32B4F988" w14:textId="77777777" w:rsidR="00C510DF" w:rsidRPr="008C16B2" w:rsidRDefault="00C510DF" w:rsidP="00C510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2.1 Materials </w:t>
      </w:r>
    </w:p>
    <w:p w14:paraId="63D5A78D" w14:textId="6E5F6542" w:rsidR="006B738F" w:rsidRPr="008C16B2" w:rsidRDefault="00414D1A" w:rsidP="006B738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Chemicals </w:t>
      </w:r>
      <w:r w:rsidR="00845B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 were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Sodium </w:t>
      </w:r>
      <w:proofErr w:type="spellStart"/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Saccharinate</w:t>
      </w:r>
      <w:proofErr w:type="spellEnd"/>
      <w:r w:rsidR="00845B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2,2’-bipyridine (</w:t>
      </w:r>
      <w:proofErr w:type="spellStart"/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bpy</w:t>
      </w:r>
      <w:proofErr w:type="spellEnd"/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845B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CoCl</w:t>
      </w:r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.6H</w:t>
      </w:r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845B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952A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[Co(</w:t>
      </w:r>
      <w:proofErr w:type="spellStart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bpy</w:t>
      </w:r>
      <w:proofErr w:type="spellEnd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proofErr w:type="gramStart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]Cl.</w:t>
      </w:r>
      <w:proofErr w:type="gramEnd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3H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FB403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 was synthesized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</w:t>
      </w:r>
      <w:r w:rsidR="00A357D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somewhat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57D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altering</w:t>
      </w:r>
      <w:r w:rsidR="00135B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synthesis</w:t>
      </w:r>
      <w:r w:rsidR="00A357D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specified</w:t>
      </w:r>
      <w:r w:rsidR="004E0F6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literature</w:t>
      </w:r>
      <w:r w:rsidR="006F541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[12</w:t>
      </w:r>
      <w:r w:rsidR="00FE2E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="002E03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5B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This complex was further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5B9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engaged</w:t>
      </w:r>
      <w:r w:rsidR="00A355E0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</w:t>
      </w:r>
      <w:r w:rsidR="00A357D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constructing </w:t>
      </w:r>
      <w:r w:rsidR="00A355E0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title </w:t>
      </w:r>
      <w:r w:rsidR="006B738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complex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21EB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at room temperature</w:t>
      </w:r>
      <w:r w:rsidR="00A21EB9" w:rsidRPr="008C16B2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14:paraId="1689C190" w14:textId="77777777" w:rsidR="00C510DF" w:rsidRPr="008C16B2" w:rsidRDefault="00C510DF" w:rsidP="00C510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2.2 Synthesis</w:t>
      </w:r>
    </w:p>
    <w:p w14:paraId="3DD37606" w14:textId="77777777" w:rsidR="00C510DF" w:rsidRPr="008C16B2" w:rsidRDefault="00C510DF" w:rsidP="00C510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2.2.1 Synthesis of [Co(</w:t>
      </w:r>
      <w:proofErr w:type="spellStart"/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bpy</w:t>
      </w:r>
      <w:proofErr w:type="spellEnd"/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)</w:t>
      </w: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val="en-US"/>
        </w:rPr>
        <w:t>2</w:t>
      </w: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</w:t>
      </w:r>
      <w:proofErr w:type="gramStart"/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val="en-US"/>
        </w:rPr>
        <w:t>3</w:t>
      </w:r>
      <w:r w:rsidR="00274B67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]</w:t>
      </w: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</w:t>
      </w:r>
      <w:proofErr w:type="gramEnd"/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val="en-US"/>
        </w:rPr>
        <w:t>7</w:t>
      </w: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H</w:t>
      </w:r>
      <w:r w:rsidR="00AC1CEC"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val="en-US"/>
        </w:rPr>
        <w:t>4</w:t>
      </w: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NO</w:t>
      </w:r>
      <w:r w:rsidR="00AC1CEC"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val="en-US"/>
        </w:rPr>
        <w:t>3</w:t>
      </w: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S).3H</w:t>
      </w: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bscript"/>
          <w:lang w:val="en-US"/>
        </w:rPr>
        <w:t>2</w:t>
      </w:r>
      <w:r w:rsidR="005A71F7"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O </w:t>
      </w:r>
    </w:p>
    <w:p w14:paraId="74638D4F" w14:textId="77777777" w:rsidR="00601A18" w:rsidRDefault="00557D7A" w:rsidP="00C510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Aqueous </w:t>
      </w:r>
      <w:r w:rsidR="00274B67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solution of </w:t>
      </w:r>
      <w:r w:rsidR="002540CC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0.520 gram of 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[Co(</w:t>
      </w:r>
      <w:proofErr w:type="spellStart"/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bpy</w:t>
      </w:r>
      <w:proofErr w:type="spellEnd"/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proofErr w:type="gramStart"/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5C67F8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Cl.</w:t>
      </w:r>
      <w:proofErr w:type="gramEnd"/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3H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mixed </w:t>
      </w:r>
      <w:r w:rsidR="0058298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with a</w:t>
      </w:r>
      <w:r w:rsidR="009E1A9C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58298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equivalent ratio</w:t>
      </w:r>
      <w:r w:rsidR="005A7E45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aqueous </w:t>
      </w:r>
      <w:r w:rsidR="00274B67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solution of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0C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0.242 gram of </w:t>
      </w:r>
      <w:r w:rsidR="005A7E4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sodium </w:t>
      </w:r>
      <w:proofErr w:type="spellStart"/>
      <w:r w:rsidR="005A7E4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8591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acc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38591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arinate</w:t>
      </w:r>
      <w:proofErr w:type="spellEnd"/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set aside at room temperature for evaporation.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5 days,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maroon coloured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crys</w:t>
      </w:r>
      <w:r w:rsidR="00796B5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tals of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X-r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 diffraction </w:t>
      </w:r>
      <w:r w:rsidR="00796B5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quality were </w:t>
      </w:r>
      <w:r w:rsidR="00782550">
        <w:rPr>
          <w:rFonts w:ascii="Times New Roman" w:hAnsi="Times New Roman" w:cs="Times New Roman"/>
          <w:color w:val="000000" w:themeColor="text1"/>
          <w:sz w:val="24"/>
          <w:szCs w:val="24"/>
        </w:rPr>
        <w:t>visualized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. The crystals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A3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attained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9E1A9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filtration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A3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left for drying</w:t>
      </w:r>
      <w:r w:rsidR="00782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air.</w:t>
      </w:r>
    </w:p>
    <w:p w14:paraId="2A30F454" w14:textId="77777777" w:rsidR="00C510DF" w:rsidRPr="008C16B2" w:rsidRDefault="00CB7C1B" w:rsidP="00C510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 Instrumentation</w:t>
      </w:r>
    </w:p>
    <w:p w14:paraId="331A1242" w14:textId="77777777" w:rsidR="00BC4D6E" w:rsidRPr="008C16B2" w:rsidRDefault="00C510DF" w:rsidP="00BC4D6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Perkin-El</w:t>
      </w:r>
      <w:r w:rsidR="006E2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mer</w:t>
      </w:r>
      <w:proofErr w:type="gramEnd"/>
      <w:r w:rsidR="006E2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2400 CHN </w:t>
      </w:r>
      <w:r w:rsidR="00601A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analyzer</w:t>
      </w:r>
      <w:r w:rsidR="006E2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601A1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EI 2375 double</w:t>
      </w:r>
      <w:r w:rsidR="001D361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beam spectrophotometer</w:t>
      </w:r>
      <w:r w:rsidR="006E2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FE76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Bruker Advance </w:t>
      </w:r>
      <w:r w:rsidR="006E2C3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NMR Spectrometer, </w:t>
      </w:r>
      <w:r w:rsidR="003D0A3E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Perkin-Elmer Spectrum </w:t>
      </w:r>
      <w:r w:rsidR="00D8517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RX FT-IR system, </w:t>
      </w:r>
      <w:r w:rsidR="00D85179">
        <w:rPr>
          <w:rFonts w:ascii="Times New Roman" w:hAnsi="Times New Roman" w:cs="Times New Roman"/>
          <w:color w:val="000000" w:themeColor="text1"/>
          <w:sz w:val="24"/>
          <w:szCs w:val="24"/>
        </w:rPr>
        <w:t>TGA d</w:t>
      </w:r>
      <w:r w:rsidR="007F780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etector model SDT Q600 instrument.</w:t>
      </w:r>
    </w:p>
    <w:p w14:paraId="0A3B3C5B" w14:textId="77777777" w:rsidR="00C510DF" w:rsidRPr="008C16B2" w:rsidRDefault="00274B67" w:rsidP="00C510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2.3.1 X-r</w:t>
      </w:r>
      <w:r w:rsidR="00C510DF"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ay Crystallography</w:t>
      </w:r>
    </w:p>
    <w:p w14:paraId="1D872263" w14:textId="5CBC89DD" w:rsidR="00C510DF" w:rsidRPr="008C16B2" w:rsidRDefault="00414D1A" w:rsidP="00C510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Crystallographic study</w:t>
      </w:r>
      <w:r w:rsidR="00865DF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designed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5DF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complex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evaluated</w:t>
      </w:r>
      <w:r w:rsidR="00AC592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r w:rsidR="00C768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Super-Nova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X-ray diffractometer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which was equipped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 HyPix3000 (CCD plate) </w:t>
      </w:r>
      <w:r w:rsidR="00AC592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detector. The data are measured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5F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AC592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retaining </w:t>
      </w:r>
      <w:r w:rsidR="007F65F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crystal on Hampton </w:t>
      </w:r>
      <w:proofErr w:type="spellStart"/>
      <w:r w:rsidR="007F65F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cryoloops</w:t>
      </w:r>
      <w:proofErr w:type="spellEnd"/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a </w:t>
      </w:r>
      <w:proofErr w:type="spellStart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monochromated</w:t>
      </w:r>
      <w:proofErr w:type="spellEnd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Mo-Kα (λ = 0.71073 Å) X-ray source</w:t>
      </w:r>
      <w:r w:rsidR="00AC592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43EF3B3" w14:textId="77777777" w:rsidR="00C510DF" w:rsidRDefault="00C510DF" w:rsidP="00C510D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2.3.2 Antibacterial assay</w:t>
      </w:r>
    </w:p>
    <w:p w14:paraId="5E17FBA8" w14:textId="77777777" w:rsidR="00BB0515" w:rsidRPr="008C16B2" w:rsidRDefault="00BB0515" w:rsidP="00C510D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2.3.2.1 Disc-diffusion method</w:t>
      </w:r>
    </w:p>
    <w:p w14:paraId="591E4FDF" w14:textId="4FA58AB1" w:rsidR="00FA6F12" w:rsidRDefault="00C510DF" w:rsidP="002367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B746A" w:rsidRPr="00FB746A">
        <w:rPr>
          <w:rFonts w:ascii="Times New Roman" w:hAnsi="Times New Roman" w:cs="Times New Roman"/>
          <w:i/>
          <w:iCs/>
          <w:sz w:val="24"/>
          <w:szCs w:val="24"/>
        </w:rPr>
        <w:t xml:space="preserve">in vitro </w:t>
      </w:r>
      <w:r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>ant</w:t>
      </w:r>
      <w:r w:rsidR="002A4079"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04D9B"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>bacterial analysis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against </w:t>
      </w:r>
      <w:r w:rsidR="00FB746A" w:rsidRPr="00D576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Bacillus subtilis</w:t>
      </w:r>
      <w:r w:rsidR="00FB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4F4CAA" w:rsidRPr="00D576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Esche</w:t>
      </w:r>
      <w:r w:rsidR="00FB746A" w:rsidRPr="00D576B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richia coli</w:t>
      </w:r>
      <w:r w:rsidR="00274B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A6710"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elucidated </w:t>
      </w:r>
      <w:r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141F">
        <w:rPr>
          <w:rFonts w:ascii="Times New Roman" w:hAnsi="Times New Roman" w:cs="Times New Roman"/>
          <w:color w:val="000000" w:themeColor="text1"/>
          <w:sz w:val="24"/>
          <w:szCs w:val="24"/>
        </w:rPr>
        <w:t>disc diffusion method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85F" w:rsidRPr="00906BF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6F541B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BF785F" w:rsidRPr="00906BF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90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8B6"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diameter of inhibition </w:t>
      </w:r>
      <w:r w:rsidR="004B7246"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>zone</w:t>
      </w:r>
      <w:r w:rsidR="009D78B6"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mm </w:t>
      </w:r>
      <w:r w:rsidR="00280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around the impregnated disks </w:t>
      </w:r>
      <w:r w:rsidR="009D78B6"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>was measured relative to the positive control</w:t>
      </w:r>
      <w:r w:rsidR="00280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12 hours</w:t>
      </w:r>
      <w:r w:rsidR="009D78B6" w:rsidRPr="00FB74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6F12" w:rsidRPr="00F32451">
        <w:rPr>
          <w:rFonts w:ascii="Times New Roman" w:hAnsi="Times New Roman"/>
          <w:sz w:val="24"/>
          <w:szCs w:val="24"/>
        </w:rPr>
        <w:t>The minimum inhibitory con</w:t>
      </w:r>
      <w:r w:rsidR="00FC141F">
        <w:rPr>
          <w:rFonts w:ascii="Times New Roman" w:hAnsi="Times New Roman"/>
          <w:sz w:val="24"/>
          <w:szCs w:val="24"/>
        </w:rPr>
        <w:t>centration</w:t>
      </w:r>
      <w:r w:rsidR="006A183E">
        <w:rPr>
          <w:rFonts w:ascii="Times New Roman" w:hAnsi="Times New Roman"/>
          <w:sz w:val="24"/>
          <w:szCs w:val="24"/>
        </w:rPr>
        <w:t xml:space="preserve"> (MIC) of</w:t>
      </w:r>
      <w:r w:rsidR="00FC141F">
        <w:rPr>
          <w:rFonts w:ascii="Times New Roman" w:hAnsi="Times New Roman"/>
          <w:sz w:val="24"/>
          <w:szCs w:val="24"/>
        </w:rPr>
        <w:t xml:space="preserve"> designed</w:t>
      </w:r>
      <w:r w:rsidR="006A183E">
        <w:rPr>
          <w:rFonts w:ascii="Times New Roman" w:hAnsi="Times New Roman"/>
          <w:sz w:val="24"/>
          <w:szCs w:val="24"/>
        </w:rPr>
        <w:t xml:space="preserve"> complex</w:t>
      </w:r>
      <w:r w:rsidR="00FC141F">
        <w:rPr>
          <w:rFonts w:ascii="Times New Roman" w:hAnsi="Times New Roman"/>
          <w:sz w:val="24"/>
          <w:szCs w:val="24"/>
        </w:rPr>
        <w:t xml:space="preserve"> was</w:t>
      </w:r>
      <w:r w:rsidR="00274B67">
        <w:rPr>
          <w:rFonts w:ascii="Times New Roman" w:hAnsi="Times New Roman"/>
          <w:sz w:val="24"/>
          <w:szCs w:val="24"/>
        </w:rPr>
        <w:t xml:space="preserve"> </w:t>
      </w:r>
      <w:r w:rsidR="00FC141F" w:rsidRPr="00F32451">
        <w:rPr>
          <w:rFonts w:ascii="Times New Roman" w:hAnsi="Times New Roman"/>
          <w:sz w:val="24"/>
          <w:szCs w:val="24"/>
        </w:rPr>
        <w:t>determined</w:t>
      </w:r>
      <w:r w:rsidR="00280CC3">
        <w:rPr>
          <w:rFonts w:ascii="Times New Roman" w:hAnsi="Times New Roman"/>
          <w:sz w:val="24"/>
          <w:szCs w:val="24"/>
        </w:rPr>
        <w:t xml:space="preserve"> </w:t>
      </w:r>
      <w:r w:rsidR="00274B67" w:rsidRPr="00C34DC7">
        <w:rPr>
          <w:rFonts w:ascii="Times New Roman" w:hAnsi="Times New Roman"/>
          <w:color w:val="000000" w:themeColor="text1"/>
          <w:sz w:val="24"/>
          <w:szCs w:val="24"/>
        </w:rPr>
        <w:t>by</w:t>
      </w:r>
      <w:r w:rsidR="00274B67">
        <w:rPr>
          <w:rFonts w:ascii="Times New Roman" w:hAnsi="Times New Roman"/>
          <w:sz w:val="24"/>
          <w:szCs w:val="24"/>
        </w:rPr>
        <w:t xml:space="preserve"> </w:t>
      </w:r>
      <w:r w:rsidR="00280CC3">
        <w:rPr>
          <w:rFonts w:ascii="Times New Roman" w:hAnsi="Times New Roman"/>
          <w:sz w:val="24"/>
          <w:szCs w:val="24"/>
        </w:rPr>
        <w:t>utilizing</w:t>
      </w:r>
      <w:r w:rsidR="00FA6F12" w:rsidRPr="00F32451">
        <w:rPr>
          <w:rFonts w:ascii="Times New Roman" w:hAnsi="Times New Roman"/>
          <w:sz w:val="24"/>
          <w:szCs w:val="24"/>
        </w:rPr>
        <w:t xml:space="preserve"> micro broth</w:t>
      </w:r>
      <w:r w:rsidR="00FA6F12">
        <w:rPr>
          <w:rFonts w:ascii="Times New Roman" w:hAnsi="Times New Roman"/>
          <w:sz w:val="24"/>
          <w:szCs w:val="24"/>
        </w:rPr>
        <w:t xml:space="preserve"> dilution method.</w:t>
      </w:r>
      <w:r w:rsidR="004C3358">
        <w:rPr>
          <w:rFonts w:ascii="Times New Roman" w:hAnsi="Times New Roman"/>
          <w:sz w:val="24"/>
          <w:szCs w:val="24"/>
        </w:rPr>
        <w:t xml:space="preserve"> </w:t>
      </w:r>
    </w:p>
    <w:p w14:paraId="7AEAF0CE" w14:textId="77777777" w:rsidR="00F413EB" w:rsidRPr="00217CBD" w:rsidRDefault="00F413EB" w:rsidP="00F413EB">
      <w:p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2.3.3 </w:t>
      </w:r>
      <w:r w:rsidRPr="00217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Cytotoxic activity </w:t>
      </w:r>
    </w:p>
    <w:p w14:paraId="22250407" w14:textId="77777777" w:rsidR="00F413EB" w:rsidRPr="00217CBD" w:rsidRDefault="00F413EB" w:rsidP="00F413EB">
      <w:p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17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Cell culture and growth medium</w:t>
      </w:r>
    </w:p>
    <w:p w14:paraId="190EEFCD" w14:textId="0DBAC450" w:rsidR="00F413EB" w:rsidRPr="00845BE8" w:rsidRDefault="00F413EB" w:rsidP="00F413EB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effect of complex on the viability of PANC-1 was determined using the colorimetric MTT </w:t>
      </w:r>
      <w:r w:rsidR="0023673D">
        <w:rPr>
          <w:rFonts w:ascii="Times New Roman" w:hAnsi="Times New Roman" w:cs="Times New Roman"/>
          <w:color w:val="000000" w:themeColor="text1"/>
          <w:sz w:val="24"/>
          <w:szCs w:val="24"/>
        </w:rPr>
        <w:t>assay</w:t>
      </w:r>
      <w:r w:rsidR="00845B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Cells were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seeded in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96 well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tissue culture treated plates (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>1×10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cells/well).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>The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ells were incubated with respective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concentrations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(325, 650, 468 µg/mL) of the complex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>for 24 and 48 hours at 37 °C and 5% CO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supply in a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74B67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incubator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Upon completion of incubation, 20 </w:t>
      </w:r>
      <w:r>
        <w:rPr>
          <w:rFonts w:ascii="Calibri" w:hAnsi="Calibri" w:cs="Calibri"/>
          <w:color w:val="000000" w:themeColor="text1"/>
          <w:sz w:val="24"/>
          <w:szCs w:val="24"/>
        </w:rPr>
        <w:t>µ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>l of MTT solution (5m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g/mL) was added to each well. After 4 hours,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medium was removed and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>200µl of DMSO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added to solubilize formazan crystals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percentage growth inhibition was calculated from the dose-dependent curves for the cell line.</w:t>
      </w:r>
    </w:p>
    <w:p w14:paraId="6D1248FD" w14:textId="77777777" w:rsidR="00C510DF" w:rsidRPr="008C16B2" w:rsidRDefault="00C510DF" w:rsidP="00C510D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3. Results and discussion</w:t>
      </w:r>
    </w:p>
    <w:p w14:paraId="7186FC1E" w14:textId="77777777" w:rsidR="00C510DF" w:rsidRPr="008C16B2" w:rsidRDefault="00C510DF" w:rsidP="00C510D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3.1 Spectral characterization</w:t>
      </w:r>
    </w:p>
    <w:p w14:paraId="62830A33" w14:textId="00062536" w:rsidR="000D0D76" w:rsidRPr="008C16B2" w:rsidRDefault="0022657A" w:rsidP="0072198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FT-IR </w:t>
      </w:r>
      <w:r w:rsidR="004570DE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absorption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spectrum </w:t>
      </w:r>
      <w:r w:rsidR="005A71F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for the complex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depicted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845B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he broad peak at 3416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cm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9A260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ascribes to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5753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ν(OH) vibrations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from </w:t>
      </w:r>
      <w:r w:rsidR="00B15AB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water molecules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785F" w:rsidRPr="00906B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</w:t>
      </w:r>
      <w:r w:rsidR="00BF785F" w:rsidRPr="00906B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="00906B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</w:t>
      </w:r>
      <w:proofErr w:type="spellStart"/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accharinate</w:t>
      </w:r>
      <w:proofErr w:type="spellEnd"/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anion was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remarkably characterized by strong IR peak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due to the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existence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carbonyl and sulfonyl group. </w:t>
      </w:r>
      <w:r w:rsidR="00D6302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63027" w:rsidRPr="008C16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ν</w:t>
      </w:r>
      <w:r w:rsidR="00D6302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(CO) stretchin</w:t>
      </w:r>
      <w:r w:rsidR="003A727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vibration was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elucidated </w:t>
      </w:r>
      <w:r w:rsidR="003A727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at 1677</w:t>
      </w:r>
      <w:r w:rsidR="00D6302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cm</w:t>
      </w:r>
      <w:r w:rsidR="00D63027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765CB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was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relatively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comparable</w:t>
      </w:r>
      <w:r w:rsidR="00765CB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765CB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</w:t>
      </w:r>
      <w:r w:rsidR="0030495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earlier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vibrational analysis</w:t>
      </w:r>
      <w:r w:rsidR="00B15A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various </w:t>
      </w:r>
      <w:r w:rsidR="00971FE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metal </w:t>
      </w:r>
      <w:proofErr w:type="spellStart"/>
      <w:r w:rsidR="00971FE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sacc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6D42A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arinates</w:t>
      </w:r>
      <w:proofErr w:type="spellEnd"/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85F" w:rsidRPr="00906BFF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</w:rPr>
        <w:t>18,19</w:t>
      </w:r>
      <w:r w:rsidR="00BF785F" w:rsidRPr="00906BF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9A26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5CB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vibration for </w:t>
      </w:r>
      <w:r w:rsidR="00B15AB5" w:rsidRPr="008C16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ν</w:t>
      </w:r>
      <w:r w:rsidR="00B15A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(CO) mode </w:t>
      </w:r>
      <w:r w:rsidR="00055480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predicted </w:t>
      </w:r>
      <w:r w:rsidR="00055480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at 1725 cm</w:t>
      </w:r>
      <w:r w:rsidR="00055480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proofErr w:type="gramStart"/>
      <w:r w:rsidR="00055480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 </w:t>
      </w:r>
      <w:r w:rsidR="006D42A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="006D42A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free saccharin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85F" w:rsidRPr="003E3C0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F785F" w:rsidRPr="003E3C0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249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which was quite lowered</w:t>
      </w:r>
      <w:r w:rsidR="00765CBA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5CB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This decrease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in wavenumber may be attributed to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5A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metal–</w:t>
      </w:r>
      <w:proofErr w:type="spellStart"/>
      <w:r w:rsidR="00B15A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saccharin</w:t>
      </w:r>
      <w:r w:rsidR="00FC11C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ate</w:t>
      </w:r>
      <w:proofErr w:type="spellEnd"/>
      <w:r w:rsidR="00B15AB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bonding (through nitrogen).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sulphonyl stretching, </w:t>
      </w:r>
      <w:r w:rsidR="00C20F3D" w:rsidRPr="008C16B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ν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(SO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06640B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mode </w:t>
      </w:r>
      <w:r w:rsidR="00FC11C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the asymmetric and symmetric vibrations </w:t>
      </w:r>
      <w:r w:rsidR="0006640B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was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A0D">
        <w:rPr>
          <w:rFonts w:ascii="Times New Roman" w:hAnsi="Times New Roman" w:cs="Times New Roman"/>
          <w:color w:val="000000" w:themeColor="text1"/>
          <w:sz w:val="24"/>
          <w:szCs w:val="24"/>
        </w:rPr>
        <w:t>visualized</w:t>
      </w:r>
      <w:r w:rsidR="0035064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C25A0D">
        <w:rPr>
          <w:rFonts w:ascii="Times New Roman" w:hAnsi="Times New Roman" w:cs="Times New Roman"/>
          <w:color w:val="000000" w:themeColor="text1"/>
          <w:sz w:val="24"/>
          <w:szCs w:val="24"/>
        </w:rPr>
        <w:t>distinctive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064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bands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around 1265 cm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1144 cm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</w:t>
      </w:r>
      <w:r w:rsidR="00C25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values were quite </w:t>
      </w:r>
      <w:r w:rsidR="00C25A0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analogous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free saccharin 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absorption band 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(1360 and 1180 cm</w:t>
      </w:r>
      <w:r w:rsidR="00207E59" w:rsidRPr="008C16B2">
        <w:rPr>
          <w:rFonts w:ascii="Times New Roman" w:eastAsia="MTSY" w:hAnsi="Times New Roman" w:cs="Times New Roman"/>
          <w:color w:val="000000" w:themeColor="text1"/>
          <w:sz w:val="24"/>
          <w:szCs w:val="24"/>
          <w:vertAlign w:val="superscript"/>
        </w:rPr>
        <w:t>−</w:t>
      </w:r>
      <w:r w:rsidR="00207E59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0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BF785F" w:rsidRPr="00906BFF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906B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2B37BE" w14:textId="77777777" w:rsidR="00987219" w:rsidRPr="008C16B2" w:rsidRDefault="004B5FD8" w:rsidP="0072198F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H NMR spectra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was </w:t>
      </w:r>
      <w:r w:rsidR="00037249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visualized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DMSO-</w:t>
      </w:r>
      <w:r w:rsidRPr="008C16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</w:t>
      </w:r>
      <w:r w:rsidR="00966633" w:rsidRPr="00C25A0D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6</w:t>
      </w:r>
      <w:r w:rsidR="0072198F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as a solvent</w:t>
      </w:r>
      <w:r w:rsidR="004570D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4C3358">
        <w:rPr>
          <w:rFonts w:ascii="Times New Roman" w:hAnsi="Times New Roman" w:cs="Times New Roman"/>
          <w:color w:val="000000" w:themeColor="text1"/>
          <w:sz w:val="24"/>
          <w:szCs w:val="24"/>
        </w:rPr>
        <w:t>internal reference TMS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NMR, </w:t>
      </w:r>
      <w:r w:rsidR="00FC11C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 </w:t>
      </w:r>
      <w:proofErr w:type="spellStart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doublets</w:t>
      </w:r>
      <w:proofErr w:type="spellEnd"/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two triplets peaks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0D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visualized </w:t>
      </w:r>
      <w:r w:rsidR="006C142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suggestive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two bipyridine rings. </w:t>
      </w:r>
      <w:r w:rsidR="006229C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aromatic protons were </w:t>
      </w:r>
      <w:r w:rsidR="006C142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witnessed</w:t>
      </w:r>
      <w:r w:rsidR="009353A1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range 8.96 -8.13</w:t>
      </w:r>
      <w:r w:rsidR="00295DB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ppm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85F" w:rsidRPr="003E3C0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BF785F" w:rsidRPr="003E3C0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3E3C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6BD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36BD5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D36BD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NMR </w:t>
      </w:r>
      <w:r w:rsidR="006C142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demonstrated </w:t>
      </w:r>
      <w:r w:rsidR="00D36BD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C142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probable</w:t>
      </w:r>
      <w:r w:rsidR="00D36BD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signals for the </w:t>
      </w:r>
      <w:proofErr w:type="spellStart"/>
      <w:r w:rsidR="00D36BD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saccharinate</w:t>
      </w:r>
      <w:proofErr w:type="spellEnd"/>
      <w:r w:rsidR="00D36BD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ligand w</w:t>
      </w:r>
      <w:r w:rsidR="007231C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ith </w:t>
      </w:r>
      <w:proofErr w:type="spellStart"/>
      <w:r w:rsidR="007231C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multiplets</w:t>
      </w:r>
      <w:proofErr w:type="spellEnd"/>
      <w:r w:rsidR="007231C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 7.66-7.57</w:t>
      </w:r>
      <w:r w:rsidR="00D36BD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ppm</w:t>
      </w:r>
      <w:r w:rsidR="00A20C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(S5)</w:t>
      </w:r>
      <w:r w:rsidR="00D36BD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C142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Related</w:t>
      </w:r>
      <w:r w:rsidR="007231C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peak for </w:t>
      </w:r>
      <w:proofErr w:type="spellStart"/>
      <w:r w:rsidR="0072198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F2F94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accharinate</w:t>
      </w:r>
      <w:proofErr w:type="spellEnd"/>
      <w:r w:rsidR="0072198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1427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C25A0D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reported</w:t>
      </w:r>
      <w:r w:rsidR="003E3C0B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literature </w:t>
      </w:r>
      <w:r w:rsidR="00BF785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BF785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3E3C0B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2198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5A0D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The newly designed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complex </w:t>
      </w:r>
      <w:proofErr w:type="spellStart"/>
      <w:r w:rsidR="0072198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F2F94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accharinate</w:t>
      </w:r>
      <w:proofErr w:type="spellEnd"/>
      <w:r w:rsidR="0072198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C25A0D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witness</w:t>
      </w:r>
      <w:r w:rsidR="006C1427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 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to have total of 20 protons</w:t>
      </w:r>
      <w:r w:rsidR="006C1427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="00C25A0D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d starting material was witnessed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have </w:t>
      </w:r>
      <w:r w:rsidR="006C1427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a total of 16 protons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6C1427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 NMR was relatively consistent 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the </w:t>
      </w:r>
      <w:r w:rsidR="006C1427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suggested</w:t>
      </w:r>
      <w:r w:rsidR="00C510D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stoichiometry of </w:t>
      </w:r>
      <w:proofErr w:type="spellStart"/>
      <w:r w:rsidR="0072198F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F2F94" w:rsidRPr="00C34DC7">
        <w:rPr>
          <w:rFonts w:ascii="Times New Roman" w:hAnsi="Times New Roman" w:cs="Times New Roman"/>
          <w:color w:val="000000" w:themeColor="text1"/>
          <w:sz w:val="24"/>
          <w:szCs w:val="24"/>
        </w:rPr>
        <w:t>accharinate</w:t>
      </w:r>
      <w:proofErr w:type="spellEnd"/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0D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complex</w:t>
      </w:r>
      <w:r w:rsidR="00FE65E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896A91" w14:textId="77777777" w:rsidR="00266A2E" w:rsidRPr="008C16B2" w:rsidRDefault="00FA7029" w:rsidP="00266A2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3.2</w:t>
      </w:r>
      <w:r w:rsidR="00266A2E" w:rsidRPr="008C16B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Thermal analysis</w:t>
      </w:r>
    </w:p>
    <w:p w14:paraId="5ACA0CB3" w14:textId="77777777" w:rsidR="00266A2E" w:rsidRPr="008C16B2" w:rsidRDefault="00266A2E" w:rsidP="00266A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study </w:t>
      </w:r>
      <w:r w:rsidR="00A3118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thermal </w:t>
      </w:r>
      <w:r w:rsidR="00D76C6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breakdown of this </w:t>
      </w:r>
      <w:r w:rsidR="005A71F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complex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was </w:t>
      </w:r>
      <w:r w:rsidR="00D76C6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accomplished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D76C6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</w:t>
      </w:r>
      <w:r w:rsidR="002A4079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temper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ature</w:t>
      </w:r>
      <w:r w:rsidR="00A3118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range 25-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1000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D76C6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under nitrogen atmosphere</w:t>
      </w:r>
      <w:r w:rsidR="00C25A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(S4)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A3118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</w:t>
      </w:r>
      <w:r w:rsidR="00D76C6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 results are comparable </w:t>
      </w:r>
      <w:r w:rsidR="00A3118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the theoretical formula </w:t>
      </w:r>
      <w:r w:rsidR="00D76C6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proposed</w:t>
      </w:r>
      <w:r w:rsidR="00A3118B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elemental analysis.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142C0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complex is </w:t>
      </w:r>
      <w:r w:rsidR="00D76C6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constant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142C0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upto</w:t>
      </w:r>
      <w:proofErr w:type="spellEnd"/>
      <w:r w:rsidR="00142C0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160</w:t>
      </w:r>
      <w:r w:rsidR="00142C0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142C0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 and its decomposition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initiated </w:t>
      </w:r>
      <w:r w:rsidR="00142C0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at this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point</w:t>
      </w:r>
      <w:r w:rsidR="00142C0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The first mass loss was 8.79%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equivalent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</w:t>
      </w:r>
      <w:r w:rsidR="004952C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three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water molecules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loss </w:t>
      </w:r>
      <w:r w:rsidR="004952C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4952CF" w:rsidRPr="008C16B2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ca.</w:t>
      </w:r>
      <w:r w:rsidR="004952C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8.78</w:t>
      </w:r>
      <w:r w:rsidR="004B5FD8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%)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 At </w:t>
      </w:r>
      <w:r w:rsidR="00D57B42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temp</w:t>
      </w:r>
      <w:r w:rsidR="00D57B42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erature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86B7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310</w:t>
      </w:r>
      <w:r w:rsidR="00686B7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686B76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4952C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the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decomposition of </w:t>
      </w:r>
      <w:proofErr w:type="spellStart"/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accharinate</w:t>
      </w:r>
      <w:proofErr w:type="spellEnd"/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952C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molecule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occurs with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experimental mass loss (30.65</w:t>
      </w:r>
      <w:r w:rsidR="007135E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%</w:t>
      </w:r>
      <w:r w:rsidR="004952C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is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relatively nearer</w:t>
      </w:r>
      <w:r w:rsidR="00C25A0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the calculated one 30.6</w:t>
      </w:r>
      <w:r w:rsidR="004952CF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8%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decomposition temperature of </w:t>
      </w:r>
      <w:proofErr w:type="spellStart"/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sacc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arinato</w:t>
      </w:r>
      <w:proofErr w:type="spellEnd"/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ion in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title 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complex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ensues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at 23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higher temperature in contrast to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pure saccharin (287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C) which might be conveyed to the robust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interaction between </w:t>
      </w:r>
      <w:proofErr w:type="spellStart"/>
      <w:r w:rsidR="0072198F" w:rsidRPr="00641D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5F2F94" w:rsidRPr="00641D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accharinate</w:t>
      </w:r>
      <w:proofErr w:type="spellEnd"/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proofErr w:type="gramStart"/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Co(</w:t>
      </w:r>
      <w:proofErr w:type="gramEnd"/>
      <w:r w:rsidR="00435EAA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III) ion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F785F" w:rsidRPr="003E3C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24</w:t>
      </w:r>
      <w:r w:rsidR="00BF785F" w:rsidRPr="003E3C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="003E3C0B" w:rsidRPr="003E3C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EB64C3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Further </w:t>
      </w:r>
      <w:r w:rsidR="006125E5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heating</w:t>
      </w:r>
      <w:r w:rsidR="00EB64C3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caused the complete decomposition</w:t>
      </w:r>
      <w:r w:rsidR="00372D4C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</w:p>
    <w:p w14:paraId="14560892" w14:textId="77777777" w:rsidR="009554C2" w:rsidRPr="008C16B2" w:rsidRDefault="00FA7029" w:rsidP="009554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3.3</w:t>
      </w:r>
      <w:r w:rsidR="009554C2"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Crystal structure description</w:t>
      </w:r>
    </w:p>
    <w:p w14:paraId="43937ED6" w14:textId="4AE63AB6" w:rsidR="009554C2" w:rsidRPr="008C16B2" w:rsidRDefault="009554C2" w:rsidP="0072198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X-ray crystallogr</w:t>
      </w:r>
      <w:r w:rsidR="00EB64C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aphy technique</w:t>
      </w:r>
      <w:r w:rsidR="004570D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employed for visualizing the structural features of this novel architecture</w:t>
      </w:r>
      <w:r w:rsidR="00EB64C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complex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crystallizes i</w:t>
      </w:r>
      <w:r w:rsidR="00517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triclinic </w:t>
      </w:r>
      <w:r w:rsidR="003D1BC7" w:rsidRPr="008C16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P-1</w:t>
      </w:r>
      <w:r w:rsidR="007219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space group. The asymmetric un</w:t>
      </w:r>
      <w:r w:rsidR="00EB64C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it comprised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[Co(</w:t>
      </w:r>
      <w:proofErr w:type="spellStart"/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bipy</w:t>
      </w:r>
      <w:proofErr w:type="spellEnd"/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proofErr w:type="gramStart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proofErr w:type="gramEnd"/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EB64C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in inner sphere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EB64C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accharinate</w:t>
      </w:r>
      <w:proofErr w:type="spellEnd"/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anion and three guest</w:t>
      </w:r>
      <w:r w:rsidR="00EB64C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water molecules in outer sphere</w:t>
      </w:r>
      <w:r w:rsidR="00D53B33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76F4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</w:t>
      </w:r>
      <w:r w:rsidR="00AC1CE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F31CF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gramStart"/>
      <w:r w:rsidR="00F31CF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Co(</w:t>
      </w:r>
      <w:proofErr w:type="gramEnd"/>
      <w:r w:rsidR="00F31CF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III) ion ha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F31CF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distorted octahedral geometry comprising of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two bidentate 2,2'-bipyridine </w:t>
      </w:r>
      <w:r w:rsidR="00F31CF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one bidentate symmetrical chelating carbonate anion.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Co (III) </w:t>
      </w:r>
      <w:r w:rsidR="00EE59D0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metal </w:t>
      </w:r>
      <w:r w:rsidR="001819F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centre possesses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N1, N2, N4, O1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at the equatorial positions and N3, O2 at the axial position. The </w:t>
      </w:r>
      <w:r w:rsidR="00C408E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extreme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deviation from the </w:t>
      </w:r>
      <w:r w:rsidR="00C408E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consistent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octahedral geometry in </w:t>
      </w:r>
      <w:r w:rsidRPr="008C16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cis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angle (N1</w:t>
      </w:r>
      <w:r w:rsidRPr="008C16B2">
        <w:rPr>
          <w:rFonts w:ascii="Times New Roman" w:eastAsia="AdvOT8608a8d1+22" w:hAnsi="Times New Roman" w:cs="Times New Roman"/>
          <w:color w:val="000000" w:themeColor="text1"/>
          <w:sz w:val="24"/>
          <w:szCs w:val="24"/>
        </w:rPr>
        <w:t>−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Co1</w:t>
      </w:r>
      <w:r w:rsidRPr="008C16B2">
        <w:rPr>
          <w:rFonts w:ascii="Times New Roman" w:eastAsia="AdvOT8608a8d1+22" w:hAnsi="Times New Roman" w:cs="Times New Roman"/>
          <w:color w:val="000000" w:themeColor="text1"/>
          <w:sz w:val="24"/>
          <w:szCs w:val="24"/>
        </w:rPr>
        <w:t>−</w:t>
      </w:r>
      <w:r w:rsidR="001819F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O2</w:t>
      </w:r>
      <w:r w:rsidR="00A708B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) is 9.54°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 </w:t>
      </w:r>
      <w:r w:rsidRPr="008C16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trans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angle (N1</w:t>
      </w:r>
      <w:r w:rsidRPr="008C16B2">
        <w:rPr>
          <w:rFonts w:ascii="Times New Roman" w:eastAsia="AdvOT8608a8d1+22" w:hAnsi="Times New Roman" w:cs="Times New Roman"/>
          <w:color w:val="000000" w:themeColor="text1"/>
          <w:sz w:val="24"/>
          <w:szCs w:val="24"/>
        </w:rPr>
        <w:t>−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Co1</w:t>
      </w:r>
      <w:r w:rsidRPr="008C16B2">
        <w:rPr>
          <w:rFonts w:ascii="Times New Roman" w:eastAsia="AdvOT8608a8d1+22" w:hAnsi="Times New Roman" w:cs="Times New Roman"/>
          <w:color w:val="000000" w:themeColor="text1"/>
          <w:sz w:val="24"/>
          <w:szCs w:val="24"/>
        </w:rPr>
        <w:t>−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O1) is 13.07° from the ideal value of </w:t>
      </w:r>
      <w:r w:rsidR="00A708B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90° and 180° </w:t>
      </w:r>
      <w:r w:rsidR="00C408E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correspondingly (Table 2</w:t>
      </w:r>
      <w:r w:rsidR="00EE59D0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408E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Both </w:t>
      </w:r>
      <w:r w:rsidR="00EE59D0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408E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chelate rings are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planar</w:t>
      </w:r>
      <w:r w:rsidR="00C408E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C408E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rigid</w:t>
      </w:r>
      <w:proofErr w:type="gramEnd"/>
      <w:r w:rsidR="00C408E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nearly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perpendicular to each other having a dihedral angle of 92.81</w:t>
      </w: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˚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75C19F" w14:textId="77777777" w:rsidR="009554C2" w:rsidRPr="008C16B2" w:rsidRDefault="007912CB" w:rsidP="002C7D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C16B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w:drawing>
          <wp:inline distT="0" distB="0" distL="0" distR="0" wp14:anchorId="61E707C5" wp14:editId="7721FF88">
            <wp:extent cx="3013862" cy="2845613"/>
            <wp:effectExtent l="0" t="0" r="0" b="0"/>
            <wp:docPr id="2" name="Picture 2" descr="C:\Users\sanaa\Downloads\ORTEP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a\Downloads\ORTEP (1)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50" t="2633" r="23407" b="8779"/>
                    <a:stretch/>
                  </pic:blipFill>
                  <pic:spPr bwMode="auto">
                    <a:xfrm>
                      <a:off x="0" y="0"/>
                      <a:ext cx="3016259" cy="284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919721" w14:textId="77777777" w:rsidR="002C7DBE" w:rsidRPr="008C16B2" w:rsidRDefault="002C7DBE" w:rsidP="002C7D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185F8077" w14:textId="77777777" w:rsidR="009554C2" w:rsidRDefault="00E76F45" w:rsidP="009554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r w:rsidR="00AC1CEC"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9554C2"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ORTEP diagram of the complex salt with partial</w:t>
      </w:r>
      <w:r w:rsidR="00832F9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atom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numbering scheme. The displacement ellipsoids are drawn at 40% probability (guest water molecules are removed for clarity).</w:t>
      </w:r>
    </w:p>
    <w:p w14:paraId="22D026E8" w14:textId="77777777" w:rsidR="00F56526" w:rsidRPr="008C16B2" w:rsidRDefault="00142E54" w:rsidP="00F5652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F56526">
        <w:rPr>
          <w:rFonts w:ascii="Times New Roman" w:hAnsi="Times New Roman" w:cs="Times New Roman"/>
          <w:color w:val="000000" w:themeColor="text1"/>
          <w:sz w:val="24"/>
          <w:szCs w:val="24"/>
        </w:rPr>
        <w:t>rystal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lographic</w:t>
      </w:r>
      <w:r w:rsidR="00F56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ata and structure refinement </w:t>
      </w:r>
      <w:r w:rsidR="00F565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F56526" w:rsidRPr="00641D93">
        <w:rPr>
          <w:rFonts w:ascii="Times New Roman" w:hAnsi="Times New Roman" w:cs="Times New Roman"/>
          <w:color w:val="000000" w:themeColor="text1"/>
          <w:sz w:val="24"/>
          <w:szCs w:val="24"/>
        </w:rPr>
        <w:t>précised</w:t>
      </w:r>
      <w:r w:rsidR="00F565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Table 1-2. In the complex, the bond lengths </w:t>
      </w:r>
      <w:r w:rsidR="00EB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bond angles of </w:t>
      </w:r>
      <w:r w:rsidR="00EB5DFF" w:rsidRPr="00324C5D">
        <w:rPr>
          <w:rFonts w:ascii="Times New Roman" w:hAnsi="Times New Roman" w:cs="Times New Roman"/>
          <w:color w:val="000000" w:themeColor="text1"/>
          <w:sz w:val="24"/>
          <w:szCs w:val="24"/>
        </w:rPr>
        <w:t>Co ̶ N</w:t>
      </w:r>
      <w:r w:rsidR="00EB5DFF" w:rsidRPr="000B457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bipyridine</w:t>
      </w:r>
      <w:r w:rsidR="00EB5DFF" w:rsidRPr="00324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 ̶ </w:t>
      </w:r>
      <w:proofErr w:type="spellStart"/>
      <w:r w:rsidR="00EB5DFF" w:rsidRPr="00324C5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B5DFF" w:rsidRPr="000B4578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carbonato</w:t>
      </w:r>
      <w:proofErr w:type="spellEnd"/>
      <w:r w:rsidR="00EB5D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65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are comparable</w:t>
      </w:r>
      <w:r w:rsidR="00F565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those of similar complexes in literature 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</w:rPr>
        <w:t>[25</w:t>
      </w:r>
      <w:r w:rsidR="00F56526" w:rsidRPr="003E3C0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3E3C0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671454F" w14:textId="62A01D9A" w:rsidR="009554C2" w:rsidRPr="008C16B2" w:rsidRDefault="005D2726" w:rsidP="0072198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In the complex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3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hydrogen bonding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associations are illustrated</w:t>
      </w:r>
      <w:r w:rsidR="00E76F4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Figure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1CE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55FE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Non-covalent interactions such as</w:t>
      </w:r>
      <w:r w:rsidR="00A261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C‒H···O (</w:t>
      </w:r>
      <w:proofErr w:type="spellStart"/>
      <w:r w:rsidR="00A261E2">
        <w:rPr>
          <w:rFonts w:ascii="Times New Roman" w:hAnsi="Times New Roman" w:cs="Times New Roman"/>
          <w:color w:val="000000" w:themeColor="text1"/>
          <w:sz w:val="24"/>
          <w:szCs w:val="24"/>
        </w:rPr>
        <w:t>bpy</w:t>
      </w:r>
      <w:proofErr w:type="spellEnd"/>
      <w:r w:rsidR="00A261E2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sacc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arinate</w:t>
      </w:r>
      <w:proofErr w:type="spellEnd"/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stabilize the crystal lattice.</w:t>
      </w:r>
    </w:p>
    <w:p w14:paraId="627CB5EC" w14:textId="77777777" w:rsidR="009554C2" w:rsidRPr="008C16B2" w:rsidRDefault="002D5277" w:rsidP="009554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8C16B2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w:lastRenderedPageBreak/>
        <w:drawing>
          <wp:inline distT="0" distB="0" distL="0" distR="0" wp14:anchorId="6E5504FB" wp14:editId="4EAD05B2">
            <wp:extent cx="3752696" cy="2618841"/>
            <wp:effectExtent l="0" t="0" r="635" b="0"/>
            <wp:docPr id="4" name="Picture 4" descr="C:\Users\sanaa\Desktop\New folder (2)\h-bondin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aa\Desktop\New folder (2)\h-bonding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44" t="4545" r="17691" b="5195"/>
                    <a:stretch/>
                  </pic:blipFill>
                  <pic:spPr bwMode="auto">
                    <a:xfrm>
                      <a:off x="0" y="0"/>
                      <a:ext cx="3752698" cy="261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5C10D9" w14:textId="77777777" w:rsidR="00F56526" w:rsidRDefault="00F56526" w:rsidP="009554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FF472D" w14:textId="77777777" w:rsidR="009554C2" w:rsidRPr="008C16B2" w:rsidRDefault="00E76F45" w:rsidP="009554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</w:t>
      </w:r>
      <w:proofErr w:type="gramStart"/>
      <w:r w:rsidR="00AC1CEC"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9554C2"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ORTEP</w:t>
      </w:r>
      <w:proofErr w:type="gramEnd"/>
      <w:r w:rsidR="005D27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diagram of complex salt depicting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chains of hydrogen bonding between </w:t>
      </w:r>
      <w:r w:rsidR="009554C2" w:rsidRPr="008376C2">
        <w:rPr>
          <w:rFonts w:ascii="Times New Roman" w:hAnsi="Times New Roman" w:cs="Times New Roman"/>
          <w:color w:val="000000" w:themeColor="text1"/>
        </w:rPr>
        <w:t xml:space="preserve">Co 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complex and </w:t>
      </w:r>
      <w:proofErr w:type="spellStart"/>
      <w:r w:rsidR="0072198F" w:rsidRPr="00641D9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F2F94" w:rsidRPr="00641D93">
        <w:rPr>
          <w:rFonts w:ascii="Times New Roman" w:hAnsi="Times New Roman" w:cs="Times New Roman"/>
          <w:color w:val="000000" w:themeColor="text1"/>
          <w:sz w:val="24"/>
          <w:szCs w:val="24"/>
        </w:rPr>
        <w:t>accharinate</w:t>
      </w:r>
      <w:proofErr w:type="spellEnd"/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ion</w:t>
      </w:r>
    </w:p>
    <w:p w14:paraId="375A43DE" w14:textId="0DA3EE69" w:rsidR="009554C2" w:rsidRPr="008C16B2" w:rsidRDefault="009554C2" w:rsidP="0072198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5D27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 the complex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5D27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observed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down </w:t>
      </w:r>
      <w:proofErr w:type="gramStart"/>
      <w:r w:rsidRPr="008C16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proofErr w:type="gramEnd"/>
      <w:r w:rsidR="00B4790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axis</w:t>
      </w:r>
      <w:r w:rsidR="005D27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packing</w:t>
      </w:r>
      <w:r w:rsidR="00B4790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76F4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Figure </w:t>
      </w:r>
      <w:r w:rsidR="00AC1CE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E521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E521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6E521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bilayered</w:t>
      </w:r>
      <w:proofErr w:type="spellEnd"/>
      <w:r w:rsidR="006E521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structure was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7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envisaged</w:t>
      </w:r>
      <w:r w:rsidR="00D64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where set of</w:t>
      </w:r>
      <w:r w:rsidR="00721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7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cations</w:t>
      </w:r>
      <w:r w:rsidR="006E521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creates every layer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in 180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°</w:t>
      </w:r>
      <w:r w:rsidR="006E521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manne</w:t>
      </w:r>
      <w:r w:rsidR="00D64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with the anionic moieties </w:t>
      </w:r>
      <w:r w:rsidR="006E521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off-sand</w:t>
      </w:r>
      <w:r w:rsidR="00D64D76">
        <w:rPr>
          <w:rFonts w:ascii="Times New Roman" w:hAnsi="Times New Roman" w:cs="Times New Roman"/>
          <w:color w:val="000000" w:themeColor="text1"/>
          <w:sz w:val="24"/>
          <w:szCs w:val="24"/>
        </w:rPr>
        <w:t>wiched among two cation counterparts</w:t>
      </w:r>
      <w:r w:rsidR="006E521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facing to different directions viewing along </w:t>
      </w:r>
      <w:r w:rsidR="006E5216" w:rsidRPr="008C16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</w:t>
      </w:r>
      <w:r w:rsidR="006E521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-axis.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π–π stack</w:t>
      </w:r>
      <w:r w:rsidR="00BC61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ing of 3.862 Å </w:t>
      </w:r>
      <w:r w:rsidR="005D2726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is visualized for bipyridine</w:t>
      </w:r>
      <w:r w:rsidR="0083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74DB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three guest water molecules formed </w:t>
      </w:r>
      <w:r w:rsidR="00D64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robust </w:t>
      </w:r>
      <w:r w:rsidR="00D64D7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hydrogen bond</w:t>
      </w:r>
      <w:r w:rsidR="00874DB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interactions such as </w:t>
      </w:r>
      <w:r w:rsidR="00874DB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O‒H···O (water/</w:t>
      </w:r>
      <w:proofErr w:type="spellStart"/>
      <w:r w:rsidR="00874DB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saccharinate</w:t>
      </w:r>
      <w:proofErr w:type="spellEnd"/>
      <w:r w:rsidR="00874DB7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), O‒H···O (water/water) and O‒H···O (water</w:t>
      </w:r>
      <w:r w:rsidR="00CD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/carbonate) thus stabilising </w:t>
      </w:r>
      <w:r w:rsidR="00874DB7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lattice.</w:t>
      </w:r>
    </w:p>
    <w:p w14:paraId="1CEA702C" w14:textId="77777777" w:rsidR="009554C2" w:rsidRPr="008C16B2" w:rsidRDefault="00D819A3" w:rsidP="009554C2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n-IN"/>
        </w:rPr>
        <w:drawing>
          <wp:inline distT="0" distB="0" distL="0" distR="0" wp14:anchorId="5EC068E3" wp14:editId="1684A389">
            <wp:extent cx="3599079" cy="2355494"/>
            <wp:effectExtent l="0" t="0" r="1905" b="6985"/>
            <wp:docPr id="5" name="Picture 5" descr="C:\Users\sanaa\Desktop\New folder (2)\packing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aa\Desktop\New folder (2)\packing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30" t="13660" r="19860" b="3349"/>
                    <a:stretch/>
                  </pic:blipFill>
                  <pic:spPr bwMode="auto">
                    <a:xfrm>
                      <a:off x="0" y="0"/>
                      <a:ext cx="3598514" cy="235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DDF743" w14:textId="77777777" w:rsidR="009554C2" w:rsidRPr="008C16B2" w:rsidRDefault="00E76F45" w:rsidP="009554C2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</w:t>
      </w:r>
      <w:r w:rsidR="00AC1CEC"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3</w:t>
      </w:r>
      <w:r w:rsidR="009554C2"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3113B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lattice 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along </w:t>
      </w:r>
      <w:r w:rsidR="009554C2" w:rsidRPr="008C16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</w:t>
      </w:r>
      <w:r w:rsidR="00D64D76">
        <w:rPr>
          <w:rFonts w:ascii="Times New Roman" w:hAnsi="Times New Roman" w:cs="Times New Roman"/>
          <w:color w:val="000000" w:themeColor="text1"/>
          <w:sz w:val="24"/>
          <w:szCs w:val="24"/>
        </w:rPr>
        <w:t>-axis depicting</w:t>
      </w:r>
      <w:r w:rsidR="009554C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chain of layers of a cationic complex salt</w:t>
      </w:r>
    </w:p>
    <w:p w14:paraId="6087C98C" w14:textId="64FDDDFA" w:rsidR="009554C2" w:rsidRPr="008C16B2" w:rsidRDefault="009554C2" w:rsidP="001E40C5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1: </w:t>
      </w:r>
      <w:r w:rsidR="001819F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Crysta</w:t>
      </w:r>
      <w:r w:rsidR="001E40C5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l detail</w:t>
      </w:r>
      <w:r w:rsidR="00837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refinement </w:t>
      </w:r>
      <w:r w:rsidR="002E43D8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particular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title complex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2499" w:type="pct"/>
        <w:jc w:val="center"/>
        <w:tblLook w:val="04A0" w:firstRow="1" w:lastRow="0" w:firstColumn="1" w:lastColumn="0" w:noHBand="0" w:noVBand="1"/>
      </w:tblPr>
      <w:tblGrid>
        <w:gridCol w:w="2252"/>
        <w:gridCol w:w="2254"/>
      </w:tblGrid>
      <w:tr w:rsidR="00B0742C" w:rsidRPr="008C16B2" w14:paraId="05946E20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F75E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Empirical formula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C67E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28</w:t>
            </w: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="00C96C81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20</w:t>
            </w: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CoN</w:t>
            </w: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B0742C" w:rsidRPr="008C16B2" w14:paraId="060680D1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6465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CCDC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075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2014541</w:t>
            </w:r>
          </w:p>
        </w:tc>
      </w:tr>
      <w:tr w:rsidR="00B0742C" w:rsidRPr="008C16B2" w14:paraId="0DC4F48C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8584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(g mol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-1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E1E6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614.49</w:t>
            </w:r>
          </w:p>
        </w:tc>
      </w:tr>
      <w:tr w:rsidR="00B0742C" w:rsidRPr="008C16B2" w14:paraId="35AC559F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56FB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(K)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B6E5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293(2)</w:t>
            </w:r>
          </w:p>
        </w:tc>
      </w:tr>
      <w:tr w:rsidR="00B0742C" w:rsidRPr="008C16B2" w14:paraId="37458AD2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73DA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λ (Å)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49CA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0.71073</w:t>
            </w:r>
          </w:p>
        </w:tc>
      </w:tr>
      <w:tr w:rsidR="00B0742C" w:rsidRPr="008C16B2" w14:paraId="7BC2C3FA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B7C39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Crystal system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59B1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Triclinic</w:t>
            </w:r>
          </w:p>
        </w:tc>
      </w:tr>
      <w:tr w:rsidR="00B0742C" w:rsidRPr="008C16B2" w14:paraId="26A4C9D5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3525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Space group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B8DC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P-1</w:t>
            </w:r>
          </w:p>
        </w:tc>
      </w:tr>
      <w:tr w:rsidR="00B0742C" w:rsidRPr="008C16B2" w14:paraId="4F53FB31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B82A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/Å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D730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7.0966(2)</w:t>
            </w:r>
          </w:p>
        </w:tc>
      </w:tr>
      <w:tr w:rsidR="00B0742C" w:rsidRPr="008C16B2" w14:paraId="18D64E66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6DD3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/Å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2E7E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14.1006(4)</w:t>
            </w:r>
          </w:p>
        </w:tc>
      </w:tr>
      <w:tr w:rsidR="00B0742C" w:rsidRPr="008C16B2" w14:paraId="4F2518A0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627D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/Å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14D09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14.2948(4)</w:t>
            </w:r>
          </w:p>
        </w:tc>
      </w:tr>
      <w:tr w:rsidR="00B0742C" w:rsidRPr="008C16B2" w14:paraId="3DEF836E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A178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α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/°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4F49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80.697(2)</w:t>
            </w:r>
          </w:p>
        </w:tc>
      </w:tr>
      <w:tr w:rsidR="00B0742C" w:rsidRPr="008C16B2" w14:paraId="53C3EED2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D99F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β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/°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6740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83.560(2)</w:t>
            </w:r>
          </w:p>
        </w:tc>
      </w:tr>
      <w:tr w:rsidR="00B0742C" w:rsidRPr="008C16B2" w14:paraId="1EB43CA2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CFC6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γ/°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89E79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82.890(2)</w:t>
            </w:r>
          </w:p>
        </w:tc>
      </w:tr>
      <w:tr w:rsidR="00B0742C" w:rsidRPr="008C16B2" w14:paraId="23632004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E0EE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V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/Å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C846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1394.54(7)</w:t>
            </w:r>
          </w:p>
        </w:tc>
      </w:tr>
      <w:tr w:rsidR="00B0742C" w:rsidRPr="008C16B2" w14:paraId="21AE088F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F339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Z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AD45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0742C" w:rsidRPr="008C16B2" w14:paraId="452B097B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1D48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ρ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calc</w:t>
            </w:r>
            <w:proofErr w:type="spellEnd"/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/cm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29FF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1.463</w:t>
            </w:r>
          </w:p>
        </w:tc>
      </w:tr>
      <w:tr w:rsidR="00B0742C" w:rsidRPr="008C16B2" w14:paraId="187DD0E8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989D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μ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/mm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noBreakHyphen/>
              <w:t>1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8C36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0.741</w:t>
            </w:r>
          </w:p>
        </w:tc>
      </w:tr>
      <w:tr w:rsidR="00B0742C" w:rsidRPr="008C16B2" w14:paraId="044B1037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0D3A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F(000)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45B5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630.0</w:t>
            </w:r>
          </w:p>
        </w:tc>
      </w:tr>
      <w:tr w:rsidR="00B0742C" w:rsidRPr="008C16B2" w14:paraId="5E8EAFC6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D131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Crystal size/mm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1C04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0.21 × 0.18 × 0.11</w:t>
            </w:r>
          </w:p>
        </w:tc>
      </w:tr>
      <w:tr w:rsidR="00B0742C" w:rsidRPr="008C16B2" w14:paraId="3FCEDCAD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3578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Unique reflections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FDB4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5949</w:t>
            </w:r>
          </w:p>
        </w:tc>
      </w:tr>
      <w:tr w:rsidR="00B0742C" w:rsidRPr="008C16B2" w14:paraId="14F9A8B4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49D1B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(int)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00DB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0.0601</w:t>
            </w:r>
          </w:p>
        </w:tc>
      </w:tr>
      <w:tr w:rsidR="00B0742C" w:rsidRPr="008C16B2" w14:paraId="634BFD4A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BE62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GOF on </w:t>
            </w: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89E4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1.109</w:t>
            </w:r>
          </w:p>
        </w:tc>
      </w:tr>
      <w:tr w:rsidR="00B0742C" w:rsidRPr="008C16B2" w14:paraId="188A9FCC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0FDAF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[</w:t>
            </w: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2</w:t>
            </w: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σ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)]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21CD" w14:textId="77777777" w:rsidR="009554C2" w:rsidRPr="008C16B2" w:rsidRDefault="009554C2" w:rsidP="005738CA">
            <w:pPr>
              <w:spacing w:line="276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0.0410</w:t>
            </w:r>
          </w:p>
        </w:tc>
      </w:tr>
      <w:tr w:rsidR="009554C2" w:rsidRPr="008C16B2" w14:paraId="455D74C5" w14:textId="77777777" w:rsidTr="005738CA">
        <w:trPr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2549" w14:textId="77777777" w:rsidR="009554C2" w:rsidRPr="008C16B2" w:rsidRDefault="009554C2" w:rsidP="005738C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wR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[</w:t>
            </w: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 2</w:t>
            </w: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σ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8C16B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</w:t>
            </w: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)]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22A2" w14:textId="77777777" w:rsidR="009554C2" w:rsidRPr="008C16B2" w:rsidRDefault="009554C2" w:rsidP="005738CA">
            <w:pPr>
              <w:spacing w:line="276" w:lineRule="auto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  <w:t>0.1069</w:t>
            </w:r>
          </w:p>
        </w:tc>
      </w:tr>
    </w:tbl>
    <w:p w14:paraId="2D559431" w14:textId="77777777" w:rsidR="009554C2" w:rsidRPr="008C16B2" w:rsidRDefault="009554C2" w:rsidP="009554C2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22E17C" w14:textId="77777777" w:rsidR="009554C2" w:rsidRPr="008C16B2" w:rsidRDefault="009554C2" w:rsidP="009554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2</w:t>
      </w:r>
      <w:r w:rsidR="0025720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64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Selective </w:t>
      </w:r>
      <w:r w:rsidR="0025720C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bond lengths and bond angles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around </w:t>
      </w:r>
      <w:r w:rsidR="00D64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central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 (III)</w:t>
      </w:r>
      <w:r w:rsidR="00D64D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ion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5F2F94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title complex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267"/>
        <w:gridCol w:w="2241"/>
        <w:gridCol w:w="2268"/>
      </w:tblGrid>
      <w:tr w:rsidR="00B0742C" w:rsidRPr="008C16B2" w14:paraId="19003A0E" w14:textId="77777777" w:rsidTr="005738CA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290A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Bond distances (Å)</w:t>
            </w:r>
          </w:p>
        </w:tc>
      </w:tr>
      <w:tr w:rsidR="00B0742C" w:rsidRPr="008C16B2" w14:paraId="54E42616" w14:textId="77777777" w:rsidTr="005738CA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143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Co1 O1 </w:t>
            </w:r>
          </w:p>
          <w:p w14:paraId="34318754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Co1 O2 </w:t>
            </w:r>
          </w:p>
          <w:p w14:paraId="6B217FFF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Co1 N1 </w:t>
            </w:r>
          </w:p>
          <w:p w14:paraId="7F385BB5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  C1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3B8C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1.8872(15)</w:t>
            </w:r>
          </w:p>
          <w:p w14:paraId="52B02906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1.8872(14)</w:t>
            </w:r>
          </w:p>
          <w:p w14:paraId="4B22A9BD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1.9385(18)</w:t>
            </w:r>
          </w:p>
          <w:p w14:paraId="0BD69A58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1.317(3)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DDE9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Co1 N2</w:t>
            </w:r>
          </w:p>
          <w:p w14:paraId="6DAD1978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Co1 N3</w:t>
            </w:r>
          </w:p>
          <w:p w14:paraId="24B70B07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Co1 N4 </w:t>
            </w:r>
          </w:p>
          <w:p w14:paraId="1D2EDDE4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O1  C1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3F35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1.9187(18)</w:t>
            </w:r>
          </w:p>
          <w:p w14:paraId="599CA3C0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1.9409(17)</w:t>
            </w:r>
          </w:p>
          <w:p w14:paraId="6942F23C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1.9302(17)</w:t>
            </w:r>
          </w:p>
          <w:p w14:paraId="4853E0CE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1.329(3)</w:t>
            </w:r>
          </w:p>
        </w:tc>
      </w:tr>
      <w:tr w:rsidR="00B0742C" w:rsidRPr="008C16B2" w14:paraId="4872B022" w14:textId="77777777" w:rsidTr="005738CA">
        <w:tc>
          <w:tcPr>
            <w:tcW w:w="9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FF5F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Bond angles (˚)</w:t>
            </w:r>
          </w:p>
        </w:tc>
      </w:tr>
      <w:tr w:rsidR="009554C2" w:rsidRPr="008C16B2" w14:paraId="64B2B422" w14:textId="77777777" w:rsidTr="00935D78">
        <w:trPr>
          <w:trHeight w:val="98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F345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N1 Co1 N3</w:t>
            </w:r>
          </w:p>
          <w:p w14:paraId="7B10A5FC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N1 Co1 C1</w:t>
            </w:r>
          </w:p>
          <w:p w14:paraId="48BCA191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N2 Co1 C1</w:t>
            </w:r>
          </w:p>
          <w:p w14:paraId="078F1C9C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N2 Co1 N1</w:t>
            </w:r>
          </w:p>
          <w:p w14:paraId="1849337D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N2 Co1 N3</w:t>
            </w:r>
          </w:p>
          <w:p w14:paraId="4B48F955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N2 Co1 N4</w:t>
            </w:r>
          </w:p>
          <w:p w14:paraId="49921130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N4 Co1 N3</w:t>
            </w:r>
          </w:p>
          <w:p w14:paraId="03AA3A14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N4 Co1 N1</w:t>
            </w:r>
          </w:p>
          <w:p w14:paraId="3482CA5D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N4 Co1 C1 </w:t>
            </w:r>
          </w:p>
          <w:p w14:paraId="189A1500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O1 Co1 N1 </w:t>
            </w:r>
          </w:p>
          <w:p w14:paraId="6A2451DA" w14:textId="77777777" w:rsidR="009554C2" w:rsidRPr="008C16B2" w:rsidRDefault="000F2DF7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O1 Co1 N2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0286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92.79(7)</w:t>
            </w:r>
          </w:p>
          <w:p w14:paraId="541E787D" w14:textId="77777777" w:rsidR="009554C2" w:rsidRPr="008C16B2" w:rsidRDefault="00B41D4D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134.09(8)</w:t>
            </w:r>
          </w:p>
          <w:p w14:paraId="30013AE3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92.81(8)</w:t>
            </w:r>
          </w:p>
          <w:p w14:paraId="3A3CEA63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82.73(8)</w:t>
            </w:r>
          </w:p>
          <w:p w14:paraId="4DF89C39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96.41(7)</w:t>
            </w:r>
          </w:p>
          <w:p w14:paraId="558E22C1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178.98(7)</w:t>
            </w:r>
          </w:p>
          <w:p w14:paraId="48D81D1B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82.85(7)</w:t>
            </w:r>
          </w:p>
          <w:p w14:paraId="25E16A3B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97.99(7)</w:t>
            </w:r>
          </w:p>
          <w:p w14:paraId="53B50F9B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87.20(7)</w:t>
            </w:r>
          </w:p>
          <w:p w14:paraId="642493A9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168.14(7)</w:t>
            </w:r>
          </w:p>
          <w:p w14:paraId="6A4198E0" w14:textId="77777777" w:rsidR="00B41D4D" w:rsidRPr="008C16B2" w:rsidRDefault="000F2DF7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92.53(7)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CB73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N3 Co1 C1 </w:t>
            </w:r>
          </w:p>
          <w:p w14:paraId="2793E135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O2 Co1 C1 </w:t>
            </w:r>
          </w:p>
          <w:p w14:paraId="6F336D6A" w14:textId="77777777" w:rsidR="00B41D4D" w:rsidRPr="008C16B2" w:rsidRDefault="00B41D4D" w:rsidP="00B41D4D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 Co1 N4</w:t>
            </w:r>
          </w:p>
          <w:p w14:paraId="22F9806F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O2 Co1 N3 </w:t>
            </w:r>
          </w:p>
          <w:p w14:paraId="58C0DECA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O2 Co1 N2</w:t>
            </w:r>
          </w:p>
          <w:p w14:paraId="7A2FDB9F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O2 Co1 N1 </w:t>
            </w:r>
          </w:p>
          <w:p w14:paraId="190966B7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O1 Co1 O2</w:t>
            </w:r>
          </w:p>
          <w:p w14:paraId="18B62903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O1 Co1 C1 </w:t>
            </w:r>
          </w:p>
          <w:p w14:paraId="1F502A37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O1 Co1 N4</w:t>
            </w:r>
          </w:p>
          <w:p w14:paraId="61703674" w14:textId="77777777" w:rsidR="009554C2" w:rsidRPr="008C16B2" w:rsidRDefault="00935D78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O1 Co1 N3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DC01" w14:textId="77777777" w:rsidR="009554C2" w:rsidRPr="008C16B2" w:rsidRDefault="009554C2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133.04(8)</w:t>
            </w:r>
          </w:p>
          <w:p w14:paraId="1535E05E" w14:textId="77777777" w:rsidR="009554C2" w:rsidRPr="008C16B2" w:rsidRDefault="00B41D4D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34.57(7)</w:t>
            </w:r>
          </w:p>
          <w:p w14:paraId="4EED2CFF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91.14(7)</w:t>
            </w:r>
          </w:p>
          <w:p w14:paraId="7BE40AF9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166.94(7)</w:t>
            </w:r>
          </w:p>
          <w:p w14:paraId="7685F893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89.45(7)</w:t>
            </w:r>
          </w:p>
          <w:p w14:paraId="0C9E2501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99.54(7)</w:t>
            </w:r>
          </w:p>
          <w:p w14:paraId="29FE45BF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69.44(6)</w:t>
            </w:r>
          </w:p>
          <w:p w14:paraId="1AC67493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34.93(7)</w:t>
            </w:r>
          </w:p>
          <w:p w14:paraId="4A72EA1E" w14:textId="77777777" w:rsidR="000F2DF7" w:rsidRPr="008C16B2" w:rsidRDefault="000F2DF7" w:rsidP="000F2DF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86.90(7)</w:t>
            </w:r>
          </w:p>
          <w:p w14:paraId="358C5C03" w14:textId="77777777" w:rsidR="009554C2" w:rsidRPr="008C16B2" w:rsidRDefault="00935D78" w:rsidP="005738C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98.56(7)</w:t>
            </w:r>
          </w:p>
        </w:tc>
      </w:tr>
    </w:tbl>
    <w:p w14:paraId="36B55C69" w14:textId="77777777" w:rsidR="00266A2E" w:rsidRPr="008C16B2" w:rsidRDefault="00266A2E" w:rsidP="00C510D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6FCBD" w14:textId="77777777" w:rsidR="00266A2E" w:rsidRPr="008C16B2" w:rsidRDefault="00FA7029" w:rsidP="00266A2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</w:t>
      </w:r>
      <w:r w:rsidR="00266A2E"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Antibacterial activity</w:t>
      </w:r>
    </w:p>
    <w:p w14:paraId="2F3ABB46" w14:textId="77777777" w:rsidR="00266A2E" w:rsidRPr="008C16B2" w:rsidRDefault="00A810BE" w:rsidP="00266A2E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3.4.1 </w:t>
      </w:r>
      <w:r w:rsidR="00266A2E" w:rsidRPr="008C1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Agar well diffusion method</w:t>
      </w:r>
    </w:p>
    <w:p w14:paraId="7B2F3362" w14:textId="77777777" w:rsidR="00D6028C" w:rsidRPr="009671E1" w:rsidRDefault="00D6028C" w:rsidP="00CD4DC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The inhibition zone values assessed from the triplicate exp</w:t>
      </w:r>
      <w:r w:rsidR="005A053F">
        <w:rPr>
          <w:rFonts w:ascii="Times New Roman" w:hAnsi="Times New Roman" w:cs="Times New Roman"/>
          <w:color w:val="000000" w:themeColor="text1"/>
          <w:sz w:val="24"/>
          <w:szCs w:val="24"/>
        </w:rPr>
        <w:t>eriments depicted the inhibition diameter of 52 mm for standard drug Ampicillin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A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results</w:t>
      </w:r>
      <w:r w:rsidR="00FA1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A1AEE">
        <w:rPr>
          <w:rFonts w:ascii="Times New Roman" w:hAnsi="Times New Roman" w:cs="Times New Roman"/>
          <w:sz w:val="24"/>
          <w:szCs w:val="24"/>
        </w:rPr>
        <w:t>complex was visualized with</w:t>
      </w:r>
      <w:r>
        <w:rPr>
          <w:rFonts w:ascii="Times New Roman" w:hAnsi="Times New Roman" w:cs="Times New Roman"/>
          <w:sz w:val="24"/>
          <w:szCs w:val="24"/>
        </w:rPr>
        <w:t xml:space="preserve"> modest</w:t>
      </w:r>
      <w:r w:rsidRPr="00FB746A">
        <w:rPr>
          <w:rFonts w:ascii="Times New Roman" w:hAnsi="Times New Roman" w:cs="Times New Roman"/>
          <w:sz w:val="24"/>
          <w:szCs w:val="24"/>
        </w:rPr>
        <w:t xml:space="preserve"> activ</w:t>
      </w:r>
      <w:r>
        <w:rPr>
          <w:rFonts w:ascii="Times New Roman" w:hAnsi="Times New Roman" w:cs="Times New Roman"/>
          <w:sz w:val="24"/>
          <w:szCs w:val="24"/>
        </w:rPr>
        <w:t>ity against the selected gram posi</w:t>
      </w:r>
      <w:r w:rsidR="00AE369B">
        <w:rPr>
          <w:rFonts w:ascii="Times New Roman" w:hAnsi="Times New Roman" w:cs="Times New Roman"/>
          <w:sz w:val="24"/>
          <w:szCs w:val="24"/>
        </w:rPr>
        <w:t>tive and gram negative bacteria</w:t>
      </w:r>
      <w:r w:rsidR="00FA1A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B746A">
        <w:rPr>
          <w:rFonts w:ascii="Times New Roman" w:hAnsi="Times New Roman" w:cs="Times New Roman"/>
          <w:sz w:val="24"/>
          <w:szCs w:val="24"/>
        </w:rPr>
        <w:t>inhibition zone d</w:t>
      </w:r>
      <w:r>
        <w:rPr>
          <w:rFonts w:ascii="Times New Roman" w:hAnsi="Times New Roman" w:cs="Times New Roman"/>
          <w:sz w:val="24"/>
          <w:szCs w:val="24"/>
        </w:rPr>
        <w:t>iameter value for complex was</w:t>
      </w:r>
      <w:r w:rsidRPr="00FB746A">
        <w:rPr>
          <w:rFonts w:ascii="Times New Roman" w:hAnsi="Times New Roman" w:cs="Times New Roman"/>
          <w:sz w:val="24"/>
          <w:szCs w:val="24"/>
        </w:rPr>
        <w:t xml:space="preserve"> foun</w:t>
      </w:r>
      <w:r>
        <w:rPr>
          <w:rFonts w:ascii="Times New Roman" w:hAnsi="Times New Roman" w:cs="Times New Roman"/>
          <w:sz w:val="24"/>
          <w:szCs w:val="24"/>
        </w:rPr>
        <w:t xml:space="preserve">d out to be 15 mm and 12 mm </w:t>
      </w:r>
      <w:r w:rsidR="005A053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in contrast to bipyrid</w:t>
      </w:r>
      <w:r w:rsidR="005A053F">
        <w:rPr>
          <w:rFonts w:ascii="Times New Roman" w:hAnsi="Times New Roman" w:cs="Times New Roman"/>
          <w:color w:val="000000" w:themeColor="text1"/>
          <w:sz w:val="24"/>
          <w:szCs w:val="24"/>
        </w:rPr>
        <w:t>ine ligand</w:t>
      </w:r>
      <w:r w:rsidR="00CD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785F" w:rsidRPr="003E3C0B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A053F" w:rsidRPr="003E3C0B">
        <w:rPr>
          <w:rFonts w:ascii="Times New Roman" w:hAnsi="Times New Roman" w:cs="Times New Roman"/>
          <w:color w:val="000000" w:themeColor="text1"/>
          <w:sz w:val="24"/>
          <w:szCs w:val="24"/>
        </w:rPr>
        <w:t>44</w:t>
      </w:r>
      <w:r w:rsidR="00BF785F" w:rsidRPr="003E3C0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5A0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which were observed to have </w:t>
      </w:r>
      <w:r w:rsidR="005A053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inhibition zone values</w:t>
      </w:r>
      <w:r w:rsidR="005A0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14 mm and 10 mm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="00B32743">
        <w:rPr>
          <w:rFonts w:ascii="Times New Roman" w:hAnsi="Times New Roman" w:cs="Times New Roman"/>
          <w:i/>
          <w:iCs/>
          <w:sz w:val="24"/>
          <w:szCs w:val="24"/>
        </w:rPr>
        <w:t>E.</w:t>
      </w:r>
      <w:r w:rsidRPr="00FB746A">
        <w:rPr>
          <w:rFonts w:ascii="Times New Roman" w:hAnsi="Times New Roman" w:cs="Times New Roman"/>
          <w:i/>
          <w:iCs/>
          <w:sz w:val="24"/>
          <w:szCs w:val="24"/>
        </w:rPr>
        <w:t xml:space="preserve"> coli </w:t>
      </w:r>
      <w:r w:rsidRPr="00FB746A">
        <w:rPr>
          <w:rFonts w:ascii="Times New Roman" w:hAnsi="Times New Roman" w:cs="Times New Roman"/>
          <w:sz w:val="24"/>
          <w:szCs w:val="24"/>
        </w:rPr>
        <w:t xml:space="preserve">and </w:t>
      </w:r>
      <w:r w:rsidR="00B32743">
        <w:rPr>
          <w:rFonts w:ascii="Times New Roman" w:hAnsi="Times New Roman" w:cs="Times New Roman"/>
          <w:i/>
          <w:iCs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Subtillis</w:t>
      </w:r>
      <w:proofErr w:type="spellEnd"/>
      <w:r w:rsidR="00CD4DC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respectively.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A0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better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activity </w:t>
      </w:r>
      <w:r w:rsidR="005A0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complex than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lig</w:t>
      </w:r>
      <w:r w:rsidR="005A053F">
        <w:rPr>
          <w:rFonts w:ascii="Times New Roman" w:hAnsi="Times New Roman" w:cs="Times New Roman"/>
          <w:color w:val="000000" w:themeColor="text1"/>
          <w:sz w:val="24"/>
          <w:szCs w:val="24"/>
        </w:rPr>
        <w:t>and bipyridine</w:t>
      </w:r>
      <w:r>
        <w:rPr>
          <w:rFonts w:ascii="Times New Roman" w:hAnsi="Times New Roman" w:cs="Times New Roman"/>
          <w:sz w:val="24"/>
          <w:szCs w:val="24"/>
        </w:rPr>
        <w:t xml:space="preserve"> might be due to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chelation of metal ion with the ligand</w:t>
      </w:r>
      <w:r w:rsidR="00CD4D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04B4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[27</w:t>
      </w:r>
      <w:r w:rsidR="00BF785F" w:rsidRPr="008A12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</w:t>
      </w:r>
      <w:r w:rsidR="008A128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14:paraId="5CD33754" w14:textId="77777777" w:rsidR="00976D6D" w:rsidRPr="009671E1" w:rsidRDefault="00976D6D" w:rsidP="00976D6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9671E1">
        <w:rPr>
          <w:rFonts w:ascii="Times New Roman" w:hAnsi="Times New Roman"/>
          <w:b/>
          <w:sz w:val="24"/>
          <w:szCs w:val="24"/>
        </w:rPr>
        <w:t>Minimal Inhibitory Concentration (MIC)</w:t>
      </w:r>
    </w:p>
    <w:p w14:paraId="2DFE6DC1" w14:textId="77777777" w:rsidR="00FA6F12" w:rsidRDefault="00A810BE" w:rsidP="00FA6F12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MIC data against </w:t>
      </w:r>
      <w:r w:rsidR="00FA6F12" w:rsidRPr="00960938">
        <w:rPr>
          <w:rFonts w:ascii="Times New Roman" w:hAnsi="Times New Roman"/>
          <w:sz w:val="24"/>
          <w:szCs w:val="24"/>
        </w:rPr>
        <w:t>bacterial culture of</w:t>
      </w:r>
      <w:r w:rsidR="00CD4DC7">
        <w:rPr>
          <w:rFonts w:ascii="Times New Roman" w:hAnsi="Times New Roman"/>
          <w:sz w:val="24"/>
          <w:szCs w:val="24"/>
        </w:rPr>
        <w:t xml:space="preserve"> </w:t>
      </w:r>
      <w:r w:rsidR="00A50B84">
        <w:rPr>
          <w:rFonts w:ascii="Times New Roman" w:hAnsi="Times New Roman"/>
          <w:i/>
          <w:sz w:val="24"/>
          <w:szCs w:val="24"/>
        </w:rPr>
        <w:t xml:space="preserve">B. </w:t>
      </w:r>
      <w:proofErr w:type="spellStart"/>
      <w:r w:rsidR="00FA6F12" w:rsidRPr="00960938">
        <w:rPr>
          <w:rFonts w:ascii="Times New Roman" w:hAnsi="Times New Roman"/>
          <w:i/>
          <w:sz w:val="24"/>
          <w:szCs w:val="24"/>
        </w:rPr>
        <w:t>subtillus</w:t>
      </w:r>
      <w:proofErr w:type="spellEnd"/>
      <w:r w:rsidR="00FA6F12" w:rsidRPr="00960938">
        <w:rPr>
          <w:rFonts w:ascii="Times New Roman" w:hAnsi="Times New Roman"/>
          <w:sz w:val="24"/>
          <w:szCs w:val="24"/>
        </w:rPr>
        <w:t xml:space="preserve"> and </w:t>
      </w:r>
      <w:r w:rsidR="00A50B84">
        <w:rPr>
          <w:rFonts w:ascii="Times New Roman" w:hAnsi="Times New Roman"/>
          <w:i/>
          <w:sz w:val="24"/>
          <w:szCs w:val="24"/>
        </w:rPr>
        <w:t xml:space="preserve">E. </w:t>
      </w:r>
      <w:r w:rsidR="00CD4DC7" w:rsidRPr="00ED46FB">
        <w:rPr>
          <w:rFonts w:ascii="Times New Roman" w:hAnsi="Times New Roman"/>
          <w:i/>
          <w:color w:val="000000" w:themeColor="text1"/>
          <w:sz w:val="24"/>
          <w:szCs w:val="24"/>
        </w:rPr>
        <w:t>c</w:t>
      </w:r>
      <w:r w:rsidR="00FA6F12" w:rsidRPr="00ED46FB">
        <w:rPr>
          <w:rFonts w:ascii="Times New Roman" w:hAnsi="Times New Roman"/>
          <w:i/>
          <w:color w:val="000000" w:themeColor="text1"/>
          <w:sz w:val="24"/>
          <w:szCs w:val="24"/>
        </w:rPr>
        <w:t>oli</w:t>
      </w:r>
      <w:r w:rsidR="00CD4DC7">
        <w:rPr>
          <w:rFonts w:ascii="Times New Roman" w:hAnsi="Times New Roman"/>
          <w:i/>
          <w:sz w:val="24"/>
          <w:szCs w:val="24"/>
        </w:rPr>
        <w:t xml:space="preserve"> </w:t>
      </w:r>
      <w:r w:rsidR="00AA4E8E">
        <w:rPr>
          <w:rFonts w:ascii="Times New Roman" w:hAnsi="Times New Roman"/>
          <w:sz w:val="24"/>
          <w:szCs w:val="24"/>
        </w:rPr>
        <w:t xml:space="preserve">is summarized </w:t>
      </w:r>
      <w:r w:rsidR="00FA1AEE">
        <w:rPr>
          <w:rFonts w:ascii="Times New Roman" w:hAnsi="Times New Roman"/>
          <w:sz w:val="24"/>
          <w:szCs w:val="24"/>
        </w:rPr>
        <w:t>in Table 3</w:t>
      </w:r>
      <w:r w:rsidR="00FA6F12">
        <w:rPr>
          <w:rFonts w:ascii="Times New Roman" w:hAnsi="Times New Roman"/>
          <w:sz w:val="24"/>
          <w:szCs w:val="24"/>
        </w:rPr>
        <w:t xml:space="preserve"> respectively</w:t>
      </w:r>
      <w:r w:rsidR="00FA6F12" w:rsidRPr="00960938">
        <w:rPr>
          <w:rFonts w:ascii="Times New Roman" w:hAnsi="Times New Roman"/>
          <w:sz w:val="24"/>
          <w:szCs w:val="24"/>
        </w:rPr>
        <w:t>. MIC</w:t>
      </w:r>
      <w:r w:rsidR="00FA6F12" w:rsidRPr="00960938">
        <w:rPr>
          <w:rFonts w:ascii="Times New Roman" w:hAnsi="Times New Roman"/>
          <w:sz w:val="24"/>
          <w:szCs w:val="24"/>
          <w:vertAlign w:val="subscript"/>
        </w:rPr>
        <w:t>50</w:t>
      </w:r>
      <w:r w:rsidR="00FA6F12" w:rsidRPr="00960938">
        <w:rPr>
          <w:rFonts w:ascii="Times New Roman" w:hAnsi="Times New Roman"/>
          <w:sz w:val="24"/>
          <w:szCs w:val="24"/>
        </w:rPr>
        <w:t xml:space="preserve"> of </w:t>
      </w:r>
      <w:r w:rsidR="00511352">
        <w:rPr>
          <w:rFonts w:ascii="Times New Roman" w:hAnsi="Times New Roman"/>
          <w:sz w:val="24"/>
          <w:szCs w:val="24"/>
        </w:rPr>
        <w:t>complex</w:t>
      </w:r>
      <w:r w:rsidR="00CD4DC7">
        <w:rPr>
          <w:rFonts w:ascii="Times New Roman" w:hAnsi="Times New Roman"/>
          <w:sz w:val="24"/>
          <w:szCs w:val="24"/>
        </w:rPr>
        <w:t xml:space="preserve"> </w:t>
      </w:r>
      <w:r w:rsidR="00FA6F12" w:rsidRPr="00960938">
        <w:rPr>
          <w:rFonts w:ascii="Times New Roman" w:hAnsi="Times New Roman"/>
          <w:sz w:val="24"/>
          <w:szCs w:val="24"/>
        </w:rPr>
        <w:t xml:space="preserve">against </w:t>
      </w:r>
      <w:r w:rsidR="00F5308B">
        <w:rPr>
          <w:rFonts w:ascii="Times New Roman" w:hAnsi="Times New Roman"/>
          <w:i/>
          <w:sz w:val="24"/>
          <w:szCs w:val="24"/>
        </w:rPr>
        <w:t xml:space="preserve">B. </w:t>
      </w:r>
      <w:proofErr w:type="spellStart"/>
      <w:r w:rsidR="00CD4DC7" w:rsidRPr="00CC568E">
        <w:rPr>
          <w:rFonts w:ascii="Times New Roman" w:hAnsi="Times New Roman"/>
          <w:i/>
          <w:sz w:val="24"/>
          <w:szCs w:val="24"/>
        </w:rPr>
        <w:t>S</w:t>
      </w:r>
      <w:r w:rsidR="00FA6F12" w:rsidRPr="00CC568E">
        <w:rPr>
          <w:rFonts w:ascii="Times New Roman" w:hAnsi="Times New Roman"/>
          <w:i/>
          <w:sz w:val="24"/>
          <w:szCs w:val="24"/>
        </w:rPr>
        <w:t>ubtillus</w:t>
      </w:r>
      <w:proofErr w:type="spellEnd"/>
      <w:r w:rsidR="00CD4DC7">
        <w:rPr>
          <w:rFonts w:ascii="Times New Roman" w:hAnsi="Times New Roman"/>
          <w:i/>
          <w:sz w:val="24"/>
          <w:szCs w:val="24"/>
        </w:rPr>
        <w:t xml:space="preserve"> </w:t>
      </w:r>
      <w:r w:rsidR="00FA6F12">
        <w:rPr>
          <w:rFonts w:ascii="Times New Roman" w:hAnsi="Times New Roman"/>
          <w:sz w:val="24"/>
          <w:szCs w:val="24"/>
        </w:rPr>
        <w:t xml:space="preserve">was </w:t>
      </w:r>
      <w:r w:rsidR="00F5308B">
        <w:rPr>
          <w:rFonts w:ascii="Times New Roman" w:hAnsi="Times New Roman"/>
          <w:bCs/>
          <w:color w:val="000000" w:themeColor="text1"/>
          <w:sz w:val="24"/>
          <w:szCs w:val="24"/>
        </w:rPr>
        <w:t>0.0521</w:t>
      </w:r>
      <w:r w:rsidR="00CD4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FA6F12">
        <w:rPr>
          <w:rFonts w:ascii="Times New Roman" w:hAnsi="Times New Roman"/>
          <w:sz w:val="24"/>
          <w:szCs w:val="24"/>
        </w:rPr>
        <w:t>mg/mL</w:t>
      </w:r>
      <w:r w:rsidR="00F5308B">
        <w:rPr>
          <w:rFonts w:ascii="Times New Roman" w:hAnsi="Times New Roman"/>
          <w:sz w:val="24"/>
          <w:szCs w:val="24"/>
        </w:rPr>
        <w:t xml:space="preserve"> and for </w:t>
      </w:r>
      <w:r w:rsidR="00F5308B">
        <w:rPr>
          <w:rFonts w:ascii="Times New Roman" w:hAnsi="Times New Roman"/>
          <w:i/>
          <w:sz w:val="24"/>
          <w:szCs w:val="24"/>
        </w:rPr>
        <w:t xml:space="preserve">E. </w:t>
      </w:r>
      <w:r w:rsidR="00F5308B" w:rsidRPr="00960938">
        <w:rPr>
          <w:rFonts w:ascii="Times New Roman" w:hAnsi="Times New Roman"/>
          <w:i/>
          <w:sz w:val="24"/>
          <w:szCs w:val="24"/>
        </w:rPr>
        <w:t>coli</w:t>
      </w:r>
      <w:r w:rsidR="00CD4DC7">
        <w:rPr>
          <w:rFonts w:ascii="Times New Roman" w:hAnsi="Times New Roman"/>
          <w:i/>
          <w:sz w:val="24"/>
          <w:szCs w:val="24"/>
        </w:rPr>
        <w:t xml:space="preserve"> </w:t>
      </w:r>
      <w:r w:rsidR="00FA6F12" w:rsidRPr="00960938">
        <w:rPr>
          <w:rFonts w:ascii="Times New Roman" w:hAnsi="Times New Roman"/>
          <w:sz w:val="24"/>
          <w:szCs w:val="24"/>
        </w:rPr>
        <w:t>the MIC</w:t>
      </w:r>
      <w:r w:rsidR="00F5308B">
        <w:rPr>
          <w:rFonts w:ascii="Times New Roman" w:hAnsi="Times New Roman"/>
          <w:sz w:val="24"/>
          <w:szCs w:val="24"/>
          <w:vertAlign w:val="subscript"/>
        </w:rPr>
        <w:t>5</w:t>
      </w:r>
      <w:r w:rsidR="00FA6F12" w:rsidRPr="00937B22">
        <w:rPr>
          <w:rFonts w:ascii="Times New Roman" w:hAnsi="Times New Roman"/>
          <w:sz w:val="24"/>
          <w:szCs w:val="24"/>
          <w:vertAlign w:val="subscript"/>
        </w:rPr>
        <w:t>0</w:t>
      </w:r>
      <w:r w:rsidR="00FA6F12" w:rsidRPr="00960938">
        <w:rPr>
          <w:rFonts w:ascii="Times New Roman" w:hAnsi="Times New Roman"/>
          <w:sz w:val="24"/>
          <w:szCs w:val="24"/>
        </w:rPr>
        <w:t xml:space="preserve"> was</w:t>
      </w:r>
      <w:r w:rsidR="00CD4DC7">
        <w:rPr>
          <w:rFonts w:ascii="Times New Roman" w:hAnsi="Times New Roman"/>
          <w:sz w:val="24"/>
          <w:szCs w:val="24"/>
        </w:rPr>
        <w:t xml:space="preserve"> </w:t>
      </w:r>
      <w:r w:rsidR="00F5308B" w:rsidRPr="00F5308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0.0471 </w:t>
      </w:r>
      <w:r w:rsidR="00FA6F12">
        <w:rPr>
          <w:rFonts w:ascii="Times New Roman" w:hAnsi="Times New Roman"/>
          <w:sz w:val="24"/>
          <w:szCs w:val="24"/>
        </w:rPr>
        <w:t>mg/</w:t>
      </w:r>
      <w:proofErr w:type="spellStart"/>
      <w:r w:rsidR="00FA6F12">
        <w:rPr>
          <w:rFonts w:ascii="Times New Roman" w:hAnsi="Times New Roman"/>
          <w:sz w:val="24"/>
          <w:szCs w:val="24"/>
        </w:rPr>
        <w:t>mL.</w:t>
      </w:r>
      <w:proofErr w:type="spellEnd"/>
    </w:p>
    <w:p w14:paraId="14C54F98" w14:textId="77777777" w:rsidR="00FA6F12" w:rsidRPr="006D2FF5" w:rsidRDefault="00471323" w:rsidP="0047132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Table 3</w:t>
      </w:r>
      <w:r w:rsidR="00FA6F12">
        <w:rPr>
          <w:rFonts w:ascii="Times New Roman" w:hAnsi="Times New Roman"/>
          <w:sz w:val="24"/>
          <w:szCs w:val="24"/>
        </w:rPr>
        <w:t xml:space="preserve">: </w:t>
      </w:r>
      <w:r w:rsidR="00D64D76">
        <w:rPr>
          <w:rFonts w:ascii="Times New Roman" w:hAnsi="Times New Roman"/>
          <w:sz w:val="24"/>
          <w:szCs w:val="24"/>
        </w:rPr>
        <w:t>A</w:t>
      </w:r>
      <w:r w:rsidR="00FA6F12" w:rsidRPr="003E286C">
        <w:rPr>
          <w:rFonts w:ascii="Times New Roman" w:hAnsi="Times New Roman"/>
          <w:sz w:val="24"/>
          <w:szCs w:val="24"/>
        </w:rPr>
        <w:t>ntibacterial activity of</w:t>
      </w:r>
      <w:r w:rsidR="00FA6F12">
        <w:rPr>
          <w:rFonts w:ascii="Times New Roman" w:hAnsi="Times New Roman"/>
          <w:sz w:val="24"/>
          <w:szCs w:val="24"/>
        </w:rPr>
        <w:t xml:space="preserve"> complex </w:t>
      </w:r>
      <w:r w:rsidR="00AA4E8E">
        <w:rPr>
          <w:rFonts w:ascii="Times New Roman" w:hAnsi="Times New Roman"/>
          <w:sz w:val="24"/>
          <w:szCs w:val="24"/>
        </w:rPr>
        <w:t xml:space="preserve">against </w:t>
      </w:r>
      <w:r w:rsidR="00FA6F12">
        <w:rPr>
          <w:rFonts w:ascii="Times New Roman" w:hAnsi="Times New Roman"/>
          <w:i/>
          <w:sz w:val="24"/>
          <w:szCs w:val="24"/>
        </w:rPr>
        <w:t xml:space="preserve">Bacillus </w:t>
      </w:r>
      <w:proofErr w:type="spellStart"/>
      <w:r w:rsidR="00FA6F12" w:rsidRPr="00CC568E">
        <w:rPr>
          <w:rFonts w:ascii="Times New Roman" w:hAnsi="Times New Roman"/>
          <w:i/>
          <w:sz w:val="24"/>
          <w:szCs w:val="24"/>
        </w:rPr>
        <w:t>subtillus</w:t>
      </w:r>
      <w:proofErr w:type="spellEnd"/>
      <w:r w:rsidR="00FA6F12">
        <w:rPr>
          <w:rFonts w:ascii="Times New Roman" w:hAnsi="Times New Roman"/>
          <w:i/>
          <w:sz w:val="24"/>
          <w:szCs w:val="24"/>
        </w:rPr>
        <w:t xml:space="preserve"> and</w:t>
      </w:r>
      <w:r w:rsidR="00CD4DC7">
        <w:rPr>
          <w:rFonts w:ascii="Times New Roman" w:hAnsi="Times New Roman"/>
          <w:i/>
          <w:sz w:val="24"/>
          <w:szCs w:val="24"/>
        </w:rPr>
        <w:t xml:space="preserve"> </w:t>
      </w:r>
      <w:r w:rsidR="00FA6F12" w:rsidRPr="00CC568E">
        <w:rPr>
          <w:rFonts w:ascii="Times New Roman" w:hAnsi="Times New Roman"/>
          <w:i/>
          <w:sz w:val="24"/>
          <w:szCs w:val="24"/>
        </w:rPr>
        <w:t>Escherichia coli</w:t>
      </w:r>
      <w:r w:rsidR="00CD4DC7">
        <w:rPr>
          <w:rFonts w:ascii="Times New Roman" w:hAnsi="Times New Roman"/>
          <w:i/>
          <w:sz w:val="24"/>
          <w:szCs w:val="24"/>
        </w:rPr>
        <w:t xml:space="preserve"> </w:t>
      </w:r>
      <w:r w:rsidR="00A810BE">
        <w:rPr>
          <w:rFonts w:ascii="Times New Roman" w:hAnsi="Times New Roman"/>
          <w:sz w:val="24"/>
          <w:szCs w:val="24"/>
        </w:rPr>
        <w:t>utilizing</w:t>
      </w:r>
      <w:r w:rsidR="00CD4DC7">
        <w:rPr>
          <w:rFonts w:ascii="Times New Roman" w:hAnsi="Times New Roman"/>
          <w:sz w:val="24"/>
          <w:szCs w:val="24"/>
        </w:rPr>
        <w:t xml:space="preserve"> </w:t>
      </w:r>
      <w:r w:rsidR="00FA6F12" w:rsidRPr="003E286C">
        <w:rPr>
          <w:rFonts w:ascii="Times New Roman" w:hAnsi="Times New Roman"/>
          <w:sz w:val="24"/>
          <w:szCs w:val="24"/>
        </w:rPr>
        <w:t>microbroth dilution assay (MDA)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2242"/>
        <w:gridCol w:w="2246"/>
        <w:gridCol w:w="2265"/>
      </w:tblGrid>
      <w:tr w:rsidR="00FA6F12" w:rsidRPr="00353351" w14:paraId="0DC4793A" w14:textId="77777777" w:rsidTr="00FA6F12">
        <w:tc>
          <w:tcPr>
            <w:tcW w:w="2325" w:type="dxa"/>
          </w:tcPr>
          <w:p w14:paraId="708B42D2" w14:textId="77777777" w:rsidR="00FA6F12" w:rsidRPr="006376A7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6A7">
              <w:rPr>
                <w:rFonts w:ascii="Times New Roman" w:hAnsi="Times New Roman"/>
                <w:b/>
                <w:bCs/>
                <w:sz w:val="24"/>
                <w:szCs w:val="24"/>
              </w:rPr>
              <w:t>Complex</w:t>
            </w:r>
          </w:p>
        </w:tc>
        <w:tc>
          <w:tcPr>
            <w:tcW w:w="2307" w:type="dxa"/>
          </w:tcPr>
          <w:p w14:paraId="298F72DE" w14:textId="77777777" w:rsidR="00FA6F12" w:rsidRPr="006376A7" w:rsidRDefault="00FA6F12" w:rsidP="00FA6F12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6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Bacillus </w:t>
            </w:r>
            <w:proofErr w:type="spellStart"/>
            <w:r w:rsidRPr="006376A7">
              <w:rPr>
                <w:rFonts w:ascii="Times New Roman" w:hAnsi="Times New Roman"/>
                <w:b/>
                <w:i/>
                <w:sz w:val="24"/>
                <w:szCs w:val="24"/>
              </w:rPr>
              <w:t>subtillus</w:t>
            </w:r>
            <w:proofErr w:type="spellEnd"/>
          </w:p>
        </w:tc>
        <w:tc>
          <w:tcPr>
            <w:tcW w:w="2292" w:type="dxa"/>
          </w:tcPr>
          <w:p w14:paraId="7F367CCC" w14:textId="77777777" w:rsidR="00FA6F12" w:rsidRPr="006376A7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6A7">
              <w:rPr>
                <w:rFonts w:ascii="Times New Roman" w:hAnsi="Times New Roman"/>
                <w:b/>
                <w:i/>
                <w:sz w:val="24"/>
                <w:szCs w:val="24"/>
              </w:rPr>
              <w:t>Escherichia coli</w:t>
            </w:r>
          </w:p>
        </w:tc>
        <w:tc>
          <w:tcPr>
            <w:tcW w:w="2318" w:type="dxa"/>
          </w:tcPr>
          <w:p w14:paraId="685E8941" w14:textId="77777777" w:rsidR="00FA6F12" w:rsidRPr="006376A7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6A7">
              <w:rPr>
                <w:rFonts w:ascii="Times New Roman" w:hAnsi="Times New Roman"/>
                <w:b/>
                <w:bCs/>
                <w:sz w:val="24"/>
                <w:szCs w:val="24"/>
              </w:rPr>
              <w:t>Ampicillin</w:t>
            </w:r>
          </w:p>
        </w:tc>
      </w:tr>
      <w:tr w:rsidR="00FA6F12" w:rsidRPr="00353351" w14:paraId="34471878" w14:textId="77777777" w:rsidTr="00FA6F12">
        <w:tc>
          <w:tcPr>
            <w:tcW w:w="2325" w:type="dxa"/>
          </w:tcPr>
          <w:p w14:paraId="456B6E27" w14:textId="77777777" w:rsidR="00FA6F12" w:rsidRPr="006376A7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6A7">
              <w:rPr>
                <w:rFonts w:ascii="Times New Roman" w:hAnsi="Times New Roman"/>
                <w:b/>
                <w:bCs/>
                <w:sz w:val="24"/>
                <w:szCs w:val="24"/>
              </w:rPr>
              <w:t>MIC</w:t>
            </w:r>
            <w:r w:rsidRPr="006376A7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>50</w:t>
            </w:r>
            <w:r w:rsidRPr="006376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(mg/mL)</w:t>
            </w:r>
          </w:p>
        </w:tc>
        <w:tc>
          <w:tcPr>
            <w:tcW w:w="2307" w:type="dxa"/>
          </w:tcPr>
          <w:p w14:paraId="456D9DF7" w14:textId="77777777" w:rsidR="00FA6F12" w:rsidRPr="00353351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351">
              <w:rPr>
                <w:rFonts w:ascii="Times New Roman" w:hAnsi="Times New Roman"/>
                <w:bCs/>
                <w:sz w:val="24"/>
                <w:szCs w:val="24"/>
              </w:rPr>
              <w:t>0.0521</w:t>
            </w:r>
          </w:p>
        </w:tc>
        <w:tc>
          <w:tcPr>
            <w:tcW w:w="2292" w:type="dxa"/>
          </w:tcPr>
          <w:p w14:paraId="1951F7BB" w14:textId="77777777" w:rsidR="00FA6F12" w:rsidRPr="00353351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351">
              <w:rPr>
                <w:rFonts w:ascii="Times New Roman" w:hAnsi="Times New Roman"/>
                <w:bCs/>
                <w:sz w:val="24"/>
                <w:szCs w:val="24"/>
              </w:rPr>
              <w:t>0.0471</w:t>
            </w:r>
          </w:p>
        </w:tc>
        <w:tc>
          <w:tcPr>
            <w:tcW w:w="2318" w:type="dxa"/>
          </w:tcPr>
          <w:p w14:paraId="78998318" w14:textId="77777777" w:rsidR="00FA6F12" w:rsidRPr="00353351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351">
              <w:rPr>
                <w:rFonts w:ascii="Times New Roman" w:hAnsi="Times New Roman"/>
                <w:bCs/>
                <w:sz w:val="24"/>
                <w:szCs w:val="24"/>
              </w:rPr>
              <w:t>0.00004</w:t>
            </w:r>
          </w:p>
        </w:tc>
      </w:tr>
      <w:tr w:rsidR="00FA6F12" w:rsidRPr="00353351" w14:paraId="11196363" w14:textId="77777777" w:rsidTr="00FA6F12">
        <w:tc>
          <w:tcPr>
            <w:tcW w:w="2325" w:type="dxa"/>
          </w:tcPr>
          <w:p w14:paraId="26828B09" w14:textId="77777777" w:rsidR="00FA6F12" w:rsidRPr="006376A7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6A7">
              <w:rPr>
                <w:rFonts w:ascii="Times New Roman" w:hAnsi="Times New Roman"/>
                <w:b/>
                <w:bCs/>
                <w:sz w:val="24"/>
                <w:szCs w:val="24"/>
              </w:rPr>
              <w:t>MIC</w:t>
            </w:r>
            <w:r w:rsidRPr="006376A7">
              <w:rPr>
                <w:rFonts w:ascii="Times New Roman" w:hAnsi="Times New Roman"/>
                <w:b/>
                <w:bCs/>
                <w:sz w:val="24"/>
                <w:szCs w:val="24"/>
                <w:vertAlign w:val="subscript"/>
              </w:rPr>
              <w:t xml:space="preserve">90 </w:t>
            </w:r>
            <w:r w:rsidRPr="006376A7">
              <w:rPr>
                <w:rFonts w:ascii="Times New Roman" w:hAnsi="Times New Roman"/>
                <w:b/>
                <w:bCs/>
                <w:sz w:val="24"/>
                <w:szCs w:val="24"/>
              </w:rPr>
              <w:t>(mg/mL)</w:t>
            </w:r>
          </w:p>
        </w:tc>
        <w:tc>
          <w:tcPr>
            <w:tcW w:w="2307" w:type="dxa"/>
          </w:tcPr>
          <w:p w14:paraId="791CB122" w14:textId="77777777" w:rsidR="00FA6F12" w:rsidRPr="00353351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351">
              <w:rPr>
                <w:rFonts w:ascii="Times New Roman" w:hAnsi="Times New Roman"/>
                <w:bCs/>
                <w:sz w:val="24"/>
                <w:szCs w:val="24"/>
              </w:rPr>
              <w:t>0.189</w:t>
            </w:r>
          </w:p>
        </w:tc>
        <w:tc>
          <w:tcPr>
            <w:tcW w:w="2292" w:type="dxa"/>
          </w:tcPr>
          <w:p w14:paraId="5CC44F86" w14:textId="77777777" w:rsidR="00FA6F12" w:rsidRPr="00353351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351">
              <w:rPr>
                <w:rFonts w:ascii="Times New Roman" w:hAnsi="Times New Roman"/>
                <w:bCs/>
                <w:sz w:val="24"/>
                <w:szCs w:val="24"/>
              </w:rPr>
              <w:t>0.178</w:t>
            </w:r>
          </w:p>
        </w:tc>
        <w:tc>
          <w:tcPr>
            <w:tcW w:w="2318" w:type="dxa"/>
          </w:tcPr>
          <w:p w14:paraId="722BB05A" w14:textId="77777777" w:rsidR="00FA6F12" w:rsidRPr="00353351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351">
              <w:rPr>
                <w:rFonts w:ascii="Times New Roman" w:hAnsi="Times New Roman"/>
                <w:bCs/>
                <w:sz w:val="24"/>
                <w:szCs w:val="24"/>
              </w:rPr>
              <w:t>0.0001</w:t>
            </w:r>
          </w:p>
        </w:tc>
      </w:tr>
      <w:tr w:rsidR="00FA6F12" w:rsidRPr="00353351" w14:paraId="5D777CD1" w14:textId="77777777" w:rsidTr="00FA6F12">
        <w:tc>
          <w:tcPr>
            <w:tcW w:w="2325" w:type="dxa"/>
          </w:tcPr>
          <w:p w14:paraId="160675A7" w14:textId="77777777" w:rsidR="00FA6F12" w:rsidRPr="006376A7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76A7">
              <w:rPr>
                <w:rFonts w:ascii="Times New Roman" w:hAnsi="Times New Roman"/>
                <w:b/>
                <w:bCs/>
                <w:sz w:val="24"/>
                <w:szCs w:val="24"/>
              </w:rPr>
              <w:t>MIC range (mg/mL)</w:t>
            </w:r>
          </w:p>
        </w:tc>
        <w:tc>
          <w:tcPr>
            <w:tcW w:w="2307" w:type="dxa"/>
          </w:tcPr>
          <w:p w14:paraId="10DC5359" w14:textId="77777777" w:rsidR="00FA6F12" w:rsidRPr="00353351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351">
              <w:rPr>
                <w:rFonts w:ascii="Times New Roman" w:hAnsi="Times New Roman"/>
                <w:bCs/>
                <w:sz w:val="24"/>
                <w:szCs w:val="24"/>
              </w:rPr>
              <w:t>0.0098-0.190</w:t>
            </w:r>
          </w:p>
        </w:tc>
        <w:tc>
          <w:tcPr>
            <w:tcW w:w="2292" w:type="dxa"/>
          </w:tcPr>
          <w:p w14:paraId="6F764257" w14:textId="77777777" w:rsidR="00FA6F12" w:rsidRPr="00353351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351">
              <w:rPr>
                <w:rFonts w:ascii="Times New Roman" w:hAnsi="Times New Roman"/>
                <w:bCs/>
                <w:sz w:val="24"/>
                <w:szCs w:val="24"/>
              </w:rPr>
              <w:t>0.009-0.178</w:t>
            </w:r>
          </w:p>
        </w:tc>
        <w:tc>
          <w:tcPr>
            <w:tcW w:w="2318" w:type="dxa"/>
          </w:tcPr>
          <w:p w14:paraId="26DBE89C" w14:textId="77777777" w:rsidR="00FA6F12" w:rsidRPr="00353351" w:rsidRDefault="00FA6F12" w:rsidP="00552870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351">
              <w:rPr>
                <w:rFonts w:ascii="Times New Roman" w:hAnsi="Times New Roman"/>
                <w:bCs/>
                <w:sz w:val="24"/>
                <w:szCs w:val="24"/>
              </w:rPr>
              <w:t>0.00002-0.0001</w:t>
            </w:r>
          </w:p>
        </w:tc>
      </w:tr>
    </w:tbl>
    <w:p w14:paraId="4BFC3717" w14:textId="77777777" w:rsidR="00FA6F12" w:rsidRDefault="00FA6F12" w:rsidP="00FA6F12">
      <w:pPr>
        <w:rPr>
          <w:rFonts w:ascii="Times New Roman" w:hAnsi="Times New Roman"/>
          <w:bCs/>
          <w:sz w:val="24"/>
          <w:szCs w:val="24"/>
        </w:rPr>
      </w:pPr>
    </w:p>
    <w:p w14:paraId="6688A09A" w14:textId="77777777" w:rsidR="00D67D38" w:rsidRDefault="00D67D38" w:rsidP="00D67D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</w:t>
      </w:r>
      <w:r w:rsidRPr="00217C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Evaluation of cytotoxicity</w:t>
      </w:r>
    </w:p>
    <w:p w14:paraId="22861F65" w14:textId="77777777" w:rsidR="00D67D38" w:rsidRPr="00383BA3" w:rsidRDefault="00D67D38" w:rsidP="00D67D3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10"/>
          <w:szCs w:val="24"/>
        </w:rPr>
      </w:pPr>
    </w:p>
    <w:p w14:paraId="0E6F2B4E" w14:textId="77777777" w:rsidR="003C61FE" w:rsidRDefault="00D67D38" w:rsidP="00D67D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effect of complex on the viability of PANC-1 cel</w:t>
      </w:r>
      <w:r w:rsidR="009E36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ls was determined by a rapid and quantitative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colorimetric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>MTT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assay.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</w:rPr>
        <w:t>This colorim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etric method helps in detecting the living cells.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cells were treated with varying concentrations of </w:t>
      </w:r>
      <w:r w:rsidR="008060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title 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complex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the range 325.4 to 3254.7</w:t>
      </w:r>
      <w:r w:rsidRPr="00217C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µM</w:t>
      </w:r>
    </w:p>
    <w:p w14:paraId="59DCF8FF" w14:textId="77777777" w:rsidR="003C61FE" w:rsidRPr="002E4217" w:rsidRDefault="003C61FE" w:rsidP="00CD4DC7">
      <w:pPr>
        <w:autoSpaceDE w:val="0"/>
        <w:autoSpaceDN w:val="0"/>
        <w:adjustRightInd w:val="0"/>
        <w:spacing w:after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4217">
        <w:rPr>
          <w:rFonts w:ascii="Times New Roman" w:hAnsi="Times New Roman" w:cs="Times New Roman"/>
          <w:sz w:val="24"/>
          <w:szCs w:val="24"/>
        </w:rPr>
        <w:t>In</w:t>
      </w:r>
      <w:r w:rsidR="00A0075F">
        <w:rPr>
          <w:rFonts w:ascii="Times New Roman" w:hAnsi="Times New Roman" w:cs="Times New Roman"/>
          <w:sz w:val="24"/>
          <w:szCs w:val="24"/>
        </w:rPr>
        <w:t xml:space="preserve"> the reduction in cell survival</w:t>
      </w:r>
      <w:r w:rsidRPr="002E4217">
        <w:rPr>
          <w:rFonts w:ascii="Times New Roman" w:hAnsi="Times New Roman" w:cs="Times New Roman"/>
          <w:sz w:val="24"/>
          <w:szCs w:val="24"/>
        </w:rPr>
        <w:t xml:space="preserve"> percent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4217">
        <w:rPr>
          <w:rFonts w:ascii="Times New Roman" w:hAnsi="Times New Roman" w:cs="Times New Roman"/>
          <w:sz w:val="24"/>
          <w:szCs w:val="24"/>
        </w:rPr>
        <w:t xml:space="preserve"> it was revealed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the graph in </w:t>
      </w:r>
      <w:r w:rsidR="00641D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Figure 3</w:t>
      </w:r>
      <w:r w:rsidRPr="002E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E4217">
        <w:rPr>
          <w:rFonts w:ascii="Times New Roman" w:hAnsi="Times New Roman" w:cs="Times New Roman"/>
          <w:sz w:val="24"/>
          <w:szCs w:val="24"/>
        </w:rPr>
        <w:t>he complex was found to be most active at a concen</w:t>
      </w:r>
      <w:r>
        <w:rPr>
          <w:rFonts w:ascii="Times New Roman" w:hAnsi="Times New Roman" w:cs="Times New Roman"/>
          <w:sz w:val="24"/>
          <w:szCs w:val="24"/>
        </w:rPr>
        <w:t>tration of 2278.29</w:t>
      </w:r>
      <w:r w:rsidR="00CD4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217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2E4217">
        <w:rPr>
          <w:rFonts w:ascii="Times New Roman" w:hAnsi="Times New Roman" w:cs="Times New Roman"/>
          <w:sz w:val="24"/>
          <w:szCs w:val="24"/>
        </w:rPr>
        <w:t>, as the per</w:t>
      </w:r>
      <w:r>
        <w:rPr>
          <w:rFonts w:ascii="Times New Roman" w:hAnsi="Times New Roman" w:cs="Times New Roman"/>
          <w:sz w:val="24"/>
          <w:szCs w:val="24"/>
        </w:rPr>
        <w:t>cent cell viability reaches 53</w:t>
      </w:r>
      <w:r w:rsidRPr="002E4217">
        <w:rPr>
          <w:rFonts w:ascii="Times New Roman" w:hAnsi="Times New Roman" w:cs="Times New Roman"/>
          <w:sz w:val="24"/>
          <w:szCs w:val="24"/>
        </w:rPr>
        <w:t>% and this indicated that the complex has caused the death of m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E4217">
        <w:rPr>
          <w:rFonts w:ascii="Times New Roman" w:hAnsi="Times New Roman" w:cs="Times New Roman"/>
          <w:sz w:val="24"/>
          <w:szCs w:val="24"/>
        </w:rPr>
        <w:t>st of the PANC-1 cells at this concentration</w:t>
      </w:r>
      <w:r>
        <w:rPr>
          <w:rFonts w:ascii="Times New Roman" w:hAnsi="Times New Roman" w:cs="Times New Roman"/>
          <w:sz w:val="24"/>
          <w:szCs w:val="24"/>
        </w:rPr>
        <w:t xml:space="preserve"> after 24 hour</w:t>
      </w:r>
      <w:r w:rsidRPr="002E4217">
        <w:rPr>
          <w:rFonts w:ascii="Times New Roman" w:hAnsi="Times New Roman" w:cs="Times New Roman"/>
          <w:sz w:val="24"/>
          <w:szCs w:val="24"/>
        </w:rPr>
        <w:t xml:space="preserve">. </w:t>
      </w:r>
      <w:r w:rsidRPr="002E4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D60B0B">
        <w:rPr>
          <w:rFonts w:ascii="Times New Roman" w:hAnsi="Times New Roman" w:cs="Times New Roman"/>
          <w:color w:val="000000" w:themeColor="text1"/>
          <w:sz w:val="24"/>
          <w:szCs w:val="24"/>
        </w:rPr>
        <w:t>IC</w:t>
      </w:r>
      <w:r w:rsidRPr="001017D3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 at 48 hour (</w:t>
      </w:r>
      <w:r>
        <w:rPr>
          <w:rFonts w:ascii="Times New Roman" w:hAnsi="Times New Roman" w:cs="Times New Roman"/>
          <w:sz w:val="24"/>
          <w:szCs w:val="24"/>
        </w:rPr>
        <w:t>976.41</w:t>
      </w:r>
      <w:r w:rsidRPr="002E4217">
        <w:rPr>
          <w:rFonts w:ascii="Times New Roman" w:hAnsi="Times New Roman" w:cs="Times New Roman"/>
          <w:sz w:val="24"/>
          <w:szCs w:val="24"/>
        </w:rPr>
        <w:t>μM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4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observed to be lower than 24 hour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2278.29</w:t>
      </w:r>
      <w:r w:rsidRPr="002E4217">
        <w:rPr>
          <w:rFonts w:ascii="Times New Roman" w:hAnsi="Times New Roman" w:cs="Times New Roman"/>
          <w:sz w:val="24"/>
          <w:szCs w:val="24"/>
        </w:rPr>
        <w:t>μM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E42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indicating the time dependence of cytotoxicity. </w:t>
      </w:r>
    </w:p>
    <w:p w14:paraId="0D49282E" w14:textId="77777777" w:rsidR="003C61FE" w:rsidRPr="003C4325" w:rsidRDefault="003C61FE" w:rsidP="00D67D3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972282" w14:textId="77777777" w:rsidR="00D67D38" w:rsidRPr="00217CBD" w:rsidRDefault="00D67D38" w:rsidP="00D67D38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en-IN"/>
        </w:rPr>
        <w:lastRenderedPageBreak/>
        <w:drawing>
          <wp:inline distT="0" distB="0" distL="0" distR="0" wp14:anchorId="28F3D39F" wp14:editId="2D0A55BA">
            <wp:extent cx="5734050" cy="3028950"/>
            <wp:effectExtent l="0" t="0" r="0" b="0"/>
            <wp:docPr id="3" name="Picture 3" descr="C:\Users\sanaa\Downloads\sana tiff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aa\Downloads\sana tiff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663" cy="303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3BF1A" w14:textId="77777777" w:rsidR="00D67D38" w:rsidRPr="00217CBD" w:rsidRDefault="00D67D38" w:rsidP="00D67D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97152C" w14:textId="77777777" w:rsidR="00D67D38" w:rsidRPr="003D0929" w:rsidRDefault="00641D93" w:rsidP="00D67D38">
      <w:pPr>
        <w:spacing w:after="20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 3</w:t>
      </w:r>
      <w:r w:rsidR="00D67D38" w:rsidRPr="003D0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Comparative percentage survival of the PANC-1 cells at 24 h and 48 h with varying concentrations of</w:t>
      </w:r>
      <w:r w:rsidR="009435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title</w:t>
      </w:r>
      <w:r w:rsidR="00D67D38" w:rsidRPr="003D0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complex. The results were expressed as </w:t>
      </w:r>
      <w:proofErr w:type="spellStart"/>
      <w:r w:rsidR="00D67D38" w:rsidRPr="003D0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Mean±SD</w:t>
      </w:r>
      <w:proofErr w:type="spellEnd"/>
      <w:r w:rsidR="00D67D38" w:rsidRPr="003D0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% cell survival from the triplicate experiments (* represents </w:t>
      </w:r>
      <w:r w:rsidR="00FF4112" w:rsidRPr="003D0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substantial</w:t>
      </w:r>
      <w:r w:rsidR="00D67D38" w:rsidRPr="003D092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differences between the control and experimental group i.e. P &lt; 0.05)</w:t>
      </w:r>
    </w:p>
    <w:p w14:paraId="0A1412D4" w14:textId="77777777" w:rsidR="00890E1F" w:rsidRPr="008C16B2" w:rsidRDefault="00890E1F" w:rsidP="00890E1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Conclusion</w:t>
      </w:r>
    </w:p>
    <w:p w14:paraId="3F22FA53" w14:textId="7CDD8B67" w:rsidR="00BD692A" w:rsidRPr="008C16B2" w:rsidRDefault="00040ED4" w:rsidP="00F530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paper highlights</w:t>
      </w:r>
      <w:r w:rsidR="007B0762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design, 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synthesis</w:t>
      </w:r>
      <w:r w:rsidR="00CD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B3353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structure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interpretation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cobalt (III) complex 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[Co(</w:t>
      </w:r>
      <w:proofErr w:type="spellStart"/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bpy</w:t>
      </w:r>
      <w:proofErr w:type="spellEnd"/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</w:t>
      </w:r>
      <w:proofErr w:type="gramStart"/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](</w:t>
      </w:r>
      <w:proofErr w:type="gramEnd"/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7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</w:t>
      </w:r>
      <w:r w:rsidR="00AC1CE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4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</w:t>
      </w:r>
      <w:r w:rsidR="00AC1CEC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3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S).3H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2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O. This complex was </w:t>
      </w:r>
      <w:r w:rsidR="00C9022E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spectroscopically and structurally </w:t>
      </w:r>
      <w:r w:rsidR="003B3353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characterized</w:t>
      </w:r>
      <w:r w:rsidR="00C9022E" w:rsidRPr="008C16B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Octahedral geometry was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allocated</w:t>
      </w:r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gramStart"/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Co(</w:t>
      </w:r>
      <w:proofErr w:type="gramEnd"/>
      <w:r w:rsidR="004C5C7D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III) ion in the complex by the single crystal X-ray analysis. </w:t>
      </w:r>
      <w:r w:rsidR="004A4C9E">
        <w:rPr>
          <w:rFonts w:ascii="Times New Roman" w:hAnsi="Times New Roman" w:cs="Times New Roman"/>
          <w:sz w:val="24"/>
          <w:szCs w:val="24"/>
        </w:rPr>
        <w:t xml:space="preserve">The </w:t>
      </w:r>
      <w:r w:rsidR="004A4C9E" w:rsidRPr="00D60B0B">
        <w:rPr>
          <w:rFonts w:ascii="Times New Roman" w:hAnsi="Times New Roman" w:cs="Times New Roman"/>
          <w:i/>
          <w:color w:val="000000"/>
          <w:sz w:val="24"/>
          <w:szCs w:val="24"/>
        </w:rPr>
        <w:t>in vitro</w:t>
      </w:r>
      <w:r w:rsidR="004A4C9E">
        <w:rPr>
          <w:rFonts w:ascii="Times New Roman" w:hAnsi="Times New Roman" w:cs="Times New Roman"/>
          <w:color w:val="000000"/>
          <w:sz w:val="24"/>
          <w:szCs w:val="24"/>
        </w:rPr>
        <w:t xml:space="preserve"> cytotoxicity of complex was performed by cell viability MTT assay on PANC-1 cell lines</w:t>
      </w:r>
      <w:r w:rsidR="0072253A">
        <w:rPr>
          <w:rFonts w:ascii="Times New Roman" w:hAnsi="Times New Roman" w:cs="Times New Roman"/>
          <w:color w:val="000000"/>
          <w:sz w:val="24"/>
          <w:szCs w:val="24"/>
        </w:rPr>
        <w:t xml:space="preserve"> and it indicated the time dependence of cytotoxicity</w:t>
      </w:r>
      <w:r w:rsidR="004A4C9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A4C9E" w:rsidRPr="00D60B0B">
        <w:rPr>
          <w:rFonts w:ascii="Times New Roman" w:hAnsi="Times New Roman" w:cs="Times New Roman"/>
          <w:i/>
          <w:sz w:val="24"/>
          <w:szCs w:val="24"/>
        </w:rPr>
        <w:t>In vitro</w:t>
      </w:r>
      <w:r w:rsidR="004A4C9E">
        <w:rPr>
          <w:rFonts w:ascii="Times New Roman" w:hAnsi="Times New Roman" w:cs="Times New Roman"/>
          <w:sz w:val="24"/>
          <w:szCs w:val="24"/>
        </w:rPr>
        <w:t xml:space="preserve"> antibacterial study of complex indicated that the complex </w:t>
      </w:r>
      <w:proofErr w:type="gramStart"/>
      <w:r w:rsidR="004A4C9E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="004A4C9E">
        <w:rPr>
          <w:rFonts w:ascii="Times New Roman" w:hAnsi="Times New Roman" w:cs="Times New Roman"/>
          <w:sz w:val="24"/>
          <w:szCs w:val="24"/>
        </w:rPr>
        <w:t xml:space="preserve"> higher activity than respective ligand bipyridine against all bacteria.</w:t>
      </w:r>
      <w:r w:rsidR="008376C2">
        <w:rPr>
          <w:rFonts w:ascii="Times New Roman" w:hAnsi="Times New Roman" w:cs="Times New Roman"/>
          <w:sz w:val="24"/>
          <w:szCs w:val="24"/>
        </w:rPr>
        <w:t xml:space="preserve"> </w:t>
      </w:r>
      <w:r w:rsidR="00BD692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acquired</w:t>
      </w:r>
      <w:r w:rsidR="004A4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biological</w:t>
      </w:r>
      <w:r w:rsidR="00BD692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results </w:t>
      </w:r>
      <w:r w:rsidR="00C9022E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recommended that the novel architecture</w:t>
      </w:r>
      <w:r w:rsidR="00CD4D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B00E7B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proofErr w:type="gramEnd"/>
      <w:r w:rsidR="00B00E7B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counter</w:t>
      </w:r>
      <w:r w:rsidR="00BD692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</w:t>
      </w:r>
      <w:r w:rsidR="00B00E7B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ibiotic resistant bacteria</w:t>
      </w:r>
      <w:r w:rsidR="00BD692A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EA1B8B" w14:textId="77777777" w:rsidR="00856E19" w:rsidRPr="008C16B2" w:rsidRDefault="00856E19" w:rsidP="00856E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2F71B9" w14:textId="77777777" w:rsidR="00890E1F" w:rsidRPr="008C16B2" w:rsidRDefault="00890E1F" w:rsidP="00856E1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Supplementary data</w:t>
      </w:r>
    </w:p>
    <w:p w14:paraId="7A2A91F5" w14:textId="77777777" w:rsidR="00890E1F" w:rsidRPr="008C16B2" w:rsidRDefault="00C9022E" w:rsidP="00993ECC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analysing the </w:t>
      </w:r>
      <w:r w:rsidR="00890E1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Crystallographic data for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crystal structure, the Deposition number CCDC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2014541 can be quoted for 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obtaining the data</w:t>
      </w:r>
      <w:r w:rsidR="00890E1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Cambridge Crystallographic Data Centre</w:t>
      </w: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E2E5658" w14:textId="77777777" w:rsidR="00890E1F" w:rsidRPr="008C16B2" w:rsidRDefault="00890E1F" w:rsidP="00890E1F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Acknowledgement</w:t>
      </w:r>
    </w:p>
    <w:p w14:paraId="7AB24505" w14:textId="77777777" w:rsidR="008376C2" w:rsidRDefault="00E82D45" w:rsidP="0024646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D. Talwar highly</w:t>
      </w:r>
      <w:r w:rsidR="00890E1F" w:rsidRPr="008C16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acknowledges the financial support by Principal, DAV Colle</w:t>
      </w:r>
      <w:r w:rsidR="008C66EB">
        <w:rPr>
          <w:rFonts w:ascii="Times New Roman" w:hAnsi="Times New Roman" w:cs="Times New Roman"/>
          <w:color w:val="000000" w:themeColor="text1"/>
          <w:sz w:val="24"/>
          <w:szCs w:val="24"/>
        </w:rPr>
        <w:t>ge, Sector-10, Chandigarh</w:t>
      </w:r>
      <w:r w:rsidR="00B01C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46467" w:rsidRPr="002464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2B34F00" w14:textId="5A39E926" w:rsidR="00246467" w:rsidRDefault="00246467" w:rsidP="00246467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16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References</w:t>
      </w:r>
    </w:p>
    <w:p w14:paraId="13EA9575" w14:textId="77777777" w:rsidR="00246467" w:rsidRDefault="00246467" w:rsidP="00246467">
      <w:pPr>
        <w:pStyle w:val="ListParagraph"/>
        <w:numPr>
          <w:ilvl w:val="0"/>
          <w:numId w:val="1"/>
        </w:numPr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165F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10165F">
        <w:rPr>
          <w:rFonts w:ascii="Times New Roman" w:hAnsi="Times New Roman" w:cs="Times New Roman"/>
          <w:sz w:val="24"/>
          <w:szCs w:val="24"/>
        </w:rPr>
        <w:t>Sanram</w:t>
      </w:r>
      <w:proofErr w:type="spellEnd"/>
      <w:r w:rsidRPr="0010165F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10165F">
        <w:rPr>
          <w:rFonts w:ascii="Times New Roman" w:hAnsi="Times New Roman" w:cs="Times New Roman"/>
          <w:sz w:val="24"/>
          <w:szCs w:val="24"/>
        </w:rPr>
        <w:t>Boonmak</w:t>
      </w:r>
      <w:proofErr w:type="spellEnd"/>
      <w:r w:rsidRPr="0010165F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10165F">
        <w:rPr>
          <w:rFonts w:ascii="Times New Roman" w:hAnsi="Times New Roman" w:cs="Times New Roman"/>
          <w:sz w:val="24"/>
          <w:szCs w:val="24"/>
        </w:rPr>
        <w:t>Youngme</w:t>
      </w:r>
      <w:proofErr w:type="spellEnd"/>
      <w:r w:rsidRPr="0010165F">
        <w:rPr>
          <w:rFonts w:ascii="Times New Roman" w:hAnsi="Times New Roman" w:cs="Times New Roman"/>
          <w:sz w:val="24"/>
          <w:szCs w:val="24"/>
        </w:rPr>
        <w:t xml:space="preserve">, </w:t>
      </w:r>
      <w:r w:rsidRPr="00D4340F">
        <w:rPr>
          <w:rFonts w:ascii="Times New Roman" w:hAnsi="Times New Roman" w:cs="Times New Roman"/>
          <w:i/>
          <w:sz w:val="24"/>
          <w:szCs w:val="24"/>
        </w:rPr>
        <w:t>Inorg. Chim. Acta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40F"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340F">
        <w:rPr>
          <w:rFonts w:ascii="Times New Roman" w:hAnsi="Times New Roman" w:cs="Times New Roman"/>
          <w:i/>
          <w:sz w:val="24"/>
          <w:szCs w:val="24"/>
        </w:rPr>
        <w:t>469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65F">
        <w:rPr>
          <w:rFonts w:ascii="Times New Roman" w:hAnsi="Times New Roman" w:cs="Times New Roman"/>
          <w:sz w:val="24"/>
          <w:szCs w:val="24"/>
        </w:rPr>
        <w:t>11-19.</w:t>
      </w:r>
    </w:p>
    <w:p w14:paraId="297476E8" w14:textId="77777777" w:rsidR="00246467" w:rsidRPr="00C20AD8" w:rsidRDefault="00246467" w:rsidP="00246467">
      <w:pPr>
        <w:pStyle w:val="ListParagraph"/>
        <w:numPr>
          <w:ilvl w:val="0"/>
          <w:numId w:val="1"/>
        </w:numPr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20AD8">
        <w:rPr>
          <w:rFonts w:ascii="Times New Roman" w:hAnsi="Times New Roman" w:cs="Times New Roman"/>
          <w:sz w:val="24"/>
          <w:szCs w:val="24"/>
        </w:rPr>
        <w:t xml:space="preserve">E. A. Katayev, Y. A. </w:t>
      </w:r>
      <w:proofErr w:type="spellStart"/>
      <w:r w:rsidRPr="00C20AD8">
        <w:rPr>
          <w:rFonts w:ascii="Times New Roman" w:hAnsi="Times New Roman" w:cs="Times New Roman"/>
          <w:sz w:val="24"/>
          <w:szCs w:val="24"/>
        </w:rPr>
        <w:t>Ustynyuk</w:t>
      </w:r>
      <w:proofErr w:type="spellEnd"/>
      <w:r w:rsidRPr="00C20AD8">
        <w:rPr>
          <w:rFonts w:ascii="Times New Roman" w:hAnsi="Times New Roman" w:cs="Times New Roman"/>
          <w:sz w:val="24"/>
          <w:szCs w:val="24"/>
        </w:rPr>
        <w:t xml:space="preserve">, J. L. Sessler, Coord. </w:t>
      </w:r>
      <w:r w:rsidRPr="00E23F0D">
        <w:rPr>
          <w:rFonts w:ascii="Times New Roman" w:hAnsi="Times New Roman" w:cs="Times New Roman"/>
          <w:i/>
          <w:sz w:val="24"/>
          <w:szCs w:val="24"/>
        </w:rPr>
        <w:t xml:space="preserve">Chem. Rev. </w:t>
      </w:r>
      <w:r w:rsidRPr="00E23F0D">
        <w:rPr>
          <w:rFonts w:ascii="Times New Roman" w:hAnsi="Times New Roman" w:cs="Times New Roman"/>
          <w:b/>
          <w:sz w:val="24"/>
          <w:szCs w:val="24"/>
        </w:rPr>
        <w:t>2006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23F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F0D">
        <w:rPr>
          <w:rFonts w:ascii="Times New Roman" w:hAnsi="Times New Roman" w:cs="Times New Roman"/>
          <w:i/>
          <w:sz w:val="24"/>
          <w:szCs w:val="24"/>
        </w:rPr>
        <w:t>250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0AD8">
        <w:rPr>
          <w:rFonts w:ascii="Times New Roman" w:hAnsi="Times New Roman" w:cs="Times New Roman"/>
          <w:sz w:val="24"/>
          <w:szCs w:val="24"/>
        </w:rPr>
        <w:t>3004−3037.</w:t>
      </w:r>
    </w:p>
    <w:p w14:paraId="74026E1B" w14:textId="77777777" w:rsidR="00246467" w:rsidRPr="00665AA2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Cheng-Peng Li</w:t>
      </w:r>
      <w:r w:rsidRPr="00665AA2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M. Du, </w:t>
      </w:r>
      <w:r w:rsidRPr="00EE73F4">
        <w:rPr>
          <w:rFonts w:ascii="Times New Roman" w:hAnsi="Times New Roman" w:cs="Times New Roman"/>
          <w:i/>
          <w:noProof/>
          <w:sz w:val="24"/>
          <w:szCs w:val="24"/>
        </w:rPr>
        <w:t xml:space="preserve">Chem.Comm. </w:t>
      </w:r>
      <w:r w:rsidRPr="00EE73F4">
        <w:rPr>
          <w:rFonts w:ascii="Times New Roman" w:hAnsi="Times New Roman" w:cs="Times New Roman"/>
          <w:b/>
          <w:noProof/>
          <w:sz w:val="24"/>
          <w:szCs w:val="24"/>
        </w:rPr>
        <w:t>2011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EE73F4">
        <w:rPr>
          <w:rFonts w:ascii="Times New Roman" w:hAnsi="Times New Roman" w:cs="Times New Roman"/>
          <w:i/>
          <w:noProof/>
          <w:sz w:val="24"/>
          <w:szCs w:val="24"/>
        </w:rPr>
        <w:t>47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5958-5972. </w:t>
      </w:r>
    </w:p>
    <w:p w14:paraId="1C46FB1F" w14:textId="77777777" w:rsidR="00246467" w:rsidRDefault="00246467" w:rsidP="00246467">
      <w:pPr>
        <w:pStyle w:val="ListParagraph"/>
        <w:numPr>
          <w:ilvl w:val="0"/>
          <w:numId w:val="1"/>
        </w:numPr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2023">
        <w:rPr>
          <w:rFonts w:ascii="Times New Roman" w:hAnsi="Times New Roman" w:cs="Times New Roman"/>
          <w:noProof/>
          <w:sz w:val="24"/>
          <w:szCs w:val="24"/>
        </w:rPr>
        <w:t>S. Saha, G.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42023">
        <w:rPr>
          <w:rFonts w:ascii="Times New Roman" w:hAnsi="Times New Roman" w:cs="Times New Roman"/>
          <w:noProof/>
          <w:sz w:val="24"/>
          <w:szCs w:val="24"/>
        </w:rPr>
        <w:t xml:space="preserve">R. Desiraju, </w:t>
      </w:r>
      <w:r w:rsidRPr="00083847">
        <w:rPr>
          <w:rFonts w:ascii="Times New Roman" w:hAnsi="Times New Roman" w:cs="Times New Roman"/>
          <w:i/>
          <w:noProof/>
          <w:sz w:val="24"/>
          <w:szCs w:val="24"/>
        </w:rPr>
        <w:t xml:space="preserve">J. Am. Chem. Soc. </w:t>
      </w:r>
      <w:r w:rsidRPr="00083847">
        <w:rPr>
          <w:rFonts w:ascii="Times New Roman" w:hAnsi="Times New Roman" w:cs="Times New Roman"/>
          <w:b/>
          <w:noProof/>
          <w:sz w:val="24"/>
          <w:szCs w:val="24"/>
        </w:rPr>
        <w:t>2018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083847">
        <w:rPr>
          <w:rFonts w:ascii="Times New Roman" w:hAnsi="Times New Roman" w:cs="Times New Roman"/>
          <w:i/>
          <w:noProof/>
          <w:sz w:val="24"/>
          <w:szCs w:val="24"/>
        </w:rPr>
        <w:t>140,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6361-6373.</w:t>
      </w:r>
    </w:p>
    <w:p w14:paraId="6A1C8ABB" w14:textId="77777777" w:rsidR="00246467" w:rsidRDefault="00246467" w:rsidP="00246467">
      <w:pPr>
        <w:pStyle w:val="ListParagraph"/>
        <w:numPr>
          <w:ilvl w:val="0"/>
          <w:numId w:val="1"/>
        </w:numPr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2023">
        <w:rPr>
          <w:rFonts w:ascii="Times New Roman" w:hAnsi="Times New Roman" w:cs="Times New Roman"/>
          <w:noProof/>
          <w:sz w:val="24"/>
          <w:szCs w:val="24"/>
        </w:rPr>
        <w:t>R.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E. Navarro, D. Aguilera-M</w:t>
      </w:r>
      <w:r w:rsidRPr="00342023">
        <w:rPr>
          <w:rFonts w:ascii="Times New Roman" w:hAnsi="Times New Roman" w:cs="Times New Roman"/>
          <w:noProof/>
          <w:sz w:val="24"/>
          <w:szCs w:val="24"/>
        </w:rPr>
        <w:t xml:space="preserve">árquez, C. Virués, M. Inoue, </w:t>
      </w:r>
      <w:proofErr w:type="spellStart"/>
      <w:r w:rsidRPr="008C16B2">
        <w:rPr>
          <w:rStyle w:val="nlmarticle-title"/>
          <w:rFonts w:ascii="Times New Roman" w:hAnsi="Times New Roman" w:cs="Times New Roman"/>
          <w:i/>
          <w:color w:val="000000" w:themeColor="text1"/>
          <w:sz w:val="24"/>
          <w:szCs w:val="24"/>
        </w:rPr>
        <w:t>Supramol</w:t>
      </w:r>
      <w:proofErr w:type="spellEnd"/>
      <w:r w:rsidRPr="008C16B2">
        <w:rPr>
          <w:rStyle w:val="nlmarticle-title"/>
          <w:rFonts w:ascii="Times New Roman" w:hAnsi="Times New Roman" w:cs="Times New Roman"/>
          <w:i/>
          <w:color w:val="000000" w:themeColor="text1"/>
          <w:sz w:val="24"/>
          <w:szCs w:val="24"/>
        </w:rPr>
        <w:t>. Chem.</w:t>
      </w:r>
      <w:r w:rsidRPr="00232F7B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proofErr w:type="gramStart"/>
      <w:r w:rsidRPr="00232F7B">
        <w:rPr>
          <w:rFonts w:ascii="Times New Roman" w:hAnsi="Times New Roman" w:cs="Times New Roman"/>
          <w:b/>
          <w:noProof/>
          <w:sz w:val="24"/>
          <w:szCs w:val="24"/>
        </w:rPr>
        <w:t>2008</w:t>
      </w:r>
      <w:r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34202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C16B2">
        <w:rPr>
          <w:rStyle w:val="nlmarticle-titl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szCs w:val="24"/>
        </w:rPr>
        <w:t>20</w:t>
      </w:r>
      <w:proofErr w:type="gramEnd"/>
      <w:r>
        <w:rPr>
          <w:rFonts w:ascii="Times New Roman" w:hAnsi="Times New Roman" w:cs="Times New Roman"/>
          <w:i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</w:rPr>
        <w:t>7</w:t>
      </w:r>
      <w:r w:rsidRPr="00342023">
        <w:rPr>
          <w:rFonts w:ascii="Times New Roman" w:hAnsi="Times New Roman" w:cs="Times New Roman"/>
          <w:noProof/>
          <w:sz w:val="24"/>
          <w:szCs w:val="24"/>
        </w:rPr>
        <w:t>37–</w:t>
      </w:r>
      <w:r>
        <w:rPr>
          <w:rFonts w:ascii="Times New Roman" w:hAnsi="Times New Roman" w:cs="Times New Roman"/>
          <w:noProof/>
          <w:sz w:val="24"/>
          <w:szCs w:val="24"/>
        </w:rPr>
        <w:t>742.</w:t>
      </w:r>
    </w:p>
    <w:p w14:paraId="64032A28" w14:textId="77777777" w:rsidR="00246467" w:rsidRPr="008B4C23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B4C23">
        <w:rPr>
          <w:rFonts w:ascii="Times New Roman" w:hAnsi="Times New Roman" w:cs="Times New Roman"/>
          <w:noProof/>
          <w:sz w:val="24"/>
          <w:szCs w:val="24"/>
        </w:rPr>
        <w:t xml:space="preserve">V. Simic, L. Bouteiller, M. Jalabert, </w:t>
      </w:r>
      <w:r w:rsidRPr="00526C48">
        <w:rPr>
          <w:rFonts w:ascii="Times New Roman" w:hAnsi="Times New Roman" w:cs="Times New Roman"/>
          <w:i/>
          <w:noProof/>
          <w:sz w:val="24"/>
          <w:szCs w:val="24"/>
        </w:rPr>
        <w:t xml:space="preserve">J. Am. Chem. Soc. </w:t>
      </w:r>
      <w:r w:rsidRPr="00526C48">
        <w:rPr>
          <w:rFonts w:ascii="Times New Roman" w:hAnsi="Times New Roman" w:cs="Times New Roman"/>
          <w:b/>
          <w:noProof/>
          <w:sz w:val="24"/>
          <w:szCs w:val="24"/>
        </w:rPr>
        <w:t>2003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 w:rsidRPr="00526C48">
        <w:rPr>
          <w:rFonts w:ascii="Times New Roman" w:hAnsi="Times New Roman" w:cs="Times New Roman"/>
          <w:i/>
          <w:noProof/>
          <w:sz w:val="24"/>
          <w:szCs w:val="24"/>
        </w:rPr>
        <w:t>125</w:t>
      </w:r>
      <w:r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8B4C23">
        <w:rPr>
          <w:rFonts w:ascii="Times New Roman" w:hAnsi="Times New Roman" w:cs="Times New Roman"/>
          <w:noProof/>
          <w:sz w:val="24"/>
          <w:szCs w:val="24"/>
        </w:rPr>
        <w:t xml:space="preserve"> 13148–13154.</w:t>
      </w:r>
    </w:p>
    <w:p w14:paraId="687534E5" w14:textId="77777777" w:rsidR="00246467" w:rsidRPr="00AA1316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A1316">
        <w:rPr>
          <w:rFonts w:ascii="Times New Roman" w:hAnsi="Times New Roman" w:cs="Times New Roman"/>
          <w:noProof/>
          <w:sz w:val="24"/>
          <w:szCs w:val="24"/>
        </w:rPr>
        <w:t xml:space="preserve">Y. Haketa, S. Sakamoto, K. Chigusa, T. Nakanishi, H. Maeda, </w:t>
      </w:r>
      <w:r w:rsidRPr="00526C48">
        <w:rPr>
          <w:rFonts w:ascii="Times New Roman" w:hAnsi="Times New Roman" w:cs="Times New Roman"/>
          <w:i/>
          <w:noProof/>
          <w:sz w:val="24"/>
          <w:szCs w:val="24"/>
        </w:rPr>
        <w:t>J. Org. Chem.</w:t>
      </w:r>
      <w:r w:rsidRPr="00526C48">
        <w:rPr>
          <w:rFonts w:ascii="Times New Roman" w:hAnsi="Times New Roman" w:cs="Times New Roman"/>
          <w:b/>
          <w:noProof/>
          <w:sz w:val="24"/>
          <w:szCs w:val="24"/>
        </w:rPr>
        <w:t xml:space="preserve"> 2011 </w:t>
      </w:r>
      <w:r w:rsidRPr="00526C48">
        <w:rPr>
          <w:rFonts w:ascii="Times New Roman" w:hAnsi="Times New Roman" w:cs="Times New Roman"/>
          <w:i/>
          <w:noProof/>
          <w:sz w:val="24"/>
          <w:szCs w:val="24"/>
        </w:rPr>
        <w:t>76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A1316">
        <w:rPr>
          <w:rFonts w:ascii="Times New Roman" w:hAnsi="Times New Roman" w:cs="Times New Roman"/>
          <w:noProof/>
          <w:sz w:val="24"/>
          <w:szCs w:val="24"/>
        </w:rPr>
        <w:t>5177–5184.</w:t>
      </w:r>
    </w:p>
    <w:p w14:paraId="737B1266" w14:textId="77777777" w:rsidR="00246467" w:rsidRPr="006F5508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F5508">
        <w:rPr>
          <w:rFonts w:ascii="Times New Roman" w:hAnsi="Times New Roman" w:cs="Times New Roman"/>
          <w:noProof/>
          <w:sz w:val="24"/>
          <w:szCs w:val="24"/>
        </w:rPr>
        <w:t>S. Arora, D. Talwar, M. Singh, S.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F5508">
        <w:rPr>
          <w:rFonts w:ascii="Times New Roman" w:hAnsi="Times New Roman" w:cs="Times New Roman"/>
          <w:noProof/>
          <w:sz w:val="24"/>
          <w:szCs w:val="24"/>
        </w:rPr>
        <w:t>C. Sahoo, 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 Sharma, </w:t>
      </w:r>
      <w:r w:rsidRPr="008E7BE2">
        <w:rPr>
          <w:rFonts w:ascii="Times New Roman" w:hAnsi="Times New Roman" w:cs="Times New Roman"/>
          <w:i/>
          <w:noProof/>
          <w:sz w:val="24"/>
          <w:szCs w:val="24"/>
        </w:rPr>
        <w:t>J. Mol. Struct. 1199</w:t>
      </w:r>
      <w:r>
        <w:rPr>
          <w:rFonts w:ascii="Times New Roman" w:hAnsi="Times New Roman" w:cs="Times New Roman"/>
          <w:i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E7BE2">
        <w:rPr>
          <w:rFonts w:ascii="Times New Roman" w:hAnsi="Times New Roman" w:cs="Times New Roman"/>
          <w:b/>
          <w:noProof/>
          <w:sz w:val="24"/>
          <w:szCs w:val="24"/>
        </w:rPr>
        <w:t>2020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6F5508">
        <w:rPr>
          <w:rFonts w:ascii="Times New Roman" w:hAnsi="Times New Roman" w:cs="Times New Roman"/>
          <w:noProof/>
          <w:sz w:val="24"/>
          <w:szCs w:val="24"/>
        </w:rPr>
        <w:t>12</w:t>
      </w:r>
      <w:r>
        <w:rPr>
          <w:rFonts w:ascii="Times New Roman" w:hAnsi="Times New Roman" w:cs="Times New Roman"/>
          <w:noProof/>
          <w:sz w:val="24"/>
          <w:szCs w:val="24"/>
        </w:rPr>
        <w:t xml:space="preserve">7017. </w:t>
      </w:r>
    </w:p>
    <w:p w14:paraId="537DD1C2" w14:textId="77777777" w:rsidR="00246467" w:rsidRDefault="00246467" w:rsidP="00246467">
      <w:pPr>
        <w:pStyle w:val="ListParagraph"/>
        <w:numPr>
          <w:ilvl w:val="0"/>
          <w:numId w:val="1"/>
        </w:numPr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Arora, D. Talwar, M. Chetal, A. Yadav, P. Kaur, S. Goyal, S. C. Sahoo, R. Sharma, </w:t>
      </w:r>
      <w:r w:rsidRPr="008E7BE2">
        <w:rPr>
          <w:rFonts w:ascii="Times New Roman" w:hAnsi="Times New Roman" w:cs="Times New Roman"/>
          <w:i/>
          <w:sz w:val="24"/>
          <w:szCs w:val="24"/>
        </w:rPr>
        <w:t>J. Mol. Struct.</w:t>
      </w:r>
      <w:r w:rsidRPr="008E7BE2">
        <w:rPr>
          <w:rFonts w:ascii="Times New Roman" w:hAnsi="Times New Roman" w:cs="Times New Roman"/>
          <w:sz w:val="24"/>
          <w:szCs w:val="24"/>
        </w:rPr>
        <w:t xml:space="preserve"> </w:t>
      </w:r>
      <w:r w:rsidRPr="008E7BE2">
        <w:rPr>
          <w:rFonts w:ascii="Times New Roman" w:hAnsi="Times New Roman" w:cs="Times New Roman"/>
          <w:b/>
          <w:sz w:val="24"/>
          <w:szCs w:val="24"/>
        </w:rPr>
        <w:t>2020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E7B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BE2">
        <w:rPr>
          <w:rFonts w:ascii="Times New Roman" w:hAnsi="Times New Roman" w:cs="Times New Roman"/>
          <w:i/>
          <w:sz w:val="24"/>
          <w:szCs w:val="24"/>
        </w:rPr>
        <w:t>1216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128312.</w:t>
      </w:r>
    </w:p>
    <w:p w14:paraId="1CE4DF50" w14:textId="77777777" w:rsidR="00246467" w:rsidRPr="008508F9" w:rsidRDefault="00246467" w:rsidP="00246467">
      <w:pPr>
        <w:pStyle w:val="ListParagraph"/>
        <w:numPr>
          <w:ilvl w:val="0"/>
          <w:numId w:val="1"/>
        </w:numPr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508F9">
        <w:rPr>
          <w:rFonts w:ascii="Times New Roman" w:hAnsi="Times New Roman" w:cs="Times New Roman"/>
          <w:noProof/>
          <w:sz w:val="24"/>
          <w:szCs w:val="24"/>
        </w:rPr>
        <w:t xml:space="preserve">C. A. Johns, G. M. G. Hossain, K. M. A. Malik, S. Z. Haider, U. K. R. Romman, </w:t>
      </w:r>
      <w:r w:rsidRPr="00E6465D">
        <w:rPr>
          <w:rFonts w:ascii="Times New Roman" w:hAnsi="Times New Roman" w:cs="Times New Roman"/>
          <w:i/>
          <w:noProof/>
          <w:sz w:val="24"/>
          <w:szCs w:val="24"/>
        </w:rPr>
        <w:t xml:space="preserve">Polyhedron, </w:t>
      </w:r>
      <w:r w:rsidRPr="00E6465D">
        <w:rPr>
          <w:rFonts w:ascii="Times New Roman" w:hAnsi="Times New Roman" w:cs="Times New Roman"/>
          <w:b/>
          <w:noProof/>
          <w:sz w:val="24"/>
          <w:szCs w:val="24"/>
        </w:rPr>
        <w:t>2001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6465D">
        <w:rPr>
          <w:rFonts w:ascii="Times New Roman" w:hAnsi="Times New Roman" w:cs="Times New Roman"/>
          <w:i/>
          <w:noProof/>
          <w:sz w:val="24"/>
          <w:szCs w:val="24"/>
        </w:rPr>
        <w:t>20</w:t>
      </w:r>
      <w:r>
        <w:rPr>
          <w:rFonts w:ascii="Times New Roman" w:hAnsi="Times New Roman" w:cs="Times New Roman"/>
          <w:i/>
          <w:noProof/>
          <w:sz w:val="24"/>
          <w:szCs w:val="24"/>
        </w:rPr>
        <w:t>,</w:t>
      </w:r>
      <w:r w:rsidRPr="008508F9">
        <w:rPr>
          <w:rFonts w:ascii="Times New Roman" w:hAnsi="Times New Roman" w:cs="Times New Roman"/>
          <w:noProof/>
          <w:sz w:val="24"/>
          <w:szCs w:val="24"/>
        </w:rPr>
        <w:t xml:space="preserve"> 721–726.</w:t>
      </w:r>
    </w:p>
    <w:p w14:paraId="1357BFC1" w14:textId="77777777" w:rsidR="00246467" w:rsidRDefault="00246467" w:rsidP="00246467">
      <w:pPr>
        <w:pStyle w:val="ListParagraph"/>
        <w:numPr>
          <w:ilvl w:val="0"/>
          <w:numId w:val="1"/>
        </w:numPr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6859">
        <w:rPr>
          <w:rFonts w:ascii="Times New Roman" w:hAnsi="Times New Roman" w:cs="Times New Roman"/>
          <w:noProof/>
          <w:sz w:val="24"/>
          <w:szCs w:val="24"/>
        </w:rPr>
        <w:t>E.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76859">
        <w:rPr>
          <w:rFonts w:ascii="Times New Roman" w:hAnsi="Times New Roman" w:cs="Times New Roman"/>
          <w:noProof/>
          <w:sz w:val="24"/>
          <w:szCs w:val="24"/>
        </w:rPr>
        <w:t>J. Baran, V.T. Yilmaz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E6465D">
        <w:rPr>
          <w:rFonts w:ascii="Times New Roman" w:hAnsi="Times New Roman" w:cs="Times New Roman"/>
          <w:i/>
          <w:noProof/>
          <w:sz w:val="24"/>
          <w:szCs w:val="24"/>
        </w:rPr>
        <w:t>Coord. Chem. Rev.</w:t>
      </w:r>
      <w:r w:rsidRPr="00E6465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6465D">
        <w:rPr>
          <w:rFonts w:ascii="Times New Roman" w:hAnsi="Times New Roman" w:cs="Times New Roman"/>
          <w:b/>
          <w:noProof/>
          <w:sz w:val="24"/>
          <w:szCs w:val="24"/>
        </w:rPr>
        <w:t>2006</w:t>
      </w:r>
      <w:r>
        <w:rPr>
          <w:rFonts w:ascii="Times New Roman" w:hAnsi="Times New Roman" w:cs="Times New Roman"/>
          <w:b/>
          <w:noProof/>
          <w:sz w:val="24"/>
          <w:szCs w:val="24"/>
        </w:rPr>
        <w:t>,</w:t>
      </w:r>
      <w:r w:rsidRPr="00E6465D">
        <w:rPr>
          <w:rFonts w:ascii="Times New Roman" w:hAnsi="Times New Roman" w:cs="Times New Roman"/>
          <w:i/>
          <w:noProof/>
          <w:sz w:val="24"/>
          <w:szCs w:val="24"/>
        </w:rPr>
        <w:t xml:space="preserve"> 250</w:t>
      </w:r>
      <w:r>
        <w:rPr>
          <w:rFonts w:ascii="Times New Roman" w:hAnsi="Times New Roman" w:cs="Times New Roman"/>
          <w:i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76859">
        <w:rPr>
          <w:rFonts w:ascii="Times New Roman" w:hAnsi="Times New Roman" w:cs="Times New Roman"/>
          <w:noProof/>
          <w:sz w:val="24"/>
          <w:szCs w:val="24"/>
        </w:rPr>
        <w:t>1980–1999.</w:t>
      </w:r>
    </w:p>
    <w:p w14:paraId="286411BA" w14:textId="77777777" w:rsidR="00246467" w:rsidRPr="00BB29EE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BB29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Xu-Cheng Fu, Xiao-Yan Wang, Ming-Tian Li, Cheng-Gang Wang, Xiao-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Tao Deng, </w:t>
      </w:r>
      <w:r w:rsidRPr="00A97D3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Acta Cryst. </w:t>
      </w:r>
      <w:r w:rsidRPr="00A97D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2006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, </w:t>
      </w:r>
      <w:r w:rsidRPr="00A97D3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E62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BB29E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m1263–m1265. </w:t>
      </w:r>
    </w:p>
    <w:p w14:paraId="2208D268" w14:textId="77777777" w:rsidR="00246467" w:rsidRPr="00252789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5278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O. V. Dolomanov, L. J. Bourhis, R. J. Gildea, J. A. K. Howard, H. Puschmann, </w:t>
      </w:r>
      <w:r w:rsidRPr="00A97D3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J. Appl. Cryst. </w:t>
      </w:r>
      <w:r w:rsidRPr="00A97D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2009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, </w:t>
      </w:r>
      <w:r w:rsidRPr="00A97D3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42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,</w:t>
      </w:r>
      <w:r w:rsidRPr="00A97D3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Pr="0025278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339–341. </w:t>
      </w:r>
    </w:p>
    <w:p w14:paraId="477C9E59" w14:textId="77777777" w:rsidR="00246467" w:rsidRPr="00252789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5278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M. C. Burla, R. Caliandro, M. Camalli, B. Carrozzini, G. L. Cascarano, L. De Caro, C. Giacovazzo, G. Polidori, R. Spagna, </w:t>
      </w:r>
      <w:r w:rsidRPr="00A97D3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J. Appl. Cryst. </w:t>
      </w:r>
      <w:r w:rsidRPr="00A97D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2005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, </w:t>
      </w:r>
      <w:r w:rsidRPr="00A97D3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38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5278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381-388. </w:t>
      </w:r>
    </w:p>
    <w:p w14:paraId="12D38983" w14:textId="77777777" w:rsidR="00246467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lastRenderedPageBreak/>
        <w:t>G. M. Sheldrick</w:t>
      </w:r>
      <w:r w:rsidRPr="0025278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A97D3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Acta Cryst. </w:t>
      </w:r>
      <w:r w:rsidRPr="00A97D3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2015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, </w:t>
      </w:r>
      <w:r w:rsidRPr="00A97D3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C71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5278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3–8. </w:t>
      </w:r>
    </w:p>
    <w:p w14:paraId="584F1D83" w14:textId="77777777" w:rsidR="00246467" w:rsidRPr="009C415A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G. Singh, G. Sharma, Sanchita, P. Kalra, P. Satija, Pawan, B. Singh, D. Aulakh, M. Wreidt, </w:t>
      </w:r>
      <w:proofErr w:type="spellStart"/>
      <w:r w:rsidRPr="009C415A">
        <w:rPr>
          <w:rFonts w:ascii="Times New Roman" w:hAnsi="Times New Roman" w:cs="Times New Roman"/>
          <w:i/>
          <w:iCs/>
          <w:sz w:val="24"/>
          <w:szCs w:val="24"/>
        </w:rPr>
        <w:t>ChemistrySelect</w:t>
      </w:r>
      <w:proofErr w:type="spellEnd"/>
      <w:r w:rsidRPr="009C4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415A">
        <w:rPr>
          <w:rFonts w:ascii="Times New Roman" w:hAnsi="Times New Roman" w:cs="Times New Roman"/>
          <w:b/>
          <w:sz w:val="24"/>
          <w:szCs w:val="24"/>
        </w:rPr>
        <w:t>2020</w:t>
      </w:r>
      <w:r w:rsidRPr="009C415A">
        <w:rPr>
          <w:rFonts w:ascii="Times New Roman" w:eastAsia="MyriadPro-Regular" w:hAnsi="Times New Roman" w:cs="Times New Roman"/>
          <w:sz w:val="24"/>
          <w:szCs w:val="24"/>
        </w:rPr>
        <w:t xml:space="preserve">, </w:t>
      </w:r>
      <w:r w:rsidRPr="009C415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C415A">
        <w:rPr>
          <w:rFonts w:ascii="Times New Roman" w:eastAsia="MyriadPro-Regular" w:hAnsi="Times New Roman" w:cs="Times New Roman"/>
          <w:sz w:val="24"/>
          <w:szCs w:val="24"/>
        </w:rPr>
        <w:t>, 284 –292</w:t>
      </w:r>
      <w:r>
        <w:rPr>
          <w:rFonts w:ascii="Times New Roman" w:eastAsia="MyriadPro-Regular" w:hAnsi="Times New Roman" w:cs="Times New Roman"/>
          <w:sz w:val="24"/>
          <w:szCs w:val="24"/>
        </w:rPr>
        <w:t>.</w:t>
      </w:r>
    </w:p>
    <w:p w14:paraId="6E2C09E5" w14:textId="77777777" w:rsidR="00246467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S. K. Nandanwar, S. B. Borkar, B. N. Wijaya, J. H. Cho, N. H. Tarte, H. J. Kim,</w:t>
      </w:r>
      <w:r w:rsidRPr="009C415A">
        <w:rPr>
          <w:rFonts w:ascii="MyriadPro-It" w:hAnsi="MyriadPro-It" w:cs="MyriadPro-It"/>
          <w:i/>
          <w:iCs/>
          <w:sz w:val="14"/>
          <w:szCs w:val="14"/>
        </w:rPr>
        <w:t xml:space="preserve"> </w:t>
      </w:r>
      <w:proofErr w:type="spellStart"/>
      <w:r w:rsidRPr="009C415A">
        <w:rPr>
          <w:rFonts w:ascii="Times New Roman" w:hAnsi="Times New Roman" w:cs="Times New Roman"/>
          <w:i/>
          <w:iCs/>
          <w:sz w:val="24"/>
          <w:szCs w:val="24"/>
        </w:rPr>
        <w:t>ChemistrySelect</w:t>
      </w:r>
      <w:proofErr w:type="spellEnd"/>
      <w:r w:rsidRPr="009C41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C415A">
        <w:rPr>
          <w:rFonts w:ascii="Times New Roman" w:hAnsi="Times New Roman" w:cs="Times New Roman"/>
          <w:b/>
          <w:sz w:val="24"/>
          <w:szCs w:val="24"/>
        </w:rPr>
        <w:t>2020</w:t>
      </w:r>
      <w:r w:rsidRPr="009C415A">
        <w:rPr>
          <w:rFonts w:ascii="Times New Roman" w:eastAsia="MyriadPro-Regular" w:hAnsi="Times New Roman" w:cs="Times New Roman"/>
          <w:sz w:val="24"/>
          <w:szCs w:val="24"/>
        </w:rPr>
        <w:t xml:space="preserve">, </w:t>
      </w:r>
      <w:r w:rsidRPr="009C415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C415A">
        <w:rPr>
          <w:rFonts w:ascii="Times New Roman" w:eastAsia="MyriadPro-Regular" w:hAnsi="Times New Roman" w:cs="Times New Roman"/>
          <w:sz w:val="24"/>
          <w:szCs w:val="24"/>
        </w:rPr>
        <w:t>, 3471 –3476</w:t>
      </w:r>
      <w:r>
        <w:rPr>
          <w:rFonts w:ascii="Times New Roman" w:eastAsia="MyriadPro-Regular" w:hAnsi="Times New Roman" w:cs="Times New Roman"/>
          <w:sz w:val="24"/>
          <w:szCs w:val="24"/>
        </w:rPr>
        <w:t>.</w:t>
      </w:r>
    </w:p>
    <w:p w14:paraId="2A849832" w14:textId="77777777" w:rsidR="00246467" w:rsidRPr="00A5431D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A5431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S. K. Nandanwar, H. J. Kim, 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Chemistry</w:t>
      </w:r>
      <w:r w:rsidRPr="00A5431D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select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 </w:t>
      </w:r>
      <w:r w:rsidRPr="00A5431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2019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</w:t>
      </w:r>
      <w:r w:rsidRPr="00A5431D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, </w:t>
      </w:r>
      <w:r w:rsidRPr="00A5431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1706-1721.</w:t>
      </w:r>
    </w:p>
    <w:p w14:paraId="3BCF6F56" w14:textId="77777777" w:rsidR="00246467" w:rsidRPr="00971FED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S. Gaballa, S.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Muller, </w:t>
      </w:r>
      <w:proofErr w:type="spellStart"/>
      <w:r w:rsidRPr="008C16B2">
        <w:rPr>
          <w:rFonts w:ascii="Times New Roman" w:hAnsi="Times New Roman" w:cs="Times New Roman"/>
          <w:i/>
          <w:sz w:val="24"/>
          <w:szCs w:val="24"/>
        </w:rPr>
        <w:t>Spectrochim</w:t>
      </w:r>
      <w:proofErr w:type="spellEnd"/>
      <w:r w:rsidRPr="008C16B2">
        <w:rPr>
          <w:rFonts w:ascii="Times New Roman" w:hAnsi="Times New Roman" w:cs="Times New Roman"/>
          <w:i/>
          <w:sz w:val="24"/>
          <w:szCs w:val="24"/>
        </w:rPr>
        <w:t>. Acta A</w:t>
      </w:r>
      <w:r w:rsidRPr="008C16B2">
        <w:rPr>
          <w:rFonts w:ascii="Times New Roman" w:hAnsi="Times New Roman" w:cs="Times New Roman"/>
          <w:sz w:val="24"/>
          <w:szCs w:val="24"/>
        </w:rPr>
        <w:t xml:space="preserve"> </w:t>
      </w:r>
      <w:r w:rsidRPr="008C16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Mol. </w:t>
      </w:r>
      <w:proofErr w:type="spellStart"/>
      <w:r w:rsidRPr="008C16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Biomol</w:t>
      </w:r>
      <w:proofErr w:type="spellEnd"/>
      <w:r w:rsidRPr="008C16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8C16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Spectrosc</w:t>
      </w:r>
      <w:proofErr w:type="spellEnd"/>
      <w:r w:rsidRPr="008C16B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1D89">
        <w:rPr>
          <w:rFonts w:ascii="Times New Roman" w:hAnsi="Times New Roman" w:cs="Times New Roman"/>
          <w:b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E1D89">
        <w:rPr>
          <w:rFonts w:ascii="Times New Roman" w:hAnsi="Times New Roman" w:cs="Times New Roman"/>
          <w:i/>
          <w:sz w:val="24"/>
          <w:szCs w:val="24"/>
        </w:rPr>
        <w:t>70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1187-1192.</w:t>
      </w:r>
    </w:p>
    <w:p w14:paraId="1FEF006C" w14:textId="77777777" w:rsidR="00246467" w:rsidRPr="00EE1D89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197FCB">
        <w:rPr>
          <w:rFonts w:ascii="Times New Roman" w:hAnsi="Times New Roman" w:cs="Times New Roman"/>
          <w:sz w:val="24"/>
          <w:szCs w:val="24"/>
        </w:rPr>
        <w:t xml:space="preserve">G. Jovanovski, B. </w:t>
      </w:r>
      <w:proofErr w:type="spellStart"/>
      <w:r w:rsidRPr="00197FCB">
        <w:rPr>
          <w:rFonts w:ascii="Times New Roman" w:hAnsi="Times New Roman" w:cs="Times New Roman"/>
          <w:sz w:val="24"/>
          <w:szCs w:val="24"/>
        </w:rPr>
        <w:t>Soptrajanov</w:t>
      </w:r>
      <w:proofErr w:type="spellEnd"/>
      <w:r w:rsidRPr="00197FCB">
        <w:rPr>
          <w:rFonts w:ascii="Times New Roman" w:hAnsi="Times New Roman" w:cs="Times New Roman"/>
          <w:sz w:val="24"/>
          <w:szCs w:val="24"/>
        </w:rPr>
        <w:t xml:space="preserve">, </w:t>
      </w:r>
      <w:r w:rsidRPr="00EE1D89">
        <w:rPr>
          <w:rFonts w:ascii="Times New Roman" w:hAnsi="Times New Roman" w:cs="Times New Roman"/>
          <w:i/>
          <w:sz w:val="24"/>
          <w:szCs w:val="24"/>
        </w:rPr>
        <w:t>J. Mol. Struct.</w:t>
      </w:r>
      <w:r w:rsidRPr="00EE1D89">
        <w:rPr>
          <w:rFonts w:ascii="Times New Roman" w:hAnsi="Times New Roman" w:cs="Times New Roman"/>
          <w:sz w:val="24"/>
          <w:szCs w:val="24"/>
        </w:rPr>
        <w:t xml:space="preserve"> </w:t>
      </w:r>
      <w:r w:rsidRPr="00EE1D89">
        <w:rPr>
          <w:rFonts w:ascii="Times New Roman" w:hAnsi="Times New Roman" w:cs="Times New Roman"/>
          <w:b/>
          <w:sz w:val="24"/>
          <w:szCs w:val="24"/>
        </w:rPr>
        <w:t>1986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E1D89">
        <w:rPr>
          <w:rFonts w:ascii="Times New Roman" w:hAnsi="Times New Roman" w:cs="Times New Roman"/>
          <w:i/>
          <w:sz w:val="24"/>
          <w:szCs w:val="24"/>
        </w:rPr>
        <w:t xml:space="preserve"> 143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CB">
        <w:rPr>
          <w:rFonts w:ascii="Times New Roman" w:hAnsi="Times New Roman" w:cs="Times New Roman"/>
          <w:sz w:val="24"/>
          <w:szCs w:val="24"/>
        </w:rPr>
        <w:t xml:space="preserve">159–162. </w:t>
      </w:r>
    </w:p>
    <w:p w14:paraId="2EF00255" w14:textId="77777777" w:rsidR="00246467" w:rsidRPr="00A30674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A30674">
        <w:rPr>
          <w:rFonts w:ascii="Times New Roman" w:hAnsi="Times New Roman" w:cs="Times New Roman"/>
          <w:sz w:val="24"/>
          <w:szCs w:val="24"/>
        </w:rPr>
        <w:t xml:space="preserve">G. Jovanovski, B. </w:t>
      </w:r>
      <w:proofErr w:type="spellStart"/>
      <w:r w:rsidRPr="00A30674">
        <w:rPr>
          <w:rFonts w:ascii="Times New Roman" w:hAnsi="Times New Roman" w:cs="Times New Roman"/>
          <w:sz w:val="24"/>
          <w:szCs w:val="24"/>
        </w:rPr>
        <w:t>Soptrajanov</w:t>
      </w:r>
      <w:proofErr w:type="spellEnd"/>
      <w:r w:rsidRPr="00A30674">
        <w:rPr>
          <w:rFonts w:ascii="Times New Roman" w:hAnsi="Times New Roman" w:cs="Times New Roman"/>
          <w:sz w:val="24"/>
          <w:szCs w:val="24"/>
        </w:rPr>
        <w:t xml:space="preserve">, </w:t>
      </w:r>
      <w:r w:rsidRPr="00EE1D89">
        <w:rPr>
          <w:rFonts w:ascii="Times New Roman" w:hAnsi="Times New Roman" w:cs="Times New Roman"/>
          <w:i/>
          <w:sz w:val="24"/>
          <w:szCs w:val="24"/>
        </w:rPr>
        <w:t xml:space="preserve">J. Mol. Struct. </w:t>
      </w:r>
      <w:r w:rsidRPr="00EE1D89">
        <w:rPr>
          <w:rFonts w:ascii="Times New Roman" w:hAnsi="Times New Roman" w:cs="Times New Roman"/>
          <w:b/>
          <w:sz w:val="24"/>
          <w:szCs w:val="24"/>
        </w:rPr>
        <w:t>1988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E1D89">
        <w:rPr>
          <w:rFonts w:ascii="Times New Roman" w:hAnsi="Times New Roman" w:cs="Times New Roman"/>
          <w:i/>
          <w:sz w:val="24"/>
          <w:szCs w:val="24"/>
        </w:rPr>
        <w:t>174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674">
        <w:rPr>
          <w:rFonts w:ascii="Times New Roman" w:hAnsi="Times New Roman" w:cs="Times New Roman"/>
          <w:sz w:val="24"/>
          <w:szCs w:val="24"/>
        </w:rPr>
        <w:t>467– 472.</w:t>
      </w:r>
    </w:p>
    <w:p w14:paraId="48963B37" w14:textId="77777777" w:rsidR="00246467" w:rsidRPr="009353A1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A. Al-</w:t>
      </w:r>
      <w:proofErr w:type="spellStart"/>
      <w:r>
        <w:rPr>
          <w:rFonts w:ascii="Times New Roman" w:hAnsi="Times New Roman" w:cs="Times New Roman"/>
          <w:sz w:val="24"/>
          <w:szCs w:val="24"/>
        </w:rPr>
        <w:t>Jibori</w:t>
      </w:r>
      <w:proofErr w:type="spellEnd"/>
      <w:r>
        <w:rPr>
          <w:rFonts w:ascii="Times New Roman" w:hAnsi="Times New Roman" w:cs="Times New Roman"/>
          <w:sz w:val="24"/>
          <w:szCs w:val="24"/>
        </w:rPr>
        <w:t>, R. A. Q. Al-Nassiry, G. H. H. Al-</w:t>
      </w:r>
      <w:proofErr w:type="spellStart"/>
      <w:r>
        <w:rPr>
          <w:rFonts w:ascii="Times New Roman" w:hAnsi="Times New Roman" w:cs="Times New Roman"/>
          <w:sz w:val="24"/>
          <w:szCs w:val="24"/>
        </w:rPr>
        <w:t>Jibori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Merzweiler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Wagner, H. Schmidt, S. Basak-Modi, G. </w:t>
      </w:r>
      <w:r w:rsidRPr="006D7D2F">
        <w:rPr>
          <w:rFonts w:ascii="Times New Roman" w:hAnsi="Times New Roman" w:cs="Times New Roman"/>
          <w:sz w:val="24"/>
          <w:szCs w:val="24"/>
        </w:rPr>
        <w:t>Hogarth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29F6">
        <w:rPr>
          <w:rFonts w:ascii="Times New Roman" w:hAnsi="Times New Roman" w:cs="Times New Roman"/>
          <w:i/>
          <w:sz w:val="24"/>
          <w:szCs w:val="24"/>
        </w:rPr>
        <w:t xml:space="preserve">Transition Met Chem  </w:t>
      </w:r>
      <w:r w:rsidRPr="00E429F6">
        <w:rPr>
          <w:rFonts w:ascii="Times New Roman" w:hAnsi="Times New Roman" w:cs="Times New Roman"/>
          <w:b/>
          <w:sz w:val="24"/>
          <w:szCs w:val="24"/>
        </w:rPr>
        <w:t>2014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9F6">
        <w:rPr>
          <w:rFonts w:ascii="Times New Roman" w:hAnsi="Times New Roman" w:cs="Times New Roman"/>
          <w:i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D2F">
        <w:rPr>
          <w:rFonts w:ascii="Times New Roman" w:hAnsi="Times New Roman" w:cs="Times New Roman"/>
          <w:sz w:val="24"/>
          <w:szCs w:val="24"/>
        </w:rPr>
        <w:t xml:space="preserve"> 735–740.</w:t>
      </w:r>
    </w:p>
    <w:p w14:paraId="466A79A2" w14:textId="77777777" w:rsidR="00246467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S. S. Tan, S. Yanagisawa, K. Inagaki, Y. Morikawa, M. B. Kassim</w:t>
      </w:r>
      <w:r w:rsidRPr="006A7B1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, Phys. Chem. Chem. Phys. </w:t>
      </w:r>
      <w:r w:rsidRPr="006A7B1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2017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, </w:t>
      </w:r>
      <w:r w:rsidRPr="006A7B1C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25734.</w:t>
      </w:r>
    </w:p>
    <w:p w14:paraId="7DC90EB8" w14:textId="77777777" w:rsidR="00246467" w:rsidRPr="00025ED7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634755">
        <w:rPr>
          <w:rFonts w:ascii="Times New Roman" w:hAnsi="Times New Roman" w:cs="Times New Roman"/>
          <w:sz w:val="24"/>
          <w:szCs w:val="24"/>
        </w:rPr>
        <w:t xml:space="preserve">P. Naumova, G. </w:t>
      </w:r>
      <w:proofErr w:type="spellStart"/>
      <w:r w:rsidRPr="00634755">
        <w:rPr>
          <w:rFonts w:ascii="Times New Roman" w:hAnsi="Times New Roman" w:cs="Times New Roman"/>
          <w:sz w:val="24"/>
          <w:szCs w:val="24"/>
        </w:rPr>
        <w:t>Jovanovskia</w:t>
      </w:r>
      <w:proofErr w:type="spellEnd"/>
      <w:r w:rsidRPr="00634755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Pr="00634755">
        <w:rPr>
          <w:rFonts w:ascii="Times New Roman" w:hAnsi="Times New Roman" w:cs="Times New Roman"/>
          <w:sz w:val="24"/>
          <w:szCs w:val="24"/>
        </w:rPr>
        <w:t>Abbrentb</w:t>
      </w:r>
      <w:proofErr w:type="spellEnd"/>
      <w:r w:rsidRPr="00634755">
        <w:rPr>
          <w:rFonts w:ascii="Times New Roman" w:hAnsi="Times New Roman" w:cs="Times New Roman"/>
          <w:sz w:val="24"/>
          <w:szCs w:val="24"/>
        </w:rPr>
        <w:t xml:space="preserve">, Lars-Erik </w:t>
      </w:r>
      <w:proofErr w:type="spellStart"/>
      <w:r w:rsidRPr="00634755">
        <w:rPr>
          <w:rFonts w:ascii="Times New Roman" w:hAnsi="Times New Roman" w:cs="Times New Roman"/>
          <w:sz w:val="24"/>
          <w:szCs w:val="24"/>
        </w:rPr>
        <w:t>Tergenius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7B1C">
        <w:rPr>
          <w:rFonts w:ascii="Times New Roman" w:hAnsi="Times New Roman" w:cs="Times New Roman"/>
          <w:i/>
          <w:sz w:val="24"/>
          <w:szCs w:val="24"/>
        </w:rPr>
        <w:t>Thermochim</w:t>
      </w:r>
      <w:proofErr w:type="spellEnd"/>
      <w:r w:rsidRPr="006A7B1C">
        <w:rPr>
          <w:rFonts w:ascii="Times New Roman" w:hAnsi="Times New Roman" w:cs="Times New Roman"/>
          <w:i/>
          <w:sz w:val="24"/>
          <w:szCs w:val="24"/>
        </w:rPr>
        <w:t xml:space="preserve">. Acta </w:t>
      </w:r>
      <w:r w:rsidRPr="006A7B1C">
        <w:rPr>
          <w:rFonts w:ascii="Times New Roman" w:hAnsi="Times New Roman" w:cs="Times New Roman"/>
          <w:b/>
          <w:sz w:val="24"/>
          <w:szCs w:val="24"/>
        </w:rPr>
        <w:t>2000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A7B1C">
        <w:rPr>
          <w:rFonts w:ascii="Times New Roman" w:hAnsi="Times New Roman" w:cs="Times New Roman"/>
          <w:i/>
          <w:sz w:val="24"/>
          <w:szCs w:val="24"/>
        </w:rPr>
        <w:t>359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123-130.</w:t>
      </w:r>
    </w:p>
    <w:p w14:paraId="2546A500" w14:textId="77777777" w:rsidR="00246467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17C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E. C. Niederhoffer, A. E. Martell, P. Rudolf, A. Clearfield, </w:t>
      </w:r>
      <w:r w:rsidRPr="00746DC0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 xml:space="preserve">Inorg. Chem. </w:t>
      </w:r>
      <w:r w:rsidRPr="00746DC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1982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,</w:t>
      </w:r>
      <w:r w:rsidRPr="00746DC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746DC0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21</w:t>
      </w:r>
      <w:r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217CBD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3734–3741.</w:t>
      </w:r>
    </w:p>
    <w:p w14:paraId="2234CA18" w14:textId="77777777" w:rsidR="00246467" w:rsidRPr="00746DC0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46D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A. Singh, R. P. Sharma, P. Brandao, V. Felix, P. Venugopalan  </w:t>
      </w:r>
      <w:r w:rsidRPr="00746DC0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J. Mol. Struct.</w:t>
      </w:r>
      <w:r w:rsidRPr="00746D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746DC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2008, </w:t>
      </w:r>
      <w:r w:rsidRPr="00746DC0">
        <w:rPr>
          <w:rFonts w:ascii="Times New Roman" w:hAnsi="Times New Roman" w:cs="Times New Roman"/>
          <w:i/>
          <w:noProof/>
          <w:color w:val="000000" w:themeColor="text1"/>
          <w:sz w:val="24"/>
          <w:szCs w:val="24"/>
        </w:rPr>
        <w:t>892,</w:t>
      </w:r>
      <w:r w:rsidRPr="00746DC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 xml:space="preserve"> </w:t>
      </w:r>
      <w:r w:rsidRPr="00746DC0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452.</w:t>
      </w:r>
    </w:p>
    <w:p w14:paraId="5E39AD12" w14:textId="77777777" w:rsidR="00246467" w:rsidRPr="00746DC0" w:rsidRDefault="00246467" w:rsidP="0024646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hanging="720"/>
        <w:contextualSpacing w:val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46DC0">
        <w:rPr>
          <w:rFonts w:ascii="Times New Roman" w:hAnsi="Times New Roman" w:cs="Times New Roman"/>
          <w:noProof/>
          <w:sz w:val="24"/>
          <w:szCs w:val="24"/>
        </w:rPr>
        <w:t xml:space="preserve">B. Geeta, K. Shravankumar, P.M. Reddy, E. Ravikrishna, M. Sarangapani, K.K. Reddy, V. Ravinder, </w:t>
      </w:r>
      <w:r w:rsidRPr="00746DC0">
        <w:rPr>
          <w:rFonts w:ascii="Times New Roman" w:hAnsi="Times New Roman" w:cs="Times New Roman"/>
          <w:i/>
          <w:noProof/>
          <w:sz w:val="24"/>
          <w:szCs w:val="24"/>
        </w:rPr>
        <w:t>Spectrochim. Acta - Part A Mol. Biomol. Spectrosc.</w:t>
      </w:r>
      <w:r w:rsidRPr="00746DC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46DC0">
        <w:rPr>
          <w:rFonts w:ascii="Times New Roman" w:hAnsi="Times New Roman" w:cs="Times New Roman"/>
          <w:b/>
          <w:noProof/>
          <w:sz w:val="24"/>
          <w:szCs w:val="24"/>
        </w:rPr>
        <w:t>2010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77, </w:t>
      </w:r>
      <w:r w:rsidRPr="00746DC0">
        <w:rPr>
          <w:rFonts w:ascii="Times New Roman" w:hAnsi="Times New Roman" w:cs="Times New Roman"/>
          <w:noProof/>
          <w:sz w:val="24"/>
          <w:szCs w:val="24"/>
        </w:rPr>
        <w:t xml:space="preserve"> 911–915.</w:t>
      </w:r>
    </w:p>
    <w:p w14:paraId="65B167C6" w14:textId="77777777" w:rsidR="00890E1F" w:rsidRPr="008C16B2" w:rsidRDefault="00890E1F" w:rsidP="00890E1F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890E1F" w:rsidRPr="008C16B2" w:rsidSect="003C7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Kabel Book">
    <w:altName w:val="ITC Kabel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TSY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AdvOT8608a8d1+2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19F"/>
    <w:multiLevelType w:val="hybridMultilevel"/>
    <w:tmpl w:val="88663518"/>
    <w:lvl w:ilvl="0" w:tplc="4009000F">
      <w:start w:val="1"/>
      <w:numFmt w:val="decimal"/>
      <w:lvlText w:val="%1."/>
      <w:lvlJc w:val="left"/>
      <w:pPr>
        <w:ind w:left="1920" w:hanging="360"/>
      </w:pPr>
    </w:lvl>
    <w:lvl w:ilvl="1" w:tplc="40090019">
      <w:start w:val="1"/>
      <w:numFmt w:val="lowerLetter"/>
      <w:lvlText w:val="%2."/>
      <w:lvlJc w:val="left"/>
      <w:pPr>
        <w:ind w:left="2640" w:hanging="360"/>
      </w:pPr>
    </w:lvl>
    <w:lvl w:ilvl="2" w:tplc="4009001B">
      <w:start w:val="1"/>
      <w:numFmt w:val="lowerRoman"/>
      <w:lvlText w:val="%3."/>
      <w:lvlJc w:val="right"/>
      <w:pPr>
        <w:ind w:left="3360" w:hanging="180"/>
      </w:pPr>
    </w:lvl>
    <w:lvl w:ilvl="3" w:tplc="4009000F" w:tentative="1">
      <w:start w:val="1"/>
      <w:numFmt w:val="decimal"/>
      <w:lvlText w:val="%4."/>
      <w:lvlJc w:val="left"/>
      <w:pPr>
        <w:ind w:left="4080" w:hanging="360"/>
      </w:pPr>
    </w:lvl>
    <w:lvl w:ilvl="4" w:tplc="40090019" w:tentative="1">
      <w:start w:val="1"/>
      <w:numFmt w:val="lowerLetter"/>
      <w:lvlText w:val="%5."/>
      <w:lvlJc w:val="left"/>
      <w:pPr>
        <w:ind w:left="4800" w:hanging="360"/>
      </w:pPr>
    </w:lvl>
    <w:lvl w:ilvl="5" w:tplc="4009001B" w:tentative="1">
      <w:start w:val="1"/>
      <w:numFmt w:val="lowerRoman"/>
      <w:lvlText w:val="%6."/>
      <w:lvlJc w:val="right"/>
      <w:pPr>
        <w:ind w:left="5520" w:hanging="180"/>
      </w:pPr>
    </w:lvl>
    <w:lvl w:ilvl="6" w:tplc="4009000F" w:tentative="1">
      <w:start w:val="1"/>
      <w:numFmt w:val="decimal"/>
      <w:lvlText w:val="%7."/>
      <w:lvlJc w:val="left"/>
      <w:pPr>
        <w:ind w:left="6240" w:hanging="360"/>
      </w:pPr>
    </w:lvl>
    <w:lvl w:ilvl="7" w:tplc="40090019" w:tentative="1">
      <w:start w:val="1"/>
      <w:numFmt w:val="lowerLetter"/>
      <w:lvlText w:val="%8."/>
      <w:lvlJc w:val="left"/>
      <w:pPr>
        <w:ind w:left="6960" w:hanging="360"/>
      </w:pPr>
    </w:lvl>
    <w:lvl w:ilvl="8" w:tplc="40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69A17DC"/>
    <w:multiLevelType w:val="hybridMultilevel"/>
    <w:tmpl w:val="025E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C46AD"/>
    <w:multiLevelType w:val="hybridMultilevel"/>
    <w:tmpl w:val="025E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6197"/>
    <w:multiLevelType w:val="hybridMultilevel"/>
    <w:tmpl w:val="025E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C4DEE"/>
    <w:multiLevelType w:val="hybridMultilevel"/>
    <w:tmpl w:val="025E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56D86"/>
    <w:multiLevelType w:val="hybridMultilevel"/>
    <w:tmpl w:val="025E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206F6"/>
    <w:multiLevelType w:val="hybridMultilevel"/>
    <w:tmpl w:val="025E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C4B65"/>
    <w:multiLevelType w:val="hybridMultilevel"/>
    <w:tmpl w:val="025E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C64EE"/>
    <w:multiLevelType w:val="hybridMultilevel"/>
    <w:tmpl w:val="025E4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1519">
    <w:abstractNumId w:val="5"/>
  </w:num>
  <w:num w:numId="2" w16cid:durableId="699360341">
    <w:abstractNumId w:val="3"/>
  </w:num>
  <w:num w:numId="3" w16cid:durableId="1236472930">
    <w:abstractNumId w:val="1"/>
  </w:num>
  <w:num w:numId="4" w16cid:durableId="2133398609">
    <w:abstractNumId w:val="4"/>
  </w:num>
  <w:num w:numId="5" w16cid:durableId="2062168274">
    <w:abstractNumId w:val="8"/>
  </w:num>
  <w:num w:numId="6" w16cid:durableId="1675840837">
    <w:abstractNumId w:val="6"/>
  </w:num>
  <w:num w:numId="7" w16cid:durableId="28186788">
    <w:abstractNumId w:val="7"/>
  </w:num>
  <w:num w:numId="8" w16cid:durableId="726414409">
    <w:abstractNumId w:val="2"/>
  </w:num>
  <w:num w:numId="9" w16cid:durableId="1109854961">
    <w:abstractNumId w:val="0"/>
  </w:num>
  <w:num w:numId="10" w16cid:durableId="6427361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DF"/>
    <w:rsid w:val="00000E48"/>
    <w:rsid w:val="0001275C"/>
    <w:rsid w:val="000207C5"/>
    <w:rsid w:val="00022A7B"/>
    <w:rsid w:val="00025ED7"/>
    <w:rsid w:val="00032F56"/>
    <w:rsid w:val="00034429"/>
    <w:rsid w:val="00037249"/>
    <w:rsid w:val="00040D93"/>
    <w:rsid w:val="00040ED4"/>
    <w:rsid w:val="00042195"/>
    <w:rsid w:val="00042BBF"/>
    <w:rsid w:val="0004313E"/>
    <w:rsid w:val="00043E28"/>
    <w:rsid w:val="00044BC7"/>
    <w:rsid w:val="00051C3F"/>
    <w:rsid w:val="000527C2"/>
    <w:rsid w:val="00053BAD"/>
    <w:rsid w:val="00055480"/>
    <w:rsid w:val="00055B09"/>
    <w:rsid w:val="000560EE"/>
    <w:rsid w:val="0006640B"/>
    <w:rsid w:val="00067411"/>
    <w:rsid w:val="000730E6"/>
    <w:rsid w:val="0008000A"/>
    <w:rsid w:val="0008251B"/>
    <w:rsid w:val="00083847"/>
    <w:rsid w:val="00084054"/>
    <w:rsid w:val="00085106"/>
    <w:rsid w:val="00085C88"/>
    <w:rsid w:val="00090A01"/>
    <w:rsid w:val="000952A6"/>
    <w:rsid w:val="000A0596"/>
    <w:rsid w:val="000A15D9"/>
    <w:rsid w:val="000A6259"/>
    <w:rsid w:val="000B1A46"/>
    <w:rsid w:val="000B5044"/>
    <w:rsid w:val="000C2142"/>
    <w:rsid w:val="000C49A5"/>
    <w:rsid w:val="000C58F4"/>
    <w:rsid w:val="000C5E3C"/>
    <w:rsid w:val="000C66CB"/>
    <w:rsid w:val="000D0D76"/>
    <w:rsid w:val="000D50F8"/>
    <w:rsid w:val="000D595A"/>
    <w:rsid w:val="000E0B59"/>
    <w:rsid w:val="000E2BB0"/>
    <w:rsid w:val="000E6612"/>
    <w:rsid w:val="000F2DF7"/>
    <w:rsid w:val="000F31C0"/>
    <w:rsid w:val="001017D3"/>
    <w:rsid w:val="00110343"/>
    <w:rsid w:val="00133835"/>
    <w:rsid w:val="001351F6"/>
    <w:rsid w:val="00135B6C"/>
    <w:rsid w:val="00135B98"/>
    <w:rsid w:val="00137AD8"/>
    <w:rsid w:val="0014294B"/>
    <w:rsid w:val="00142C06"/>
    <w:rsid w:val="00142E54"/>
    <w:rsid w:val="001617BD"/>
    <w:rsid w:val="00166E48"/>
    <w:rsid w:val="001709D9"/>
    <w:rsid w:val="00170CD4"/>
    <w:rsid w:val="00174A2F"/>
    <w:rsid w:val="0017660D"/>
    <w:rsid w:val="001819FC"/>
    <w:rsid w:val="00183CE9"/>
    <w:rsid w:val="00186887"/>
    <w:rsid w:val="00190F51"/>
    <w:rsid w:val="00192E21"/>
    <w:rsid w:val="00197FCB"/>
    <w:rsid w:val="001A0DB7"/>
    <w:rsid w:val="001D137A"/>
    <w:rsid w:val="001D29D4"/>
    <w:rsid w:val="001D361A"/>
    <w:rsid w:val="001D671B"/>
    <w:rsid w:val="001D77BC"/>
    <w:rsid w:val="001E2FA0"/>
    <w:rsid w:val="001E40C5"/>
    <w:rsid w:val="001E416B"/>
    <w:rsid w:val="001E5367"/>
    <w:rsid w:val="001F20BC"/>
    <w:rsid w:val="001F22E4"/>
    <w:rsid w:val="002061C1"/>
    <w:rsid w:val="00207E59"/>
    <w:rsid w:val="00210A04"/>
    <w:rsid w:val="00211D4C"/>
    <w:rsid w:val="002150C8"/>
    <w:rsid w:val="00216A2F"/>
    <w:rsid w:val="00223C99"/>
    <w:rsid w:val="00225F9F"/>
    <w:rsid w:val="0022657A"/>
    <w:rsid w:val="0022683B"/>
    <w:rsid w:val="002276CE"/>
    <w:rsid w:val="00231376"/>
    <w:rsid w:val="00232F7B"/>
    <w:rsid w:val="0023673D"/>
    <w:rsid w:val="00243237"/>
    <w:rsid w:val="00246267"/>
    <w:rsid w:val="00246467"/>
    <w:rsid w:val="00247A34"/>
    <w:rsid w:val="00250F37"/>
    <w:rsid w:val="002526FA"/>
    <w:rsid w:val="00252789"/>
    <w:rsid w:val="002540CC"/>
    <w:rsid w:val="0025720C"/>
    <w:rsid w:val="00264381"/>
    <w:rsid w:val="002665A3"/>
    <w:rsid w:val="00266A2E"/>
    <w:rsid w:val="00266E31"/>
    <w:rsid w:val="00271A84"/>
    <w:rsid w:val="00274B67"/>
    <w:rsid w:val="00276452"/>
    <w:rsid w:val="002772CA"/>
    <w:rsid w:val="00277925"/>
    <w:rsid w:val="00280CC3"/>
    <w:rsid w:val="002817FB"/>
    <w:rsid w:val="002854EA"/>
    <w:rsid w:val="002915D0"/>
    <w:rsid w:val="00295DB3"/>
    <w:rsid w:val="002A4079"/>
    <w:rsid w:val="002A60A1"/>
    <w:rsid w:val="002B0DC6"/>
    <w:rsid w:val="002B360A"/>
    <w:rsid w:val="002B39AC"/>
    <w:rsid w:val="002B524C"/>
    <w:rsid w:val="002B5A28"/>
    <w:rsid w:val="002C5CE8"/>
    <w:rsid w:val="002C6F32"/>
    <w:rsid w:val="002C7DBE"/>
    <w:rsid w:val="002D105A"/>
    <w:rsid w:val="002D3915"/>
    <w:rsid w:val="002D5277"/>
    <w:rsid w:val="002E03AC"/>
    <w:rsid w:val="002E3C45"/>
    <w:rsid w:val="002E4217"/>
    <w:rsid w:val="002E43D8"/>
    <w:rsid w:val="002F1A8D"/>
    <w:rsid w:val="003038BA"/>
    <w:rsid w:val="00304958"/>
    <w:rsid w:val="00304B5D"/>
    <w:rsid w:val="00304B61"/>
    <w:rsid w:val="003102F9"/>
    <w:rsid w:val="00312300"/>
    <w:rsid w:val="00314BFC"/>
    <w:rsid w:val="003170CC"/>
    <w:rsid w:val="0032030B"/>
    <w:rsid w:val="00325094"/>
    <w:rsid w:val="003251FF"/>
    <w:rsid w:val="0032736A"/>
    <w:rsid w:val="00327AE6"/>
    <w:rsid w:val="00333B77"/>
    <w:rsid w:val="00335E33"/>
    <w:rsid w:val="0034216E"/>
    <w:rsid w:val="00347435"/>
    <w:rsid w:val="0035064D"/>
    <w:rsid w:val="00362EE0"/>
    <w:rsid w:val="003648AB"/>
    <w:rsid w:val="00372D4C"/>
    <w:rsid w:val="003746C3"/>
    <w:rsid w:val="0037515A"/>
    <w:rsid w:val="00375422"/>
    <w:rsid w:val="00377840"/>
    <w:rsid w:val="0038073D"/>
    <w:rsid w:val="0038591D"/>
    <w:rsid w:val="00397EF8"/>
    <w:rsid w:val="003A727E"/>
    <w:rsid w:val="003B3353"/>
    <w:rsid w:val="003C4325"/>
    <w:rsid w:val="003C6044"/>
    <w:rsid w:val="003C61FE"/>
    <w:rsid w:val="003C76FC"/>
    <w:rsid w:val="003D0A3E"/>
    <w:rsid w:val="003D1BC7"/>
    <w:rsid w:val="003E2793"/>
    <w:rsid w:val="003E3C0B"/>
    <w:rsid w:val="003F004F"/>
    <w:rsid w:val="003F0175"/>
    <w:rsid w:val="0040381F"/>
    <w:rsid w:val="00404AC6"/>
    <w:rsid w:val="00414D1A"/>
    <w:rsid w:val="00417197"/>
    <w:rsid w:val="00421CF5"/>
    <w:rsid w:val="00422967"/>
    <w:rsid w:val="00422E6A"/>
    <w:rsid w:val="00423AF1"/>
    <w:rsid w:val="0043314F"/>
    <w:rsid w:val="00434FEB"/>
    <w:rsid w:val="00435D33"/>
    <w:rsid w:val="00435EAA"/>
    <w:rsid w:val="00442E10"/>
    <w:rsid w:val="00450F67"/>
    <w:rsid w:val="004570DE"/>
    <w:rsid w:val="004603B3"/>
    <w:rsid w:val="0046633D"/>
    <w:rsid w:val="00466AE0"/>
    <w:rsid w:val="00471323"/>
    <w:rsid w:val="00477B12"/>
    <w:rsid w:val="00482525"/>
    <w:rsid w:val="004844BA"/>
    <w:rsid w:val="00485F00"/>
    <w:rsid w:val="00490875"/>
    <w:rsid w:val="00492EBB"/>
    <w:rsid w:val="004952CF"/>
    <w:rsid w:val="004967AB"/>
    <w:rsid w:val="004A0CE2"/>
    <w:rsid w:val="004A4C9E"/>
    <w:rsid w:val="004A5B9A"/>
    <w:rsid w:val="004B1EC0"/>
    <w:rsid w:val="004B5CF5"/>
    <w:rsid w:val="004B5FD8"/>
    <w:rsid w:val="004B7246"/>
    <w:rsid w:val="004C3358"/>
    <w:rsid w:val="004C484C"/>
    <w:rsid w:val="004C5C7D"/>
    <w:rsid w:val="004C7D79"/>
    <w:rsid w:val="004D1E46"/>
    <w:rsid w:val="004D2FA5"/>
    <w:rsid w:val="004E0F64"/>
    <w:rsid w:val="004E4ECF"/>
    <w:rsid w:val="004F4AE2"/>
    <w:rsid w:val="004F4CAA"/>
    <w:rsid w:val="004F7AD6"/>
    <w:rsid w:val="00502EBE"/>
    <w:rsid w:val="00504D9B"/>
    <w:rsid w:val="00511352"/>
    <w:rsid w:val="0051287F"/>
    <w:rsid w:val="0051737F"/>
    <w:rsid w:val="00526C48"/>
    <w:rsid w:val="00532F63"/>
    <w:rsid w:val="005401A4"/>
    <w:rsid w:val="00544D89"/>
    <w:rsid w:val="005451BE"/>
    <w:rsid w:val="00545887"/>
    <w:rsid w:val="00552870"/>
    <w:rsid w:val="00557D7A"/>
    <w:rsid w:val="00560372"/>
    <w:rsid w:val="00571018"/>
    <w:rsid w:val="00572E9F"/>
    <w:rsid w:val="005738CA"/>
    <w:rsid w:val="00576B64"/>
    <w:rsid w:val="00576CEE"/>
    <w:rsid w:val="0058298F"/>
    <w:rsid w:val="00584CDF"/>
    <w:rsid w:val="005A053F"/>
    <w:rsid w:val="005A71F7"/>
    <w:rsid w:val="005A7E45"/>
    <w:rsid w:val="005B34F8"/>
    <w:rsid w:val="005B610F"/>
    <w:rsid w:val="005B752B"/>
    <w:rsid w:val="005C26D0"/>
    <w:rsid w:val="005C5E13"/>
    <w:rsid w:val="005C67F8"/>
    <w:rsid w:val="005D1045"/>
    <w:rsid w:val="005D2726"/>
    <w:rsid w:val="005E0A21"/>
    <w:rsid w:val="005E26B6"/>
    <w:rsid w:val="005E43AC"/>
    <w:rsid w:val="005F019D"/>
    <w:rsid w:val="005F2F94"/>
    <w:rsid w:val="005F3E8C"/>
    <w:rsid w:val="00601A18"/>
    <w:rsid w:val="006125E5"/>
    <w:rsid w:val="00613B8C"/>
    <w:rsid w:val="0061431A"/>
    <w:rsid w:val="00622226"/>
    <w:rsid w:val="00622288"/>
    <w:rsid w:val="006229C6"/>
    <w:rsid w:val="00630159"/>
    <w:rsid w:val="00630890"/>
    <w:rsid w:val="00632AF5"/>
    <w:rsid w:val="00634755"/>
    <w:rsid w:val="006376A7"/>
    <w:rsid w:val="00637CB6"/>
    <w:rsid w:val="00640150"/>
    <w:rsid w:val="00640269"/>
    <w:rsid w:val="00641D93"/>
    <w:rsid w:val="006431F7"/>
    <w:rsid w:val="00651B0E"/>
    <w:rsid w:val="00655741"/>
    <w:rsid w:val="00655D1D"/>
    <w:rsid w:val="00656305"/>
    <w:rsid w:val="00657531"/>
    <w:rsid w:val="00662446"/>
    <w:rsid w:val="006646B1"/>
    <w:rsid w:val="00677DA4"/>
    <w:rsid w:val="00686B76"/>
    <w:rsid w:val="006979F4"/>
    <w:rsid w:val="006A06D2"/>
    <w:rsid w:val="006A17D8"/>
    <w:rsid w:val="006A183E"/>
    <w:rsid w:val="006A6842"/>
    <w:rsid w:val="006A7B1C"/>
    <w:rsid w:val="006B738F"/>
    <w:rsid w:val="006C1427"/>
    <w:rsid w:val="006C55D3"/>
    <w:rsid w:val="006D12B6"/>
    <w:rsid w:val="006D1616"/>
    <w:rsid w:val="006D3DF9"/>
    <w:rsid w:val="006D42AE"/>
    <w:rsid w:val="006D743A"/>
    <w:rsid w:val="006D7D2F"/>
    <w:rsid w:val="006E2588"/>
    <w:rsid w:val="006E2C30"/>
    <w:rsid w:val="006E3451"/>
    <w:rsid w:val="006E5216"/>
    <w:rsid w:val="006E605A"/>
    <w:rsid w:val="006F13E6"/>
    <w:rsid w:val="006F541B"/>
    <w:rsid w:val="006F6B01"/>
    <w:rsid w:val="00700A21"/>
    <w:rsid w:val="00702DA8"/>
    <w:rsid w:val="007035AA"/>
    <w:rsid w:val="00710176"/>
    <w:rsid w:val="007135E4"/>
    <w:rsid w:val="00715174"/>
    <w:rsid w:val="0072029E"/>
    <w:rsid w:val="0072198F"/>
    <w:rsid w:val="00721B86"/>
    <w:rsid w:val="0072253A"/>
    <w:rsid w:val="0072257B"/>
    <w:rsid w:val="007231CD"/>
    <w:rsid w:val="007245FE"/>
    <w:rsid w:val="007275C3"/>
    <w:rsid w:val="0073207A"/>
    <w:rsid w:val="0074445A"/>
    <w:rsid w:val="00744EDC"/>
    <w:rsid w:val="00746DC0"/>
    <w:rsid w:val="007521AA"/>
    <w:rsid w:val="00763968"/>
    <w:rsid w:val="00765CBA"/>
    <w:rsid w:val="00766A9A"/>
    <w:rsid w:val="00773244"/>
    <w:rsid w:val="00774736"/>
    <w:rsid w:val="00781037"/>
    <w:rsid w:val="00781EE6"/>
    <w:rsid w:val="0078224C"/>
    <w:rsid w:val="00782550"/>
    <w:rsid w:val="00782B44"/>
    <w:rsid w:val="007831D4"/>
    <w:rsid w:val="007861D8"/>
    <w:rsid w:val="007912CB"/>
    <w:rsid w:val="00793111"/>
    <w:rsid w:val="00796B55"/>
    <w:rsid w:val="00796CF9"/>
    <w:rsid w:val="00797F0E"/>
    <w:rsid w:val="007A10CB"/>
    <w:rsid w:val="007A3525"/>
    <w:rsid w:val="007A67C9"/>
    <w:rsid w:val="007B0762"/>
    <w:rsid w:val="007B7B7F"/>
    <w:rsid w:val="007C1A12"/>
    <w:rsid w:val="007C673E"/>
    <w:rsid w:val="007D529F"/>
    <w:rsid w:val="007D6FE5"/>
    <w:rsid w:val="007E189B"/>
    <w:rsid w:val="007E4F1F"/>
    <w:rsid w:val="007F2A4D"/>
    <w:rsid w:val="007F34FC"/>
    <w:rsid w:val="007F5A5D"/>
    <w:rsid w:val="007F65F6"/>
    <w:rsid w:val="007F780E"/>
    <w:rsid w:val="00805F6A"/>
    <w:rsid w:val="00806059"/>
    <w:rsid w:val="008070AE"/>
    <w:rsid w:val="00813CDF"/>
    <w:rsid w:val="00820637"/>
    <w:rsid w:val="0082326D"/>
    <w:rsid w:val="008237A4"/>
    <w:rsid w:val="0083113B"/>
    <w:rsid w:val="00831288"/>
    <w:rsid w:val="00832F9A"/>
    <w:rsid w:val="008376C2"/>
    <w:rsid w:val="00844078"/>
    <w:rsid w:val="00845BE8"/>
    <w:rsid w:val="00852D5F"/>
    <w:rsid w:val="0085426B"/>
    <w:rsid w:val="00855BAA"/>
    <w:rsid w:val="00856E19"/>
    <w:rsid w:val="00865DFF"/>
    <w:rsid w:val="008700F0"/>
    <w:rsid w:val="0087272B"/>
    <w:rsid w:val="00874DB7"/>
    <w:rsid w:val="008833FC"/>
    <w:rsid w:val="00890E1F"/>
    <w:rsid w:val="00893157"/>
    <w:rsid w:val="00894681"/>
    <w:rsid w:val="00895698"/>
    <w:rsid w:val="008959D9"/>
    <w:rsid w:val="008A044E"/>
    <w:rsid w:val="008A1284"/>
    <w:rsid w:val="008B0E57"/>
    <w:rsid w:val="008B3B3F"/>
    <w:rsid w:val="008B45C2"/>
    <w:rsid w:val="008B7C62"/>
    <w:rsid w:val="008C166A"/>
    <w:rsid w:val="008C16B2"/>
    <w:rsid w:val="008C3774"/>
    <w:rsid w:val="008C66EB"/>
    <w:rsid w:val="008D4375"/>
    <w:rsid w:val="008D5EBE"/>
    <w:rsid w:val="008D6CEF"/>
    <w:rsid w:val="008E1C1A"/>
    <w:rsid w:val="008E307D"/>
    <w:rsid w:val="008E7BE2"/>
    <w:rsid w:val="008F1F4A"/>
    <w:rsid w:val="008F1FA1"/>
    <w:rsid w:val="008F38BB"/>
    <w:rsid w:val="008F58AF"/>
    <w:rsid w:val="008F5A0C"/>
    <w:rsid w:val="00904B4B"/>
    <w:rsid w:val="00906BFF"/>
    <w:rsid w:val="00907737"/>
    <w:rsid w:val="00924555"/>
    <w:rsid w:val="009353A1"/>
    <w:rsid w:val="00935D78"/>
    <w:rsid w:val="00937127"/>
    <w:rsid w:val="0094352C"/>
    <w:rsid w:val="009446E4"/>
    <w:rsid w:val="00945780"/>
    <w:rsid w:val="00952749"/>
    <w:rsid w:val="009554C2"/>
    <w:rsid w:val="009635D7"/>
    <w:rsid w:val="00966633"/>
    <w:rsid w:val="009671E1"/>
    <w:rsid w:val="00971FED"/>
    <w:rsid w:val="00972815"/>
    <w:rsid w:val="009738FD"/>
    <w:rsid w:val="00975905"/>
    <w:rsid w:val="00975D85"/>
    <w:rsid w:val="00976D6D"/>
    <w:rsid w:val="009812D0"/>
    <w:rsid w:val="00981963"/>
    <w:rsid w:val="00981980"/>
    <w:rsid w:val="00987219"/>
    <w:rsid w:val="00987A32"/>
    <w:rsid w:val="00990EC5"/>
    <w:rsid w:val="00991657"/>
    <w:rsid w:val="009939E6"/>
    <w:rsid w:val="00993ECC"/>
    <w:rsid w:val="009A260F"/>
    <w:rsid w:val="009B18DE"/>
    <w:rsid w:val="009B2F37"/>
    <w:rsid w:val="009B37ED"/>
    <w:rsid w:val="009B560C"/>
    <w:rsid w:val="009B76E3"/>
    <w:rsid w:val="009C415A"/>
    <w:rsid w:val="009C7D2A"/>
    <w:rsid w:val="009D78B6"/>
    <w:rsid w:val="009E1A9C"/>
    <w:rsid w:val="009E3681"/>
    <w:rsid w:val="009E5563"/>
    <w:rsid w:val="009E6C47"/>
    <w:rsid w:val="00A0075F"/>
    <w:rsid w:val="00A073C4"/>
    <w:rsid w:val="00A11904"/>
    <w:rsid w:val="00A20C17"/>
    <w:rsid w:val="00A21EB9"/>
    <w:rsid w:val="00A261E2"/>
    <w:rsid w:val="00A3032E"/>
    <w:rsid w:val="00A30674"/>
    <w:rsid w:val="00A3118B"/>
    <w:rsid w:val="00A355E0"/>
    <w:rsid w:val="00A357D4"/>
    <w:rsid w:val="00A477D3"/>
    <w:rsid w:val="00A50B84"/>
    <w:rsid w:val="00A51C2A"/>
    <w:rsid w:val="00A5431D"/>
    <w:rsid w:val="00A55FE5"/>
    <w:rsid w:val="00A67103"/>
    <w:rsid w:val="00A708B4"/>
    <w:rsid w:val="00A764AB"/>
    <w:rsid w:val="00A810BE"/>
    <w:rsid w:val="00A921A0"/>
    <w:rsid w:val="00A93B8A"/>
    <w:rsid w:val="00A95937"/>
    <w:rsid w:val="00A97D3C"/>
    <w:rsid w:val="00AA46D5"/>
    <w:rsid w:val="00AA4E8E"/>
    <w:rsid w:val="00AA6710"/>
    <w:rsid w:val="00AA6A6A"/>
    <w:rsid w:val="00AA7BBD"/>
    <w:rsid w:val="00AC1CEC"/>
    <w:rsid w:val="00AC3B1B"/>
    <w:rsid w:val="00AC589E"/>
    <w:rsid w:val="00AC5925"/>
    <w:rsid w:val="00AC6A1F"/>
    <w:rsid w:val="00AD22C8"/>
    <w:rsid w:val="00AD47E7"/>
    <w:rsid w:val="00AD7D3F"/>
    <w:rsid w:val="00AE0C86"/>
    <w:rsid w:val="00AE28ED"/>
    <w:rsid w:val="00AE369B"/>
    <w:rsid w:val="00AE4088"/>
    <w:rsid w:val="00AF721F"/>
    <w:rsid w:val="00B00E7B"/>
    <w:rsid w:val="00B018D4"/>
    <w:rsid w:val="00B01CC8"/>
    <w:rsid w:val="00B062DD"/>
    <w:rsid w:val="00B0742C"/>
    <w:rsid w:val="00B15AB5"/>
    <w:rsid w:val="00B26092"/>
    <w:rsid w:val="00B30D4F"/>
    <w:rsid w:val="00B319EF"/>
    <w:rsid w:val="00B32743"/>
    <w:rsid w:val="00B403E9"/>
    <w:rsid w:val="00B41D4D"/>
    <w:rsid w:val="00B4790C"/>
    <w:rsid w:val="00B5148E"/>
    <w:rsid w:val="00B5486E"/>
    <w:rsid w:val="00B57813"/>
    <w:rsid w:val="00B60359"/>
    <w:rsid w:val="00B717F7"/>
    <w:rsid w:val="00B816B4"/>
    <w:rsid w:val="00B836B8"/>
    <w:rsid w:val="00B83AC3"/>
    <w:rsid w:val="00B86F61"/>
    <w:rsid w:val="00B944E5"/>
    <w:rsid w:val="00BA1A27"/>
    <w:rsid w:val="00BA2C18"/>
    <w:rsid w:val="00BA5311"/>
    <w:rsid w:val="00BA6046"/>
    <w:rsid w:val="00BA63A3"/>
    <w:rsid w:val="00BB0515"/>
    <w:rsid w:val="00BB13DB"/>
    <w:rsid w:val="00BB181B"/>
    <w:rsid w:val="00BB222C"/>
    <w:rsid w:val="00BB29EE"/>
    <w:rsid w:val="00BB4217"/>
    <w:rsid w:val="00BC44E9"/>
    <w:rsid w:val="00BC4D6E"/>
    <w:rsid w:val="00BC617C"/>
    <w:rsid w:val="00BC7625"/>
    <w:rsid w:val="00BD0E86"/>
    <w:rsid w:val="00BD692A"/>
    <w:rsid w:val="00BE5232"/>
    <w:rsid w:val="00BE7C05"/>
    <w:rsid w:val="00BF363C"/>
    <w:rsid w:val="00BF56A9"/>
    <w:rsid w:val="00BF785F"/>
    <w:rsid w:val="00C01649"/>
    <w:rsid w:val="00C0461C"/>
    <w:rsid w:val="00C05A9E"/>
    <w:rsid w:val="00C075C2"/>
    <w:rsid w:val="00C1002E"/>
    <w:rsid w:val="00C11F44"/>
    <w:rsid w:val="00C20911"/>
    <w:rsid w:val="00C20AD8"/>
    <w:rsid w:val="00C20F3D"/>
    <w:rsid w:val="00C25A0D"/>
    <w:rsid w:val="00C26F8A"/>
    <w:rsid w:val="00C2781C"/>
    <w:rsid w:val="00C27A22"/>
    <w:rsid w:val="00C31475"/>
    <w:rsid w:val="00C31A04"/>
    <w:rsid w:val="00C34DC7"/>
    <w:rsid w:val="00C408E8"/>
    <w:rsid w:val="00C410E4"/>
    <w:rsid w:val="00C44427"/>
    <w:rsid w:val="00C510DF"/>
    <w:rsid w:val="00C526D8"/>
    <w:rsid w:val="00C563B7"/>
    <w:rsid w:val="00C56646"/>
    <w:rsid w:val="00C6356F"/>
    <w:rsid w:val="00C76804"/>
    <w:rsid w:val="00C772EF"/>
    <w:rsid w:val="00C877C8"/>
    <w:rsid w:val="00C9022E"/>
    <w:rsid w:val="00C918C3"/>
    <w:rsid w:val="00C96C81"/>
    <w:rsid w:val="00CA3A9E"/>
    <w:rsid w:val="00CA413E"/>
    <w:rsid w:val="00CA5C5A"/>
    <w:rsid w:val="00CB05C5"/>
    <w:rsid w:val="00CB763D"/>
    <w:rsid w:val="00CB7C1B"/>
    <w:rsid w:val="00CB7CD2"/>
    <w:rsid w:val="00CC38BE"/>
    <w:rsid w:val="00CD3572"/>
    <w:rsid w:val="00CD4DC7"/>
    <w:rsid w:val="00CD708E"/>
    <w:rsid w:val="00CE23FB"/>
    <w:rsid w:val="00CE2CB5"/>
    <w:rsid w:val="00CE58CE"/>
    <w:rsid w:val="00CE63ED"/>
    <w:rsid w:val="00CF0E1F"/>
    <w:rsid w:val="00D0368E"/>
    <w:rsid w:val="00D0660E"/>
    <w:rsid w:val="00D151F4"/>
    <w:rsid w:val="00D33BC4"/>
    <w:rsid w:val="00D35E53"/>
    <w:rsid w:val="00D3676E"/>
    <w:rsid w:val="00D36BD5"/>
    <w:rsid w:val="00D37B5C"/>
    <w:rsid w:val="00D4340F"/>
    <w:rsid w:val="00D51F84"/>
    <w:rsid w:val="00D53B33"/>
    <w:rsid w:val="00D56E4F"/>
    <w:rsid w:val="00D576B4"/>
    <w:rsid w:val="00D57B42"/>
    <w:rsid w:val="00D6028C"/>
    <w:rsid w:val="00D60B0B"/>
    <w:rsid w:val="00D61B5A"/>
    <w:rsid w:val="00D61F92"/>
    <w:rsid w:val="00D63027"/>
    <w:rsid w:val="00D63B48"/>
    <w:rsid w:val="00D64D76"/>
    <w:rsid w:val="00D65D82"/>
    <w:rsid w:val="00D67D38"/>
    <w:rsid w:val="00D707F9"/>
    <w:rsid w:val="00D748C0"/>
    <w:rsid w:val="00D75780"/>
    <w:rsid w:val="00D76C68"/>
    <w:rsid w:val="00D819A3"/>
    <w:rsid w:val="00D85179"/>
    <w:rsid w:val="00DA0949"/>
    <w:rsid w:val="00DA2DE4"/>
    <w:rsid w:val="00DA4EB8"/>
    <w:rsid w:val="00DA63BE"/>
    <w:rsid w:val="00DB0B37"/>
    <w:rsid w:val="00DB158B"/>
    <w:rsid w:val="00DB5108"/>
    <w:rsid w:val="00DB6C94"/>
    <w:rsid w:val="00DD2A5A"/>
    <w:rsid w:val="00DE7EE5"/>
    <w:rsid w:val="00DF4512"/>
    <w:rsid w:val="00DF5E95"/>
    <w:rsid w:val="00DF75AC"/>
    <w:rsid w:val="00E008BF"/>
    <w:rsid w:val="00E04572"/>
    <w:rsid w:val="00E047CA"/>
    <w:rsid w:val="00E05B86"/>
    <w:rsid w:val="00E10DE6"/>
    <w:rsid w:val="00E20F6B"/>
    <w:rsid w:val="00E23F0D"/>
    <w:rsid w:val="00E264E4"/>
    <w:rsid w:val="00E429F6"/>
    <w:rsid w:val="00E46197"/>
    <w:rsid w:val="00E52BDC"/>
    <w:rsid w:val="00E572E1"/>
    <w:rsid w:val="00E6465D"/>
    <w:rsid w:val="00E73A10"/>
    <w:rsid w:val="00E750DC"/>
    <w:rsid w:val="00E76F45"/>
    <w:rsid w:val="00E82D45"/>
    <w:rsid w:val="00E83EE4"/>
    <w:rsid w:val="00E92517"/>
    <w:rsid w:val="00E93BA3"/>
    <w:rsid w:val="00E9575E"/>
    <w:rsid w:val="00E95771"/>
    <w:rsid w:val="00E95F9F"/>
    <w:rsid w:val="00EB2144"/>
    <w:rsid w:val="00EB349A"/>
    <w:rsid w:val="00EB5DFF"/>
    <w:rsid w:val="00EB64C3"/>
    <w:rsid w:val="00EC1A64"/>
    <w:rsid w:val="00EC5D5C"/>
    <w:rsid w:val="00ED14F9"/>
    <w:rsid w:val="00ED1C48"/>
    <w:rsid w:val="00ED46FB"/>
    <w:rsid w:val="00EE1097"/>
    <w:rsid w:val="00EE1D89"/>
    <w:rsid w:val="00EE44F2"/>
    <w:rsid w:val="00EE59D0"/>
    <w:rsid w:val="00EE7024"/>
    <w:rsid w:val="00EE73F4"/>
    <w:rsid w:val="00EE7BA6"/>
    <w:rsid w:val="00EF2BF0"/>
    <w:rsid w:val="00EF3561"/>
    <w:rsid w:val="00F01A3A"/>
    <w:rsid w:val="00F030C5"/>
    <w:rsid w:val="00F049ED"/>
    <w:rsid w:val="00F162C4"/>
    <w:rsid w:val="00F16995"/>
    <w:rsid w:val="00F21ED1"/>
    <w:rsid w:val="00F23860"/>
    <w:rsid w:val="00F31CF8"/>
    <w:rsid w:val="00F321D0"/>
    <w:rsid w:val="00F34E96"/>
    <w:rsid w:val="00F37152"/>
    <w:rsid w:val="00F413EB"/>
    <w:rsid w:val="00F47031"/>
    <w:rsid w:val="00F5308B"/>
    <w:rsid w:val="00F537C3"/>
    <w:rsid w:val="00F56526"/>
    <w:rsid w:val="00F57712"/>
    <w:rsid w:val="00F61445"/>
    <w:rsid w:val="00F63E03"/>
    <w:rsid w:val="00F73291"/>
    <w:rsid w:val="00F815FB"/>
    <w:rsid w:val="00F831C6"/>
    <w:rsid w:val="00F83CDC"/>
    <w:rsid w:val="00F85CFF"/>
    <w:rsid w:val="00F87454"/>
    <w:rsid w:val="00F91880"/>
    <w:rsid w:val="00FA0C97"/>
    <w:rsid w:val="00FA1AEE"/>
    <w:rsid w:val="00FA6F12"/>
    <w:rsid w:val="00FA7029"/>
    <w:rsid w:val="00FB23EE"/>
    <w:rsid w:val="00FB403B"/>
    <w:rsid w:val="00FB6763"/>
    <w:rsid w:val="00FB746A"/>
    <w:rsid w:val="00FC0D71"/>
    <w:rsid w:val="00FC11C3"/>
    <w:rsid w:val="00FC141F"/>
    <w:rsid w:val="00FC503F"/>
    <w:rsid w:val="00FC573E"/>
    <w:rsid w:val="00FC6CDE"/>
    <w:rsid w:val="00FD24DF"/>
    <w:rsid w:val="00FE1931"/>
    <w:rsid w:val="00FE2E00"/>
    <w:rsid w:val="00FE631F"/>
    <w:rsid w:val="00FE65E3"/>
    <w:rsid w:val="00FE7647"/>
    <w:rsid w:val="00FF0188"/>
    <w:rsid w:val="00FF14B1"/>
    <w:rsid w:val="00FF26F9"/>
    <w:rsid w:val="00FF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CE025"/>
  <w15:docId w15:val="{81DD7CB6-5210-4300-A366-D5C02D52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0DF"/>
    <w:pPr>
      <w:spacing w:after="160" w:line="256" w:lineRule="auto"/>
    </w:pPr>
  </w:style>
  <w:style w:type="paragraph" w:styleId="Heading1">
    <w:name w:val="heading 1"/>
    <w:basedOn w:val="Normal"/>
    <w:link w:val="Heading1Char"/>
    <w:uiPriority w:val="9"/>
    <w:qFormat/>
    <w:rsid w:val="00135B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C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10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6A2E"/>
    <w:pPr>
      <w:spacing w:after="0" w:line="240" w:lineRule="auto"/>
    </w:pPr>
    <w:rPr>
      <w:rFonts w:eastAsiaTheme="minorEastAsia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F363C"/>
    <w:pPr>
      <w:ind w:left="720"/>
      <w:contextualSpacing/>
    </w:pPr>
  </w:style>
  <w:style w:type="paragraph" w:customStyle="1" w:styleId="ElsAffiliation">
    <w:name w:val="Els_Affiliation"/>
    <w:rsid w:val="00CE2CB5"/>
    <w:pPr>
      <w:spacing w:after="0" w:line="200" w:lineRule="exact"/>
    </w:pPr>
    <w:rPr>
      <w:rFonts w:ascii="Times New Roman" w:eastAsia="Times New Roman" w:hAnsi="Times New Roman" w:cs="Times New Roman"/>
      <w:i/>
      <w:sz w:val="16"/>
      <w:szCs w:val="20"/>
      <w:lang w:val="en-US"/>
    </w:rPr>
  </w:style>
  <w:style w:type="paragraph" w:customStyle="1" w:styleId="Pa12">
    <w:name w:val="Pa12"/>
    <w:basedOn w:val="Normal"/>
    <w:next w:val="Normal"/>
    <w:uiPriority w:val="99"/>
    <w:rsid w:val="002E3C45"/>
    <w:pPr>
      <w:autoSpaceDE w:val="0"/>
      <w:autoSpaceDN w:val="0"/>
      <w:adjustRightInd w:val="0"/>
      <w:spacing w:after="0" w:line="241" w:lineRule="atLeast"/>
    </w:pPr>
    <w:rPr>
      <w:rFonts w:ascii="ITC Kabel Book" w:hAnsi="ITC Kabel Book"/>
      <w:sz w:val="24"/>
      <w:szCs w:val="24"/>
    </w:rPr>
  </w:style>
  <w:style w:type="character" w:customStyle="1" w:styleId="A2">
    <w:name w:val="A2"/>
    <w:uiPriority w:val="99"/>
    <w:rsid w:val="002E3C45"/>
    <w:rPr>
      <w:rFonts w:cs="ITC Kabel Book"/>
      <w:color w:val="000000"/>
      <w:sz w:val="14"/>
      <w:szCs w:val="14"/>
    </w:rPr>
  </w:style>
  <w:style w:type="paragraph" w:customStyle="1" w:styleId="Pa1">
    <w:name w:val="Pa1"/>
    <w:basedOn w:val="Normal"/>
    <w:next w:val="Normal"/>
    <w:uiPriority w:val="99"/>
    <w:rsid w:val="002E3C45"/>
    <w:pPr>
      <w:autoSpaceDE w:val="0"/>
      <w:autoSpaceDN w:val="0"/>
      <w:adjustRightInd w:val="0"/>
      <w:spacing w:after="0" w:line="201" w:lineRule="atLeast"/>
    </w:pPr>
    <w:rPr>
      <w:rFonts w:ascii="ITC Kabel Book" w:hAnsi="ITC Kabel Book"/>
      <w:sz w:val="24"/>
      <w:szCs w:val="24"/>
    </w:rPr>
  </w:style>
  <w:style w:type="character" w:customStyle="1" w:styleId="A13">
    <w:name w:val="A13"/>
    <w:uiPriority w:val="99"/>
    <w:rsid w:val="002E3C45"/>
    <w:rPr>
      <w:rFonts w:ascii="AGaramond" w:hAnsi="AGaramond" w:cs="AGaramond"/>
      <w:color w:val="000000"/>
      <w:sz w:val="11"/>
      <w:szCs w:val="11"/>
    </w:rPr>
  </w:style>
  <w:style w:type="paragraph" w:customStyle="1" w:styleId="Pa17">
    <w:name w:val="Pa17"/>
    <w:basedOn w:val="Normal"/>
    <w:next w:val="Normal"/>
    <w:uiPriority w:val="99"/>
    <w:rsid w:val="002E3C45"/>
    <w:pPr>
      <w:autoSpaceDE w:val="0"/>
      <w:autoSpaceDN w:val="0"/>
      <w:adjustRightInd w:val="0"/>
      <w:spacing w:after="0" w:line="171" w:lineRule="atLeast"/>
    </w:pPr>
    <w:rPr>
      <w:rFonts w:ascii="ITC Kabel Book" w:hAnsi="ITC Kabel Book"/>
      <w:sz w:val="24"/>
      <w:szCs w:val="24"/>
    </w:rPr>
  </w:style>
  <w:style w:type="character" w:customStyle="1" w:styleId="A12">
    <w:name w:val="A12"/>
    <w:uiPriority w:val="99"/>
    <w:rsid w:val="002E3C45"/>
    <w:rPr>
      <w:rFonts w:ascii="AGaramond" w:hAnsi="AGaramond" w:cs="AGaramond"/>
      <w:color w:val="000000"/>
      <w:sz w:val="11"/>
      <w:szCs w:val="11"/>
    </w:rPr>
  </w:style>
  <w:style w:type="character" w:customStyle="1" w:styleId="Heading1Char">
    <w:name w:val="Heading 1 Char"/>
    <w:basedOn w:val="DefaultParagraphFont"/>
    <w:link w:val="Heading1"/>
    <w:uiPriority w:val="9"/>
    <w:rsid w:val="00135B6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title-text">
    <w:name w:val="title-text"/>
    <w:basedOn w:val="DefaultParagraphFont"/>
    <w:rsid w:val="00135B6C"/>
  </w:style>
  <w:style w:type="character" w:customStyle="1" w:styleId="hlfld-title">
    <w:name w:val="hlfld-title"/>
    <w:basedOn w:val="DefaultParagraphFont"/>
    <w:rsid w:val="007035AA"/>
  </w:style>
  <w:style w:type="character" w:styleId="Emphasis">
    <w:name w:val="Emphasis"/>
    <w:basedOn w:val="DefaultParagraphFont"/>
    <w:uiPriority w:val="20"/>
    <w:qFormat/>
    <w:rsid w:val="005D104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3C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etrics-score">
    <w:name w:val="metrics-score"/>
    <w:basedOn w:val="DefaultParagraphFont"/>
    <w:rsid w:val="00223C99"/>
  </w:style>
  <w:style w:type="character" w:customStyle="1" w:styleId="nlmarticle-title">
    <w:name w:val="nlm_article-title"/>
    <w:basedOn w:val="DefaultParagraphFont"/>
    <w:rsid w:val="00223C99"/>
  </w:style>
  <w:style w:type="character" w:styleId="Strong">
    <w:name w:val="Strong"/>
    <w:basedOn w:val="DefaultParagraphFont"/>
    <w:uiPriority w:val="22"/>
    <w:qFormat/>
    <w:rsid w:val="00325094"/>
    <w:rPr>
      <w:b/>
      <w:bCs/>
    </w:rPr>
  </w:style>
  <w:style w:type="character" w:customStyle="1" w:styleId="sup">
    <w:name w:val="sup"/>
    <w:basedOn w:val="DefaultParagraphFont"/>
    <w:rsid w:val="006E2588"/>
  </w:style>
  <w:style w:type="character" w:customStyle="1" w:styleId="it">
    <w:name w:val="it"/>
    <w:basedOn w:val="DefaultParagraphFont"/>
    <w:rsid w:val="006E2588"/>
  </w:style>
  <w:style w:type="character" w:customStyle="1" w:styleId="js-article-title">
    <w:name w:val="js-article-title"/>
    <w:basedOn w:val="DefaultParagraphFont"/>
    <w:rsid w:val="00333B77"/>
  </w:style>
  <w:style w:type="character" w:customStyle="1" w:styleId="titleheading">
    <w:name w:val="title_heading"/>
    <w:basedOn w:val="DefaultParagraphFont"/>
    <w:rsid w:val="001617BD"/>
  </w:style>
  <w:style w:type="character" w:customStyle="1" w:styleId="smallcaps">
    <w:name w:val="small_caps"/>
    <w:basedOn w:val="DefaultParagraphFont"/>
    <w:rsid w:val="001617BD"/>
  </w:style>
  <w:style w:type="character" w:styleId="PlaceholderText">
    <w:name w:val="Placeholder Text"/>
    <w:basedOn w:val="DefaultParagraphFont"/>
    <w:uiPriority w:val="99"/>
    <w:semiHidden/>
    <w:rsid w:val="006D74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6510">
                  <w:marLeft w:val="0"/>
                  <w:marRight w:val="24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08490">
                          <w:marLeft w:val="0"/>
                          <w:marRight w:val="192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8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246">
              <w:marLeft w:val="0"/>
              <w:marRight w:val="480"/>
              <w:marTop w:val="3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503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7292">
          <w:marLeft w:val="96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5145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7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9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9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44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4359265">
          <w:marLeft w:val="96"/>
          <w:marRight w:val="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06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11" Type="http://schemas.openxmlformats.org/officeDocument/2006/relationships/fontTable" Target="fontTable.xml"/><Relationship Id="rId5" Type="http://schemas.openxmlformats.org/officeDocument/2006/relationships/hyperlink" Target="mailto:dinesh_talwar58@yahoo.co.in" TargetMode="Externa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Viplove Arora</cp:lastModifiedBy>
  <cp:revision>2</cp:revision>
  <dcterms:created xsi:type="dcterms:W3CDTF">2023-10-02T16:42:00Z</dcterms:created>
  <dcterms:modified xsi:type="dcterms:W3CDTF">2023-10-02T16:42:00Z</dcterms:modified>
</cp:coreProperties>
</file>