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BF" w:rsidRPr="00DA5D9F" w:rsidRDefault="00AB09BF" w:rsidP="00565A71">
      <w:pPr>
        <w:pStyle w:val="normal0"/>
        <w:pBdr>
          <w:top w:val="nil"/>
          <w:left w:val="nil"/>
          <w:bottom w:val="nil"/>
          <w:right w:val="nil"/>
          <w:between w:val="nil"/>
        </w:pBdr>
        <w:spacing w:line="276" w:lineRule="auto"/>
        <w:jc w:val="center"/>
        <w:rPr>
          <w:b/>
          <w:color w:val="000000"/>
          <w:sz w:val="22"/>
          <w:szCs w:val="22"/>
        </w:rPr>
      </w:pPr>
      <w:r w:rsidRPr="00DA5D9F">
        <w:rPr>
          <w:b/>
          <w:color w:val="000000"/>
          <w:sz w:val="22"/>
          <w:szCs w:val="22"/>
        </w:rPr>
        <w:t>CREDIT RISK MANAGEMENT SYSTEM IN</w:t>
      </w:r>
      <w:r w:rsidR="006064E5" w:rsidRPr="00DA5D9F">
        <w:rPr>
          <w:b/>
          <w:color w:val="000000"/>
          <w:sz w:val="22"/>
          <w:szCs w:val="22"/>
        </w:rPr>
        <w:t xml:space="preserve"> SCHEDULED </w:t>
      </w:r>
      <w:r w:rsidRPr="00DA5D9F">
        <w:rPr>
          <w:b/>
          <w:color w:val="000000"/>
          <w:sz w:val="22"/>
          <w:szCs w:val="22"/>
        </w:rPr>
        <w:t>COMMERCIAL BANKS IN INDIA</w:t>
      </w:r>
    </w:p>
    <w:p w:rsidR="00565A71" w:rsidRDefault="00565A71" w:rsidP="00AB290B">
      <w:pPr>
        <w:pStyle w:val="NoSpacing"/>
        <w:spacing w:afterLines="60" w:line="276" w:lineRule="auto"/>
        <w:jc w:val="center"/>
        <w:rPr>
          <w:rFonts w:ascii="Times New Roman" w:hAnsi="Times New Roman" w:cs="Times New Roman"/>
          <w:b/>
        </w:rPr>
      </w:pPr>
    </w:p>
    <w:p w:rsidR="00AB09BF" w:rsidRPr="00DA5D9F" w:rsidRDefault="00AB09BF" w:rsidP="00AB290B">
      <w:pPr>
        <w:pStyle w:val="NoSpacing"/>
        <w:spacing w:afterLines="60" w:line="276" w:lineRule="auto"/>
        <w:jc w:val="center"/>
        <w:rPr>
          <w:rFonts w:ascii="Times New Roman" w:hAnsi="Times New Roman" w:cs="Times New Roman"/>
          <w:b/>
        </w:rPr>
      </w:pPr>
      <w:r w:rsidRPr="00DA5D9F">
        <w:rPr>
          <w:rFonts w:ascii="Times New Roman" w:hAnsi="Times New Roman" w:cs="Times New Roman"/>
          <w:b/>
        </w:rPr>
        <w:t>Dr.S.SANKARESWARI,</w:t>
      </w:r>
    </w:p>
    <w:p w:rsidR="00AB09BF" w:rsidRPr="00DA5D9F" w:rsidRDefault="00AB09BF" w:rsidP="00565A71">
      <w:pPr>
        <w:pStyle w:val="NoSpacing"/>
        <w:spacing w:line="276" w:lineRule="auto"/>
        <w:jc w:val="center"/>
        <w:rPr>
          <w:rFonts w:ascii="Times New Roman" w:hAnsi="Times New Roman" w:cs="Times New Roman"/>
        </w:rPr>
      </w:pPr>
      <w:r w:rsidRPr="00DA5D9F">
        <w:rPr>
          <w:rFonts w:ascii="Times New Roman" w:hAnsi="Times New Roman" w:cs="Times New Roman"/>
        </w:rPr>
        <w:t>Assistant Professor of Commerce,</w:t>
      </w:r>
    </w:p>
    <w:p w:rsidR="00AB09BF" w:rsidRPr="00DA5D9F" w:rsidRDefault="00AB09BF" w:rsidP="00565A71">
      <w:pPr>
        <w:pStyle w:val="NoSpacing"/>
        <w:spacing w:line="276" w:lineRule="auto"/>
        <w:jc w:val="center"/>
        <w:rPr>
          <w:rFonts w:ascii="Times New Roman" w:hAnsi="Times New Roman" w:cs="Times New Roman"/>
        </w:rPr>
      </w:pPr>
      <w:r w:rsidRPr="00DA5D9F">
        <w:rPr>
          <w:rFonts w:ascii="Times New Roman" w:hAnsi="Times New Roman" w:cs="Times New Roman"/>
        </w:rPr>
        <w:t>Thiagarajar College, Madurai, Madurai Kamaraj University, Madurai</w:t>
      </w:r>
    </w:p>
    <w:p w:rsidR="00AB09BF" w:rsidRPr="00DA5D9F" w:rsidRDefault="00AB09BF" w:rsidP="00565A71">
      <w:pPr>
        <w:pStyle w:val="NoSpacing"/>
        <w:spacing w:line="276" w:lineRule="auto"/>
        <w:jc w:val="center"/>
        <w:rPr>
          <w:rFonts w:ascii="Times New Roman" w:hAnsi="Times New Roman" w:cs="Times New Roman"/>
        </w:rPr>
      </w:pPr>
      <w:r w:rsidRPr="00DA5D9F">
        <w:rPr>
          <w:rFonts w:ascii="Times New Roman" w:hAnsi="Times New Roman" w:cs="Times New Roman"/>
        </w:rPr>
        <w:t>Tamil Nadu,India.</w:t>
      </w:r>
    </w:p>
    <w:p w:rsidR="00AB09BF" w:rsidRPr="00DA5D9F" w:rsidRDefault="00AB09BF" w:rsidP="00AB290B">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ABSTRACT</w:t>
      </w:r>
    </w:p>
    <w:p w:rsidR="00282F8C" w:rsidRPr="00282F8C" w:rsidRDefault="00282F8C" w:rsidP="00282F8C">
      <w:pPr>
        <w:jc w:val="both"/>
        <w:rPr>
          <w:rFonts w:ascii="Times New Roman" w:hAnsi="Times New Roman" w:cs="Times New Roman"/>
        </w:rPr>
      </w:pPr>
      <w:r w:rsidRPr="00282F8C">
        <w:rPr>
          <w:rFonts w:ascii="Times New Roman" w:hAnsi="Times New Roman" w:cs="Times New Roman"/>
          <w:color w:val="202020"/>
          <w:shd w:val="clear" w:color="auto" w:fill="FFFFFF"/>
        </w:rPr>
        <w:t>The major change in the banking sector took place only after the nationalization of banks in the year 1969. The policy of the government helped the banking industries to grow rapidly by taking into consideration the liberalization, privatization and globalization. </w:t>
      </w:r>
      <w:r w:rsidRPr="00282F8C">
        <w:rPr>
          <w:rStyle w:val="plagfind"/>
          <w:rFonts w:ascii="Times New Roman" w:hAnsi="Times New Roman" w:cs="Times New Roman"/>
          <w:color w:val="000000" w:themeColor="text1"/>
        </w:rPr>
        <w:t>Banks experience credit risk when assets in a bank’s borrowed loans are threatened by loan defaults.</w:t>
      </w:r>
      <w:r w:rsidRPr="00282F8C">
        <w:rPr>
          <w:rFonts w:ascii="Times New Roman" w:hAnsi="Times New Roman" w:cs="Times New Roman"/>
          <w:color w:val="000000" w:themeColor="text1"/>
        </w:rPr>
        <w:t> Credit risk is a total of default risk and portfolio risks of a bank. </w:t>
      </w:r>
      <w:r w:rsidRPr="00282F8C">
        <w:rPr>
          <w:rStyle w:val="plagfind"/>
          <w:rFonts w:ascii="Times New Roman" w:hAnsi="Times New Roman" w:cs="Times New Roman"/>
          <w:color w:val="000000" w:themeColor="text1"/>
        </w:rPr>
        <w:t>Credit risk is inevitable to the business</w:t>
      </w:r>
      <w:r w:rsidRPr="00282F8C">
        <w:rPr>
          <w:rStyle w:val="plagfind"/>
          <w:rFonts w:ascii="Times New Roman" w:hAnsi="Times New Roman" w:cs="Times New Roman"/>
          <w:color w:val="202020"/>
          <w:shd w:val="clear" w:color="auto" w:fill="FFFFFF"/>
        </w:rPr>
        <w:t xml:space="preserve"> of lending funds to the borrower.</w:t>
      </w:r>
      <w:r w:rsidRPr="00282F8C">
        <w:rPr>
          <w:rFonts w:ascii="Times New Roman" w:hAnsi="Times New Roman" w:cs="Times New Roman"/>
          <w:color w:val="202020"/>
          <w:shd w:val="clear" w:color="auto" w:fill="FFFFFF"/>
        </w:rPr>
        <w:t> The exposure to that risk make situation more critical when counter party fails to meet the obligations on agreed terms. Credit risk may increase if banks lend to borrower without getting adequate knowledge about the person or his capability to repay the loan. The present study is confined to SCBs coming under Public Sector, Private Sector and Foreign Banks only and Excludes Regional Rural Banks. The banks‟ credit efficiency can be measured by Credit risk management system employed by the banks. The areas covered under the study are the proportion of credits with deposits, measure of capital base through Capital adequacy ratio, credit depository ratio, gross NPA to gross advances ratio, Net NPA to net adequacy ratio of banks. Credit Risk Management System to see the Management of Non-Performing Assets in different bank groups, such as levels of Non-Performing Assets of different bank groups, assets quality of different bank groups, and recovery of Non-Performing Assets of these banks through various measures. All the above issues have been identified by the researcher for detailed analysis and interpretations.</w:t>
      </w:r>
    </w:p>
    <w:p w:rsidR="00AB09BF" w:rsidRPr="00DA5D9F" w:rsidRDefault="00AB09BF" w:rsidP="00AB290B">
      <w:pPr>
        <w:spacing w:afterLines="60"/>
        <w:jc w:val="both"/>
        <w:rPr>
          <w:rFonts w:ascii="Times New Roman" w:hAnsi="Times New Roman" w:cs="Times New Roman"/>
        </w:rPr>
      </w:pPr>
      <w:r w:rsidRPr="00DA5D9F">
        <w:rPr>
          <w:rFonts w:ascii="Times New Roman" w:hAnsi="Times New Roman" w:cs="Times New Roman"/>
          <w:b/>
        </w:rPr>
        <w:t>Keywords</w:t>
      </w:r>
      <w:r w:rsidRPr="00DA5D9F">
        <w:rPr>
          <w:rFonts w:ascii="Times New Roman" w:hAnsi="Times New Roman" w:cs="Times New Roman"/>
        </w:rPr>
        <w:t xml:space="preserve">: </w:t>
      </w:r>
      <w:r w:rsidR="00DA5D9F" w:rsidRPr="00DA5D9F">
        <w:rPr>
          <w:rFonts w:ascii="Times New Roman" w:hAnsi="Times New Roman" w:cs="Times New Roman"/>
          <w:color w:val="000000"/>
        </w:rPr>
        <w:t>Credit Risk,</w:t>
      </w:r>
      <w:r w:rsidR="00DA5D9F" w:rsidRPr="00DA5D9F">
        <w:rPr>
          <w:rFonts w:ascii="Times New Roman" w:hAnsi="Times New Roman" w:cs="Times New Roman"/>
        </w:rPr>
        <w:t xml:space="preserve"> Non-Performing Assets, recovery,</w:t>
      </w:r>
      <w:r w:rsidR="00DA5D9F" w:rsidRPr="00DA5D9F">
        <w:rPr>
          <w:rFonts w:ascii="Times New Roman" w:hAnsi="Times New Roman" w:cs="Times New Roman"/>
          <w:color w:val="000000"/>
        </w:rPr>
        <w:t xml:space="preserve"> Scheduled Commercial Banks</w:t>
      </w:r>
    </w:p>
    <w:p w:rsidR="00AB09BF" w:rsidRPr="00DA5D9F" w:rsidRDefault="00AB09BF" w:rsidP="00565A71">
      <w:pPr>
        <w:spacing w:after="0"/>
        <w:rPr>
          <w:rFonts w:ascii="Times New Roman" w:hAnsi="Times New Roman" w:cs="Times New Roman"/>
          <w:b/>
        </w:rPr>
      </w:pPr>
      <w:r w:rsidRPr="00DA5D9F">
        <w:rPr>
          <w:rFonts w:ascii="Times New Roman" w:hAnsi="Times New Roman" w:cs="Times New Roman"/>
          <w:b/>
        </w:rPr>
        <w:t>INTRODUCTION</w:t>
      </w:r>
    </w:p>
    <w:p w:rsidR="00877B93" w:rsidRPr="000C04EE" w:rsidRDefault="00877B93" w:rsidP="00877B93">
      <w:pPr>
        <w:spacing w:after="60" w:line="240" w:lineRule="auto"/>
        <w:jc w:val="both"/>
        <w:rPr>
          <w:rFonts w:ascii="Times New Roman" w:hAnsi="Times New Roman" w:cs="Times New Roman"/>
        </w:rPr>
      </w:pPr>
      <w:r w:rsidRPr="000C04EE">
        <w:rPr>
          <w:rFonts w:ascii="Times New Roman" w:hAnsi="Times New Roman" w:cs="Times New Roman"/>
          <w:color w:val="202020"/>
          <w:shd w:val="clear" w:color="auto" w:fill="FFFFFF"/>
        </w:rPr>
        <w:t>Banking system has a life of more than 200 years. It started its journey in 1786. </w:t>
      </w:r>
      <w:r w:rsidRPr="000C04EE">
        <w:rPr>
          <w:rStyle w:val="plagfind"/>
          <w:rFonts w:ascii="Times New Roman" w:hAnsi="Times New Roman" w:cs="Times New Roman"/>
          <w:color w:val="202020"/>
          <w:shd w:val="clear" w:color="auto" w:fill="FFFFFF"/>
        </w:rPr>
        <w:t>The drastic change in the sector took place only after the nationalization of banks in the year 1969.</w:t>
      </w:r>
      <w:r w:rsidRPr="000C04EE">
        <w:rPr>
          <w:rFonts w:ascii="Times New Roman" w:hAnsi="Times New Roman" w:cs="Times New Roman"/>
          <w:color w:val="202020"/>
          <w:shd w:val="clear" w:color="auto" w:fill="FFFFFF"/>
        </w:rPr>
        <w:t xml:space="preserve"> The policy of the government helped the banking industries to grow </w:t>
      </w:r>
      <w:r w:rsidRPr="000C04EE">
        <w:rPr>
          <w:rFonts w:ascii="Times New Roman" w:hAnsi="Times New Roman" w:cs="Times New Roman"/>
          <w:color w:val="202020"/>
        </w:rPr>
        <w:t xml:space="preserve">rapidly by taking into consideration the liberalization, privatization and globalization. The New Economic policy was introduced in the year1991,on which the </w:t>
      </w:r>
      <w:r w:rsidRPr="000C04EE">
        <w:rPr>
          <w:rStyle w:val="plagfind"/>
          <w:rFonts w:ascii="Times New Roman" w:hAnsi="Times New Roman" w:cs="Times New Roman"/>
          <w:color w:val="202020"/>
        </w:rPr>
        <w:t>Liberalization policy and economic reforms in India explored more opportunities and potentials for the banks from mere lending and buying to other financial facilities.</w:t>
      </w:r>
      <w:r w:rsidRPr="000C04EE">
        <w:rPr>
          <w:rFonts w:ascii="Times New Roman" w:hAnsi="Times New Roman" w:cs="Times New Roman"/>
          <w:color w:val="202020"/>
        </w:rPr>
        <w:t> </w:t>
      </w:r>
      <w:r w:rsidRPr="000C04EE">
        <w:rPr>
          <w:rStyle w:val="plagfind"/>
          <w:rFonts w:ascii="Times New Roman" w:hAnsi="Times New Roman" w:cs="Times New Roman"/>
          <w:color w:val="202020"/>
        </w:rPr>
        <w:t>As a result of this banks begun to experience numerous positive changes and successive growth.</w:t>
      </w:r>
      <w:r w:rsidRPr="000C04EE">
        <w:rPr>
          <w:rFonts w:ascii="Times New Roman" w:hAnsi="Times New Roman" w:cs="Times New Roman"/>
          <w:color w:val="202020"/>
        </w:rPr>
        <w:t> Indian nationalized banks have a greater operation because of the dimensions of the banks and the penetration of their banking systems. However, the Indian Banks</w:t>
      </w:r>
      <w:r w:rsidRPr="000C04EE">
        <w:rPr>
          <w:rFonts w:ascii="Times New Roman" w:hAnsi="Times New Roman" w:cs="Times New Roman"/>
          <w:color w:val="202020"/>
          <w:shd w:val="clear" w:color="auto" w:fill="FFFFFF"/>
        </w:rPr>
        <w:t xml:space="preserve"> also face certain challenges that need to be addressed. The biggest crisis falling the Indian Banking System is the problem of Non- Performing Assets and Credit Risk Management System The possibility of losses associated with </w:t>
      </w:r>
      <w:r w:rsidRPr="000C04EE">
        <w:rPr>
          <w:rFonts w:ascii="Times New Roman" w:eastAsia="Times New Roman" w:hAnsi="Times New Roman" w:cs="Times New Roman"/>
          <w:color w:val="202124"/>
          <w:sz w:val="24"/>
          <w:szCs w:val="24"/>
        </w:rPr>
        <w:t>decrease</w:t>
      </w:r>
      <w:r w:rsidRPr="000C04EE">
        <w:rPr>
          <w:rFonts w:ascii="Times New Roman" w:hAnsi="Times New Roman" w:cs="Times New Roman"/>
          <w:color w:val="202020"/>
          <w:shd w:val="clear" w:color="auto" w:fill="FFFFFF"/>
        </w:rPr>
        <w:t xml:space="preserve"> the credit quality of borrowers or counterparties. </w:t>
      </w:r>
      <w:r w:rsidRPr="000C04EE">
        <w:rPr>
          <w:rStyle w:val="plagfind"/>
          <w:rFonts w:ascii="Times New Roman" w:hAnsi="Times New Roman" w:cs="Times New Roman"/>
          <w:color w:val="202020"/>
          <w:shd w:val="clear" w:color="auto" w:fill="FFFFFF"/>
        </w:rPr>
        <w:t>In a bank’s portfolio, losses stem from outright default due to the inability or unwillingness of a customer or counterparty to meet commitments concerning lending, trading, settlement, and other financial transactions.</w:t>
      </w:r>
      <w:r w:rsidRPr="000C04EE">
        <w:rPr>
          <w:rFonts w:ascii="Times New Roman" w:hAnsi="Times New Roman" w:cs="Times New Roman"/>
          <w:color w:val="202020"/>
          <w:shd w:val="clear" w:color="auto" w:fill="FFFFFF"/>
        </w:rPr>
        <w:t> </w:t>
      </w:r>
      <w:r w:rsidRPr="000C04EE">
        <w:rPr>
          <w:rStyle w:val="plagfind"/>
          <w:rFonts w:ascii="Times New Roman" w:hAnsi="Times New Roman" w:cs="Times New Roman"/>
          <w:color w:val="202020"/>
          <w:shd w:val="clear" w:color="auto" w:fill="FFFFFF"/>
        </w:rPr>
        <w:t>Alternatively, losses result from a reduction in portfolio value arising from actual or perceived deterioration in credit quality.</w:t>
      </w:r>
      <w:r w:rsidRPr="000C04EE">
        <w:rPr>
          <w:rFonts w:ascii="Times New Roman" w:hAnsi="Times New Roman" w:cs="Times New Roman"/>
          <w:color w:val="202020"/>
        </w:rPr>
        <w:br/>
      </w:r>
      <w:r w:rsidRPr="000C04EE">
        <w:rPr>
          <w:rFonts w:ascii="Times New Roman" w:hAnsi="Times New Roman" w:cs="Times New Roman"/>
          <w:color w:val="202020"/>
          <w:shd w:val="clear" w:color="auto" w:fill="FFFFFF"/>
        </w:rPr>
        <w:t>The credit risk highly affects the financial position of banking system as well the economy as a whole, therefore careful attention to the impact of credit risk level on bank’s </w:t>
      </w:r>
      <w:r w:rsidRPr="000C04EE">
        <w:rPr>
          <w:rStyle w:val="plagfind"/>
          <w:rFonts w:ascii="Times New Roman" w:hAnsi="Times New Roman" w:cs="Times New Roman"/>
          <w:color w:val="202020"/>
          <w:shd w:val="clear" w:color="auto" w:fill="FFFFFF"/>
        </w:rPr>
        <w:t xml:space="preserve">profitability is necessary because intense risk puts serious threat to banks and increasingly level of risk may create a chance of closing </w:t>
      </w:r>
      <w:r w:rsidRPr="000C04EE">
        <w:rPr>
          <w:rStyle w:val="plagfind"/>
          <w:rFonts w:ascii="Times New Roman" w:hAnsi="Times New Roman" w:cs="Times New Roman"/>
          <w:color w:val="202020"/>
          <w:shd w:val="clear" w:color="auto" w:fill="FFFFFF"/>
        </w:rPr>
        <w:lastRenderedPageBreak/>
        <w:t>down the bank’s operations.</w:t>
      </w:r>
      <w:r w:rsidRPr="000C04EE">
        <w:rPr>
          <w:rFonts w:ascii="Times New Roman" w:hAnsi="Times New Roman" w:cs="Times New Roman"/>
          <w:color w:val="202020"/>
          <w:shd w:val="clear" w:color="auto" w:fill="FFFFFF"/>
        </w:rPr>
        <w:t> However, credit risk directly hits the financial strength, earnings of banks. </w:t>
      </w:r>
      <w:r w:rsidR="00AB290B">
        <w:rPr>
          <w:rStyle w:val="plagfind"/>
          <w:rFonts w:ascii="Times New Roman" w:hAnsi="Times New Roman" w:cs="Times New Roman"/>
          <w:color w:val="202020"/>
          <w:shd w:val="clear" w:color="auto" w:fill="FFFFFF"/>
        </w:rPr>
        <w:t xml:space="preserve">In </w:t>
      </w:r>
      <w:r w:rsidRPr="000C04EE">
        <w:rPr>
          <w:rStyle w:val="plagfind"/>
          <w:rFonts w:ascii="Times New Roman" w:hAnsi="Times New Roman" w:cs="Times New Roman"/>
          <w:color w:val="202020"/>
          <w:shd w:val="clear" w:color="auto" w:fill="FFFFFF"/>
        </w:rPr>
        <w:t>this</w:t>
      </w:r>
      <w:r w:rsidR="00AB290B">
        <w:rPr>
          <w:rStyle w:val="plagfind"/>
          <w:rFonts w:ascii="Times New Roman" w:hAnsi="Times New Roman" w:cs="Times New Roman"/>
          <w:color w:val="202020"/>
          <w:shd w:val="clear" w:color="auto" w:fill="FFFFFF"/>
        </w:rPr>
        <w:t xml:space="preserve"> respect</w:t>
      </w:r>
      <w:r w:rsidRPr="000C04EE">
        <w:rPr>
          <w:rStyle w:val="plagfind"/>
          <w:rFonts w:ascii="Times New Roman" w:hAnsi="Times New Roman" w:cs="Times New Roman"/>
          <w:color w:val="202020"/>
          <w:shd w:val="clear" w:color="auto" w:fill="FFFFFF"/>
        </w:rPr>
        <w:t>, various practices are followed to manage risk.</w:t>
      </w:r>
      <w:r w:rsidRPr="000C04EE">
        <w:rPr>
          <w:rFonts w:ascii="Times New Roman" w:hAnsi="Times New Roman" w:cs="Times New Roman"/>
          <w:color w:val="202020"/>
          <w:shd w:val="clear" w:color="auto" w:fill="FFFFFF"/>
        </w:rPr>
        <w:t> There are many parameters to observe the intensity of risk. It is very critical for bank to ensure a healthy risk management practice for achieving its goal. Credit risk management encompasses with various steps such as identify, measure, monitor and control risk exposure. Thus, credit management framework includes policies and rules relating to monitor risk.</w:t>
      </w:r>
    </w:p>
    <w:p w:rsidR="00994FBE" w:rsidRPr="00DA5D9F" w:rsidRDefault="00994FBE" w:rsidP="00565A71">
      <w:pPr>
        <w:spacing w:after="0"/>
        <w:rPr>
          <w:rFonts w:ascii="Times New Roman" w:hAnsi="Times New Roman" w:cs="Times New Roman"/>
          <w:b/>
        </w:rPr>
      </w:pPr>
    </w:p>
    <w:p w:rsidR="00AB09BF" w:rsidRPr="00DA5D9F" w:rsidRDefault="00AB09BF" w:rsidP="00AB290B">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REVIEW OF LITERATURE</w:t>
      </w:r>
    </w:p>
    <w:p w:rsidR="00AB09BF" w:rsidRPr="00DA5D9F" w:rsidRDefault="00AB09BF" w:rsidP="00AB290B">
      <w:pPr>
        <w:spacing w:afterLines="60"/>
        <w:ind w:firstLine="720"/>
        <w:jc w:val="both"/>
        <w:rPr>
          <w:rFonts w:ascii="Times New Roman" w:hAnsi="Times New Roman" w:cs="Times New Roman"/>
        </w:rPr>
      </w:pPr>
      <w:r w:rsidRPr="00DA5D9F">
        <w:rPr>
          <w:rFonts w:ascii="Times New Roman" w:hAnsi="Times New Roman" w:cs="Times New Roman"/>
        </w:rPr>
        <w:t>The researcher has taken following types of review to justify the Problem selected for research.</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Saah, M., and Zaman, A. (2021</w:t>
      </w:r>
      <w:r w:rsidRPr="00DA5D9F">
        <w:rPr>
          <w:color w:val="000000"/>
          <w:sz w:val="22"/>
          <w:szCs w:val="22"/>
        </w:rPr>
        <w:t>) in their study titled Management of NPAs in banks with special reference to UBI found that with the decrease in NPA level, profitability of banks increased.</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Smarika Jain, Dr. Sangeetha R. (2021)</w:t>
      </w:r>
      <w:r w:rsidRPr="00DA5D9F">
        <w:rPr>
          <w:color w:val="000000"/>
          <w:sz w:val="22"/>
          <w:szCs w:val="22"/>
        </w:rPr>
        <w:t xml:space="preserve"> As a result, the judgment is that management should focus more on non-performing assets under credit risk management since they have a negative impact. While the capital adequacy ratio has no substantial influence, it is recommended that they do not place too much emphasis on it. Rather, management should merely guarantee that the capital adequacy ratio maintains within 12-15 percent, over which the firms may risk financial underperformance.</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Hawaldar, I.T, Spulkar, C., Lokesh, A., Birau, R., Robegen, C.(2020)</w:t>
      </w:r>
      <w:r w:rsidRPr="00DA5D9F">
        <w:rPr>
          <w:color w:val="000000"/>
          <w:sz w:val="22"/>
          <w:szCs w:val="22"/>
        </w:rPr>
        <w:t xml:space="preserve"> in their study analyzing non-performing assets in agriculture loans. A case study in India concluded that there is no significant difference in pre and post sanction of agriculture loans and management of non-performing assets by banks. The wilful default by borrowers and more NPAs in banks are due to debt waiver policies announced by political parties.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Jethwani, B., Dave, D., Ali, T., Phansalker, S., and Ahhirao, S. (2020)</w:t>
      </w:r>
      <w:r w:rsidRPr="00DA5D9F">
        <w:rPr>
          <w:color w:val="000000"/>
          <w:sz w:val="22"/>
          <w:szCs w:val="22"/>
        </w:rPr>
        <w:t xml:space="preserve"> in their study Indian agriculture GDP and NPA: A regression model found that the repayment of farm loan adversely affects as factors like rural population, low export value of crop and low crop production for the year. It should be understood that the farm loan waivers cannot solve the problem.</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Sharma S., Rathore D.S., and Prasad, J. (2019)</w:t>
      </w:r>
      <w:r w:rsidRPr="00DA5D9F">
        <w:rPr>
          <w:color w:val="000000"/>
          <w:sz w:val="22"/>
          <w:szCs w:val="22"/>
        </w:rPr>
        <w:t xml:space="preserve"> They found that both in public &amp; private sector banks the major reason for the NPAs is miss-utilization of bank loans and poor recovery management. The NPAs are increasing in agriculture and industries. They suggested improving corporate governance for better operational and credit decisions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Rana C., (2018)</w:t>
      </w:r>
      <w:r w:rsidRPr="00DA5D9F">
        <w:rPr>
          <w:color w:val="000000"/>
          <w:sz w:val="22"/>
          <w:szCs w:val="22"/>
        </w:rPr>
        <w:t xml:space="preserve"> in his study titled “Management of NPA in context of Indian banking system concluded that NPA impacts profitability, liquidity and results in credit loss. There are two types of NPAs – gross NPA and net NPA. NPAs also impact low yield on advances, adverse Impact on capital adequacy. As a preventive measure, he suggested stopping multiple financing and early recognition of the problem.</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Sheeba, 2017</w:t>
      </w:r>
      <w:r w:rsidRPr="00DA5D9F">
        <w:rPr>
          <w:color w:val="000000"/>
          <w:sz w:val="22"/>
          <w:szCs w:val="22"/>
        </w:rPr>
        <w:t xml:space="preserve"> set out to explore the numerous factors that influence credit risk, and its impact on a bank's profitability. it was suggested that the bank under investigation tighten its CRM methods in order to lower the associated credit risk by reducing. non-performing assets and managing its leverage properly</w:t>
      </w:r>
    </w:p>
    <w:p w:rsidR="006064E5"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Taiwo, Ucheaga, Achugamonu, Adetiloye,and Okoye (2017)</w:t>
      </w:r>
      <w:r w:rsidRPr="00DA5D9F">
        <w:rPr>
          <w:color w:val="000000"/>
          <w:sz w:val="22"/>
          <w:szCs w:val="22"/>
        </w:rPr>
        <w:t xml:space="preserve"> studied the quantifiable impact of CRM on the financial performance of deposit money banks and loan growth in Nigeria. The secondary data was collected for over 17 years from1998–2014 by the World Bank and the Statistical Bulletin of the CBN. CRM, according to the data, has a minor impact on the total number of loans and advances</w:t>
      </w:r>
      <w:r w:rsidR="006064E5" w:rsidRPr="00DA5D9F">
        <w:rPr>
          <w:color w:val="000000"/>
          <w:sz w:val="22"/>
          <w:szCs w:val="22"/>
        </w:rPr>
        <w:t>.</w:t>
      </w:r>
    </w:p>
    <w:p w:rsidR="00E50FFB" w:rsidRPr="00DA5D9F" w:rsidRDefault="006064E5"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color w:val="000000"/>
          <w:sz w:val="22"/>
          <w:szCs w:val="22"/>
        </w:rPr>
        <w:lastRenderedPageBreak/>
        <w:t xml:space="preserve"> </w:t>
      </w:r>
      <w:r w:rsidRPr="00DA5D9F">
        <w:rPr>
          <w:b/>
          <w:color w:val="000000"/>
          <w:sz w:val="22"/>
          <w:szCs w:val="22"/>
        </w:rPr>
        <w:t xml:space="preserve">Khan </w:t>
      </w:r>
      <w:r w:rsidR="00E50FFB" w:rsidRPr="00DA5D9F">
        <w:rPr>
          <w:b/>
          <w:color w:val="000000"/>
          <w:sz w:val="22"/>
          <w:szCs w:val="22"/>
        </w:rPr>
        <w:t>&amp; Ali, 2016</w:t>
      </w:r>
      <w:r w:rsidR="00E50FFB" w:rsidRPr="00DA5D9F">
        <w:rPr>
          <w:color w:val="000000"/>
          <w:sz w:val="22"/>
          <w:szCs w:val="22"/>
        </w:rPr>
        <w:t>set out to investigate the link between commercial banks' liquidity</w:t>
      </w:r>
      <w:r w:rsidR="00DF27E0">
        <w:rPr>
          <w:color w:val="000000"/>
          <w:sz w:val="22"/>
          <w:szCs w:val="22"/>
        </w:rPr>
        <w:t xml:space="preserve"> and profitability in Pakistan </w:t>
      </w:r>
      <w:r w:rsidR="00E50FFB" w:rsidRPr="00DA5D9F">
        <w:rPr>
          <w:color w:val="000000"/>
          <w:sz w:val="22"/>
          <w:szCs w:val="22"/>
        </w:rPr>
        <w:t>and evaluated using correlation and regression techniques. The data revealed that banks' liquidity and profitability have a considerable positive link</w:t>
      </w:r>
      <w:r w:rsidR="00E50FFB" w:rsidRPr="00DA5D9F">
        <w:rPr>
          <w:b/>
          <w:color w:val="000000"/>
          <w:sz w:val="22"/>
          <w:szCs w:val="22"/>
        </w:rPr>
        <w:t>.</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Bayyoud and Sayyad (2015</w:t>
      </w:r>
      <w:r w:rsidRPr="00DA5D9F">
        <w:rPr>
          <w:color w:val="000000"/>
          <w:sz w:val="22"/>
          <w:szCs w:val="22"/>
        </w:rPr>
        <w:t>) performed research in the Palestinian banking sector to determine the effect of CRM on profitability. The data was collected for a period of five years ranging from 2010 to 2014 and analyzed by deploying a regression model. ROE is taken as a proxy for profitability, whereas NPLR is considered as a proxy for credit risk. The study's findings indicated that no link exists between credit risk and the financial performance of Palestinian commercial and investment banks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Li and Zou (2014)</w:t>
      </w:r>
      <w:r w:rsidRPr="00DA5D9F">
        <w:rPr>
          <w:color w:val="000000"/>
          <w:sz w:val="22"/>
          <w:szCs w:val="22"/>
        </w:rPr>
        <w:t xml:space="preserve"> investigated the association between CRM and the profitability of European commercial banks. The Profitability metrics such as ROE and ROA are used, while CRM determinants such as NPLR and CAR are also used. The data was analyzed by using multiple regression analysis along with other statistical tests. The findings demonstrated that CRM had a significant impact on the profitability of banks. NPLR shows a crucial impact on both ROE and ROA, whereas, on both, CAR has minimal impact (Li &amp; Zou, 2014).</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Said (2013)</w:t>
      </w:r>
      <w:r w:rsidRPr="00DA5D9F">
        <w:rPr>
          <w:color w:val="000000"/>
          <w:sz w:val="22"/>
          <w:szCs w:val="22"/>
        </w:rPr>
        <w:t xml:space="preserve"> examined the correlation between risks, namely credit risk operating risk, liquidity risk, and efficiency across Islamic banks in the Middle East and North Africa through three levels of examination. The data was collected for a three-year period ranging from 2006 to 2009 and was analyzed by using data envelopment analysis (DEA). A nonparametric technique was used in the first stage; ratios were analyzed in the second stage; and in the third stage, the correlation between credit, operating, and liquidity risks and efficiency was performed using Pearson Correlation. According to the findings, operating risk and credit risk both have a negative association with efficiency, whereas liquidity risk has a negligible link with the performance of banks under study (Said, 2013).</w:t>
      </w:r>
    </w:p>
    <w:p w:rsidR="00E50FFB" w:rsidRPr="00DA5D9F" w:rsidRDefault="00E50FFB" w:rsidP="00565A71">
      <w:pPr>
        <w:pStyle w:val="normal0"/>
        <w:tabs>
          <w:tab w:val="center" w:pos="4680"/>
        </w:tabs>
        <w:spacing w:line="276" w:lineRule="auto"/>
        <w:jc w:val="both"/>
        <w:rPr>
          <w:sz w:val="22"/>
          <w:szCs w:val="22"/>
        </w:rPr>
      </w:pP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Poudel, 2012</w:t>
      </w:r>
      <w:r w:rsidRPr="00DA5D9F">
        <w:rPr>
          <w:color w:val="000000"/>
          <w:sz w:val="22"/>
          <w:szCs w:val="22"/>
        </w:rPr>
        <w:t xml:space="preserve"> set out to investigate various aspects of CRM and how they affect bank profitability. The secondary data was collected for 11 years (2001–2011) from the financial statements of 31 banks in Nepal and was analyzed using descriptive, correlation, and regression statistics. According to the study, all of these factors show a negative impact on</w:t>
      </w:r>
      <w:r w:rsidR="00DF27E0">
        <w:rPr>
          <w:color w:val="000000"/>
          <w:sz w:val="22"/>
          <w:szCs w:val="22"/>
        </w:rPr>
        <w:t xml:space="preserve"> </w:t>
      </w:r>
      <w:r w:rsidRPr="00DA5D9F">
        <w:rPr>
          <w:color w:val="000000"/>
          <w:sz w:val="22"/>
          <w:szCs w:val="22"/>
        </w:rPr>
        <w:t>the financial performance of banks. The best predictor of bank economic success, however, was determined to be default risk. The investigation recommended that banks formulate and design strategies to minimize their credit risk exposure to increase their profitability.</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Ogonori et al. (2011</w:t>
      </w:r>
      <w:r w:rsidRPr="00DA5D9F">
        <w:rPr>
          <w:color w:val="000000"/>
          <w:sz w:val="22"/>
          <w:szCs w:val="22"/>
        </w:rPr>
        <w:t>) highlighted that available statistics from the liquidated banks clearly showed that inability to collect loans and advances extended to customers and directors or companies related to directors/managers was a major contributor to the distress of the liquidated banks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Mansaram’s (2010</w:t>
      </w:r>
      <w:r w:rsidRPr="00DA5D9F">
        <w:rPr>
          <w:color w:val="000000"/>
          <w:sz w:val="22"/>
          <w:szCs w:val="22"/>
        </w:rPr>
        <w:t>) rightly points out that, the profitability and viability of banks are directly affected by quality and performance of advances. A sound NPAs management system is used for quick identification of Non-Performing advances, their containment at minimum level and ensuring that their impingement on the financials is minimal.</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Kuphal (2009)</w:t>
      </w:r>
      <w:r w:rsidRPr="00DA5D9F">
        <w:rPr>
          <w:color w:val="000000"/>
          <w:sz w:val="22"/>
          <w:szCs w:val="22"/>
        </w:rPr>
        <w:t xml:space="preserve"> clearly indicates that “Non-Performing Assets were more in Public Sector Bank groups while the least was in Foreign Bank groups, because advances by Public Sector Bank groups to the priority sector advances were also high. Non-Performing Assets in the Public and Private Sector Bank groups were high mainly due to increase in NPAs in the agricultural sector.</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Dong (2008),</w:t>
      </w:r>
      <w:r w:rsidRPr="00DA5D9F">
        <w:rPr>
          <w:color w:val="000000"/>
          <w:sz w:val="22"/>
          <w:szCs w:val="22"/>
        </w:rPr>
        <w:t xml:space="preserve"> in his paper resolving “Non-Performing Assets of the Indian Banking System” submitted to the International Monetary Fund had reviewed the nature of Non- Performing Assets in </w:t>
      </w:r>
      <w:r w:rsidRPr="00DA5D9F">
        <w:rPr>
          <w:color w:val="000000"/>
          <w:sz w:val="22"/>
          <w:szCs w:val="22"/>
        </w:rPr>
        <w:lastRenderedPageBreak/>
        <w:t>the Indian Banking System and discussed the key design features that would be important for the Assets Reconstruction Companies to play an effective role in resolving Non-Performing Assets. The analysis draws upon recent regional and cross-country experiences in dealing with impaired assets during periods of financial crises.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 xml:space="preserve">Janardhan G Naik (2006) </w:t>
      </w:r>
      <w:r w:rsidRPr="00DA5D9F">
        <w:rPr>
          <w:color w:val="000000"/>
          <w:sz w:val="22"/>
          <w:szCs w:val="22"/>
        </w:rPr>
        <w:t>has observed that going by Basel II norms and other international best practices in our banks are expected to manage NPAs quite efficiently. Surely the reforms in the legal system in the recent years such as SARFAESI Act, 2002 will help in faster recovery of NPAs.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 xml:space="preserve">Charanjit Singh and Mohammad Farook Khan (2005) </w:t>
      </w:r>
      <w:r w:rsidRPr="00DA5D9F">
        <w:rPr>
          <w:color w:val="000000"/>
          <w:sz w:val="22"/>
          <w:szCs w:val="22"/>
        </w:rPr>
        <w:t>have observed that DRTs are effective in recovery of bank dues albeit to a certain extent and concluded that the passing of DRT Act and establishment of DRTs has brought definite changes in recovery suits of banks.</w:t>
      </w:r>
    </w:p>
    <w:p w:rsidR="00E50FFB" w:rsidRPr="00DA5D9F" w:rsidRDefault="00E50FFB" w:rsidP="00565A71">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 xml:space="preserve">Muninarayanappa and Nirmala (2004) </w:t>
      </w:r>
      <w:r w:rsidRPr="00DA5D9F">
        <w:rPr>
          <w:color w:val="000000"/>
          <w:sz w:val="22"/>
          <w:szCs w:val="22"/>
        </w:rPr>
        <w:t>outlined the concept of Credit Risk Management in banks. They highlighted the objectives and factors that determine the direction of banks polices on credit risk management. The challenges related to internal and external factors in credit risk management are also highlighted. They concluded that success of credit risk management requires maintenance of proper credit risk environment, credit strategy and policies. Thus, the ultimate aim should be to protect and improve the loan quality.</w:t>
      </w:r>
    </w:p>
    <w:p w:rsidR="00E50FFB" w:rsidRPr="00DA5D9F" w:rsidRDefault="00E50FFB" w:rsidP="00565A71">
      <w:pPr>
        <w:pStyle w:val="normal0"/>
        <w:pBdr>
          <w:top w:val="nil"/>
          <w:left w:val="nil"/>
          <w:bottom w:val="nil"/>
          <w:right w:val="nil"/>
          <w:between w:val="nil"/>
        </w:pBdr>
        <w:tabs>
          <w:tab w:val="center" w:pos="4680"/>
        </w:tabs>
        <w:spacing w:line="276" w:lineRule="auto"/>
        <w:ind w:left="360"/>
        <w:jc w:val="both"/>
        <w:rPr>
          <w:color w:val="000000"/>
          <w:sz w:val="22"/>
          <w:szCs w:val="22"/>
        </w:rPr>
      </w:pPr>
    </w:p>
    <w:p w:rsidR="00AB09BF" w:rsidRPr="00DA5D9F" w:rsidRDefault="00AB09BF" w:rsidP="00AB290B">
      <w:pPr>
        <w:spacing w:afterLines="60"/>
        <w:jc w:val="both"/>
        <w:rPr>
          <w:rFonts w:ascii="Times New Roman" w:hAnsi="Times New Roman" w:cs="Times New Roman"/>
          <w:b/>
        </w:rPr>
      </w:pPr>
      <w:r w:rsidRPr="00DA5D9F">
        <w:rPr>
          <w:rFonts w:ascii="Times New Roman" w:hAnsi="Times New Roman" w:cs="Times New Roman"/>
          <w:b/>
        </w:rPr>
        <w:t>STATEMENT OF THE PROBLEM</w:t>
      </w:r>
    </w:p>
    <w:p w:rsidR="00E50FFB" w:rsidRPr="00DA5D9F" w:rsidRDefault="00E50FFB" w:rsidP="00565A71">
      <w:pPr>
        <w:pStyle w:val="normal0"/>
        <w:tabs>
          <w:tab w:val="center" w:pos="4680"/>
        </w:tabs>
        <w:spacing w:line="276" w:lineRule="auto"/>
        <w:jc w:val="both"/>
        <w:rPr>
          <w:sz w:val="22"/>
          <w:szCs w:val="22"/>
        </w:rPr>
      </w:pPr>
      <w:r w:rsidRPr="00DA5D9F">
        <w:rPr>
          <w:sz w:val="22"/>
          <w:szCs w:val="22"/>
        </w:rPr>
        <w:t xml:space="preserve">      In the recent times the Private and Public Sector Banks have introduced several new and innovation financial and non- financial services to attract customers and retain them. This Development may cause the weak credit risk management among banks and it is the primary cause for the failure of many Commercial Banks which affects the financial performance of banking system particularly the profitability of banks. It is well known that the NPA problem affects the efficiency of the Credit Risk Management System in the Indian Banking System and it is important to address the same. The study aims to analyze </w:t>
      </w:r>
      <w:r w:rsidR="006064E5" w:rsidRPr="00DA5D9F">
        <w:rPr>
          <w:sz w:val="22"/>
          <w:szCs w:val="22"/>
        </w:rPr>
        <w:t xml:space="preserve">NPA position and recovery procedure of Scheduled Commercial Banks in India – a component of </w:t>
      </w:r>
      <w:r w:rsidRPr="00DA5D9F">
        <w:rPr>
          <w:sz w:val="22"/>
          <w:szCs w:val="22"/>
        </w:rPr>
        <w:t xml:space="preserve">Credit Risk Management system employed by the banks </w:t>
      </w:r>
      <w:r w:rsidR="006064E5" w:rsidRPr="00DA5D9F">
        <w:rPr>
          <w:sz w:val="22"/>
          <w:szCs w:val="22"/>
        </w:rPr>
        <w:t xml:space="preserve">and </w:t>
      </w:r>
      <w:r w:rsidRPr="00DA5D9F">
        <w:rPr>
          <w:sz w:val="22"/>
          <w:szCs w:val="22"/>
        </w:rPr>
        <w:t>to offer pertinent suggestion.</w:t>
      </w:r>
    </w:p>
    <w:p w:rsidR="00E50FFB" w:rsidRPr="00DA5D9F" w:rsidRDefault="00E50FFB" w:rsidP="00AB290B">
      <w:pPr>
        <w:spacing w:afterLines="60"/>
        <w:jc w:val="both"/>
        <w:rPr>
          <w:rFonts w:ascii="Times New Roman" w:hAnsi="Times New Roman" w:cs="Times New Roman"/>
          <w:b/>
        </w:rPr>
      </w:pPr>
    </w:p>
    <w:p w:rsidR="00AB09BF" w:rsidRPr="00DA5D9F" w:rsidRDefault="00AB09BF" w:rsidP="00565A71">
      <w:pPr>
        <w:spacing w:after="0"/>
        <w:rPr>
          <w:rFonts w:ascii="Times New Roman" w:hAnsi="Times New Roman" w:cs="Times New Roman"/>
          <w:b/>
        </w:rPr>
      </w:pPr>
      <w:r w:rsidRPr="00DA5D9F">
        <w:rPr>
          <w:rFonts w:ascii="Times New Roman" w:hAnsi="Times New Roman" w:cs="Times New Roman"/>
          <w:b/>
        </w:rPr>
        <w:t>OBJECTIVES OF THE STUDY</w:t>
      </w:r>
    </w:p>
    <w:p w:rsidR="00AB09BF" w:rsidRPr="00DA5D9F" w:rsidRDefault="00AB09BF" w:rsidP="00AB290B">
      <w:pPr>
        <w:pStyle w:val="NoSpacing"/>
        <w:spacing w:afterLines="60" w:line="276" w:lineRule="auto"/>
        <w:ind w:firstLine="720"/>
        <w:jc w:val="both"/>
        <w:rPr>
          <w:rFonts w:ascii="Times New Roman" w:hAnsi="Times New Roman" w:cs="Times New Roman"/>
        </w:rPr>
      </w:pPr>
      <w:r w:rsidRPr="00DA5D9F">
        <w:rPr>
          <w:rFonts w:ascii="Times New Roman" w:hAnsi="Times New Roman" w:cs="Times New Roman"/>
        </w:rPr>
        <w:t>The major objectives of the study are as follows:</w:t>
      </w:r>
    </w:p>
    <w:p w:rsidR="00E50FFB" w:rsidRPr="00DA5D9F" w:rsidRDefault="00E50FFB" w:rsidP="00DF27E0">
      <w:pPr>
        <w:pStyle w:val="normal0"/>
        <w:numPr>
          <w:ilvl w:val="0"/>
          <w:numId w:val="27"/>
        </w:numPr>
        <w:pBdr>
          <w:top w:val="nil"/>
          <w:left w:val="nil"/>
          <w:bottom w:val="nil"/>
          <w:right w:val="nil"/>
          <w:between w:val="nil"/>
        </w:pBdr>
        <w:tabs>
          <w:tab w:val="center" w:pos="450"/>
        </w:tabs>
        <w:spacing w:line="276" w:lineRule="auto"/>
        <w:rPr>
          <w:sz w:val="22"/>
          <w:szCs w:val="22"/>
        </w:rPr>
      </w:pPr>
      <w:r w:rsidRPr="00DA5D9F">
        <w:rPr>
          <w:color w:val="000000"/>
          <w:sz w:val="22"/>
          <w:szCs w:val="22"/>
        </w:rPr>
        <w:t xml:space="preserve">To Study the </w:t>
      </w:r>
      <w:r w:rsidRPr="00DA5D9F">
        <w:rPr>
          <w:sz w:val="22"/>
          <w:szCs w:val="22"/>
        </w:rPr>
        <w:t>Management of NPAs – A Component of Credit Risk Management System</w:t>
      </w:r>
    </w:p>
    <w:p w:rsidR="00E50FFB" w:rsidRPr="00DA5D9F" w:rsidRDefault="00E50FFB" w:rsidP="00DF27E0">
      <w:pPr>
        <w:pStyle w:val="normal0"/>
        <w:numPr>
          <w:ilvl w:val="0"/>
          <w:numId w:val="27"/>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To Analyze the NPAs of Scheduled Commercial Banks through Credit Depository Ratio, Capital Adequacy Ratio, Gross NPA to Gross Advances Ratio, Net NPAs to Net Advances Ratio in measuring Credit Efficiency of Banks.</w:t>
      </w:r>
    </w:p>
    <w:p w:rsidR="00E50FFB" w:rsidRPr="00DA5D9F" w:rsidRDefault="00DF27E0" w:rsidP="00DF27E0">
      <w:pPr>
        <w:pStyle w:val="normal0"/>
        <w:numPr>
          <w:ilvl w:val="0"/>
          <w:numId w:val="27"/>
        </w:numPr>
        <w:pBdr>
          <w:top w:val="nil"/>
          <w:left w:val="nil"/>
          <w:bottom w:val="nil"/>
          <w:right w:val="nil"/>
          <w:between w:val="nil"/>
        </w:pBdr>
        <w:tabs>
          <w:tab w:val="center" w:pos="4680"/>
        </w:tabs>
        <w:spacing w:line="276" w:lineRule="auto"/>
        <w:jc w:val="both"/>
        <w:rPr>
          <w:sz w:val="22"/>
          <w:szCs w:val="22"/>
        </w:rPr>
      </w:pPr>
      <w:r>
        <w:rPr>
          <w:color w:val="000000"/>
          <w:sz w:val="22"/>
          <w:szCs w:val="22"/>
        </w:rPr>
        <w:t>To e</w:t>
      </w:r>
      <w:r w:rsidR="00E50FFB" w:rsidRPr="00DA5D9F">
        <w:rPr>
          <w:color w:val="000000"/>
          <w:sz w:val="22"/>
          <w:szCs w:val="22"/>
        </w:rPr>
        <w:t>xamine the recovery Procedures of the NPAs in Scheduled Commercial Banks.</w:t>
      </w:r>
    </w:p>
    <w:p w:rsidR="00AB09BF" w:rsidRPr="00DA5D9F" w:rsidRDefault="00AB09BF" w:rsidP="00AB290B">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METHODOLOGY OF THE STUDY</w:t>
      </w:r>
    </w:p>
    <w:p w:rsidR="006064E5" w:rsidRPr="00DA5D9F" w:rsidRDefault="00E50FFB" w:rsidP="00AB290B">
      <w:pPr>
        <w:spacing w:afterLines="60"/>
        <w:jc w:val="both"/>
        <w:rPr>
          <w:rFonts w:ascii="Times New Roman" w:hAnsi="Times New Roman" w:cs="Times New Roman"/>
        </w:rPr>
      </w:pPr>
      <w:r w:rsidRPr="00DA5D9F">
        <w:rPr>
          <w:rFonts w:ascii="Times New Roman" w:hAnsi="Times New Roman" w:cs="Times New Roman"/>
          <w:b/>
        </w:rPr>
        <w:t xml:space="preserve">            </w:t>
      </w:r>
      <w:r w:rsidR="006064E5" w:rsidRPr="00DA5D9F">
        <w:rPr>
          <w:rFonts w:ascii="Times New Roman" w:hAnsi="Times New Roman" w:cs="Times New Roman"/>
        </w:rPr>
        <w:t>A study of</w:t>
      </w:r>
      <w:r w:rsidRPr="00DA5D9F">
        <w:rPr>
          <w:rFonts w:ascii="Times New Roman" w:hAnsi="Times New Roman" w:cs="Times New Roman"/>
          <w:b/>
        </w:rPr>
        <w:t xml:space="preserve"> </w:t>
      </w:r>
      <w:r w:rsidR="006064E5" w:rsidRPr="00DA5D9F">
        <w:rPr>
          <w:rFonts w:ascii="Times New Roman" w:hAnsi="Times New Roman" w:cs="Times New Roman"/>
        </w:rPr>
        <w:t xml:space="preserve">Credit Risk Management System in the Indian Banking System particularly in management of NPAs and recovery of NPAs influence the financial performance of banking system which creates impact on economic development of our Country. The present study is undertaken to </w:t>
      </w:r>
      <w:r w:rsidR="006064E5" w:rsidRPr="00DA5D9F">
        <w:rPr>
          <w:rFonts w:ascii="Times New Roman" w:hAnsi="Times New Roman" w:cs="Times New Roman"/>
          <w:color w:val="000000"/>
        </w:rPr>
        <w:t>Scheduled Commercial Banks in India</w:t>
      </w:r>
      <w:r w:rsidR="006064E5" w:rsidRPr="00DA5D9F">
        <w:rPr>
          <w:rFonts w:ascii="Times New Roman" w:hAnsi="Times New Roman" w:cs="Times New Roman"/>
        </w:rPr>
        <w:t>.</w:t>
      </w:r>
    </w:p>
    <w:p w:rsidR="00DD592C" w:rsidRPr="00DA5D9F" w:rsidRDefault="00DD592C" w:rsidP="00565A71">
      <w:pPr>
        <w:pStyle w:val="normal0"/>
        <w:tabs>
          <w:tab w:val="center" w:pos="4680"/>
        </w:tabs>
        <w:spacing w:after="200" w:line="276" w:lineRule="auto"/>
        <w:jc w:val="both"/>
        <w:rPr>
          <w:color w:val="202020"/>
          <w:sz w:val="22"/>
          <w:szCs w:val="22"/>
          <w:shd w:val="clear" w:color="auto" w:fill="FFFFFF"/>
        </w:rPr>
      </w:pPr>
      <w:r w:rsidRPr="00DA5D9F">
        <w:rPr>
          <w:sz w:val="22"/>
          <w:szCs w:val="22"/>
        </w:rPr>
        <w:t xml:space="preserve">      The present study is confined to SCBs coming under Public Sector, Private Sector and Foreign Banks only and Excludes Regional Rural Banks. The banks‟ credit efficiency can be measured by Credit risk management system employed by the banks. The areas covered under the study are the proportion of </w:t>
      </w:r>
      <w:r w:rsidRPr="00DA5D9F">
        <w:rPr>
          <w:sz w:val="22"/>
          <w:szCs w:val="22"/>
        </w:rPr>
        <w:lastRenderedPageBreak/>
        <w:t xml:space="preserve">credits with deposits, measure of capital base through Capital adequacy ratio, credit depository ratio, gross NPA to gross advances ratio, Net NPA to net adequacy ratio of banks. </w:t>
      </w:r>
      <w:r w:rsidRPr="00DA5D9F">
        <w:rPr>
          <w:color w:val="202020"/>
          <w:sz w:val="22"/>
          <w:szCs w:val="22"/>
          <w:shd w:val="clear" w:color="auto" w:fill="FFFFFF"/>
        </w:rPr>
        <w:t xml:space="preserve">The researcher has studied the entire population. The Secondary data relating to </w:t>
      </w:r>
      <w:r w:rsidRPr="00DA5D9F">
        <w:rPr>
          <w:sz w:val="22"/>
          <w:szCs w:val="22"/>
        </w:rPr>
        <w:t xml:space="preserve">Credit risk management </w:t>
      </w:r>
      <w:r w:rsidRPr="00DA5D9F">
        <w:rPr>
          <w:color w:val="202020"/>
          <w:sz w:val="22"/>
          <w:szCs w:val="22"/>
          <w:shd w:val="clear" w:color="auto" w:fill="FFFFFF"/>
        </w:rPr>
        <w:t xml:space="preserve"> system for a period of ten years from 2012-13 to 2021-22 were collected and compiled from Books, Journals, Magazines, Publications, </w:t>
      </w:r>
      <w:r w:rsidR="00491ED2" w:rsidRPr="00DA5D9F">
        <w:rPr>
          <w:color w:val="000000"/>
          <w:sz w:val="22"/>
          <w:szCs w:val="22"/>
        </w:rPr>
        <w:t xml:space="preserve">Research Reports, RBI Bulletin, RBI Annual Reports, Report on Trend and Progress of Banking </w:t>
      </w:r>
      <w:r w:rsidRPr="00DA5D9F">
        <w:rPr>
          <w:color w:val="202020"/>
          <w:sz w:val="22"/>
          <w:szCs w:val="22"/>
          <w:shd w:val="clear" w:color="auto" w:fill="FFFFFF"/>
        </w:rPr>
        <w:t>and Websites. To analyze the data, the researcher used statistical tools like percentage analysis,</w:t>
      </w:r>
      <w:r w:rsidR="00491ED2" w:rsidRPr="00DA5D9F">
        <w:rPr>
          <w:color w:val="202020"/>
          <w:sz w:val="22"/>
          <w:szCs w:val="22"/>
          <w:shd w:val="clear" w:color="auto" w:fill="FFFFFF"/>
        </w:rPr>
        <w:t xml:space="preserve"> </w:t>
      </w:r>
      <w:r w:rsidR="00491ED2" w:rsidRPr="00DA5D9F">
        <w:rPr>
          <w:sz w:val="22"/>
          <w:szCs w:val="22"/>
        </w:rPr>
        <w:t xml:space="preserve">Ratio Analysis and Compound growth rate </w:t>
      </w:r>
      <w:r w:rsidRPr="00DA5D9F">
        <w:rPr>
          <w:color w:val="202020"/>
          <w:sz w:val="22"/>
          <w:szCs w:val="22"/>
          <w:shd w:val="clear" w:color="auto" w:fill="FFFFFF"/>
        </w:rPr>
        <w:t>were employed.</w:t>
      </w:r>
    </w:p>
    <w:p w:rsidR="00AB09BF" w:rsidRPr="00DA5D9F" w:rsidRDefault="00AB09BF" w:rsidP="00AB290B">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ANALYSIS AND INTERPRETATION</w:t>
      </w:r>
    </w:p>
    <w:p w:rsidR="00491ED2" w:rsidRPr="00DA5D9F" w:rsidRDefault="00491ED2" w:rsidP="00565A71">
      <w:pPr>
        <w:pStyle w:val="normal0"/>
        <w:spacing w:line="276" w:lineRule="auto"/>
        <w:jc w:val="both"/>
        <w:rPr>
          <w:b/>
          <w:sz w:val="22"/>
          <w:szCs w:val="22"/>
        </w:rPr>
      </w:pPr>
      <w:r w:rsidRPr="00DA5D9F">
        <w:rPr>
          <w:b/>
          <w:sz w:val="22"/>
          <w:szCs w:val="22"/>
        </w:rPr>
        <w:t>Credit Deposit Ratio of Bank Group</w:t>
      </w:r>
      <w:r w:rsidR="001F6701" w:rsidRPr="00DA5D9F">
        <w:rPr>
          <w:b/>
          <w:sz w:val="22"/>
          <w:szCs w:val="22"/>
        </w:rPr>
        <w:t>s</w:t>
      </w:r>
    </w:p>
    <w:p w:rsidR="000F4E1E" w:rsidRPr="00DA5D9F" w:rsidRDefault="00491ED2" w:rsidP="00565A71">
      <w:pPr>
        <w:pStyle w:val="normal0"/>
        <w:spacing w:line="276" w:lineRule="auto"/>
        <w:ind w:firstLine="720"/>
        <w:jc w:val="both"/>
        <w:rPr>
          <w:sz w:val="22"/>
          <w:szCs w:val="22"/>
        </w:rPr>
      </w:pPr>
      <w:r w:rsidRPr="00DA5D9F">
        <w:rPr>
          <w:sz w:val="22"/>
          <w:szCs w:val="22"/>
        </w:rPr>
        <w:t>The credit depository ratio of SCBs 10 years 2012-13to 2021-22</w:t>
      </w:r>
      <w:r w:rsidRPr="00DA5D9F">
        <w:rPr>
          <w:color w:val="202020"/>
          <w:sz w:val="22"/>
          <w:szCs w:val="22"/>
          <w:shd w:val="clear" w:color="auto" w:fill="FFFFFF"/>
        </w:rPr>
        <w:t xml:space="preserve"> is analysed which reveals that</w:t>
      </w:r>
      <w:r w:rsidRPr="00DA5D9F">
        <w:rPr>
          <w:sz w:val="22"/>
          <w:szCs w:val="22"/>
        </w:rPr>
        <w:t xml:space="preserve"> the CDR of Bank Groups, the Public Sector Banks has Decreased in the year 2016-17 to 2021-22, In Private Sector Bank it has a Positive growth, followed by Foreign Bank, the Credit Deposit Ratio has a Fluctuating Trend but in the year , 2020-2022 it was highly reduced due to covid.</w:t>
      </w:r>
      <w:r w:rsidR="001F6701" w:rsidRPr="00DA5D9F">
        <w:rPr>
          <w:sz w:val="22"/>
          <w:szCs w:val="22"/>
        </w:rPr>
        <w:t xml:space="preserve"> </w:t>
      </w:r>
      <w:r w:rsidR="000F4E1E" w:rsidRPr="00DA5D9F">
        <w:rPr>
          <w:sz w:val="22"/>
          <w:szCs w:val="22"/>
        </w:rPr>
        <w:t xml:space="preserve">The Credit Deposit Ratio of bank groups has calculated </w:t>
      </w:r>
      <w:r w:rsidR="001F6701" w:rsidRPr="00DA5D9F">
        <w:rPr>
          <w:sz w:val="22"/>
          <w:szCs w:val="22"/>
        </w:rPr>
        <w:t xml:space="preserve">and presented </w:t>
      </w:r>
      <w:r w:rsidR="000F4E1E" w:rsidRPr="00DA5D9F">
        <w:rPr>
          <w:sz w:val="22"/>
          <w:szCs w:val="22"/>
        </w:rPr>
        <w:t>in the Table 4.1</w:t>
      </w:r>
    </w:p>
    <w:p w:rsidR="000F4E1E" w:rsidRPr="00DA5D9F" w:rsidRDefault="000F4E1E" w:rsidP="00565A71">
      <w:pPr>
        <w:pStyle w:val="normal0"/>
        <w:spacing w:line="276" w:lineRule="auto"/>
        <w:jc w:val="center"/>
        <w:rPr>
          <w:b/>
          <w:sz w:val="22"/>
          <w:szCs w:val="22"/>
        </w:rPr>
      </w:pPr>
      <w:r w:rsidRPr="00DA5D9F">
        <w:rPr>
          <w:b/>
          <w:sz w:val="22"/>
          <w:szCs w:val="22"/>
        </w:rPr>
        <w:t>TABLE 4.1</w:t>
      </w:r>
    </w:p>
    <w:p w:rsidR="000F4E1E" w:rsidRPr="00DA5D9F" w:rsidRDefault="000F4E1E" w:rsidP="00565A71">
      <w:pPr>
        <w:pStyle w:val="normal0"/>
        <w:spacing w:line="276" w:lineRule="auto"/>
        <w:jc w:val="center"/>
        <w:rPr>
          <w:b/>
          <w:sz w:val="22"/>
          <w:szCs w:val="22"/>
        </w:rPr>
      </w:pPr>
      <w:r w:rsidRPr="00DA5D9F">
        <w:rPr>
          <w:b/>
          <w:sz w:val="22"/>
          <w:szCs w:val="22"/>
        </w:rPr>
        <w:t>CREDIT DEPOSITORY RATIO OF BANK GROUPS</w:t>
      </w:r>
    </w:p>
    <w:p w:rsidR="000F4E1E" w:rsidRPr="00DA5D9F" w:rsidRDefault="000F4E1E" w:rsidP="00565A71">
      <w:pPr>
        <w:pStyle w:val="normal0"/>
        <w:spacing w:line="276" w:lineRule="auto"/>
        <w:jc w:val="right"/>
        <w:rPr>
          <w:sz w:val="22"/>
          <w:szCs w:val="22"/>
        </w:rPr>
      </w:pPr>
      <w:r w:rsidRPr="00DA5D9F">
        <w:rPr>
          <w:sz w:val="22"/>
          <w:szCs w:val="22"/>
        </w:rPr>
        <w:t xml:space="preserve">                                                                                    (In Percent)</w:t>
      </w:r>
    </w:p>
    <w:tbl>
      <w:tblPr>
        <w:tblW w:w="9768"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423"/>
        <w:gridCol w:w="1959"/>
        <w:gridCol w:w="1960"/>
        <w:gridCol w:w="1945"/>
      </w:tblGrid>
      <w:tr w:rsidR="000F4E1E" w:rsidRPr="00DA5D9F" w:rsidTr="001F6701">
        <w:trPr>
          <w:cantSplit/>
          <w:trHeight w:val="628"/>
          <w:tblHeader/>
        </w:trPr>
        <w:tc>
          <w:tcPr>
            <w:tcW w:w="1481" w:type="dxa"/>
          </w:tcPr>
          <w:p w:rsidR="000F4E1E" w:rsidRPr="00DA5D9F" w:rsidRDefault="000F4E1E" w:rsidP="00565A71">
            <w:pPr>
              <w:pStyle w:val="normal0"/>
              <w:spacing w:line="276" w:lineRule="auto"/>
              <w:jc w:val="center"/>
              <w:rPr>
                <w:b/>
                <w:sz w:val="22"/>
                <w:szCs w:val="22"/>
              </w:rPr>
            </w:pPr>
            <w:r w:rsidRPr="00DA5D9F">
              <w:rPr>
                <w:b/>
                <w:sz w:val="22"/>
                <w:szCs w:val="22"/>
              </w:rPr>
              <w:t>YEAR</w:t>
            </w:r>
          </w:p>
        </w:tc>
        <w:tc>
          <w:tcPr>
            <w:tcW w:w="2423" w:type="dxa"/>
          </w:tcPr>
          <w:p w:rsidR="000F4E1E" w:rsidRPr="00DA5D9F" w:rsidRDefault="000F4E1E" w:rsidP="00565A71">
            <w:pPr>
              <w:pStyle w:val="normal0"/>
              <w:spacing w:line="276" w:lineRule="auto"/>
              <w:jc w:val="center"/>
              <w:rPr>
                <w:b/>
                <w:sz w:val="22"/>
                <w:szCs w:val="22"/>
              </w:rPr>
            </w:pPr>
            <w:r w:rsidRPr="00DA5D9F">
              <w:rPr>
                <w:b/>
                <w:sz w:val="22"/>
                <w:szCs w:val="22"/>
              </w:rPr>
              <w:t>PUBLIC SECTOR BANK</w:t>
            </w:r>
          </w:p>
        </w:tc>
        <w:tc>
          <w:tcPr>
            <w:tcW w:w="1959" w:type="dxa"/>
          </w:tcPr>
          <w:p w:rsidR="000F4E1E" w:rsidRPr="00DA5D9F" w:rsidRDefault="000F4E1E" w:rsidP="00565A71">
            <w:pPr>
              <w:pStyle w:val="normal0"/>
              <w:spacing w:line="276" w:lineRule="auto"/>
              <w:jc w:val="center"/>
              <w:rPr>
                <w:b/>
                <w:sz w:val="22"/>
                <w:szCs w:val="22"/>
              </w:rPr>
            </w:pPr>
            <w:r w:rsidRPr="00DA5D9F">
              <w:rPr>
                <w:b/>
                <w:sz w:val="22"/>
                <w:szCs w:val="22"/>
              </w:rPr>
              <w:t>PRIVATE SECTOR</w:t>
            </w:r>
          </w:p>
        </w:tc>
        <w:tc>
          <w:tcPr>
            <w:tcW w:w="1960" w:type="dxa"/>
          </w:tcPr>
          <w:p w:rsidR="000F4E1E" w:rsidRPr="00DA5D9F" w:rsidRDefault="000F4E1E" w:rsidP="00565A71">
            <w:pPr>
              <w:pStyle w:val="normal0"/>
              <w:spacing w:line="276" w:lineRule="auto"/>
              <w:jc w:val="center"/>
              <w:rPr>
                <w:b/>
                <w:sz w:val="22"/>
                <w:szCs w:val="22"/>
              </w:rPr>
            </w:pPr>
            <w:r w:rsidRPr="00DA5D9F">
              <w:rPr>
                <w:b/>
                <w:sz w:val="22"/>
                <w:szCs w:val="22"/>
              </w:rPr>
              <w:t>FOREGIN BANKS</w:t>
            </w:r>
          </w:p>
        </w:tc>
        <w:tc>
          <w:tcPr>
            <w:tcW w:w="1945" w:type="dxa"/>
          </w:tcPr>
          <w:p w:rsidR="000F4E1E" w:rsidRPr="00DA5D9F" w:rsidRDefault="000F4E1E" w:rsidP="00565A71">
            <w:pPr>
              <w:pStyle w:val="normal0"/>
              <w:spacing w:line="276" w:lineRule="auto"/>
              <w:jc w:val="center"/>
              <w:rPr>
                <w:b/>
                <w:sz w:val="22"/>
                <w:szCs w:val="22"/>
              </w:rPr>
            </w:pPr>
            <w:r w:rsidRPr="00DA5D9F">
              <w:rPr>
                <w:b/>
                <w:sz w:val="22"/>
                <w:szCs w:val="22"/>
              </w:rPr>
              <w:t>ALL SCBs</w:t>
            </w:r>
          </w:p>
        </w:tc>
      </w:tr>
      <w:tr w:rsidR="000F4E1E" w:rsidRPr="00DA5D9F" w:rsidTr="001F6701">
        <w:trPr>
          <w:cantSplit/>
          <w:trHeight w:val="242"/>
          <w:tblHeader/>
        </w:trPr>
        <w:tc>
          <w:tcPr>
            <w:tcW w:w="1481"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242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77.85</w:t>
            </w:r>
          </w:p>
        </w:tc>
        <w:tc>
          <w:tcPr>
            <w:tcW w:w="1959"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81.9</w:t>
            </w:r>
          </w:p>
        </w:tc>
        <w:tc>
          <w:tcPr>
            <w:tcW w:w="1960"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91.51</w:t>
            </w:r>
          </w:p>
        </w:tc>
        <w:tc>
          <w:tcPr>
            <w:tcW w:w="1945"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79.14</w:t>
            </w:r>
          </w:p>
        </w:tc>
      </w:tr>
      <w:tr w:rsidR="000F4E1E" w:rsidRPr="00DA5D9F" w:rsidTr="001F6701">
        <w:trPr>
          <w:cantSplit/>
          <w:trHeight w:val="233"/>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2013-14</w:t>
            </w:r>
          </w:p>
        </w:tc>
        <w:tc>
          <w:tcPr>
            <w:tcW w:w="2423" w:type="dxa"/>
          </w:tcPr>
          <w:p w:rsidR="000F4E1E" w:rsidRPr="00DA5D9F" w:rsidRDefault="000F4E1E" w:rsidP="00565A71">
            <w:pPr>
              <w:pStyle w:val="normal0"/>
              <w:spacing w:line="276" w:lineRule="auto"/>
              <w:jc w:val="center"/>
              <w:rPr>
                <w:sz w:val="22"/>
                <w:szCs w:val="22"/>
              </w:rPr>
            </w:pPr>
            <w:r w:rsidRPr="00DA5D9F">
              <w:rPr>
                <w:color w:val="000000"/>
                <w:sz w:val="22"/>
                <w:szCs w:val="22"/>
              </w:rPr>
              <w:t>77.42</w:t>
            </w:r>
          </w:p>
        </w:tc>
        <w:tc>
          <w:tcPr>
            <w:tcW w:w="1959" w:type="dxa"/>
          </w:tcPr>
          <w:p w:rsidR="000F4E1E" w:rsidRPr="00DA5D9F" w:rsidRDefault="000F4E1E" w:rsidP="00565A71">
            <w:pPr>
              <w:pStyle w:val="normal0"/>
              <w:spacing w:line="276" w:lineRule="auto"/>
              <w:jc w:val="center"/>
              <w:rPr>
                <w:sz w:val="22"/>
                <w:szCs w:val="22"/>
              </w:rPr>
            </w:pPr>
            <w:r w:rsidRPr="00DA5D9F">
              <w:rPr>
                <w:color w:val="000000"/>
                <w:sz w:val="22"/>
                <w:szCs w:val="22"/>
              </w:rPr>
              <w:t>84.37</w:t>
            </w:r>
          </w:p>
        </w:tc>
        <w:tc>
          <w:tcPr>
            <w:tcW w:w="1960" w:type="dxa"/>
          </w:tcPr>
          <w:p w:rsidR="000F4E1E" w:rsidRPr="00DA5D9F" w:rsidRDefault="000F4E1E" w:rsidP="00565A71">
            <w:pPr>
              <w:pStyle w:val="normal0"/>
              <w:spacing w:line="276" w:lineRule="auto"/>
              <w:jc w:val="center"/>
              <w:rPr>
                <w:sz w:val="22"/>
                <w:szCs w:val="22"/>
              </w:rPr>
            </w:pPr>
            <w:r w:rsidRPr="00DA5D9F">
              <w:rPr>
                <w:color w:val="000000"/>
                <w:sz w:val="22"/>
                <w:szCs w:val="22"/>
              </w:rPr>
              <w:t>82.6</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78.93</w:t>
            </w:r>
          </w:p>
        </w:tc>
      </w:tr>
      <w:tr w:rsidR="000F4E1E" w:rsidRPr="00DA5D9F" w:rsidTr="001F6701">
        <w:trPr>
          <w:cantSplit/>
          <w:trHeight w:val="305"/>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2014-15</w:t>
            </w:r>
          </w:p>
        </w:tc>
        <w:tc>
          <w:tcPr>
            <w:tcW w:w="2423" w:type="dxa"/>
          </w:tcPr>
          <w:p w:rsidR="000F4E1E" w:rsidRPr="00DA5D9F" w:rsidRDefault="000F4E1E" w:rsidP="00565A71">
            <w:pPr>
              <w:pStyle w:val="normal0"/>
              <w:spacing w:line="276" w:lineRule="auto"/>
              <w:jc w:val="center"/>
              <w:rPr>
                <w:sz w:val="22"/>
                <w:szCs w:val="22"/>
              </w:rPr>
            </w:pPr>
            <w:r w:rsidRPr="00DA5D9F">
              <w:rPr>
                <w:color w:val="000000"/>
                <w:sz w:val="22"/>
                <w:szCs w:val="22"/>
              </w:rPr>
              <w:t>76.12</w:t>
            </w:r>
          </w:p>
        </w:tc>
        <w:tc>
          <w:tcPr>
            <w:tcW w:w="1959" w:type="dxa"/>
          </w:tcPr>
          <w:p w:rsidR="000F4E1E" w:rsidRPr="00DA5D9F" w:rsidRDefault="000F4E1E" w:rsidP="00565A71">
            <w:pPr>
              <w:pStyle w:val="normal0"/>
              <w:spacing w:line="276" w:lineRule="auto"/>
              <w:jc w:val="center"/>
              <w:rPr>
                <w:sz w:val="22"/>
                <w:szCs w:val="22"/>
              </w:rPr>
            </w:pPr>
            <w:r w:rsidRPr="00DA5D9F">
              <w:rPr>
                <w:color w:val="000000"/>
                <w:sz w:val="22"/>
                <w:szCs w:val="22"/>
              </w:rPr>
              <w:t>86.36</w:t>
            </w:r>
          </w:p>
        </w:tc>
        <w:tc>
          <w:tcPr>
            <w:tcW w:w="1960" w:type="dxa"/>
          </w:tcPr>
          <w:p w:rsidR="000F4E1E" w:rsidRPr="00DA5D9F" w:rsidRDefault="000F4E1E" w:rsidP="00565A71">
            <w:pPr>
              <w:pStyle w:val="normal0"/>
              <w:spacing w:line="276" w:lineRule="auto"/>
              <w:jc w:val="center"/>
              <w:rPr>
                <w:sz w:val="22"/>
                <w:szCs w:val="22"/>
              </w:rPr>
            </w:pPr>
            <w:r w:rsidRPr="00DA5D9F">
              <w:rPr>
                <w:color w:val="000000"/>
                <w:sz w:val="22"/>
                <w:szCs w:val="22"/>
              </w:rPr>
              <w:t>80.85</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78.32</w:t>
            </w:r>
          </w:p>
        </w:tc>
      </w:tr>
      <w:tr w:rsidR="000F4E1E" w:rsidRPr="00DA5D9F" w:rsidTr="001F6701">
        <w:trPr>
          <w:cantSplit/>
          <w:trHeight w:val="26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2015-16</w:t>
            </w:r>
          </w:p>
        </w:tc>
        <w:tc>
          <w:tcPr>
            <w:tcW w:w="2423" w:type="dxa"/>
          </w:tcPr>
          <w:p w:rsidR="000F4E1E" w:rsidRPr="00DA5D9F" w:rsidRDefault="000F4E1E" w:rsidP="00565A71">
            <w:pPr>
              <w:pStyle w:val="normal0"/>
              <w:spacing w:line="276" w:lineRule="auto"/>
              <w:jc w:val="center"/>
              <w:rPr>
                <w:sz w:val="22"/>
                <w:szCs w:val="22"/>
              </w:rPr>
            </w:pPr>
            <w:r w:rsidRPr="00DA5D9F">
              <w:rPr>
                <w:color w:val="000000"/>
                <w:sz w:val="22"/>
                <w:szCs w:val="22"/>
              </w:rPr>
              <w:t>74.72</w:t>
            </w:r>
          </w:p>
        </w:tc>
        <w:tc>
          <w:tcPr>
            <w:tcW w:w="1959" w:type="dxa"/>
          </w:tcPr>
          <w:p w:rsidR="000F4E1E" w:rsidRPr="00DA5D9F" w:rsidRDefault="000F4E1E" w:rsidP="00565A71">
            <w:pPr>
              <w:pStyle w:val="normal0"/>
              <w:spacing w:line="276" w:lineRule="auto"/>
              <w:jc w:val="center"/>
              <w:rPr>
                <w:sz w:val="22"/>
                <w:szCs w:val="22"/>
              </w:rPr>
            </w:pPr>
            <w:r w:rsidRPr="00DA5D9F">
              <w:rPr>
                <w:color w:val="000000"/>
                <w:sz w:val="22"/>
                <w:szCs w:val="22"/>
              </w:rPr>
              <w:t>90.3</w:t>
            </w:r>
          </w:p>
        </w:tc>
        <w:tc>
          <w:tcPr>
            <w:tcW w:w="1960" w:type="dxa"/>
          </w:tcPr>
          <w:p w:rsidR="000F4E1E" w:rsidRPr="00DA5D9F" w:rsidRDefault="000F4E1E" w:rsidP="00565A71">
            <w:pPr>
              <w:pStyle w:val="normal0"/>
              <w:spacing w:line="276" w:lineRule="auto"/>
              <w:jc w:val="center"/>
              <w:rPr>
                <w:sz w:val="22"/>
                <w:szCs w:val="22"/>
              </w:rPr>
            </w:pPr>
            <w:r w:rsidRPr="00DA5D9F">
              <w:rPr>
                <w:color w:val="000000"/>
                <w:sz w:val="22"/>
                <w:szCs w:val="22"/>
              </w:rPr>
              <w:t>79.24</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78.24</w:t>
            </w:r>
          </w:p>
        </w:tc>
      </w:tr>
      <w:tr w:rsidR="000F4E1E" w:rsidRPr="00DA5D9F" w:rsidTr="001F6701">
        <w:trPr>
          <w:cantSplit/>
          <w:trHeight w:val="332"/>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2016-17</w:t>
            </w:r>
          </w:p>
        </w:tc>
        <w:tc>
          <w:tcPr>
            <w:tcW w:w="2423" w:type="dxa"/>
          </w:tcPr>
          <w:p w:rsidR="000F4E1E" w:rsidRPr="00DA5D9F" w:rsidRDefault="000F4E1E" w:rsidP="00565A71">
            <w:pPr>
              <w:pStyle w:val="normal0"/>
              <w:spacing w:line="276" w:lineRule="auto"/>
              <w:jc w:val="center"/>
              <w:rPr>
                <w:sz w:val="22"/>
                <w:szCs w:val="22"/>
              </w:rPr>
            </w:pPr>
            <w:r w:rsidRPr="00DA5D9F">
              <w:rPr>
                <w:color w:val="000000"/>
                <w:sz w:val="22"/>
                <w:szCs w:val="22"/>
              </w:rPr>
              <w:t>68.81</w:t>
            </w:r>
          </w:p>
        </w:tc>
        <w:tc>
          <w:tcPr>
            <w:tcW w:w="1959" w:type="dxa"/>
          </w:tcPr>
          <w:p w:rsidR="000F4E1E" w:rsidRPr="00DA5D9F" w:rsidRDefault="000F4E1E" w:rsidP="00565A71">
            <w:pPr>
              <w:pStyle w:val="normal0"/>
              <w:spacing w:line="276" w:lineRule="auto"/>
              <w:jc w:val="center"/>
              <w:rPr>
                <w:sz w:val="22"/>
                <w:szCs w:val="22"/>
              </w:rPr>
            </w:pPr>
            <w:r w:rsidRPr="00DA5D9F">
              <w:rPr>
                <w:color w:val="000000"/>
                <w:sz w:val="22"/>
                <w:szCs w:val="22"/>
              </w:rPr>
              <w:t>86.53</w:t>
            </w:r>
          </w:p>
        </w:tc>
        <w:tc>
          <w:tcPr>
            <w:tcW w:w="1960" w:type="dxa"/>
          </w:tcPr>
          <w:p w:rsidR="000F4E1E" w:rsidRPr="00DA5D9F" w:rsidRDefault="000F4E1E" w:rsidP="00565A71">
            <w:pPr>
              <w:pStyle w:val="normal0"/>
              <w:spacing w:line="276" w:lineRule="auto"/>
              <w:jc w:val="center"/>
              <w:rPr>
                <w:sz w:val="22"/>
                <w:szCs w:val="22"/>
              </w:rPr>
            </w:pPr>
            <w:r w:rsidRPr="00DA5D9F">
              <w:rPr>
                <w:color w:val="000000"/>
                <w:sz w:val="22"/>
                <w:szCs w:val="22"/>
              </w:rPr>
              <w:t>71.39</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73.04</w:t>
            </w:r>
          </w:p>
        </w:tc>
      </w:tr>
      <w:tr w:rsidR="000F4E1E" w:rsidRPr="00DA5D9F" w:rsidTr="001F6701">
        <w:trPr>
          <w:cantSplit/>
          <w:trHeight w:val="35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2017-18</w:t>
            </w:r>
          </w:p>
        </w:tc>
        <w:tc>
          <w:tcPr>
            <w:tcW w:w="2423" w:type="dxa"/>
          </w:tcPr>
          <w:p w:rsidR="000F4E1E" w:rsidRPr="00DA5D9F" w:rsidRDefault="000F4E1E" w:rsidP="00565A71">
            <w:pPr>
              <w:pStyle w:val="normal0"/>
              <w:spacing w:line="276" w:lineRule="auto"/>
              <w:jc w:val="center"/>
              <w:rPr>
                <w:sz w:val="22"/>
                <w:szCs w:val="22"/>
              </w:rPr>
            </w:pPr>
            <w:r w:rsidRPr="00DA5D9F">
              <w:rPr>
                <w:color w:val="000000"/>
                <w:sz w:val="22"/>
                <w:szCs w:val="22"/>
              </w:rPr>
              <w:t>68.96</w:t>
            </w:r>
          </w:p>
        </w:tc>
        <w:tc>
          <w:tcPr>
            <w:tcW w:w="1959" w:type="dxa"/>
          </w:tcPr>
          <w:p w:rsidR="000F4E1E" w:rsidRPr="00DA5D9F" w:rsidRDefault="000F4E1E" w:rsidP="00565A71">
            <w:pPr>
              <w:pStyle w:val="normal0"/>
              <w:spacing w:line="276" w:lineRule="auto"/>
              <w:jc w:val="center"/>
              <w:rPr>
                <w:sz w:val="22"/>
                <w:szCs w:val="22"/>
              </w:rPr>
            </w:pPr>
            <w:r w:rsidRPr="00DA5D9F">
              <w:rPr>
                <w:color w:val="000000"/>
                <w:sz w:val="22"/>
                <w:szCs w:val="22"/>
              </w:rPr>
              <w:t>88.36</w:t>
            </w:r>
          </w:p>
        </w:tc>
        <w:tc>
          <w:tcPr>
            <w:tcW w:w="1960" w:type="dxa"/>
          </w:tcPr>
          <w:p w:rsidR="000F4E1E" w:rsidRPr="00DA5D9F" w:rsidRDefault="000F4E1E" w:rsidP="00565A71">
            <w:pPr>
              <w:pStyle w:val="normal0"/>
              <w:spacing w:line="276" w:lineRule="auto"/>
              <w:jc w:val="center"/>
              <w:rPr>
                <w:sz w:val="22"/>
                <w:szCs w:val="22"/>
              </w:rPr>
            </w:pPr>
            <w:r w:rsidRPr="00DA5D9F">
              <w:rPr>
                <w:color w:val="000000"/>
                <w:sz w:val="22"/>
                <w:szCs w:val="22"/>
              </w:rPr>
              <w:t>70.93</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74.16</w:t>
            </w:r>
          </w:p>
        </w:tc>
      </w:tr>
      <w:tr w:rsidR="000F4E1E" w:rsidRPr="00DA5D9F" w:rsidTr="001F6701">
        <w:trPr>
          <w:cantSplit/>
          <w:trHeight w:val="350"/>
          <w:tblHeader/>
        </w:trPr>
        <w:tc>
          <w:tcPr>
            <w:tcW w:w="1481"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242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69.44</w:t>
            </w:r>
          </w:p>
        </w:tc>
        <w:tc>
          <w:tcPr>
            <w:tcW w:w="1959"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88.26</w:t>
            </w:r>
          </w:p>
        </w:tc>
        <w:tc>
          <w:tcPr>
            <w:tcW w:w="1960"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68.26</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75.09</w:t>
            </w:r>
          </w:p>
        </w:tc>
      </w:tr>
      <w:tr w:rsidR="000F4E1E" w:rsidRPr="00DA5D9F" w:rsidTr="001F6701">
        <w:trPr>
          <w:cantSplit/>
          <w:trHeight w:val="242"/>
          <w:tblHeader/>
        </w:trPr>
        <w:tc>
          <w:tcPr>
            <w:tcW w:w="1481"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42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68.06</w:t>
            </w:r>
          </w:p>
        </w:tc>
        <w:tc>
          <w:tcPr>
            <w:tcW w:w="1959"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87.16</w:t>
            </w:r>
          </w:p>
        </w:tc>
        <w:tc>
          <w:tcPr>
            <w:tcW w:w="1960"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62.56</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73.72</w:t>
            </w:r>
          </w:p>
        </w:tc>
      </w:tr>
      <w:tr w:rsidR="000F4E1E" w:rsidRPr="00DA5D9F" w:rsidTr="001F6701">
        <w:trPr>
          <w:cantSplit/>
          <w:trHeight w:val="323"/>
          <w:tblHeader/>
        </w:trPr>
        <w:tc>
          <w:tcPr>
            <w:tcW w:w="1481"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42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64.11</w:t>
            </w:r>
          </w:p>
        </w:tc>
        <w:tc>
          <w:tcPr>
            <w:tcW w:w="1959"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82.02</w:t>
            </w:r>
          </w:p>
        </w:tc>
        <w:tc>
          <w:tcPr>
            <w:tcW w:w="1960"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54.21</w:t>
            </w:r>
          </w:p>
        </w:tc>
        <w:tc>
          <w:tcPr>
            <w:tcW w:w="1945" w:type="dxa"/>
          </w:tcPr>
          <w:p w:rsidR="000F4E1E" w:rsidRPr="00DA5D9F" w:rsidRDefault="000F4E1E" w:rsidP="00565A71">
            <w:pPr>
              <w:pStyle w:val="normal0"/>
              <w:spacing w:line="276" w:lineRule="auto"/>
              <w:jc w:val="center"/>
              <w:rPr>
                <w:sz w:val="22"/>
                <w:szCs w:val="22"/>
              </w:rPr>
            </w:pPr>
            <w:r w:rsidRPr="00DA5D9F">
              <w:rPr>
                <w:color w:val="000000"/>
                <w:sz w:val="22"/>
                <w:szCs w:val="22"/>
              </w:rPr>
              <w:t>79.14</w:t>
            </w:r>
          </w:p>
        </w:tc>
      </w:tr>
      <w:tr w:rsidR="000F4E1E" w:rsidRPr="00DA5D9F" w:rsidTr="001F6701">
        <w:trPr>
          <w:cantSplit/>
          <w:trHeight w:val="260"/>
          <w:tblHeader/>
        </w:trPr>
        <w:tc>
          <w:tcPr>
            <w:tcW w:w="14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42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65.72</w:t>
            </w:r>
          </w:p>
        </w:tc>
        <w:tc>
          <w:tcPr>
            <w:tcW w:w="195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83.50</w:t>
            </w:r>
          </w:p>
        </w:tc>
        <w:tc>
          <w:tcPr>
            <w:tcW w:w="196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55.06</w:t>
            </w:r>
          </w:p>
        </w:tc>
        <w:tc>
          <w:tcPr>
            <w:tcW w:w="1945" w:type="dxa"/>
            <w:vAlign w:val="bottom"/>
          </w:tcPr>
          <w:p w:rsidR="000F4E1E" w:rsidRPr="00DA5D9F" w:rsidRDefault="000F4E1E" w:rsidP="00565A71">
            <w:pPr>
              <w:pStyle w:val="normal0"/>
              <w:spacing w:line="276" w:lineRule="auto"/>
              <w:jc w:val="center"/>
              <w:rPr>
                <w:sz w:val="22"/>
                <w:szCs w:val="22"/>
              </w:rPr>
            </w:pPr>
            <w:r w:rsidRPr="00DA5D9F">
              <w:rPr>
                <w:sz w:val="22"/>
                <w:szCs w:val="22"/>
              </w:rPr>
              <w:t>71.05</w:t>
            </w:r>
          </w:p>
        </w:tc>
      </w:tr>
      <w:tr w:rsidR="000F4E1E" w:rsidRPr="00DA5D9F" w:rsidTr="001F6701">
        <w:trPr>
          <w:cantSplit/>
          <w:trHeight w:val="242"/>
          <w:tblHeader/>
        </w:trPr>
        <w:tc>
          <w:tcPr>
            <w:tcW w:w="148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CGR</w:t>
            </w:r>
          </w:p>
        </w:tc>
        <w:tc>
          <w:tcPr>
            <w:tcW w:w="2423"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-0.91</w:t>
            </w:r>
          </w:p>
        </w:tc>
        <w:tc>
          <w:tcPr>
            <w:tcW w:w="195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0.89</w:t>
            </w:r>
          </w:p>
        </w:tc>
        <w:tc>
          <w:tcPr>
            <w:tcW w:w="19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-0.93</w:t>
            </w:r>
          </w:p>
        </w:tc>
        <w:tc>
          <w:tcPr>
            <w:tcW w:w="1945" w:type="dxa"/>
            <w:vAlign w:val="bottom"/>
          </w:tcPr>
          <w:p w:rsidR="000F4E1E" w:rsidRPr="00DA5D9F" w:rsidRDefault="000F4E1E" w:rsidP="00565A71">
            <w:pPr>
              <w:pStyle w:val="normal0"/>
              <w:spacing w:line="276" w:lineRule="auto"/>
              <w:jc w:val="center"/>
              <w:rPr>
                <w:b/>
                <w:sz w:val="22"/>
                <w:szCs w:val="22"/>
              </w:rPr>
            </w:pPr>
            <w:r w:rsidRPr="00DA5D9F">
              <w:rPr>
                <w:b/>
                <w:sz w:val="22"/>
                <w:szCs w:val="22"/>
              </w:rPr>
              <w:t>-0.91</w:t>
            </w:r>
          </w:p>
        </w:tc>
      </w:tr>
    </w:tbl>
    <w:p w:rsidR="000F4E1E" w:rsidRPr="00DA5D9F" w:rsidRDefault="000F4E1E" w:rsidP="00565A71">
      <w:pPr>
        <w:pStyle w:val="normal0"/>
        <w:spacing w:line="276" w:lineRule="auto"/>
        <w:jc w:val="both"/>
        <w:rPr>
          <w:sz w:val="22"/>
          <w:szCs w:val="22"/>
        </w:rPr>
      </w:pPr>
      <w:r w:rsidRPr="00DA5D9F">
        <w:rPr>
          <w:sz w:val="22"/>
          <w:szCs w:val="22"/>
        </w:rPr>
        <w:t>Source: Report on Trends and progress of banking in India.</w:t>
      </w:r>
    </w:p>
    <w:p w:rsidR="000F4E1E" w:rsidRPr="00DA5D9F" w:rsidRDefault="001F6701" w:rsidP="00565A71">
      <w:pPr>
        <w:pStyle w:val="normal0"/>
        <w:spacing w:line="276" w:lineRule="auto"/>
        <w:jc w:val="both"/>
        <w:rPr>
          <w:b/>
          <w:sz w:val="22"/>
          <w:szCs w:val="22"/>
        </w:rPr>
      </w:pPr>
      <w:bookmarkStart w:id="0" w:name="_2et92p0" w:colFirst="0" w:colLast="0"/>
      <w:bookmarkEnd w:id="0"/>
      <w:r w:rsidRPr="00DA5D9F">
        <w:rPr>
          <w:b/>
          <w:sz w:val="22"/>
          <w:szCs w:val="22"/>
        </w:rPr>
        <w:t>Capital Adequacy Ratio of Bank Groups</w:t>
      </w:r>
    </w:p>
    <w:p w:rsidR="000F4E1E" w:rsidRPr="00DA5D9F" w:rsidRDefault="000F4E1E" w:rsidP="00565A71">
      <w:pPr>
        <w:pStyle w:val="normal0"/>
        <w:spacing w:line="276" w:lineRule="auto"/>
        <w:jc w:val="both"/>
        <w:rPr>
          <w:sz w:val="22"/>
          <w:szCs w:val="22"/>
        </w:rPr>
      </w:pPr>
      <w:r w:rsidRPr="00DA5D9F">
        <w:rPr>
          <w:b/>
          <w:sz w:val="22"/>
          <w:szCs w:val="22"/>
        </w:rPr>
        <w:tab/>
      </w:r>
      <w:r w:rsidR="001F6701" w:rsidRPr="00DA5D9F">
        <w:rPr>
          <w:sz w:val="22"/>
          <w:szCs w:val="22"/>
        </w:rPr>
        <w:t xml:space="preserve">The capital adequacy ratio of bank groups of SCBs has an increasing trend from 13.9 % on 2012-13 to 16.8 % on 2021-22, In case of Public Sector Bank groups also this shows an increasing trend from 12.24percent on 2012-13 to 14.7percent on 2021-22. This ratio shows an increase in Private Sector Bank groups from 16.8 percent to 18.8 percent and in Foreign Bank groups from 11.05 percent to19.8 percent during the study period. The </w:t>
      </w:r>
      <w:r w:rsidRPr="00DA5D9F">
        <w:rPr>
          <w:sz w:val="22"/>
          <w:szCs w:val="22"/>
        </w:rPr>
        <w:t>bank-wise Capital Adequacy ratio of SCBs and respective Compound</w:t>
      </w:r>
      <w:r w:rsidR="001F6701" w:rsidRPr="00DA5D9F">
        <w:rPr>
          <w:sz w:val="22"/>
          <w:szCs w:val="22"/>
        </w:rPr>
        <w:t xml:space="preserve"> </w:t>
      </w:r>
      <w:r w:rsidRPr="00DA5D9F">
        <w:rPr>
          <w:sz w:val="22"/>
          <w:szCs w:val="22"/>
        </w:rPr>
        <w:t>Growth Rate are presented in Table 4.2</w:t>
      </w:r>
    </w:p>
    <w:p w:rsidR="000F4E1E" w:rsidRPr="00DA5D9F" w:rsidRDefault="000F4E1E" w:rsidP="00565A71">
      <w:pPr>
        <w:pStyle w:val="normal0"/>
        <w:spacing w:line="276" w:lineRule="auto"/>
        <w:jc w:val="center"/>
        <w:rPr>
          <w:b/>
          <w:sz w:val="22"/>
          <w:szCs w:val="22"/>
        </w:rPr>
      </w:pPr>
      <w:r w:rsidRPr="00DA5D9F">
        <w:rPr>
          <w:b/>
          <w:sz w:val="22"/>
          <w:szCs w:val="22"/>
        </w:rPr>
        <w:t>TABLE 4.2</w:t>
      </w:r>
    </w:p>
    <w:p w:rsidR="000F4E1E" w:rsidRPr="00DA5D9F" w:rsidRDefault="000F4E1E" w:rsidP="00565A71">
      <w:pPr>
        <w:pStyle w:val="normal0"/>
        <w:spacing w:line="276" w:lineRule="auto"/>
        <w:jc w:val="center"/>
        <w:rPr>
          <w:b/>
          <w:sz w:val="22"/>
          <w:szCs w:val="22"/>
        </w:rPr>
      </w:pPr>
      <w:r w:rsidRPr="00DA5D9F">
        <w:rPr>
          <w:b/>
          <w:sz w:val="22"/>
          <w:szCs w:val="22"/>
        </w:rPr>
        <w:t>CAPITAL ADEQUACY RATIO OF BANK GROUPS</w:t>
      </w:r>
    </w:p>
    <w:p w:rsidR="000F4E1E" w:rsidRPr="00DA5D9F" w:rsidRDefault="000F4E1E" w:rsidP="00565A71">
      <w:pPr>
        <w:pStyle w:val="normal0"/>
        <w:spacing w:line="276" w:lineRule="auto"/>
        <w:jc w:val="right"/>
        <w:rPr>
          <w:b/>
          <w:sz w:val="22"/>
          <w:szCs w:val="22"/>
        </w:rPr>
      </w:pPr>
      <w:r w:rsidRPr="00DA5D9F">
        <w:rPr>
          <w:b/>
          <w:sz w:val="22"/>
          <w:szCs w:val="22"/>
        </w:rPr>
        <w:t>(</w:t>
      </w:r>
      <w:r w:rsidRPr="00DA5D9F">
        <w:rPr>
          <w:sz w:val="22"/>
          <w:szCs w:val="22"/>
        </w:rPr>
        <w:t>In percentage)</w:t>
      </w:r>
    </w:p>
    <w:tbl>
      <w:tblPr>
        <w:tblW w:w="9698"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250"/>
        <w:gridCol w:w="2160"/>
        <w:gridCol w:w="1922"/>
        <w:gridCol w:w="1885"/>
      </w:tblGrid>
      <w:tr w:rsidR="000F4E1E" w:rsidRPr="00DA5D9F" w:rsidTr="001F6701">
        <w:trPr>
          <w:cantSplit/>
          <w:trHeight w:val="790"/>
          <w:tblHeader/>
        </w:trPr>
        <w:tc>
          <w:tcPr>
            <w:tcW w:w="1481"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lastRenderedPageBreak/>
              <w:t>YEAR</w:t>
            </w:r>
          </w:p>
        </w:tc>
        <w:tc>
          <w:tcPr>
            <w:tcW w:w="2250" w:type="dxa"/>
            <w:vAlign w:val="bottom"/>
          </w:tcPr>
          <w:p w:rsidR="000F4E1E" w:rsidRPr="00DA5D9F" w:rsidRDefault="001F6701" w:rsidP="00565A71">
            <w:pPr>
              <w:pStyle w:val="normal0"/>
              <w:spacing w:line="276" w:lineRule="auto"/>
              <w:jc w:val="center"/>
              <w:rPr>
                <w:b/>
                <w:sz w:val="22"/>
                <w:szCs w:val="22"/>
              </w:rPr>
            </w:pPr>
            <w:r w:rsidRPr="00DA5D9F">
              <w:rPr>
                <w:b/>
                <w:color w:val="000000"/>
                <w:sz w:val="22"/>
                <w:szCs w:val="22"/>
              </w:rPr>
              <w:t xml:space="preserve">PUBLIC </w:t>
            </w:r>
            <w:r w:rsidR="000F4E1E" w:rsidRPr="00DA5D9F">
              <w:rPr>
                <w:b/>
                <w:color w:val="000000"/>
                <w:sz w:val="22"/>
                <w:szCs w:val="22"/>
              </w:rPr>
              <w:t>SECTORBANKS</w:t>
            </w:r>
          </w:p>
        </w:tc>
        <w:tc>
          <w:tcPr>
            <w:tcW w:w="2160"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PRIVATE SECTOR BANKS</w:t>
            </w:r>
          </w:p>
        </w:tc>
        <w:tc>
          <w:tcPr>
            <w:tcW w:w="1922"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FOREGIN BANKS</w:t>
            </w:r>
          </w:p>
        </w:tc>
        <w:tc>
          <w:tcPr>
            <w:tcW w:w="1885"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ALL SCBs</w:t>
            </w:r>
          </w:p>
        </w:tc>
      </w:tr>
      <w:tr w:rsidR="000F4E1E" w:rsidRPr="00DA5D9F" w:rsidTr="001F6701">
        <w:trPr>
          <w:cantSplit/>
          <w:trHeight w:val="305"/>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2012-13</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12.34</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16.8</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11.05</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13.9</w:t>
            </w:r>
          </w:p>
        </w:tc>
      </w:tr>
      <w:tr w:rsidR="000F4E1E" w:rsidRPr="00DA5D9F" w:rsidTr="001F6701">
        <w:trPr>
          <w:cantSplit/>
          <w:trHeight w:val="350"/>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2013-14</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13.1</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12.41</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w:t>
            </w:r>
          </w:p>
        </w:tc>
      </w:tr>
      <w:tr w:rsidR="000F4E1E" w:rsidRPr="00DA5D9F" w:rsidTr="001F6701">
        <w:trPr>
          <w:cantSplit/>
          <w:trHeight w:val="350"/>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2014-15</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13.1</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12.41</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w:t>
            </w:r>
          </w:p>
        </w:tc>
      </w:tr>
      <w:tr w:rsidR="000F4E1E" w:rsidRPr="00DA5D9F" w:rsidTr="001F6701">
        <w:trPr>
          <w:cantSplit/>
          <w:trHeight w:val="260"/>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2015-16</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11.8</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15.7</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17.1</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13.3</w:t>
            </w:r>
          </w:p>
        </w:tc>
      </w:tr>
      <w:tr w:rsidR="000F4E1E" w:rsidRPr="00DA5D9F" w:rsidTr="001F6701">
        <w:trPr>
          <w:cantSplit/>
          <w:trHeight w:val="332"/>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2016-17</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12.1</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15.5</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16.4</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13.7</w:t>
            </w:r>
          </w:p>
        </w:tc>
      </w:tr>
      <w:tr w:rsidR="000F4E1E" w:rsidRPr="00DA5D9F" w:rsidTr="001F6701">
        <w:trPr>
          <w:cantSplit/>
          <w:trHeight w:val="278"/>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2017-18</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11.7</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16.4</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19.1</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13.8</w:t>
            </w:r>
          </w:p>
        </w:tc>
      </w:tr>
      <w:tr w:rsidR="000F4E1E" w:rsidRPr="00DA5D9F" w:rsidTr="001F6701">
        <w:trPr>
          <w:cantSplit/>
          <w:trHeight w:val="332"/>
          <w:tblHeader/>
        </w:trPr>
        <w:tc>
          <w:tcPr>
            <w:tcW w:w="148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2018-19</w:t>
            </w:r>
          </w:p>
        </w:tc>
        <w:tc>
          <w:tcPr>
            <w:tcW w:w="225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16.1</w:t>
            </w:r>
          </w:p>
        </w:tc>
        <w:tc>
          <w:tcPr>
            <w:tcW w:w="192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19.4</w:t>
            </w:r>
          </w:p>
        </w:tc>
        <w:tc>
          <w:tcPr>
            <w:tcW w:w="1885"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14.3</w:t>
            </w:r>
          </w:p>
        </w:tc>
      </w:tr>
      <w:tr w:rsidR="000F4E1E" w:rsidRPr="00DA5D9F" w:rsidTr="001F6701">
        <w:trPr>
          <w:cantSplit/>
          <w:trHeight w:val="278"/>
          <w:tblHeader/>
        </w:trPr>
        <w:tc>
          <w:tcPr>
            <w:tcW w:w="14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25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12.9</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16.5</w:t>
            </w:r>
          </w:p>
        </w:tc>
        <w:tc>
          <w:tcPr>
            <w:tcW w:w="192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17.7</w:t>
            </w:r>
          </w:p>
        </w:tc>
        <w:tc>
          <w:tcPr>
            <w:tcW w:w="188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14.8</w:t>
            </w:r>
          </w:p>
        </w:tc>
      </w:tr>
      <w:tr w:rsidR="000F4E1E" w:rsidRPr="00DA5D9F" w:rsidTr="001F6701">
        <w:trPr>
          <w:cantSplit/>
          <w:trHeight w:val="332"/>
          <w:tblHeader/>
        </w:trPr>
        <w:tc>
          <w:tcPr>
            <w:tcW w:w="14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25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18.4</w:t>
            </w:r>
          </w:p>
        </w:tc>
        <w:tc>
          <w:tcPr>
            <w:tcW w:w="192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19.5</w:t>
            </w:r>
          </w:p>
        </w:tc>
        <w:tc>
          <w:tcPr>
            <w:tcW w:w="188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16.3</w:t>
            </w:r>
          </w:p>
        </w:tc>
      </w:tr>
      <w:tr w:rsidR="000F4E1E" w:rsidRPr="00DA5D9F" w:rsidTr="001F6701">
        <w:trPr>
          <w:cantSplit/>
          <w:trHeight w:val="278"/>
          <w:tblHeader/>
        </w:trPr>
        <w:tc>
          <w:tcPr>
            <w:tcW w:w="14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25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14.7</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18.8</w:t>
            </w:r>
          </w:p>
        </w:tc>
        <w:tc>
          <w:tcPr>
            <w:tcW w:w="192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19.8</w:t>
            </w:r>
          </w:p>
        </w:tc>
        <w:tc>
          <w:tcPr>
            <w:tcW w:w="188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16.8</w:t>
            </w:r>
          </w:p>
        </w:tc>
      </w:tr>
      <w:tr w:rsidR="000F4E1E" w:rsidRPr="00DA5D9F" w:rsidTr="001F6701">
        <w:trPr>
          <w:cantSplit/>
          <w:trHeight w:val="242"/>
          <w:tblHeader/>
        </w:trPr>
        <w:tc>
          <w:tcPr>
            <w:tcW w:w="148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CGR</w:t>
            </w:r>
          </w:p>
        </w:tc>
        <w:tc>
          <w:tcPr>
            <w:tcW w:w="225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0.018</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0.011</w:t>
            </w:r>
          </w:p>
        </w:tc>
        <w:tc>
          <w:tcPr>
            <w:tcW w:w="1922"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0.060</w:t>
            </w:r>
          </w:p>
        </w:tc>
        <w:tc>
          <w:tcPr>
            <w:tcW w:w="1885"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0.019</w:t>
            </w:r>
          </w:p>
        </w:tc>
      </w:tr>
    </w:tbl>
    <w:p w:rsidR="000F4E1E" w:rsidRPr="00DA5D9F" w:rsidRDefault="000F4E1E" w:rsidP="00565A71">
      <w:pPr>
        <w:pStyle w:val="normal0"/>
        <w:spacing w:line="276" w:lineRule="auto"/>
        <w:jc w:val="both"/>
        <w:rPr>
          <w:sz w:val="22"/>
          <w:szCs w:val="22"/>
        </w:rPr>
      </w:pPr>
      <w:r w:rsidRPr="00DA5D9F">
        <w:rPr>
          <w:sz w:val="22"/>
          <w:szCs w:val="22"/>
        </w:rPr>
        <w:t>Source: Report on trends and progress of Banking in India</w:t>
      </w:r>
    </w:p>
    <w:p w:rsidR="000F4E1E" w:rsidRPr="00DA5D9F" w:rsidRDefault="001F6701" w:rsidP="00565A71">
      <w:pPr>
        <w:pStyle w:val="normal0"/>
        <w:tabs>
          <w:tab w:val="center" w:pos="4680"/>
        </w:tabs>
        <w:spacing w:line="276" w:lineRule="auto"/>
        <w:jc w:val="both"/>
        <w:rPr>
          <w:b/>
          <w:sz w:val="22"/>
          <w:szCs w:val="22"/>
        </w:rPr>
      </w:pPr>
      <w:r w:rsidRPr="00DA5D9F">
        <w:rPr>
          <w:b/>
          <w:sz w:val="22"/>
          <w:szCs w:val="22"/>
        </w:rPr>
        <w:t xml:space="preserve">Gross Advances in Bank Groups </w:t>
      </w:r>
    </w:p>
    <w:p w:rsidR="001F6701" w:rsidRPr="00DA5D9F" w:rsidRDefault="000F4E1E" w:rsidP="00565A71">
      <w:pPr>
        <w:pStyle w:val="normal0"/>
        <w:tabs>
          <w:tab w:val="center" w:pos="4680"/>
        </w:tabs>
        <w:spacing w:line="276" w:lineRule="auto"/>
        <w:jc w:val="both"/>
        <w:rPr>
          <w:b/>
          <w:sz w:val="22"/>
          <w:szCs w:val="22"/>
        </w:rPr>
      </w:pPr>
      <w:r w:rsidRPr="00DA5D9F">
        <w:rPr>
          <w:sz w:val="22"/>
          <w:szCs w:val="22"/>
        </w:rPr>
        <w:tab/>
      </w:r>
      <w:r w:rsidR="001F6701" w:rsidRPr="00DA5D9F">
        <w:rPr>
          <w:sz w:val="22"/>
          <w:szCs w:val="22"/>
        </w:rPr>
        <w:t xml:space="preserve">        The total amount of Gross advances of bank groups in India has amounted to Rs. 90877930 crores, of which the Public Sector banks groups to the top the list by providing advances to tune of Rs. 51814275 crores which around 57.01% of the total advances of banks in India followed by private sector bank groups Rs. 27100643 crores (29.82%), Foreign bank groups with Rs. 3719657 crores (12.8%).  The bank-wise Gross Advances of</w:t>
      </w:r>
      <w:r w:rsidR="00F15AE1" w:rsidRPr="00DA5D9F">
        <w:rPr>
          <w:sz w:val="22"/>
          <w:szCs w:val="22"/>
        </w:rPr>
        <w:t xml:space="preserve"> SCBs are presented in Table 4.3</w:t>
      </w:r>
    </w:p>
    <w:p w:rsidR="000F4E1E" w:rsidRPr="00DA5D9F" w:rsidRDefault="000F4E1E" w:rsidP="00565A71">
      <w:pPr>
        <w:pStyle w:val="normal0"/>
        <w:spacing w:line="276" w:lineRule="auto"/>
        <w:jc w:val="center"/>
        <w:rPr>
          <w:b/>
          <w:sz w:val="22"/>
          <w:szCs w:val="22"/>
        </w:rPr>
      </w:pPr>
      <w:r w:rsidRPr="00DA5D9F">
        <w:rPr>
          <w:b/>
          <w:sz w:val="22"/>
          <w:szCs w:val="22"/>
        </w:rPr>
        <w:t>TABLE – 4.3</w:t>
      </w:r>
    </w:p>
    <w:p w:rsidR="000F4E1E" w:rsidRPr="00DA5D9F" w:rsidRDefault="000F4E1E" w:rsidP="00565A71">
      <w:pPr>
        <w:pStyle w:val="normal0"/>
        <w:spacing w:line="276" w:lineRule="auto"/>
        <w:jc w:val="center"/>
        <w:rPr>
          <w:b/>
          <w:sz w:val="22"/>
          <w:szCs w:val="22"/>
        </w:rPr>
      </w:pPr>
      <w:r w:rsidRPr="00DA5D9F">
        <w:rPr>
          <w:b/>
          <w:sz w:val="22"/>
          <w:szCs w:val="22"/>
        </w:rPr>
        <w:t>GROSS ADVANCES OF BANKS</w:t>
      </w:r>
    </w:p>
    <w:p w:rsidR="000F4E1E" w:rsidRPr="00DA5D9F" w:rsidRDefault="000F4E1E" w:rsidP="00565A71">
      <w:pPr>
        <w:pStyle w:val="normal0"/>
        <w:tabs>
          <w:tab w:val="center" w:pos="4680"/>
        </w:tabs>
        <w:spacing w:line="276" w:lineRule="auto"/>
        <w:jc w:val="center"/>
        <w:rPr>
          <w:sz w:val="22"/>
          <w:szCs w:val="22"/>
        </w:rPr>
      </w:pPr>
      <w:r w:rsidRPr="00DA5D9F">
        <w:rPr>
          <w:sz w:val="22"/>
          <w:szCs w:val="22"/>
        </w:rPr>
        <w:tab/>
      </w:r>
      <w:r w:rsidRPr="00DA5D9F">
        <w:rPr>
          <w:sz w:val="22"/>
          <w:szCs w:val="22"/>
        </w:rPr>
        <w:tab/>
      </w:r>
      <w:r w:rsidRPr="00DA5D9F">
        <w:rPr>
          <w:sz w:val="22"/>
          <w:szCs w:val="22"/>
        </w:rPr>
        <w:tab/>
      </w:r>
      <w:r w:rsidRPr="00DA5D9F">
        <w:rPr>
          <w:sz w:val="22"/>
          <w:szCs w:val="22"/>
        </w:rPr>
        <w:tab/>
      </w:r>
      <w:r w:rsidRPr="00DA5D9F">
        <w:rPr>
          <w:sz w:val="22"/>
          <w:szCs w:val="22"/>
        </w:rPr>
        <w:tab/>
      </w:r>
      <w:r w:rsidRPr="00DA5D9F">
        <w:rPr>
          <w:sz w:val="22"/>
          <w:szCs w:val="22"/>
        </w:rPr>
        <w:tab/>
        <w:t>(In crores)</w:t>
      </w:r>
    </w:p>
    <w:tbl>
      <w:tblPr>
        <w:tblW w:w="10475"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178"/>
        <w:gridCol w:w="1890"/>
        <w:gridCol w:w="2473"/>
        <w:gridCol w:w="19"/>
        <w:gridCol w:w="1781"/>
        <w:gridCol w:w="2134"/>
      </w:tblGrid>
      <w:tr w:rsidR="000F4E1E" w:rsidRPr="00DA5D9F" w:rsidTr="00DF27E0">
        <w:trPr>
          <w:cantSplit/>
          <w:trHeight w:val="510"/>
          <w:tblHeader/>
        </w:trPr>
        <w:tc>
          <w:tcPr>
            <w:tcW w:w="2178" w:type="dxa"/>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YEAR</w:t>
            </w:r>
          </w:p>
        </w:tc>
        <w:tc>
          <w:tcPr>
            <w:tcW w:w="1890"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PUBLIC SECTOR BANK</w:t>
            </w:r>
          </w:p>
        </w:tc>
        <w:tc>
          <w:tcPr>
            <w:tcW w:w="2473"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PRIVATE SECTOR BANKS</w:t>
            </w:r>
          </w:p>
        </w:tc>
        <w:tc>
          <w:tcPr>
            <w:tcW w:w="1800" w:type="dxa"/>
            <w:gridSpan w:val="2"/>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FOREIGN BANKS</w:t>
            </w:r>
          </w:p>
        </w:tc>
        <w:tc>
          <w:tcPr>
            <w:tcW w:w="2134"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SCBS</w:t>
            </w:r>
          </w:p>
        </w:tc>
      </w:tr>
      <w:tr w:rsidR="000F4E1E" w:rsidRPr="00DA5D9F" w:rsidTr="00DF27E0">
        <w:trPr>
          <w:cantSplit/>
          <w:trHeight w:val="278"/>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3141286</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1151246</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260405</w:t>
            </w:r>
          </w:p>
        </w:tc>
        <w:tc>
          <w:tcPr>
            <w:tcW w:w="2134" w:type="dxa"/>
            <w:tcBorders>
              <w:top w:val="single" w:sz="4" w:space="0" w:color="000000"/>
            </w:tcBorders>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5171820</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3607182</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1360256</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299575</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6875748</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3897549</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1607340</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336609</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7560666</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3911176</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1972659</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376504</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8171114</w:t>
            </w:r>
          </w:p>
        </w:tc>
      </w:tr>
      <w:tr w:rsidR="000F4E1E" w:rsidRPr="00DA5D9F" w:rsidTr="00DF27E0">
        <w:trPr>
          <w:cantSplit/>
          <w:trHeight w:val="287"/>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3914442</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2266721</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343611</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8476705</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6141698</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2725891</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363305</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9266260</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6382461</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3442347</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406881</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10287085</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6615112</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3776231</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436065</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10918918</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6770363</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4097040</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420617</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11399608</w:t>
            </w:r>
          </w:p>
        </w:tc>
      </w:tr>
      <w:tr w:rsidR="000F4E1E" w:rsidRPr="00DA5D9F" w:rsidTr="00DF27E0">
        <w:trPr>
          <w:cantSplit/>
          <w:trHeight w:val="386"/>
          <w:tblHeader/>
        </w:trPr>
        <w:tc>
          <w:tcPr>
            <w:tcW w:w="2178"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1890"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7433006</w:t>
            </w:r>
          </w:p>
        </w:tc>
        <w:tc>
          <w:tcPr>
            <w:tcW w:w="2492"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4700912</w:t>
            </w:r>
          </w:p>
        </w:tc>
        <w:tc>
          <w:tcPr>
            <w:tcW w:w="1781"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476085</w:t>
            </w:r>
          </w:p>
        </w:tc>
        <w:tc>
          <w:tcPr>
            <w:tcW w:w="213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12750006</w:t>
            </w:r>
          </w:p>
        </w:tc>
      </w:tr>
      <w:tr w:rsidR="000F4E1E" w:rsidRPr="00DA5D9F" w:rsidTr="00DF27E0">
        <w:trPr>
          <w:cantSplit/>
          <w:trHeight w:val="386"/>
          <w:tblHeader/>
        </w:trPr>
        <w:tc>
          <w:tcPr>
            <w:tcW w:w="2178"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TOTAL</w:t>
            </w:r>
          </w:p>
        </w:tc>
        <w:tc>
          <w:tcPr>
            <w:tcW w:w="189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51814275</w:t>
            </w:r>
          </w:p>
        </w:tc>
        <w:tc>
          <w:tcPr>
            <w:tcW w:w="2492" w:type="dxa"/>
            <w:gridSpan w:val="2"/>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27100643</w:t>
            </w:r>
          </w:p>
        </w:tc>
        <w:tc>
          <w:tcPr>
            <w:tcW w:w="178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3719657</w:t>
            </w:r>
          </w:p>
        </w:tc>
        <w:tc>
          <w:tcPr>
            <w:tcW w:w="2134"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90877930</w:t>
            </w:r>
          </w:p>
        </w:tc>
      </w:tr>
      <w:tr w:rsidR="000F4E1E" w:rsidRPr="00DA5D9F" w:rsidTr="00DF27E0">
        <w:trPr>
          <w:cantSplit/>
          <w:trHeight w:val="260"/>
          <w:tblHeader/>
        </w:trPr>
        <w:tc>
          <w:tcPr>
            <w:tcW w:w="2178" w:type="dxa"/>
            <w:vAlign w:val="bottom"/>
          </w:tcPr>
          <w:p w:rsidR="000F4E1E" w:rsidRPr="00DA5D9F" w:rsidRDefault="000F4E1E" w:rsidP="00DF27E0">
            <w:pPr>
              <w:pStyle w:val="normal0"/>
              <w:spacing w:line="276" w:lineRule="auto"/>
              <w:rPr>
                <w:b/>
                <w:color w:val="000000"/>
                <w:sz w:val="22"/>
                <w:szCs w:val="22"/>
              </w:rPr>
            </w:pPr>
            <w:r w:rsidRPr="00DA5D9F">
              <w:rPr>
                <w:b/>
                <w:color w:val="000000"/>
                <w:sz w:val="22"/>
                <w:szCs w:val="22"/>
              </w:rPr>
              <w:t xml:space="preserve">PERCENTAGE </w:t>
            </w:r>
            <w:r w:rsidRPr="00DF27E0">
              <w:rPr>
                <w:b/>
                <w:color w:val="000000"/>
                <w:sz w:val="16"/>
                <w:szCs w:val="16"/>
              </w:rPr>
              <w:t>(%)</w:t>
            </w:r>
          </w:p>
        </w:tc>
        <w:tc>
          <w:tcPr>
            <w:tcW w:w="189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57.01</w:t>
            </w:r>
          </w:p>
        </w:tc>
        <w:tc>
          <w:tcPr>
            <w:tcW w:w="2492" w:type="dxa"/>
            <w:gridSpan w:val="2"/>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29.82</w:t>
            </w:r>
          </w:p>
        </w:tc>
        <w:tc>
          <w:tcPr>
            <w:tcW w:w="178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12.8</w:t>
            </w:r>
          </w:p>
        </w:tc>
        <w:tc>
          <w:tcPr>
            <w:tcW w:w="2134"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100</w:t>
            </w:r>
          </w:p>
        </w:tc>
      </w:tr>
    </w:tbl>
    <w:p w:rsidR="00F15AE1" w:rsidRPr="00DA5D9F" w:rsidRDefault="000F4E1E" w:rsidP="00565A71">
      <w:pPr>
        <w:pStyle w:val="normal0"/>
        <w:spacing w:line="276" w:lineRule="auto"/>
        <w:jc w:val="both"/>
        <w:rPr>
          <w:sz w:val="22"/>
          <w:szCs w:val="22"/>
        </w:rPr>
      </w:pPr>
      <w:r w:rsidRPr="00DA5D9F">
        <w:rPr>
          <w:sz w:val="22"/>
          <w:szCs w:val="22"/>
        </w:rPr>
        <w:t xml:space="preserve">Source: </w:t>
      </w:r>
      <w:r w:rsidR="00F15AE1" w:rsidRPr="00DA5D9F">
        <w:rPr>
          <w:sz w:val="22"/>
          <w:szCs w:val="22"/>
        </w:rPr>
        <w:t>Report on trends and progress of Banking in India</w:t>
      </w:r>
    </w:p>
    <w:p w:rsidR="000F4E1E" w:rsidRPr="00DA5D9F" w:rsidRDefault="00F15AE1" w:rsidP="00565A71">
      <w:pPr>
        <w:pStyle w:val="normal0"/>
        <w:spacing w:line="276" w:lineRule="auto"/>
        <w:jc w:val="both"/>
        <w:rPr>
          <w:b/>
          <w:sz w:val="22"/>
          <w:szCs w:val="22"/>
        </w:rPr>
      </w:pPr>
      <w:bookmarkStart w:id="1" w:name="_tyjcwt" w:colFirst="0" w:colLast="0"/>
      <w:bookmarkEnd w:id="1"/>
      <w:r w:rsidRPr="00DA5D9F">
        <w:rPr>
          <w:b/>
          <w:sz w:val="22"/>
          <w:szCs w:val="22"/>
        </w:rPr>
        <w:t>GROSS NPAs OF BANK GROUPS</w:t>
      </w:r>
    </w:p>
    <w:p w:rsidR="000F4E1E" w:rsidRPr="00DA5D9F" w:rsidRDefault="000F4E1E" w:rsidP="00565A71">
      <w:pPr>
        <w:pStyle w:val="normal0"/>
        <w:spacing w:line="276" w:lineRule="auto"/>
        <w:ind w:firstLine="720"/>
        <w:jc w:val="both"/>
        <w:rPr>
          <w:b/>
          <w:sz w:val="22"/>
          <w:szCs w:val="22"/>
        </w:rPr>
      </w:pPr>
      <w:r w:rsidRPr="00DA5D9F">
        <w:rPr>
          <w:sz w:val="22"/>
          <w:szCs w:val="22"/>
        </w:rPr>
        <w:lastRenderedPageBreak/>
        <w:t xml:space="preserve">   </w:t>
      </w:r>
      <w:r w:rsidR="00F15AE1" w:rsidRPr="00DA5D9F">
        <w:rPr>
          <w:sz w:val="22"/>
          <w:szCs w:val="22"/>
        </w:rPr>
        <w:t xml:space="preserve">The share of Public Sector Banks in the gross npa of scheduled commercial banks is high which is around 80.36%followed by the private sector bank groups with 17.18% and with foreign bank group 2 %. </w:t>
      </w:r>
      <w:r w:rsidRPr="00DA5D9F">
        <w:rPr>
          <w:sz w:val="22"/>
          <w:szCs w:val="22"/>
        </w:rPr>
        <w:t>The Gross NPAs of bank Groups has shown in</w:t>
      </w:r>
      <w:r w:rsidR="00F15AE1" w:rsidRPr="00DA5D9F">
        <w:rPr>
          <w:sz w:val="22"/>
          <w:szCs w:val="22"/>
        </w:rPr>
        <w:t xml:space="preserve"> </w:t>
      </w:r>
      <w:r w:rsidRPr="00DA5D9F">
        <w:rPr>
          <w:sz w:val="22"/>
          <w:szCs w:val="22"/>
        </w:rPr>
        <w:t>Table</w:t>
      </w:r>
      <w:r w:rsidR="00F15AE1" w:rsidRPr="00DA5D9F">
        <w:rPr>
          <w:sz w:val="22"/>
          <w:szCs w:val="22"/>
        </w:rPr>
        <w:t xml:space="preserve"> 4.4</w:t>
      </w:r>
      <w:r w:rsidRPr="00DA5D9F">
        <w:rPr>
          <w:sz w:val="22"/>
          <w:szCs w:val="22"/>
        </w:rPr>
        <w:t xml:space="preserve"> </w:t>
      </w:r>
    </w:p>
    <w:p w:rsidR="000F4E1E" w:rsidRPr="00DA5D9F" w:rsidRDefault="000F4E1E" w:rsidP="00565A71">
      <w:pPr>
        <w:pStyle w:val="normal0"/>
        <w:spacing w:line="276" w:lineRule="auto"/>
        <w:jc w:val="center"/>
        <w:rPr>
          <w:b/>
          <w:sz w:val="22"/>
          <w:szCs w:val="22"/>
        </w:rPr>
      </w:pPr>
      <w:r w:rsidRPr="00DA5D9F">
        <w:rPr>
          <w:b/>
          <w:sz w:val="22"/>
          <w:szCs w:val="22"/>
        </w:rPr>
        <w:t>TABLE- 4.4</w:t>
      </w:r>
    </w:p>
    <w:p w:rsidR="000F4E1E" w:rsidRPr="00DA5D9F" w:rsidRDefault="000F4E1E" w:rsidP="00565A71">
      <w:pPr>
        <w:pStyle w:val="normal0"/>
        <w:spacing w:line="276" w:lineRule="auto"/>
        <w:jc w:val="center"/>
        <w:rPr>
          <w:b/>
          <w:sz w:val="22"/>
          <w:szCs w:val="22"/>
        </w:rPr>
      </w:pPr>
      <w:r w:rsidRPr="00DA5D9F">
        <w:rPr>
          <w:b/>
          <w:sz w:val="22"/>
          <w:szCs w:val="22"/>
        </w:rPr>
        <w:t>GROSS NPAs OF BANK GROUPS</w:t>
      </w:r>
    </w:p>
    <w:p w:rsidR="000F4E1E" w:rsidRPr="00DA5D9F" w:rsidRDefault="000F4E1E" w:rsidP="00565A71">
      <w:pPr>
        <w:pStyle w:val="normal0"/>
        <w:spacing w:line="276" w:lineRule="auto"/>
        <w:jc w:val="right"/>
        <w:rPr>
          <w:sz w:val="22"/>
          <w:szCs w:val="22"/>
        </w:rPr>
      </w:pPr>
      <w:r w:rsidRPr="00DA5D9F">
        <w:rPr>
          <w:sz w:val="22"/>
          <w:szCs w:val="22"/>
        </w:rPr>
        <w:t xml:space="preserve">                                                                                   (In crores)                                                                                                                              </w:t>
      </w:r>
    </w:p>
    <w:tbl>
      <w:tblPr>
        <w:tblW w:w="10163" w:type="dxa"/>
        <w:jc w:val="center"/>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112"/>
        <w:gridCol w:w="2160"/>
        <w:gridCol w:w="2160"/>
        <w:gridCol w:w="2160"/>
        <w:gridCol w:w="1571"/>
      </w:tblGrid>
      <w:tr w:rsidR="000F4E1E" w:rsidRPr="00DA5D9F" w:rsidTr="00F15AE1">
        <w:trPr>
          <w:cantSplit/>
          <w:trHeight w:val="502"/>
          <w:tblHeader/>
          <w:jc w:val="center"/>
        </w:trPr>
        <w:tc>
          <w:tcPr>
            <w:tcW w:w="2112" w:type="dxa"/>
          </w:tcPr>
          <w:p w:rsidR="000F4E1E" w:rsidRPr="00DA5D9F" w:rsidRDefault="000F4E1E" w:rsidP="00565A71">
            <w:pPr>
              <w:pStyle w:val="normal0"/>
              <w:spacing w:line="276" w:lineRule="auto"/>
              <w:jc w:val="both"/>
              <w:rPr>
                <w:b/>
                <w:sz w:val="22"/>
                <w:szCs w:val="22"/>
              </w:rPr>
            </w:pPr>
            <w:r w:rsidRPr="00DA5D9F">
              <w:rPr>
                <w:b/>
                <w:sz w:val="22"/>
                <w:szCs w:val="22"/>
              </w:rPr>
              <w:t>YEAR</w:t>
            </w:r>
          </w:p>
        </w:tc>
        <w:tc>
          <w:tcPr>
            <w:tcW w:w="2160" w:type="dxa"/>
          </w:tcPr>
          <w:p w:rsidR="000F4E1E" w:rsidRPr="00DA5D9F" w:rsidRDefault="000F4E1E" w:rsidP="00565A71">
            <w:pPr>
              <w:pStyle w:val="normal0"/>
              <w:spacing w:line="276" w:lineRule="auto"/>
              <w:jc w:val="both"/>
              <w:rPr>
                <w:b/>
                <w:sz w:val="22"/>
                <w:szCs w:val="22"/>
              </w:rPr>
            </w:pPr>
            <w:r w:rsidRPr="00DA5D9F">
              <w:rPr>
                <w:b/>
                <w:sz w:val="22"/>
                <w:szCs w:val="22"/>
              </w:rPr>
              <w:t>PUBLIC SECTOR BANKS</w:t>
            </w:r>
          </w:p>
        </w:tc>
        <w:tc>
          <w:tcPr>
            <w:tcW w:w="2160" w:type="dxa"/>
          </w:tcPr>
          <w:p w:rsidR="000F4E1E" w:rsidRPr="00DA5D9F" w:rsidRDefault="000F4E1E" w:rsidP="00565A71">
            <w:pPr>
              <w:pStyle w:val="normal0"/>
              <w:spacing w:line="276" w:lineRule="auto"/>
              <w:jc w:val="both"/>
              <w:rPr>
                <w:b/>
                <w:sz w:val="22"/>
                <w:szCs w:val="22"/>
              </w:rPr>
            </w:pPr>
            <w:r w:rsidRPr="00DA5D9F">
              <w:rPr>
                <w:b/>
                <w:sz w:val="22"/>
                <w:szCs w:val="22"/>
              </w:rPr>
              <w:t>PRIVATE SECTOR BANKS</w:t>
            </w:r>
          </w:p>
        </w:tc>
        <w:tc>
          <w:tcPr>
            <w:tcW w:w="2160" w:type="dxa"/>
          </w:tcPr>
          <w:p w:rsidR="000F4E1E" w:rsidRPr="00DA5D9F" w:rsidRDefault="000F4E1E" w:rsidP="00565A71">
            <w:pPr>
              <w:pStyle w:val="normal0"/>
              <w:spacing w:line="276" w:lineRule="auto"/>
              <w:jc w:val="both"/>
              <w:rPr>
                <w:b/>
                <w:sz w:val="22"/>
                <w:szCs w:val="22"/>
              </w:rPr>
            </w:pPr>
            <w:r w:rsidRPr="00DA5D9F">
              <w:rPr>
                <w:b/>
                <w:sz w:val="22"/>
                <w:szCs w:val="22"/>
              </w:rPr>
              <w:t>FOREGIN BANKS</w:t>
            </w:r>
          </w:p>
        </w:tc>
        <w:tc>
          <w:tcPr>
            <w:tcW w:w="1571" w:type="dxa"/>
          </w:tcPr>
          <w:p w:rsidR="000F4E1E" w:rsidRPr="00DA5D9F" w:rsidRDefault="000F4E1E" w:rsidP="00565A71">
            <w:pPr>
              <w:pStyle w:val="normal0"/>
              <w:spacing w:line="276" w:lineRule="auto"/>
              <w:jc w:val="both"/>
              <w:rPr>
                <w:b/>
                <w:sz w:val="22"/>
                <w:szCs w:val="22"/>
              </w:rPr>
            </w:pPr>
            <w:r w:rsidRPr="00DA5D9F">
              <w:rPr>
                <w:b/>
                <w:sz w:val="22"/>
                <w:szCs w:val="22"/>
              </w:rPr>
              <w:t>ALL SCBs</w:t>
            </w:r>
          </w:p>
        </w:tc>
      </w:tr>
      <w:tr w:rsidR="000F4E1E" w:rsidRPr="00DA5D9F" w:rsidTr="00F15AE1">
        <w:trPr>
          <w:cantSplit/>
          <w:trHeight w:val="350"/>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2012-13</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165006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15800</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7977</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194053</w:t>
            </w:r>
          </w:p>
        </w:tc>
      </w:tr>
      <w:tr w:rsidR="000F4E1E" w:rsidRPr="00DA5D9F" w:rsidTr="00F15AE1">
        <w:trPr>
          <w:cantSplit/>
          <w:trHeight w:val="417"/>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2013-14</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227264</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24542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11565</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263362</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2014-15</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278468</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34106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10761</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323335</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2015-16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539956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56186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15805</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611947</w:t>
            </w:r>
          </w:p>
        </w:tc>
      </w:tr>
      <w:tr w:rsidR="000F4E1E" w:rsidRPr="00DA5D9F" w:rsidTr="00F15AE1">
        <w:trPr>
          <w:cantSplit/>
          <w:trHeight w:val="417"/>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2016-17</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684732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93209</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13629</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791791</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2017-18</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895601</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129335</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13849</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1039679</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2018-19</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739541</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183604</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12242</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936474</w:t>
            </w:r>
          </w:p>
        </w:tc>
      </w:tr>
      <w:tr w:rsidR="000F4E1E" w:rsidRPr="00DA5D9F" w:rsidTr="00F15AE1">
        <w:trPr>
          <w:cantSplit/>
          <w:trHeight w:val="417"/>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2019-20</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678317</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209568</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10208</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899803</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2020-21</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616616</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200141</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15044</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837771</w:t>
            </w:r>
          </w:p>
        </w:tc>
      </w:tr>
      <w:tr w:rsidR="000F4E1E" w:rsidRPr="00DA5D9F" w:rsidTr="00F15AE1">
        <w:trPr>
          <w:cantSplit/>
          <w:trHeight w:val="442"/>
          <w:tblHeader/>
          <w:jc w:val="center"/>
        </w:trPr>
        <w:tc>
          <w:tcPr>
            <w:tcW w:w="2112"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2021-22</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139905</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125834</w:t>
            </w:r>
          </w:p>
        </w:tc>
        <w:tc>
          <w:tcPr>
            <w:tcW w:w="2160"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8320</w:t>
            </w:r>
          </w:p>
        </w:tc>
        <w:tc>
          <w:tcPr>
            <w:tcW w:w="1571" w:type="dxa"/>
            <w:vAlign w:val="bottom"/>
          </w:tcPr>
          <w:p w:rsidR="000F4E1E" w:rsidRPr="00DA5D9F" w:rsidRDefault="000F4E1E" w:rsidP="00565A71">
            <w:pPr>
              <w:pStyle w:val="normal0"/>
              <w:spacing w:line="276" w:lineRule="auto"/>
              <w:jc w:val="center"/>
              <w:rPr>
                <w:sz w:val="22"/>
                <w:szCs w:val="22"/>
              </w:rPr>
            </w:pPr>
            <w:r w:rsidRPr="00DA5D9F">
              <w:rPr>
                <w:color w:val="000000"/>
                <w:sz w:val="22"/>
                <w:szCs w:val="22"/>
              </w:rPr>
              <w:t>283441</w:t>
            </w:r>
          </w:p>
        </w:tc>
      </w:tr>
      <w:tr w:rsidR="000F4E1E" w:rsidRPr="00DA5D9F" w:rsidTr="00F15AE1">
        <w:trPr>
          <w:cantSplit/>
          <w:trHeight w:val="417"/>
          <w:tblHeader/>
          <w:jc w:val="center"/>
        </w:trPr>
        <w:tc>
          <w:tcPr>
            <w:tcW w:w="2112"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TOTAL</w:t>
            </w:r>
          </w:p>
        </w:tc>
        <w:tc>
          <w:tcPr>
            <w:tcW w:w="2160"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4965406</w:t>
            </w:r>
          </w:p>
        </w:tc>
        <w:tc>
          <w:tcPr>
            <w:tcW w:w="2160"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1072325</w:t>
            </w:r>
          </w:p>
        </w:tc>
        <w:tc>
          <w:tcPr>
            <w:tcW w:w="2160"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119400</w:t>
            </w:r>
          </w:p>
        </w:tc>
        <w:tc>
          <w:tcPr>
            <w:tcW w:w="1571" w:type="dxa"/>
            <w:vAlign w:val="bottom"/>
          </w:tcPr>
          <w:p w:rsidR="000F4E1E" w:rsidRPr="00DA5D9F" w:rsidRDefault="000F4E1E" w:rsidP="00565A71">
            <w:pPr>
              <w:pStyle w:val="normal0"/>
              <w:spacing w:line="276" w:lineRule="auto"/>
              <w:jc w:val="center"/>
              <w:rPr>
                <w:b/>
                <w:sz w:val="22"/>
                <w:szCs w:val="22"/>
              </w:rPr>
            </w:pPr>
            <w:r w:rsidRPr="00DA5D9F">
              <w:rPr>
                <w:b/>
                <w:color w:val="000000"/>
                <w:sz w:val="22"/>
                <w:szCs w:val="22"/>
              </w:rPr>
              <w:t>6181656</w:t>
            </w:r>
          </w:p>
        </w:tc>
      </w:tr>
      <w:tr w:rsidR="000F4E1E" w:rsidRPr="00DA5D9F" w:rsidTr="00F15AE1">
        <w:trPr>
          <w:cantSplit/>
          <w:trHeight w:val="377"/>
          <w:tblHeader/>
          <w:jc w:val="center"/>
        </w:trPr>
        <w:tc>
          <w:tcPr>
            <w:tcW w:w="2112" w:type="dxa"/>
            <w:vAlign w:val="bottom"/>
          </w:tcPr>
          <w:p w:rsidR="000F4E1E" w:rsidRPr="00DF27E0" w:rsidRDefault="000F4E1E" w:rsidP="00DF27E0">
            <w:pPr>
              <w:pStyle w:val="normal0"/>
              <w:spacing w:line="276" w:lineRule="auto"/>
              <w:rPr>
                <w:b/>
                <w:color w:val="000000"/>
                <w:sz w:val="18"/>
                <w:szCs w:val="18"/>
              </w:rPr>
            </w:pPr>
            <w:r w:rsidRPr="00DF27E0">
              <w:rPr>
                <w:b/>
                <w:color w:val="000000"/>
                <w:sz w:val="18"/>
                <w:szCs w:val="18"/>
              </w:rPr>
              <w:t>PERCENTAGE (%)</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80.36</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17.18</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w:t>
            </w:r>
          </w:p>
        </w:tc>
        <w:tc>
          <w:tcPr>
            <w:tcW w:w="157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100</w:t>
            </w:r>
          </w:p>
        </w:tc>
      </w:tr>
      <w:tr w:rsidR="000F4E1E" w:rsidRPr="00DA5D9F" w:rsidTr="00F15AE1">
        <w:trPr>
          <w:cantSplit/>
          <w:trHeight w:val="260"/>
          <w:tblHeader/>
          <w:jc w:val="center"/>
        </w:trPr>
        <w:tc>
          <w:tcPr>
            <w:tcW w:w="2112"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CGR</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6.5</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0.5</w:t>
            </w:r>
          </w:p>
        </w:tc>
        <w:tc>
          <w:tcPr>
            <w:tcW w:w="1571"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2.19</w:t>
            </w:r>
          </w:p>
        </w:tc>
      </w:tr>
    </w:tbl>
    <w:p w:rsidR="000F4E1E" w:rsidRPr="00DA5D9F" w:rsidRDefault="000F4E1E" w:rsidP="00565A71">
      <w:pPr>
        <w:pStyle w:val="normal0"/>
        <w:spacing w:line="276" w:lineRule="auto"/>
        <w:jc w:val="both"/>
        <w:rPr>
          <w:b/>
          <w:sz w:val="22"/>
          <w:szCs w:val="22"/>
        </w:rPr>
      </w:pPr>
      <w:r w:rsidRPr="00DA5D9F">
        <w:rPr>
          <w:sz w:val="22"/>
          <w:szCs w:val="22"/>
        </w:rPr>
        <w:t>Source: Report on Trends and progress of Banks in India</w:t>
      </w:r>
      <w:r w:rsidRPr="00DA5D9F">
        <w:rPr>
          <w:b/>
          <w:sz w:val="22"/>
          <w:szCs w:val="22"/>
        </w:rPr>
        <w:t xml:space="preserve"> </w:t>
      </w:r>
    </w:p>
    <w:p w:rsidR="00DF27E0" w:rsidRDefault="00DF27E0" w:rsidP="00565A71">
      <w:pPr>
        <w:pStyle w:val="normal0"/>
        <w:spacing w:line="276" w:lineRule="auto"/>
        <w:jc w:val="both"/>
        <w:rPr>
          <w:b/>
          <w:sz w:val="22"/>
          <w:szCs w:val="22"/>
        </w:rPr>
      </w:pPr>
      <w:bookmarkStart w:id="2" w:name="_3dy6vkm" w:colFirst="0" w:colLast="0"/>
      <w:bookmarkEnd w:id="2"/>
    </w:p>
    <w:p w:rsidR="00DF27E0" w:rsidRDefault="00DF27E0" w:rsidP="00565A71">
      <w:pPr>
        <w:pStyle w:val="normal0"/>
        <w:spacing w:line="276" w:lineRule="auto"/>
        <w:jc w:val="both"/>
        <w:rPr>
          <w:b/>
          <w:sz w:val="22"/>
          <w:szCs w:val="22"/>
        </w:rPr>
      </w:pPr>
    </w:p>
    <w:p w:rsidR="00DF27E0" w:rsidRDefault="00DF27E0" w:rsidP="00565A71">
      <w:pPr>
        <w:pStyle w:val="normal0"/>
        <w:spacing w:line="276" w:lineRule="auto"/>
        <w:jc w:val="both"/>
        <w:rPr>
          <w:b/>
          <w:sz w:val="22"/>
          <w:szCs w:val="22"/>
        </w:rPr>
      </w:pPr>
    </w:p>
    <w:p w:rsidR="00DF27E0" w:rsidRDefault="00DF27E0" w:rsidP="00565A71">
      <w:pPr>
        <w:pStyle w:val="normal0"/>
        <w:spacing w:line="276" w:lineRule="auto"/>
        <w:jc w:val="both"/>
        <w:rPr>
          <w:b/>
          <w:sz w:val="22"/>
          <w:szCs w:val="22"/>
        </w:rPr>
      </w:pPr>
    </w:p>
    <w:p w:rsidR="000F4E1E" w:rsidRPr="00DA5D9F" w:rsidRDefault="000F4E1E" w:rsidP="00565A71">
      <w:pPr>
        <w:pStyle w:val="normal0"/>
        <w:spacing w:line="276" w:lineRule="auto"/>
        <w:jc w:val="both"/>
        <w:rPr>
          <w:b/>
          <w:sz w:val="22"/>
          <w:szCs w:val="22"/>
        </w:rPr>
      </w:pPr>
      <w:r w:rsidRPr="00DA5D9F">
        <w:rPr>
          <w:b/>
          <w:sz w:val="22"/>
          <w:szCs w:val="22"/>
        </w:rPr>
        <w:t>GROSS NPAs TO GROSS ADVANCES RATIO</w:t>
      </w:r>
    </w:p>
    <w:p w:rsidR="00F15AE1" w:rsidRPr="00DA5D9F" w:rsidRDefault="00F15AE1" w:rsidP="00565A71">
      <w:pPr>
        <w:pStyle w:val="normal0"/>
        <w:spacing w:line="276" w:lineRule="auto"/>
        <w:ind w:firstLine="720"/>
        <w:jc w:val="both"/>
        <w:rPr>
          <w:sz w:val="22"/>
          <w:szCs w:val="22"/>
        </w:rPr>
      </w:pPr>
      <w:r w:rsidRPr="00DA5D9F">
        <w:rPr>
          <w:sz w:val="22"/>
          <w:szCs w:val="22"/>
        </w:rPr>
        <w:t>The Gross NPA ratio of SCBs has shown the increasing value during the period of study. The Gross NPA ratio of SCBs has increased from 3.23 to 5.82 percent in 2012-13 to 2021-22. Similarly, the Gross NPA ratio of Public Sector banks has increased from 3.24 percent in 2012-13 to 7.28 percent in 2021-22. Likewise, the Private sector bank has 1.77 percent in the year 2012-13 and it was increased to 3.84 percent in the year 2021-22. In the case of foreign banks, the Gross NPA were declined from 3.04 percent to 2.9 percent from the year 2012-13 to 2021-22</w:t>
      </w:r>
    </w:p>
    <w:p w:rsidR="000F4E1E" w:rsidRPr="00DA5D9F" w:rsidRDefault="00F15AE1" w:rsidP="00565A71">
      <w:pPr>
        <w:pStyle w:val="normal0"/>
        <w:spacing w:line="276" w:lineRule="auto"/>
        <w:jc w:val="both"/>
        <w:rPr>
          <w:sz w:val="22"/>
          <w:szCs w:val="22"/>
        </w:rPr>
      </w:pPr>
      <w:r w:rsidRPr="00DA5D9F">
        <w:rPr>
          <w:sz w:val="22"/>
          <w:szCs w:val="22"/>
        </w:rPr>
        <w:t>T</w:t>
      </w:r>
      <w:r w:rsidR="000F4E1E" w:rsidRPr="00DA5D9F">
        <w:rPr>
          <w:sz w:val="22"/>
          <w:szCs w:val="22"/>
        </w:rPr>
        <w:t>he</w:t>
      </w:r>
      <w:r w:rsidRPr="00DA5D9F">
        <w:rPr>
          <w:sz w:val="22"/>
          <w:szCs w:val="22"/>
        </w:rPr>
        <w:t xml:space="preserve"> details are presented in Table</w:t>
      </w:r>
      <w:r w:rsidR="00D618D5" w:rsidRPr="00DA5D9F">
        <w:rPr>
          <w:sz w:val="22"/>
          <w:szCs w:val="22"/>
        </w:rPr>
        <w:t xml:space="preserve">4.5 </w:t>
      </w:r>
    </w:p>
    <w:p w:rsidR="000F4E1E" w:rsidRPr="00DA5D9F" w:rsidRDefault="000F4E1E" w:rsidP="00565A71">
      <w:pPr>
        <w:pStyle w:val="normal0"/>
        <w:spacing w:line="276" w:lineRule="auto"/>
        <w:jc w:val="center"/>
        <w:rPr>
          <w:b/>
          <w:sz w:val="22"/>
          <w:szCs w:val="22"/>
        </w:rPr>
      </w:pPr>
      <w:r w:rsidRPr="00DA5D9F">
        <w:rPr>
          <w:b/>
          <w:sz w:val="22"/>
          <w:szCs w:val="22"/>
        </w:rPr>
        <w:t>TABLE 4.5</w:t>
      </w:r>
    </w:p>
    <w:p w:rsidR="000F4E1E" w:rsidRPr="00DA5D9F" w:rsidRDefault="000F4E1E" w:rsidP="00565A71">
      <w:pPr>
        <w:pStyle w:val="normal0"/>
        <w:spacing w:line="276" w:lineRule="auto"/>
        <w:jc w:val="center"/>
        <w:rPr>
          <w:b/>
          <w:sz w:val="22"/>
          <w:szCs w:val="22"/>
        </w:rPr>
      </w:pPr>
      <w:r w:rsidRPr="00DA5D9F">
        <w:rPr>
          <w:b/>
          <w:sz w:val="22"/>
          <w:szCs w:val="22"/>
        </w:rPr>
        <w:t>GROSS NPAs TO GROSS ADVANCES RATIO OF BANK GROUPS</w:t>
      </w:r>
    </w:p>
    <w:p w:rsidR="000F4E1E" w:rsidRPr="00DA5D9F" w:rsidRDefault="000F4E1E" w:rsidP="00565A71">
      <w:pPr>
        <w:pStyle w:val="normal0"/>
        <w:spacing w:line="276" w:lineRule="auto"/>
        <w:jc w:val="right"/>
        <w:rPr>
          <w:sz w:val="22"/>
          <w:szCs w:val="22"/>
        </w:rPr>
      </w:pPr>
      <w:r w:rsidRPr="00DA5D9F">
        <w:rPr>
          <w:sz w:val="22"/>
          <w:szCs w:val="22"/>
        </w:rPr>
        <w:t xml:space="preserve">                                                                                                      (In percent)</w:t>
      </w:r>
    </w:p>
    <w:tbl>
      <w:tblPr>
        <w:tblW w:w="9324"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1702"/>
        <w:gridCol w:w="1843"/>
        <w:gridCol w:w="1966"/>
        <w:gridCol w:w="19"/>
        <w:gridCol w:w="2092"/>
        <w:gridCol w:w="1702"/>
      </w:tblGrid>
      <w:tr w:rsidR="000F4E1E" w:rsidRPr="00DA5D9F" w:rsidTr="00F15AE1">
        <w:trPr>
          <w:cantSplit/>
          <w:trHeight w:val="378"/>
          <w:tblHeader/>
        </w:trPr>
        <w:tc>
          <w:tcPr>
            <w:tcW w:w="1702" w:type="dxa"/>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lastRenderedPageBreak/>
              <w:t>YEAR</w:t>
            </w:r>
          </w:p>
        </w:tc>
        <w:tc>
          <w:tcPr>
            <w:tcW w:w="1843"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PUBLIC SECTOR BANK</w:t>
            </w:r>
          </w:p>
        </w:tc>
        <w:tc>
          <w:tcPr>
            <w:tcW w:w="1966"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PRIVATE SECTOR BANKS</w:t>
            </w:r>
          </w:p>
        </w:tc>
        <w:tc>
          <w:tcPr>
            <w:tcW w:w="2111" w:type="dxa"/>
            <w:gridSpan w:val="2"/>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FOREIGN BANKS</w:t>
            </w:r>
          </w:p>
        </w:tc>
        <w:tc>
          <w:tcPr>
            <w:tcW w:w="1702"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SCBS</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3.24</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1.77</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3.04</w:t>
            </w:r>
          </w:p>
        </w:tc>
        <w:tc>
          <w:tcPr>
            <w:tcW w:w="1702" w:type="dxa"/>
            <w:tcBorders>
              <w:top w:val="single" w:sz="4" w:space="0" w:color="000000"/>
            </w:tcBorders>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3.23</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4.09</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1.78</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3.86</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3.83</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5.26</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2.1</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4.27</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10.69</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2.83</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7.48</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12.95</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4.05</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3.96</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9.32</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14.58</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4.62</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3.81</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11.18</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11.59</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5.25</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2.99</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9.08</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10.25</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5.45</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2.34</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8.21</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9.11</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4.94</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2.42</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7.33</w:t>
            </w:r>
          </w:p>
        </w:tc>
      </w:tr>
      <w:tr w:rsidR="000F4E1E" w:rsidRPr="00DA5D9F" w:rsidTr="00F15AE1">
        <w:trPr>
          <w:cantSplit/>
          <w:trHeight w:val="286"/>
          <w:tblHeader/>
        </w:trPr>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1843"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7.28</w:t>
            </w:r>
          </w:p>
        </w:tc>
        <w:tc>
          <w:tcPr>
            <w:tcW w:w="1985" w:type="dxa"/>
            <w:gridSpan w:val="2"/>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3.84</w:t>
            </w:r>
          </w:p>
        </w:tc>
        <w:tc>
          <w:tcPr>
            <w:tcW w:w="209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2.9</w:t>
            </w:r>
          </w:p>
        </w:tc>
        <w:tc>
          <w:tcPr>
            <w:tcW w:w="1702"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5.82</w:t>
            </w:r>
          </w:p>
        </w:tc>
      </w:tr>
    </w:tbl>
    <w:p w:rsidR="00D618D5" w:rsidRPr="00DA5D9F" w:rsidRDefault="000F4E1E" w:rsidP="00565A71">
      <w:pPr>
        <w:pStyle w:val="normal0"/>
        <w:spacing w:line="276" w:lineRule="auto"/>
        <w:jc w:val="both"/>
        <w:rPr>
          <w:sz w:val="22"/>
          <w:szCs w:val="22"/>
        </w:rPr>
      </w:pPr>
      <w:r w:rsidRPr="00DA5D9F">
        <w:rPr>
          <w:sz w:val="22"/>
          <w:szCs w:val="22"/>
        </w:rPr>
        <w:t>Source: Report on Trends and progress in Banking in India</w:t>
      </w:r>
    </w:p>
    <w:p w:rsidR="000F4E1E" w:rsidRPr="00DA5D9F" w:rsidRDefault="000F4E1E" w:rsidP="00565A71">
      <w:pPr>
        <w:pStyle w:val="normal0"/>
        <w:spacing w:line="276" w:lineRule="auto"/>
        <w:jc w:val="both"/>
        <w:rPr>
          <w:sz w:val="22"/>
          <w:szCs w:val="22"/>
        </w:rPr>
      </w:pPr>
      <w:r w:rsidRPr="00DA5D9F">
        <w:rPr>
          <w:b/>
          <w:sz w:val="22"/>
          <w:szCs w:val="22"/>
        </w:rPr>
        <w:t>NET ADVANCES IN BANKS</w:t>
      </w:r>
    </w:p>
    <w:p w:rsidR="000F4E1E" w:rsidRPr="00DA5D9F" w:rsidRDefault="00D618D5" w:rsidP="00565A71">
      <w:pPr>
        <w:pStyle w:val="normal0"/>
        <w:spacing w:line="276" w:lineRule="auto"/>
        <w:ind w:firstLine="720"/>
        <w:jc w:val="both"/>
        <w:rPr>
          <w:b/>
          <w:sz w:val="22"/>
          <w:szCs w:val="22"/>
        </w:rPr>
      </w:pPr>
      <w:r w:rsidRPr="00DA5D9F">
        <w:rPr>
          <w:sz w:val="22"/>
          <w:szCs w:val="22"/>
        </w:rPr>
        <w:t>The total amount of Net advances of bank groups in India has amounted to Rs. 75764233 crores, of which the Public Sector banks groups to the top the list by providing advances to tune of Rs. 50452673 crores which around 66.6% of the total advances of banks in India followed by Private sector bank groups Rs. 45521573 crores (28.5%), Foreign bank groups with Rs. 3180694 crores (7.72%). T</w:t>
      </w:r>
      <w:r w:rsidR="000F4E1E" w:rsidRPr="00DA5D9F">
        <w:rPr>
          <w:sz w:val="22"/>
          <w:szCs w:val="22"/>
        </w:rPr>
        <w:t xml:space="preserve">he Net Advances of bank groups has shown </w:t>
      </w:r>
      <w:r w:rsidRPr="00DA5D9F">
        <w:rPr>
          <w:sz w:val="22"/>
          <w:szCs w:val="22"/>
        </w:rPr>
        <w:t>in table 4.6</w:t>
      </w:r>
    </w:p>
    <w:p w:rsidR="000F4E1E" w:rsidRPr="00DA5D9F" w:rsidRDefault="000F4E1E" w:rsidP="00565A71">
      <w:pPr>
        <w:pStyle w:val="normal0"/>
        <w:spacing w:line="276" w:lineRule="auto"/>
        <w:jc w:val="center"/>
        <w:rPr>
          <w:b/>
          <w:sz w:val="22"/>
          <w:szCs w:val="22"/>
        </w:rPr>
      </w:pPr>
      <w:r w:rsidRPr="00DA5D9F">
        <w:rPr>
          <w:b/>
          <w:sz w:val="22"/>
          <w:szCs w:val="22"/>
        </w:rPr>
        <w:t>TABLE – 4.6</w:t>
      </w:r>
    </w:p>
    <w:p w:rsidR="000F4E1E" w:rsidRPr="00DA5D9F" w:rsidRDefault="000F4E1E" w:rsidP="00565A71">
      <w:pPr>
        <w:pStyle w:val="normal0"/>
        <w:spacing w:line="276" w:lineRule="auto"/>
        <w:jc w:val="center"/>
        <w:rPr>
          <w:b/>
          <w:sz w:val="22"/>
          <w:szCs w:val="22"/>
        </w:rPr>
      </w:pPr>
      <w:r w:rsidRPr="00DA5D9F">
        <w:rPr>
          <w:b/>
          <w:sz w:val="22"/>
          <w:szCs w:val="22"/>
        </w:rPr>
        <w:t>NET ADVANCES IN BANKS</w:t>
      </w:r>
    </w:p>
    <w:p w:rsidR="000F4E1E" w:rsidRPr="00DA5D9F" w:rsidRDefault="000F4E1E" w:rsidP="00565A71">
      <w:pPr>
        <w:pStyle w:val="normal0"/>
        <w:spacing w:line="276" w:lineRule="auto"/>
        <w:jc w:val="right"/>
        <w:rPr>
          <w:sz w:val="22"/>
          <w:szCs w:val="22"/>
        </w:rPr>
      </w:pPr>
      <w:r w:rsidRPr="00DA5D9F">
        <w:rPr>
          <w:sz w:val="22"/>
          <w:szCs w:val="22"/>
        </w:rPr>
        <w:t>(In crores)</w:t>
      </w:r>
    </w:p>
    <w:tbl>
      <w:tblPr>
        <w:tblW w:w="9961"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039"/>
        <w:gridCol w:w="1916"/>
        <w:gridCol w:w="2043"/>
        <w:gridCol w:w="20"/>
        <w:gridCol w:w="2174"/>
        <w:gridCol w:w="1769"/>
      </w:tblGrid>
      <w:tr w:rsidR="000F4E1E" w:rsidRPr="00DA5D9F" w:rsidTr="00F15AE1">
        <w:trPr>
          <w:cantSplit/>
          <w:trHeight w:val="401"/>
          <w:tblHeader/>
        </w:trPr>
        <w:tc>
          <w:tcPr>
            <w:tcW w:w="2039" w:type="dxa"/>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YEAR</w:t>
            </w:r>
          </w:p>
        </w:tc>
        <w:tc>
          <w:tcPr>
            <w:tcW w:w="1916"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PUBLIC SECTOR BANK</w:t>
            </w:r>
          </w:p>
        </w:tc>
        <w:tc>
          <w:tcPr>
            <w:tcW w:w="2043"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PRIVATE SECTOR BANKS</w:t>
            </w:r>
          </w:p>
        </w:tc>
        <w:tc>
          <w:tcPr>
            <w:tcW w:w="2194" w:type="dxa"/>
            <w:gridSpan w:val="2"/>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FOREIGN BANKS</w:t>
            </w:r>
          </w:p>
        </w:tc>
        <w:tc>
          <w:tcPr>
            <w:tcW w:w="1769"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SCBS</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4472845</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873252</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263680</w:t>
            </w:r>
          </w:p>
        </w:tc>
        <w:tc>
          <w:tcPr>
            <w:tcW w:w="1769" w:type="dxa"/>
            <w:tcBorders>
              <w:top w:val="single" w:sz="4" w:space="0" w:color="000000"/>
            </w:tcBorders>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5879773</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5101137</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1342935</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291142</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6735213</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5476250</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1584312</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327599</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7388160</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5593577</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1939339</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363551</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7896467</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5557232</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2219475</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332335</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8116109</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5697350</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26626753</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351016</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8745997</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5892667</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3327328</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396726</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9676183</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6158112</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3625154</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428076</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10301897</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6348758</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3939292</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423546</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10820208</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191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154745</w:t>
            </w:r>
          </w:p>
        </w:tc>
        <w:tc>
          <w:tcPr>
            <w:tcW w:w="2063" w:type="dxa"/>
            <w:gridSpan w:val="2"/>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43733</w:t>
            </w:r>
          </w:p>
        </w:tc>
        <w:tc>
          <w:tcPr>
            <w:tcW w:w="217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3023</w:t>
            </w:r>
          </w:p>
        </w:tc>
        <w:tc>
          <w:tcPr>
            <w:tcW w:w="1769"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204226</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TOTAL</w:t>
            </w:r>
          </w:p>
        </w:tc>
        <w:tc>
          <w:tcPr>
            <w:tcW w:w="1916"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50452673</w:t>
            </w:r>
          </w:p>
        </w:tc>
        <w:tc>
          <w:tcPr>
            <w:tcW w:w="2063" w:type="dxa"/>
            <w:gridSpan w:val="2"/>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45521573</w:t>
            </w:r>
          </w:p>
        </w:tc>
        <w:tc>
          <w:tcPr>
            <w:tcW w:w="2174"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3180694</w:t>
            </w:r>
          </w:p>
        </w:tc>
        <w:tc>
          <w:tcPr>
            <w:tcW w:w="176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75764233</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PERCENTAGE</w:t>
            </w:r>
          </w:p>
        </w:tc>
        <w:tc>
          <w:tcPr>
            <w:tcW w:w="1916"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66.6</w:t>
            </w:r>
          </w:p>
        </w:tc>
        <w:tc>
          <w:tcPr>
            <w:tcW w:w="2063" w:type="dxa"/>
            <w:gridSpan w:val="2"/>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28.5</w:t>
            </w:r>
          </w:p>
        </w:tc>
        <w:tc>
          <w:tcPr>
            <w:tcW w:w="2174"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4.I</w:t>
            </w:r>
          </w:p>
        </w:tc>
        <w:tc>
          <w:tcPr>
            <w:tcW w:w="176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100</w:t>
            </w:r>
          </w:p>
        </w:tc>
      </w:tr>
      <w:tr w:rsidR="000F4E1E" w:rsidRPr="00DA5D9F" w:rsidTr="00F15AE1">
        <w:trPr>
          <w:cantSplit/>
          <w:trHeight w:val="304"/>
          <w:tblHeader/>
        </w:trPr>
        <w:tc>
          <w:tcPr>
            <w:tcW w:w="203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CGR</w:t>
            </w:r>
          </w:p>
        </w:tc>
        <w:tc>
          <w:tcPr>
            <w:tcW w:w="1916"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1.89</w:t>
            </w:r>
          </w:p>
        </w:tc>
        <w:tc>
          <w:tcPr>
            <w:tcW w:w="2063" w:type="dxa"/>
            <w:gridSpan w:val="2"/>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1.02</w:t>
            </w:r>
          </w:p>
        </w:tc>
        <w:tc>
          <w:tcPr>
            <w:tcW w:w="2174"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7.72</w:t>
            </w:r>
          </w:p>
        </w:tc>
        <w:tc>
          <w:tcPr>
            <w:tcW w:w="1769" w:type="dxa"/>
            <w:vAlign w:val="bottom"/>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1.88</w:t>
            </w:r>
          </w:p>
        </w:tc>
      </w:tr>
    </w:tbl>
    <w:p w:rsidR="000F4E1E" w:rsidRPr="00DA5D9F" w:rsidRDefault="000F4E1E" w:rsidP="00565A71">
      <w:pPr>
        <w:pStyle w:val="normal0"/>
        <w:spacing w:line="276" w:lineRule="auto"/>
        <w:jc w:val="both"/>
        <w:rPr>
          <w:sz w:val="22"/>
          <w:szCs w:val="22"/>
        </w:rPr>
      </w:pPr>
      <w:r w:rsidRPr="00DA5D9F">
        <w:rPr>
          <w:b/>
          <w:sz w:val="22"/>
          <w:szCs w:val="22"/>
        </w:rPr>
        <w:t>Source:</w:t>
      </w:r>
      <w:r w:rsidRPr="00DA5D9F">
        <w:rPr>
          <w:sz w:val="22"/>
          <w:szCs w:val="22"/>
        </w:rPr>
        <w:t xml:space="preserve">  Report on Trends and progress in Banking in India</w:t>
      </w:r>
    </w:p>
    <w:p w:rsidR="000F4E1E" w:rsidRPr="00DA5D9F" w:rsidRDefault="000F4E1E" w:rsidP="00565A71">
      <w:pPr>
        <w:pStyle w:val="normal0"/>
        <w:spacing w:line="276" w:lineRule="auto"/>
        <w:jc w:val="both"/>
        <w:rPr>
          <w:sz w:val="22"/>
          <w:szCs w:val="22"/>
        </w:rPr>
      </w:pPr>
      <w:r w:rsidRPr="00DA5D9F">
        <w:rPr>
          <w:sz w:val="22"/>
          <w:szCs w:val="22"/>
        </w:rPr>
        <w:t xml:space="preserve"> </w:t>
      </w:r>
    </w:p>
    <w:p w:rsidR="000F4E1E" w:rsidRDefault="000F4E1E" w:rsidP="00565A71">
      <w:pPr>
        <w:pStyle w:val="normal0"/>
        <w:spacing w:line="276" w:lineRule="auto"/>
        <w:jc w:val="both"/>
        <w:rPr>
          <w:sz w:val="22"/>
          <w:szCs w:val="22"/>
        </w:rPr>
      </w:pPr>
    </w:p>
    <w:p w:rsidR="00DF27E0" w:rsidRPr="00DA5D9F" w:rsidRDefault="00DF27E0" w:rsidP="00565A71">
      <w:pPr>
        <w:pStyle w:val="normal0"/>
        <w:spacing w:line="276" w:lineRule="auto"/>
        <w:jc w:val="both"/>
        <w:rPr>
          <w:sz w:val="22"/>
          <w:szCs w:val="22"/>
        </w:rPr>
      </w:pPr>
    </w:p>
    <w:p w:rsidR="000F4E1E" w:rsidRPr="00DA5D9F" w:rsidRDefault="000F4E1E" w:rsidP="00565A71">
      <w:pPr>
        <w:pStyle w:val="normal0"/>
        <w:spacing w:line="276" w:lineRule="auto"/>
        <w:jc w:val="both"/>
        <w:rPr>
          <w:b/>
          <w:sz w:val="22"/>
          <w:szCs w:val="22"/>
        </w:rPr>
      </w:pPr>
      <w:bookmarkStart w:id="3" w:name="_1t3h5sf" w:colFirst="0" w:colLast="0"/>
      <w:bookmarkEnd w:id="3"/>
      <w:r w:rsidRPr="00DA5D9F">
        <w:rPr>
          <w:b/>
          <w:sz w:val="22"/>
          <w:szCs w:val="22"/>
        </w:rPr>
        <w:t xml:space="preserve"> NET NPAs OF BANK GROUPS</w:t>
      </w:r>
    </w:p>
    <w:p w:rsidR="000F4E1E" w:rsidRPr="00DA5D9F" w:rsidRDefault="00D618D5" w:rsidP="00565A71">
      <w:pPr>
        <w:pStyle w:val="normal0"/>
        <w:spacing w:line="276" w:lineRule="auto"/>
        <w:ind w:firstLine="720"/>
        <w:jc w:val="both"/>
        <w:rPr>
          <w:sz w:val="22"/>
          <w:szCs w:val="22"/>
        </w:rPr>
      </w:pPr>
      <w:r w:rsidRPr="00DA5D9F">
        <w:rPr>
          <w:sz w:val="22"/>
          <w:szCs w:val="22"/>
        </w:rPr>
        <w:lastRenderedPageBreak/>
        <w:t>The NPA of Scheduled Commercial Banks has Increasing Trend among Scheduled Commercial Banks, The NPA of SCB</w:t>
      </w:r>
      <w:r w:rsidR="00DF27E0">
        <w:rPr>
          <w:sz w:val="22"/>
          <w:szCs w:val="22"/>
        </w:rPr>
        <w:t>,</w:t>
      </w:r>
      <w:r w:rsidRPr="00DA5D9F">
        <w:rPr>
          <w:sz w:val="22"/>
          <w:szCs w:val="22"/>
        </w:rPr>
        <w:t xml:space="preserve"> the share of NPA of Public Sector Bank is high. The </w:t>
      </w:r>
      <w:r w:rsidR="000F4E1E" w:rsidRPr="00DA5D9F">
        <w:rPr>
          <w:sz w:val="22"/>
          <w:szCs w:val="22"/>
        </w:rPr>
        <w:t xml:space="preserve">Net NPAs of Bank Groups </w:t>
      </w:r>
      <w:r w:rsidRPr="00DA5D9F">
        <w:rPr>
          <w:sz w:val="22"/>
          <w:szCs w:val="22"/>
        </w:rPr>
        <w:t>have presented in table 4.7</w:t>
      </w:r>
    </w:p>
    <w:p w:rsidR="000F4E1E" w:rsidRPr="00DA5D9F" w:rsidRDefault="000F4E1E" w:rsidP="00565A71">
      <w:pPr>
        <w:pStyle w:val="normal0"/>
        <w:spacing w:line="276" w:lineRule="auto"/>
        <w:jc w:val="center"/>
        <w:rPr>
          <w:b/>
          <w:sz w:val="22"/>
          <w:szCs w:val="22"/>
        </w:rPr>
      </w:pPr>
      <w:r w:rsidRPr="00DA5D9F">
        <w:rPr>
          <w:b/>
          <w:sz w:val="22"/>
          <w:szCs w:val="22"/>
        </w:rPr>
        <w:t>TABLE – 4.7</w:t>
      </w:r>
    </w:p>
    <w:p w:rsidR="000F4E1E" w:rsidRPr="00DA5D9F" w:rsidRDefault="000F4E1E" w:rsidP="00565A71">
      <w:pPr>
        <w:pStyle w:val="normal0"/>
        <w:spacing w:line="276" w:lineRule="auto"/>
        <w:jc w:val="center"/>
        <w:rPr>
          <w:b/>
          <w:sz w:val="22"/>
          <w:szCs w:val="22"/>
        </w:rPr>
      </w:pPr>
      <w:r w:rsidRPr="00DA5D9F">
        <w:rPr>
          <w:b/>
          <w:sz w:val="22"/>
          <w:szCs w:val="22"/>
        </w:rPr>
        <w:t>NET NPAs OF BANK GROUPS</w:t>
      </w:r>
    </w:p>
    <w:p w:rsidR="000F4E1E" w:rsidRPr="00DA5D9F" w:rsidRDefault="000F4E1E" w:rsidP="00565A71">
      <w:pPr>
        <w:pStyle w:val="normal0"/>
        <w:spacing w:line="276" w:lineRule="auto"/>
        <w:jc w:val="right"/>
        <w:rPr>
          <w:sz w:val="22"/>
          <w:szCs w:val="22"/>
        </w:rPr>
      </w:pPr>
      <w:r w:rsidRPr="00DA5D9F">
        <w:rPr>
          <w:sz w:val="22"/>
          <w:szCs w:val="22"/>
        </w:rPr>
        <w:t>(In crores)</w:t>
      </w:r>
    </w:p>
    <w:tbl>
      <w:tblPr>
        <w:tblW w:w="9676"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358"/>
        <w:gridCol w:w="2070"/>
        <w:gridCol w:w="2160"/>
        <w:gridCol w:w="1370"/>
        <w:gridCol w:w="1718"/>
      </w:tblGrid>
      <w:tr w:rsidR="000F4E1E" w:rsidRPr="00DA5D9F" w:rsidTr="00D618D5">
        <w:trPr>
          <w:cantSplit/>
          <w:trHeight w:val="359"/>
          <w:tblHeader/>
        </w:trPr>
        <w:tc>
          <w:tcPr>
            <w:tcW w:w="2358" w:type="dxa"/>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YEAR</w:t>
            </w:r>
          </w:p>
        </w:tc>
        <w:tc>
          <w:tcPr>
            <w:tcW w:w="2070"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rPr>
                <w:b/>
                <w:color w:val="000000"/>
                <w:sz w:val="22"/>
                <w:szCs w:val="22"/>
              </w:rPr>
            </w:pPr>
            <w:r w:rsidRPr="00DA5D9F">
              <w:rPr>
                <w:b/>
                <w:color w:val="000000"/>
                <w:sz w:val="22"/>
                <w:szCs w:val="22"/>
              </w:rPr>
              <w:t>PUBLIC SECTOR BANK</w:t>
            </w:r>
          </w:p>
        </w:tc>
        <w:tc>
          <w:tcPr>
            <w:tcW w:w="2160"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rPr>
                <w:b/>
                <w:color w:val="000000"/>
                <w:sz w:val="22"/>
                <w:szCs w:val="22"/>
              </w:rPr>
            </w:pPr>
            <w:r w:rsidRPr="00DA5D9F">
              <w:rPr>
                <w:b/>
                <w:color w:val="000000"/>
                <w:sz w:val="22"/>
                <w:szCs w:val="22"/>
              </w:rPr>
              <w:t>PRIVATE SECTOR BANKS</w:t>
            </w:r>
          </w:p>
        </w:tc>
        <w:tc>
          <w:tcPr>
            <w:tcW w:w="1370"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FOREIGN BANKS</w:t>
            </w:r>
          </w:p>
        </w:tc>
        <w:tc>
          <w:tcPr>
            <w:tcW w:w="1718" w:type="dxa"/>
            <w:tcBorders>
              <w:top w:val="single" w:sz="4" w:space="0" w:color="000000"/>
              <w:bottom w:val="single" w:sz="4" w:space="0" w:color="000000"/>
              <w:right w:val="single" w:sz="4" w:space="0" w:color="000000"/>
            </w:tcBorders>
            <w:shd w:val="clear" w:color="auto" w:fill="auto"/>
          </w:tcPr>
          <w:p w:rsidR="000F4E1E" w:rsidRPr="00DA5D9F" w:rsidRDefault="000F4E1E" w:rsidP="00565A71">
            <w:pPr>
              <w:pStyle w:val="normal0"/>
              <w:spacing w:line="276" w:lineRule="auto"/>
              <w:jc w:val="center"/>
              <w:rPr>
                <w:b/>
                <w:color w:val="000000"/>
                <w:sz w:val="22"/>
                <w:szCs w:val="22"/>
              </w:rPr>
            </w:pPr>
            <w:r w:rsidRPr="00DA5D9F">
              <w:rPr>
                <w:b/>
                <w:color w:val="000000"/>
                <w:sz w:val="22"/>
                <w:szCs w:val="22"/>
              </w:rPr>
              <w:t>SCBS</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2012-13</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90037</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3900</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2663</w:t>
            </w:r>
          </w:p>
        </w:tc>
        <w:tc>
          <w:tcPr>
            <w:tcW w:w="1718" w:type="dxa"/>
            <w:tcBorders>
              <w:top w:val="single" w:sz="4" w:space="0" w:color="000000"/>
            </w:tcBorders>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98693</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2013-14</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130394</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8862</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3160</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142421</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2014-15</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159951</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14128</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1762</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175841</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2015-16</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320376</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26677</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2762</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349814</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2016-17</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383089</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47780</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2137</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433121</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2017-18</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454473</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64380</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1548</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520838</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2018-19</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285122</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67309</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2051</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355068</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2019-20</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230918</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55683</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2005</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289370</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2020-21</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196451</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55809</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2987</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258228</w:t>
            </w:r>
          </w:p>
        </w:tc>
      </w:tr>
      <w:tr w:rsidR="000F4E1E" w:rsidRPr="00DA5D9F" w:rsidTr="00D618D5">
        <w:trPr>
          <w:cantSplit/>
          <w:trHeight w:val="272"/>
          <w:tblHeader/>
        </w:trPr>
        <w:tc>
          <w:tcPr>
            <w:tcW w:w="235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2021-22</w:t>
            </w:r>
          </w:p>
        </w:tc>
        <w:tc>
          <w:tcPr>
            <w:tcW w:w="20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154745</w:t>
            </w:r>
          </w:p>
        </w:tc>
        <w:tc>
          <w:tcPr>
            <w:tcW w:w="216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43733</w:t>
            </w:r>
          </w:p>
        </w:tc>
        <w:tc>
          <w:tcPr>
            <w:tcW w:w="1370"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3023</w:t>
            </w:r>
          </w:p>
        </w:tc>
        <w:tc>
          <w:tcPr>
            <w:tcW w:w="1718" w:type="dxa"/>
            <w:vAlign w:val="bottom"/>
          </w:tcPr>
          <w:p w:rsidR="000F4E1E" w:rsidRPr="00DA5D9F" w:rsidRDefault="000F4E1E" w:rsidP="00565A71">
            <w:pPr>
              <w:pStyle w:val="normal0"/>
              <w:spacing w:line="276" w:lineRule="auto"/>
              <w:jc w:val="center"/>
              <w:rPr>
                <w:color w:val="000000"/>
                <w:sz w:val="22"/>
                <w:szCs w:val="22"/>
              </w:rPr>
            </w:pPr>
            <w:r w:rsidRPr="00DA5D9F">
              <w:rPr>
                <w:sz w:val="22"/>
                <w:szCs w:val="22"/>
              </w:rPr>
              <w:t>204226</w:t>
            </w:r>
          </w:p>
        </w:tc>
      </w:tr>
      <w:tr w:rsidR="000F4E1E" w:rsidRPr="00DA5D9F" w:rsidTr="00D618D5">
        <w:trPr>
          <w:cantSplit/>
          <w:trHeight w:val="350"/>
          <w:tblHeader/>
        </w:trPr>
        <w:tc>
          <w:tcPr>
            <w:tcW w:w="2358"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TOTAL</w:t>
            </w:r>
          </w:p>
        </w:tc>
        <w:tc>
          <w:tcPr>
            <w:tcW w:w="207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2405556</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388261</w:t>
            </w:r>
          </w:p>
        </w:tc>
        <w:tc>
          <w:tcPr>
            <w:tcW w:w="137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24098</w:t>
            </w:r>
          </w:p>
        </w:tc>
        <w:tc>
          <w:tcPr>
            <w:tcW w:w="1718"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2827620</w:t>
            </w:r>
          </w:p>
        </w:tc>
      </w:tr>
      <w:tr w:rsidR="000F4E1E" w:rsidRPr="00DA5D9F" w:rsidTr="00D618D5">
        <w:trPr>
          <w:cantSplit/>
          <w:trHeight w:val="278"/>
          <w:tblHeader/>
        </w:trPr>
        <w:tc>
          <w:tcPr>
            <w:tcW w:w="2358" w:type="dxa"/>
            <w:vAlign w:val="bottom"/>
          </w:tcPr>
          <w:p w:rsidR="000F4E1E" w:rsidRPr="00DA5D9F" w:rsidRDefault="000F4E1E" w:rsidP="00565A71">
            <w:pPr>
              <w:pStyle w:val="normal0"/>
              <w:spacing w:line="276" w:lineRule="auto"/>
              <w:rPr>
                <w:b/>
                <w:color w:val="000000"/>
                <w:sz w:val="22"/>
                <w:szCs w:val="22"/>
              </w:rPr>
            </w:pPr>
            <w:r w:rsidRPr="00DA5D9F">
              <w:rPr>
                <w:b/>
                <w:sz w:val="22"/>
                <w:szCs w:val="22"/>
              </w:rPr>
              <w:t xml:space="preserve">PERCENTAGE </w:t>
            </w:r>
            <w:r w:rsidR="00D618D5" w:rsidRPr="00DA5D9F">
              <w:rPr>
                <w:b/>
                <w:sz w:val="22"/>
                <w:szCs w:val="22"/>
              </w:rPr>
              <w:t>(</w:t>
            </w:r>
            <w:r w:rsidRPr="00DA5D9F">
              <w:rPr>
                <w:b/>
                <w:sz w:val="22"/>
                <w:szCs w:val="22"/>
              </w:rPr>
              <w:t>%)</w:t>
            </w:r>
          </w:p>
        </w:tc>
        <w:tc>
          <w:tcPr>
            <w:tcW w:w="207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85.07</w:t>
            </w:r>
          </w:p>
        </w:tc>
        <w:tc>
          <w:tcPr>
            <w:tcW w:w="216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13.73</w:t>
            </w:r>
          </w:p>
        </w:tc>
        <w:tc>
          <w:tcPr>
            <w:tcW w:w="1370"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0.85</w:t>
            </w:r>
          </w:p>
        </w:tc>
        <w:tc>
          <w:tcPr>
            <w:tcW w:w="1718" w:type="dxa"/>
            <w:vAlign w:val="bottom"/>
          </w:tcPr>
          <w:p w:rsidR="000F4E1E" w:rsidRPr="00DA5D9F" w:rsidRDefault="000F4E1E" w:rsidP="00565A71">
            <w:pPr>
              <w:pStyle w:val="normal0"/>
              <w:spacing w:line="276" w:lineRule="auto"/>
              <w:jc w:val="center"/>
              <w:rPr>
                <w:b/>
                <w:color w:val="000000"/>
                <w:sz w:val="22"/>
                <w:szCs w:val="22"/>
              </w:rPr>
            </w:pPr>
            <w:r w:rsidRPr="00DA5D9F">
              <w:rPr>
                <w:b/>
                <w:sz w:val="22"/>
                <w:szCs w:val="22"/>
              </w:rPr>
              <w:t>100</w:t>
            </w:r>
          </w:p>
        </w:tc>
      </w:tr>
    </w:tbl>
    <w:p w:rsidR="000F4E1E" w:rsidRPr="00DA5D9F" w:rsidRDefault="00D618D5" w:rsidP="00565A71">
      <w:pPr>
        <w:pStyle w:val="normal0"/>
        <w:spacing w:line="276" w:lineRule="auto"/>
        <w:jc w:val="both"/>
        <w:rPr>
          <w:sz w:val="22"/>
          <w:szCs w:val="22"/>
        </w:rPr>
      </w:pPr>
      <w:r w:rsidRPr="00DA5D9F">
        <w:rPr>
          <w:sz w:val="22"/>
          <w:szCs w:val="22"/>
        </w:rPr>
        <w:t>Source: R</w:t>
      </w:r>
      <w:r w:rsidR="000F4E1E" w:rsidRPr="00DA5D9F">
        <w:rPr>
          <w:sz w:val="22"/>
          <w:szCs w:val="22"/>
        </w:rPr>
        <w:t>eport on trends and progress in Banking in India</w:t>
      </w:r>
    </w:p>
    <w:p w:rsidR="000F4E1E" w:rsidRPr="00DA5D9F" w:rsidRDefault="000F4E1E" w:rsidP="00565A71">
      <w:pPr>
        <w:pStyle w:val="normal0"/>
        <w:spacing w:line="276" w:lineRule="auto"/>
        <w:jc w:val="both"/>
        <w:rPr>
          <w:b/>
          <w:sz w:val="22"/>
          <w:szCs w:val="22"/>
        </w:rPr>
      </w:pPr>
      <w:bookmarkStart w:id="4" w:name="_4d34og8" w:colFirst="0" w:colLast="0"/>
      <w:bookmarkEnd w:id="4"/>
      <w:r w:rsidRPr="00DA5D9F">
        <w:rPr>
          <w:b/>
          <w:sz w:val="22"/>
          <w:szCs w:val="22"/>
        </w:rPr>
        <w:t>NET NPAs TO NET ADVANCES RATIO</w:t>
      </w:r>
    </w:p>
    <w:p w:rsidR="000F4E1E" w:rsidRPr="00DA5D9F" w:rsidRDefault="00D618D5" w:rsidP="00565A71">
      <w:pPr>
        <w:pStyle w:val="normal0"/>
        <w:spacing w:line="276" w:lineRule="auto"/>
        <w:ind w:firstLine="720"/>
        <w:jc w:val="both"/>
        <w:rPr>
          <w:sz w:val="22"/>
          <w:szCs w:val="22"/>
        </w:rPr>
      </w:pPr>
      <w:r w:rsidRPr="00DA5D9F">
        <w:rPr>
          <w:sz w:val="22"/>
          <w:szCs w:val="22"/>
        </w:rPr>
        <w:t>The Trend of Net NPA to Net Advances Ratio has Fluctuated, In Public Sector Banks, particularly in the year 2016-19, the Net NPA to Net Advances Ratio has Increased followed by Private Sector Banks and Foreign Banks the Net NPA to Net Advances Ratio has increased in Trend.</w:t>
      </w:r>
      <w:r w:rsidR="00645BE7" w:rsidRPr="00DA5D9F">
        <w:rPr>
          <w:sz w:val="22"/>
          <w:szCs w:val="22"/>
        </w:rPr>
        <w:t xml:space="preserve"> </w:t>
      </w:r>
      <w:r w:rsidRPr="00DA5D9F">
        <w:rPr>
          <w:sz w:val="22"/>
          <w:szCs w:val="22"/>
        </w:rPr>
        <w:t>T</w:t>
      </w:r>
      <w:r w:rsidR="000F4E1E" w:rsidRPr="00DA5D9F">
        <w:rPr>
          <w:sz w:val="22"/>
          <w:szCs w:val="22"/>
        </w:rPr>
        <w:t>h</w:t>
      </w:r>
      <w:r w:rsidRPr="00DA5D9F">
        <w:rPr>
          <w:sz w:val="22"/>
          <w:szCs w:val="22"/>
        </w:rPr>
        <w:t>e</w:t>
      </w:r>
      <w:r w:rsidR="000F4E1E" w:rsidRPr="00DA5D9F">
        <w:rPr>
          <w:sz w:val="22"/>
          <w:szCs w:val="22"/>
        </w:rPr>
        <w:t xml:space="preserve"> table 4.8 shows t</w:t>
      </w:r>
      <w:r w:rsidRPr="00DA5D9F">
        <w:rPr>
          <w:sz w:val="22"/>
          <w:szCs w:val="22"/>
        </w:rPr>
        <w:t>he net Net NPA</w:t>
      </w:r>
      <w:r w:rsidR="000F4E1E" w:rsidRPr="00DA5D9F">
        <w:rPr>
          <w:sz w:val="22"/>
          <w:szCs w:val="22"/>
        </w:rPr>
        <w:t>s to Net Advances Ratio for the year 2012-2022</w:t>
      </w:r>
    </w:p>
    <w:p w:rsidR="000F4E1E" w:rsidRPr="00DA5D9F" w:rsidRDefault="000F4E1E" w:rsidP="00DF27E0">
      <w:pPr>
        <w:pStyle w:val="normal0"/>
        <w:jc w:val="center"/>
        <w:rPr>
          <w:b/>
          <w:sz w:val="22"/>
          <w:szCs w:val="22"/>
        </w:rPr>
      </w:pPr>
      <w:r w:rsidRPr="00DA5D9F">
        <w:rPr>
          <w:b/>
          <w:sz w:val="22"/>
          <w:szCs w:val="22"/>
        </w:rPr>
        <w:t>TABLE – 4.8</w:t>
      </w:r>
    </w:p>
    <w:p w:rsidR="000F4E1E" w:rsidRPr="00DA5D9F" w:rsidRDefault="000F4E1E" w:rsidP="00DF27E0">
      <w:pPr>
        <w:pStyle w:val="normal0"/>
        <w:jc w:val="center"/>
        <w:rPr>
          <w:b/>
          <w:sz w:val="22"/>
          <w:szCs w:val="22"/>
        </w:rPr>
      </w:pPr>
      <w:r w:rsidRPr="00DA5D9F">
        <w:rPr>
          <w:b/>
          <w:sz w:val="22"/>
          <w:szCs w:val="22"/>
        </w:rPr>
        <w:t>NET NPAs TO NET ADVANCES RATIO</w:t>
      </w:r>
    </w:p>
    <w:p w:rsidR="000F4E1E" w:rsidRPr="00DA5D9F" w:rsidRDefault="000F4E1E" w:rsidP="00DF27E0">
      <w:pPr>
        <w:pStyle w:val="normal0"/>
        <w:jc w:val="right"/>
        <w:rPr>
          <w:sz w:val="22"/>
          <w:szCs w:val="22"/>
        </w:rPr>
      </w:pPr>
      <w:r w:rsidRPr="00DA5D9F">
        <w:rPr>
          <w:sz w:val="22"/>
          <w:szCs w:val="22"/>
        </w:rPr>
        <w:t>(In percent)</w:t>
      </w:r>
    </w:p>
    <w:tbl>
      <w:tblPr>
        <w:tblW w:w="9796"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250"/>
        <w:gridCol w:w="2149"/>
        <w:gridCol w:w="1966"/>
        <w:gridCol w:w="1950"/>
      </w:tblGrid>
      <w:tr w:rsidR="000F4E1E" w:rsidRPr="00DA5D9F" w:rsidTr="00645BE7">
        <w:trPr>
          <w:cantSplit/>
          <w:trHeight w:val="592"/>
          <w:tblHeader/>
        </w:trPr>
        <w:tc>
          <w:tcPr>
            <w:tcW w:w="1481" w:type="dxa"/>
          </w:tcPr>
          <w:p w:rsidR="000F4E1E" w:rsidRPr="00DA5D9F" w:rsidRDefault="000F4E1E" w:rsidP="00565A71">
            <w:pPr>
              <w:pStyle w:val="normal0"/>
              <w:spacing w:line="276" w:lineRule="auto"/>
              <w:jc w:val="both"/>
              <w:rPr>
                <w:b/>
                <w:sz w:val="22"/>
                <w:szCs w:val="22"/>
              </w:rPr>
            </w:pPr>
            <w:r w:rsidRPr="00DA5D9F">
              <w:rPr>
                <w:b/>
                <w:sz w:val="22"/>
                <w:szCs w:val="22"/>
              </w:rPr>
              <w:t>YEAR</w:t>
            </w:r>
          </w:p>
        </w:tc>
        <w:tc>
          <w:tcPr>
            <w:tcW w:w="2250" w:type="dxa"/>
          </w:tcPr>
          <w:p w:rsidR="000F4E1E" w:rsidRPr="00DA5D9F" w:rsidRDefault="000F4E1E" w:rsidP="00565A71">
            <w:pPr>
              <w:pStyle w:val="normal0"/>
              <w:spacing w:line="276" w:lineRule="auto"/>
              <w:jc w:val="both"/>
              <w:rPr>
                <w:b/>
                <w:sz w:val="22"/>
                <w:szCs w:val="22"/>
              </w:rPr>
            </w:pPr>
            <w:r w:rsidRPr="00DA5D9F">
              <w:rPr>
                <w:b/>
                <w:sz w:val="22"/>
                <w:szCs w:val="22"/>
              </w:rPr>
              <w:t>PUBLIC SECTOR BANKS</w:t>
            </w:r>
          </w:p>
        </w:tc>
        <w:tc>
          <w:tcPr>
            <w:tcW w:w="2149" w:type="dxa"/>
          </w:tcPr>
          <w:p w:rsidR="000F4E1E" w:rsidRPr="00DA5D9F" w:rsidRDefault="000F4E1E" w:rsidP="00565A71">
            <w:pPr>
              <w:pStyle w:val="normal0"/>
              <w:spacing w:line="276" w:lineRule="auto"/>
              <w:jc w:val="both"/>
              <w:rPr>
                <w:b/>
                <w:sz w:val="22"/>
                <w:szCs w:val="22"/>
              </w:rPr>
            </w:pPr>
            <w:r w:rsidRPr="00DA5D9F">
              <w:rPr>
                <w:b/>
                <w:sz w:val="22"/>
                <w:szCs w:val="22"/>
              </w:rPr>
              <w:t>PRIVATE SECTOR BANKS</w:t>
            </w:r>
          </w:p>
        </w:tc>
        <w:tc>
          <w:tcPr>
            <w:tcW w:w="1966" w:type="dxa"/>
          </w:tcPr>
          <w:p w:rsidR="000F4E1E" w:rsidRPr="00DA5D9F" w:rsidRDefault="000F4E1E" w:rsidP="00565A71">
            <w:pPr>
              <w:pStyle w:val="normal0"/>
              <w:spacing w:line="276" w:lineRule="auto"/>
              <w:jc w:val="both"/>
              <w:rPr>
                <w:b/>
                <w:sz w:val="22"/>
                <w:szCs w:val="22"/>
              </w:rPr>
            </w:pPr>
            <w:r w:rsidRPr="00DA5D9F">
              <w:rPr>
                <w:b/>
                <w:sz w:val="22"/>
                <w:szCs w:val="22"/>
              </w:rPr>
              <w:t>FOREGIN BANKS</w:t>
            </w:r>
          </w:p>
        </w:tc>
        <w:tc>
          <w:tcPr>
            <w:tcW w:w="1950" w:type="dxa"/>
          </w:tcPr>
          <w:p w:rsidR="000F4E1E" w:rsidRPr="00DA5D9F" w:rsidRDefault="000F4E1E" w:rsidP="00565A71">
            <w:pPr>
              <w:pStyle w:val="normal0"/>
              <w:spacing w:line="276" w:lineRule="auto"/>
              <w:jc w:val="both"/>
              <w:rPr>
                <w:b/>
                <w:sz w:val="22"/>
                <w:szCs w:val="22"/>
              </w:rPr>
            </w:pPr>
            <w:r w:rsidRPr="00DA5D9F">
              <w:rPr>
                <w:b/>
                <w:sz w:val="22"/>
                <w:szCs w:val="22"/>
              </w:rPr>
              <w:t>ALL SCBs</w:t>
            </w:r>
          </w:p>
        </w:tc>
      </w:tr>
      <w:tr w:rsidR="000F4E1E" w:rsidRPr="00DA5D9F" w:rsidTr="00645BE7">
        <w:trPr>
          <w:cantSplit/>
          <w:trHeight w:val="26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2012-13</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2</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0.4</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1</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1.7</w:t>
            </w:r>
          </w:p>
        </w:tc>
      </w:tr>
      <w:tr w:rsidR="000F4E1E" w:rsidRPr="00DA5D9F" w:rsidTr="00645BE7">
        <w:trPr>
          <w:cantSplit/>
          <w:trHeight w:val="332"/>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2013-14</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2.6</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0.7</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1.1</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2.1</w:t>
            </w:r>
          </w:p>
        </w:tc>
      </w:tr>
      <w:tr w:rsidR="000F4E1E" w:rsidRPr="00DA5D9F" w:rsidTr="00645BE7">
        <w:trPr>
          <w:cantSplit/>
          <w:trHeight w:val="35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2014-15</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2.9</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0.9</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2.4</w:t>
            </w:r>
          </w:p>
        </w:tc>
      </w:tr>
      <w:tr w:rsidR="000F4E1E" w:rsidRPr="00DA5D9F" w:rsidTr="00645BE7">
        <w:trPr>
          <w:cantSplit/>
          <w:trHeight w:val="26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2015-16</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5.7</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1.4</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0.8</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4.4</w:t>
            </w:r>
          </w:p>
        </w:tc>
      </w:tr>
      <w:tr w:rsidR="000F4E1E" w:rsidRPr="00DA5D9F" w:rsidTr="00645BE7">
        <w:trPr>
          <w:cantSplit/>
          <w:trHeight w:val="242"/>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2016-17</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6.9</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2.2</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0.6</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5.3</w:t>
            </w:r>
          </w:p>
        </w:tc>
      </w:tr>
      <w:tr w:rsidR="000F4E1E" w:rsidRPr="00DA5D9F" w:rsidTr="00645BE7">
        <w:trPr>
          <w:cantSplit/>
          <w:trHeight w:val="323"/>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2017-18</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8</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2.4</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0.4</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6</w:t>
            </w:r>
          </w:p>
        </w:tc>
      </w:tr>
      <w:tr w:rsidR="000F4E1E" w:rsidRPr="00DA5D9F" w:rsidTr="00645BE7">
        <w:trPr>
          <w:cantSplit/>
          <w:trHeight w:val="260"/>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2018-19</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4.8</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2</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3.7</w:t>
            </w:r>
          </w:p>
        </w:tc>
      </w:tr>
      <w:tr w:rsidR="000F4E1E" w:rsidRPr="00DA5D9F" w:rsidTr="00645BE7">
        <w:trPr>
          <w:cantSplit/>
          <w:trHeight w:val="242"/>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2019-20</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3.7</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1.5</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2.8</w:t>
            </w:r>
          </w:p>
        </w:tc>
      </w:tr>
      <w:tr w:rsidR="000F4E1E" w:rsidRPr="00DA5D9F" w:rsidTr="00645BE7">
        <w:trPr>
          <w:cantSplit/>
          <w:trHeight w:val="323"/>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2020-21</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3.1</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1.4</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0.7</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2.4</w:t>
            </w:r>
          </w:p>
        </w:tc>
      </w:tr>
      <w:tr w:rsidR="000F4E1E" w:rsidRPr="00DA5D9F" w:rsidTr="00645BE7">
        <w:trPr>
          <w:cantSplit/>
          <w:trHeight w:val="332"/>
          <w:tblHeader/>
        </w:trPr>
        <w:tc>
          <w:tcPr>
            <w:tcW w:w="1481" w:type="dxa"/>
          </w:tcPr>
          <w:p w:rsidR="000F4E1E" w:rsidRPr="00DA5D9F" w:rsidRDefault="000F4E1E" w:rsidP="00565A71">
            <w:pPr>
              <w:pStyle w:val="normal0"/>
              <w:spacing w:line="276" w:lineRule="auto"/>
              <w:jc w:val="center"/>
              <w:rPr>
                <w:sz w:val="22"/>
                <w:szCs w:val="22"/>
              </w:rPr>
            </w:pPr>
            <w:r w:rsidRPr="00DA5D9F">
              <w:rPr>
                <w:color w:val="000000"/>
                <w:sz w:val="22"/>
                <w:szCs w:val="22"/>
              </w:rPr>
              <w:t>2021-22</w:t>
            </w:r>
          </w:p>
        </w:tc>
        <w:tc>
          <w:tcPr>
            <w:tcW w:w="2250" w:type="dxa"/>
          </w:tcPr>
          <w:p w:rsidR="000F4E1E" w:rsidRPr="00DA5D9F" w:rsidRDefault="000F4E1E" w:rsidP="00565A71">
            <w:pPr>
              <w:pStyle w:val="normal0"/>
              <w:spacing w:line="276" w:lineRule="auto"/>
              <w:jc w:val="center"/>
              <w:rPr>
                <w:sz w:val="22"/>
                <w:szCs w:val="22"/>
              </w:rPr>
            </w:pPr>
            <w:r w:rsidRPr="00DA5D9F">
              <w:rPr>
                <w:color w:val="000000"/>
                <w:sz w:val="22"/>
                <w:szCs w:val="22"/>
              </w:rPr>
              <w:t>2.2</w:t>
            </w:r>
          </w:p>
        </w:tc>
        <w:tc>
          <w:tcPr>
            <w:tcW w:w="2149" w:type="dxa"/>
          </w:tcPr>
          <w:p w:rsidR="000F4E1E" w:rsidRPr="00DA5D9F" w:rsidRDefault="000F4E1E" w:rsidP="00565A71">
            <w:pPr>
              <w:pStyle w:val="normal0"/>
              <w:spacing w:line="276" w:lineRule="auto"/>
              <w:jc w:val="center"/>
              <w:rPr>
                <w:sz w:val="22"/>
                <w:szCs w:val="22"/>
              </w:rPr>
            </w:pPr>
            <w:r w:rsidRPr="00DA5D9F">
              <w:rPr>
                <w:color w:val="000000"/>
                <w:sz w:val="22"/>
                <w:szCs w:val="22"/>
              </w:rPr>
              <w:t>1</w:t>
            </w:r>
          </w:p>
        </w:tc>
        <w:tc>
          <w:tcPr>
            <w:tcW w:w="1966" w:type="dxa"/>
          </w:tcPr>
          <w:p w:rsidR="000F4E1E" w:rsidRPr="00DA5D9F" w:rsidRDefault="000F4E1E" w:rsidP="00565A71">
            <w:pPr>
              <w:pStyle w:val="normal0"/>
              <w:spacing w:line="276" w:lineRule="auto"/>
              <w:jc w:val="center"/>
              <w:rPr>
                <w:sz w:val="22"/>
                <w:szCs w:val="22"/>
              </w:rPr>
            </w:pPr>
            <w:r w:rsidRPr="00DA5D9F">
              <w:rPr>
                <w:color w:val="000000"/>
                <w:sz w:val="22"/>
                <w:szCs w:val="22"/>
              </w:rPr>
              <w:t>0.6</w:t>
            </w:r>
          </w:p>
        </w:tc>
        <w:tc>
          <w:tcPr>
            <w:tcW w:w="1950" w:type="dxa"/>
          </w:tcPr>
          <w:p w:rsidR="000F4E1E" w:rsidRPr="00DA5D9F" w:rsidRDefault="000F4E1E" w:rsidP="00565A71">
            <w:pPr>
              <w:pStyle w:val="normal0"/>
              <w:spacing w:line="276" w:lineRule="auto"/>
              <w:jc w:val="center"/>
              <w:rPr>
                <w:sz w:val="22"/>
                <w:szCs w:val="22"/>
              </w:rPr>
            </w:pPr>
            <w:r w:rsidRPr="00DA5D9F">
              <w:rPr>
                <w:color w:val="000000"/>
                <w:sz w:val="22"/>
                <w:szCs w:val="22"/>
              </w:rPr>
              <w:t>1.7</w:t>
            </w:r>
          </w:p>
        </w:tc>
      </w:tr>
    </w:tbl>
    <w:p w:rsidR="000F4E1E" w:rsidRPr="00DA5D9F" w:rsidRDefault="000F4E1E" w:rsidP="00565A71">
      <w:pPr>
        <w:pStyle w:val="normal0"/>
        <w:spacing w:line="276" w:lineRule="auto"/>
        <w:jc w:val="both"/>
        <w:rPr>
          <w:sz w:val="22"/>
          <w:szCs w:val="22"/>
        </w:rPr>
      </w:pPr>
      <w:r w:rsidRPr="00DA5D9F">
        <w:rPr>
          <w:sz w:val="22"/>
          <w:szCs w:val="22"/>
        </w:rPr>
        <w:t>Source: Report on Trends and progress in Banking in India.</w:t>
      </w:r>
    </w:p>
    <w:p w:rsidR="000F4E1E" w:rsidRPr="00DA5D9F" w:rsidRDefault="000F4E1E" w:rsidP="00565A71">
      <w:pPr>
        <w:pStyle w:val="normal0"/>
        <w:spacing w:line="276" w:lineRule="auto"/>
        <w:jc w:val="both"/>
        <w:rPr>
          <w:b/>
          <w:sz w:val="22"/>
          <w:szCs w:val="22"/>
        </w:rPr>
      </w:pPr>
      <w:r w:rsidRPr="00DA5D9F">
        <w:rPr>
          <w:b/>
          <w:sz w:val="22"/>
          <w:szCs w:val="22"/>
        </w:rPr>
        <w:t>RECOVERY OF NON- PERFORING ASSETs BY SCBs</w:t>
      </w:r>
    </w:p>
    <w:p w:rsidR="000F4E1E" w:rsidRPr="00DA5D9F" w:rsidRDefault="00645BE7" w:rsidP="00565A71">
      <w:pPr>
        <w:pStyle w:val="normal0"/>
        <w:spacing w:line="276" w:lineRule="auto"/>
        <w:ind w:firstLine="720"/>
        <w:jc w:val="both"/>
        <w:rPr>
          <w:sz w:val="22"/>
          <w:szCs w:val="22"/>
        </w:rPr>
      </w:pPr>
      <w:r w:rsidRPr="00DA5D9F">
        <w:rPr>
          <w:sz w:val="22"/>
          <w:szCs w:val="22"/>
        </w:rPr>
        <w:lastRenderedPageBreak/>
        <w:t>The Recovery of Non-</w:t>
      </w:r>
      <w:r w:rsidR="000F4E1E" w:rsidRPr="00DA5D9F">
        <w:rPr>
          <w:sz w:val="22"/>
          <w:szCs w:val="22"/>
        </w:rPr>
        <w:t xml:space="preserve"> Performing Assets for the study period 2012-2013 to 2021-2022 has shown below.</w:t>
      </w:r>
    </w:p>
    <w:p w:rsidR="000F4E1E" w:rsidRPr="00DA5D9F" w:rsidRDefault="000F4E1E" w:rsidP="00565A71">
      <w:pPr>
        <w:pStyle w:val="normal0"/>
        <w:spacing w:line="276" w:lineRule="auto"/>
        <w:jc w:val="both"/>
        <w:rPr>
          <w:b/>
          <w:sz w:val="22"/>
          <w:szCs w:val="22"/>
        </w:rPr>
      </w:pPr>
      <w:r w:rsidRPr="00DA5D9F">
        <w:rPr>
          <w:b/>
          <w:sz w:val="22"/>
          <w:szCs w:val="22"/>
        </w:rPr>
        <w:t>RECOVERY OF NPAs THROUGH LOKADAL</w:t>
      </w:r>
      <w:r w:rsidR="00682DEF" w:rsidRPr="00DA5D9F">
        <w:rPr>
          <w:b/>
          <w:sz w:val="22"/>
          <w:szCs w:val="22"/>
        </w:rPr>
        <w:t>A</w:t>
      </w:r>
      <w:r w:rsidRPr="00DA5D9F">
        <w:rPr>
          <w:b/>
          <w:sz w:val="22"/>
          <w:szCs w:val="22"/>
        </w:rPr>
        <w:t>TS</w:t>
      </w:r>
    </w:p>
    <w:p w:rsidR="000F4E1E" w:rsidRPr="00DA5D9F" w:rsidRDefault="00682DEF" w:rsidP="00565A71">
      <w:pPr>
        <w:pStyle w:val="normal0"/>
        <w:spacing w:line="276" w:lineRule="auto"/>
        <w:ind w:firstLine="720"/>
        <w:jc w:val="both"/>
        <w:rPr>
          <w:sz w:val="22"/>
          <w:szCs w:val="22"/>
        </w:rPr>
      </w:pPr>
      <w:r w:rsidRPr="00DA5D9F">
        <w:rPr>
          <w:sz w:val="22"/>
          <w:szCs w:val="22"/>
        </w:rPr>
        <w:t xml:space="preserve">The trend of recovery of NPA through lokadalat has fluctuating trend and the Lokadalat play a major role among all recovery channels of NPAs. </w:t>
      </w:r>
      <w:r w:rsidR="000F4E1E" w:rsidRPr="00DA5D9F">
        <w:rPr>
          <w:sz w:val="22"/>
          <w:szCs w:val="22"/>
        </w:rPr>
        <w:t>The recovery procedure of NPA through LOKADAL</w:t>
      </w:r>
      <w:r w:rsidRPr="00DA5D9F">
        <w:rPr>
          <w:sz w:val="22"/>
          <w:szCs w:val="22"/>
        </w:rPr>
        <w:t>A</w:t>
      </w:r>
      <w:r w:rsidR="000F4E1E" w:rsidRPr="00DA5D9F">
        <w:rPr>
          <w:sz w:val="22"/>
          <w:szCs w:val="22"/>
        </w:rPr>
        <w:t>T has present</w:t>
      </w:r>
      <w:r w:rsidRPr="00DA5D9F">
        <w:rPr>
          <w:sz w:val="22"/>
          <w:szCs w:val="22"/>
        </w:rPr>
        <w:t>ed in the table 4.9</w:t>
      </w:r>
    </w:p>
    <w:p w:rsidR="000F4E1E" w:rsidRPr="00DA5D9F" w:rsidRDefault="00682DEF" w:rsidP="00565A71">
      <w:pPr>
        <w:pStyle w:val="normal0"/>
        <w:spacing w:line="276" w:lineRule="auto"/>
        <w:jc w:val="center"/>
        <w:rPr>
          <w:b/>
          <w:sz w:val="22"/>
          <w:szCs w:val="22"/>
        </w:rPr>
      </w:pPr>
      <w:r w:rsidRPr="00DA5D9F">
        <w:rPr>
          <w:b/>
          <w:sz w:val="22"/>
          <w:szCs w:val="22"/>
        </w:rPr>
        <w:t>TABLE – 4.9</w:t>
      </w:r>
    </w:p>
    <w:p w:rsidR="000F4E1E" w:rsidRPr="00DA5D9F" w:rsidRDefault="000F4E1E" w:rsidP="00565A71">
      <w:pPr>
        <w:pStyle w:val="normal0"/>
        <w:spacing w:line="276" w:lineRule="auto"/>
        <w:jc w:val="center"/>
        <w:rPr>
          <w:b/>
          <w:sz w:val="22"/>
          <w:szCs w:val="22"/>
        </w:rPr>
      </w:pPr>
      <w:bookmarkStart w:id="5" w:name="_17dp8vu" w:colFirst="0" w:colLast="0"/>
      <w:bookmarkEnd w:id="5"/>
      <w:r w:rsidRPr="00DA5D9F">
        <w:rPr>
          <w:b/>
          <w:sz w:val="22"/>
          <w:szCs w:val="22"/>
        </w:rPr>
        <w:t>RECOVERY OF NPAs THROUGH LOKADALTS</w:t>
      </w:r>
    </w:p>
    <w:p w:rsidR="000F4E1E" w:rsidRPr="00DA5D9F" w:rsidRDefault="000F4E1E" w:rsidP="00565A71">
      <w:pPr>
        <w:pStyle w:val="normal0"/>
        <w:spacing w:line="276" w:lineRule="auto"/>
        <w:jc w:val="right"/>
        <w:rPr>
          <w:sz w:val="22"/>
          <w:szCs w:val="22"/>
        </w:rPr>
      </w:pPr>
      <w:r w:rsidRPr="00DA5D9F">
        <w:rPr>
          <w:sz w:val="22"/>
          <w:szCs w:val="22"/>
        </w:rPr>
        <w:t>(In crores)</w:t>
      </w:r>
    </w:p>
    <w:tbl>
      <w:tblPr>
        <w:tblW w:w="10267"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66"/>
        <w:gridCol w:w="2567"/>
        <w:gridCol w:w="2567"/>
        <w:gridCol w:w="2567"/>
      </w:tblGrid>
      <w:tr w:rsidR="000F4E1E" w:rsidRPr="00DA5D9F" w:rsidTr="00682DEF">
        <w:trPr>
          <w:cantSplit/>
          <w:trHeight w:val="592"/>
          <w:tblHeader/>
        </w:trPr>
        <w:tc>
          <w:tcPr>
            <w:tcW w:w="2566" w:type="dxa"/>
          </w:tcPr>
          <w:p w:rsidR="000F4E1E" w:rsidRPr="00DA5D9F" w:rsidRDefault="000F4E1E" w:rsidP="00565A71">
            <w:pPr>
              <w:pStyle w:val="normal0"/>
              <w:spacing w:line="276" w:lineRule="auto"/>
              <w:jc w:val="center"/>
              <w:rPr>
                <w:b/>
                <w:sz w:val="22"/>
                <w:szCs w:val="22"/>
              </w:rPr>
            </w:pPr>
            <w:r w:rsidRPr="00DA5D9F">
              <w:rPr>
                <w:b/>
                <w:sz w:val="22"/>
                <w:szCs w:val="22"/>
              </w:rPr>
              <w:t>YEAR</w:t>
            </w:r>
          </w:p>
        </w:tc>
        <w:tc>
          <w:tcPr>
            <w:tcW w:w="2567" w:type="dxa"/>
          </w:tcPr>
          <w:p w:rsidR="000F4E1E" w:rsidRPr="00DA5D9F" w:rsidRDefault="000F4E1E" w:rsidP="00565A71">
            <w:pPr>
              <w:pStyle w:val="normal0"/>
              <w:spacing w:line="276" w:lineRule="auto"/>
              <w:jc w:val="center"/>
              <w:rPr>
                <w:b/>
                <w:sz w:val="22"/>
                <w:szCs w:val="22"/>
              </w:rPr>
            </w:pPr>
            <w:r w:rsidRPr="00DA5D9F">
              <w:rPr>
                <w:b/>
                <w:sz w:val="22"/>
                <w:szCs w:val="22"/>
              </w:rPr>
              <w:t>AMOUNT INVOLVED</w:t>
            </w:r>
          </w:p>
        </w:tc>
        <w:tc>
          <w:tcPr>
            <w:tcW w:w="2567" w:type="dxa"/>
          </w:tcPr>
          <w:p w:rsidR="000F4E1E" w:rsidRPr="00DA5D9F" w:rsidRDefault="000F4E1E" w:rsidP="00565A71">
            <w:pPr>
              <w:pStyle w:val="normal0"/>
              <w:spacing w:line="276" w:lineRule="auto"/>
              <w:jc w:val="center"/>
              <w:rPr>
                <w:b/>
                <w:sz w:val="22"/>
                <w:szCs w:val="22"/>
              </w:rPr>
            </w:pPr>
            <w:r w:rsidRPr="00DA5D9F">
              <w:rPr>
                <w:b/>
                <w:sz w:val="22"/>
                <w:szCs w:val="22"/>
              </w:rPr>
              <w:t>AMOUNT RECEIVED</w:t>
            </w:r>
          </w:p>
        </w:tc>
        <w:tc>
          <w:tcPr>
            <w:tcW w:w="2567" w:type="dxa"/>
          </w:tcPr>
          <w:p w:rsidR="000F4E1E" w:rsidRPr="00DA5D9F" w:rsidRDefault="000F4E1E" w:rsidP="00565A71">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682DEF">
        <w:trPr>
          <w:cantSplit/>
          <w:trHeight w:val="278"/>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66</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6.06</w:t>
            </w:r>
          </w:p>
        </w:tc>
      </w:tr>
      <w:tr w:rsidR="000F4E1E" w:rsidRPr="00DA5D9F" w:rsidTr="00682DEF">
        <w:trPr>
          <w:cantSplit/>
          <w:trHeight w:val="242"/>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23200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1400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6.034</w:t>
            </w:r>
          </w:p>
        </w:tc>
      </w:tr>
      <w:tr w:rsidR="000F4E1E" w:rsidRPr="00DA5D9F" w:rsidTr="00682DEF">
        <w:trPr>
          <w:cantSplit/>
          <w:trHeight w:val="233"/>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310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3.23</w:t>
            </w:r>
          </w:p>
        </w:tc>
      </w:tr>
      <w:tr w:rsidR="000F4E1E" w:rsidRPr="00DA5D9F" w:rsidTr="00682DEF">
        <w:trPr>
          <w:cantSplit/>
          <w:trHeight w:val="305"/>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720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4.44</w:t>
            </w:r>
          </w:p>
        </w:tc>
      </w:tr>
      <w:tr w:rsidR="000F4E1E" w:rsidRPr="00DA5D9F" w:rsidTr="00682DEF">
        <w:trPr>
          <w:cantSplit/>
          <w:trHeight w:val="170"/>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1058</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3.60</w:t>
            </w:r>
          </w:p>
        </w:tc>
      </w:tr>
      <w:tr w:rsidR="000F4E1E" w:rsidRPr="00DA5D9F" w:rsidTr="00682DEF">
        <w:trPr>
          <w:cantSplit/>
          <w:trHeight w:val="350"/>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45728</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1811</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3.96</w:t>
            </w:r>
          </w:p>
        </w:tc>
      </w:tr>
      <w:tr w:rsidR="000F4E1E" w:rsidRPr="00DA5D9F" w:rsidTr="00682DEF">
        <w:trPr>
          <w:cantSplit/>
          <w:trHeight w:val="332"/>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53484</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2750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5.15</w:t>
            </w:r>
          </w:p>
        </w:tc>
      </w:tr>
      <w:tr w:rsidR="000F4E1E" w:rsidRPr="00DA5D9F" w:rsidTr="00682DEF">
        <w:trPr>
          <w:cantSplit/>
          <w:trHeight w:val="278"/>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67801</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4211</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6.21</w:t>
            </w:r>
          </w:p>
        </w:tc>
      </w:tr>
      <w:tr w:rsidR="000F4E1E" w:rsidRPr="00DA5D9F" w:rsidTr="00682DEF">
        <w:trPr>
          <w:cantSplit/>
          <w:trHeight w:val="242"/>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28084</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1119</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3.99</w:t>
            </w:r>
          </w:p>
        </w:tc>
      </w:tr>
      <w:tr w:rsidR="000F4E1E" w:rsidRPr="00DA5D9F" w:rsidTr="00682DEF">
        <w:trPr>
          <w:cantSplit/>
          <w:trHeight w:val="233"/>
          <w:tblHeader/>
        </w:trPr>
        <w:tc>
          <w:tcPr>
            <w:tcW w:w="2566"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119005</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2777</w:t>
            </w:r>
          </w:p>
        </w:tc>
        <w:tc>
          <w:tcPr>
            <w:tcW w:w="2567" w:type="dxa"/>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2.33</w:t>
            </w:r>
          </w:p>
        </w:tc>
      </w:tr>
    </w:tbl>
    <w:p w:rsidR="000F4E1E" w:rsidRPr="00DA5D9F" w:rsidRDefault="000F4E1E" w:rsidP="00565A71">
      <w:pPr>
        <w:pStyle w:val="normal0"/>
        <w:spacing w:line="276" w:lineRule="auto"/>
        <w:jc w:val="both"/>
        <w:rPr>
          <w:sz w:val="22"/>
          <w:szCs w:val="22"/>
        </w:rPr>
      </w:pPr>
      <w:r w:rsidRPr="00DA5D9F">
        <w:rPr>
          <w:b/>
          <w:sz w:val="22"/>
          <w:szCs w:val="22"/>
        </w:rPr>
        <w:t>Source:</w:t>
      </w:r>
      <w:r w:rsidRPr="00DA5D9F">
        <w:rPr>
          <w:sz w:val="22"/>
          <w:szCs w:val="22"/>
        </w:rPr>
        <w:t xml:space="preserve">  Report on Trends and progress in Banking in India</w:t>
      </w:r>
    </w:p>
    <w:p w:rsidR="000F4E1E" w:rsidRPr="00DA5D9F" w:rsidRDefault="000F4E1E" w:rsidP="00565A71">
      <w:pPr>
        <w:pStyle w:val="normal0"/>
        <w:spacing w:line="276" w:lineRule="auto"/>
        <w:jc w:val="both"/>
        <w:rPr>
          <w:b/>
          <w:sz w:val="22"/>
          <w:szCs w:val="22"/>
        </w:rPr>
      </w:pPr>
      <w:r w:rsidRPr="00DA5D9F">
        <w:rPr>
          <w:b/>
          <w:sz w:val="22"/>
          <w:szCs w:val="22"/>
        </w:rPr>
        <w:t>RECOVERY OF NPAs TH</w:t>
      </w:r>
      <w:r w:rsidR="00682DEF" w:rsidRPr="00DA5D9F">
        <w:rPr>
          <w:b/>
          <w:sz w:val="22"/>
          <w:szCs w:val="22"/>
        </w:rPr>
        <w:t>ROUGH DEBT RECOVERY</w:t>
      </w:r>
      <w:r w:rsidRPr="00DA5D9F">
        <w:rPr>
          <w:b/>
          <w:sz w:val="22"/>
          <w:szCs w:val="22"/>
        </w:rPr>
        <w:t xml:space="preserve"> TRIBUNAL (DRT)</w:t>
      </w:r>
    </w:p>
    <w:p w:rsidR="000F4E1E" w:rsidRPr="00DA5D9F" w:rsidRDefault="00682DEF" w:rsidP="00565A71">
      <w:pPr>
        <w:pStyle w:val="normal0"/>
        <w:spacing w:line="276" w:lineRule="auto"/>
        <w:ind w:firstLine="720"/>
        <w:jc w:val="both"/>
        <w:rPr>
          <w:sz w:val="22"/>
          <w:szCs w:val="22"/>
        </w:rPr>
      </w:pPr>
      <w:r w:rsidRPr="00DA5D9F">
        <w:rPr>
          <w:sz w:val="22"/>
          <w:szCs w:val="22"/>
        </w:rPr>
        <w:t xml:space="preserve">The trend of recovery of NPA through DRT has increased in the year 2016, 2017, 2021 &amp; 2022. Remaining period of study it has decreasing trend. </w:t>
      </w:r>
      <w:r w:rsidR="000F4E1E" w:rsidRPr="00DA5D9F">
        <w:rPr>
          <w:sz w:val="22"/>
          <w:szCs w:val="22"/>
        </w:rPr>
        <w:t>The</w:t>
      </w:r>
      <w:r w:rsidRPr="00DA5D9F">
        <w:rPr>
          <w:sz w:val="22"/>
          <w:szCs w:val="22"/>
        </w:rPr>
        <w:t xml:space="preserve"> details were </w:t>
      </w:r>
      <w:r w:rsidR="000F4E1E" w:rsidRPr="00DA5D9F">
        <w:rPr>
          <w:sz w:val="22"/>
          <w:szCs w:val="22"/>
        </w:rPr>
        <w:t>present</w:t>
      </w:r>
      <w:r w:rsidRPr="00DA5D9F">
        <w:rPr>
          <w:sz w:val="22"/>
          <w:szCs w:val="22"/>
        </w:rPr>
        <w:t>ed</w:t>
      </w:r>
      <w:r w:rsidR="000F4E1E" w:rsidRPr="00DA5D9F">
        <w:rPr>
          <w:sz w:val="22"/>
          <w:szCs w:val="22"/>
        </w:rPr>
        <w:t xml:space="preserve"> in </w:t>
      </w:r>
      <w:r w:rsidRPr="00DA5D9F">
        <w:rPr>
          <w:sz w:val="22"/>
          <w:szCs w:val="22"/>
        </w:rPr>
        <w:t>table 4.10</w:t>
      </w:r>
    </w:p>
    <w:p w:rsidR="000F4E1E" w:rsidRPr="00DA5D9F" w:rsidRDefault="00682DEF" w:rsidP="00565A71">
      <w:pPr>
        <w:pStyle w:val="normal0"/>
        <w:spacing w:line="276" w:lineRule="auto"/>
        <w:jc w:val="center"/>
        <w:rPr>
          <w:b/>
          <w:sz w:val="22"/>
          <w:szCs w:val="22"/>
        </w:rPr>
      </w:pPr>
      <w:r w:rsidRPr="00DA5D9F">
        <w:rPr>
          <w:b/>
          <w:sz w:val="22"/>
          <w:szCs w:val="22"/>
        </w:rPr>
        <w:t>TABLE – 4.10</w:t>
      </w:r>
    </w:p>
    <w:p w:rsidR="000F4E1E" w:rsidRPr="00DA5D9F" w:rsidRDefault="000F4E1E" w:rsidP="00565A71">
      <w:pPr>
        <w:pStyle w:val="normal0"/>
        <w:spacing w:line="276" w:lineRule="auto"/>
        <w:jc w:val="center"/>
        <w:rPr>
          <w:b/>
          <w:sz w:val="22"/>
          <w:szCs w:val="22"/>
        </w:rPr>
      </w:pPr>
      <w:bookmarkStart w:id="6" w:name="_3rdcrjn" w:colFirst="0" w:colLast="0"/>
      <w:bookmarkEnd w:id="6"/>
      <w:r w:rsidRPr="00DA5D9F">
        <w:rPr>
          <w:b/>
          <w:sz w:val="22"/>
          <w:szCs w:val="22"/>
        </w:rPr>
        <w:t>RECOVERY OF NPAs THOUGH DEBT RECOVERY   TRIBUNAL (DRT)</w:t>
      </w:r>
    </w:p>
    <w:p w:rsidR="000F4E1E" w:rsidRPr="00DA5D9F" w:rsidRDefault="000F4E1E" w:rsidP="00565A71">
      <w:pPr>
        <w:pStyle w:val="normal0"/>
        <w:spacing w:line="276" w:lineRule="auto"/>
        <w:jc w:val="right"/>
        <w:rPr>
          <w:sz w:val="22"/>
          <w:szCs w:val="22"/>
        </w:rPr>
      </w:pPr>
      <w:r w:rsidRPr="00DA5D9F">
        <w:rPr>
          <w:sz w:val="22"/>
          <w:szCs w:val="22"/>
        </w:rPr>
        <w:t>(In crores)</w:t>
      </w:r>
    </w:p>
    <w:tbl>
      <w:tblPr>
        <w:tblW w:w="10059"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14"/>
        <w:gridCol w:w="2515"/>
        <w:gridCol w:w="2515"/>
        <w:gridCol w:w="2515"/>
      </w:tblGrid>
      <w:tr w:rsidR="000F4E1E" w:rsidRPr="00DA5D9F" w:rsidTr="00682DEF">
        <w:trPr>
          <w:cantSplit/>
          <w:trHeight w:val="493"/>
          <w:tblHeader/>
        </w:trPr>
        <w:tc>
          <w:tcPr>
            <w:tcW w:w="2514" w:type="dxa"/>
          </w:tcPr>
          <w:p w:rsidR="000F4E1E" w:rsidRPr="00DA5D9F" w:rsidRDefault="000F4E1E" w:rsidP="00565A71">
            <w:pPr>
              <w:pStyle w:val="normal0"/>
              <w:spacing w:line="276" w:lineRule="auto"/>
              <w:jc w:val="center"/>
              <w:rPr>
                <w:b/>
                <w:sz w:val="22"/>
                <w:szCs w:val="22"/>
              </w:rPr>
            </w:pPr>
            <w:bookmarkStart w:id="7" w:name="_26in1rg" w:colFirst="0" w:colLast="0"/>
            <w:bookmarkEnd w:id="7"/>
            <w:r w:rsidRPr="00DA5D9F">
              <w:rPr>
                <w:b/>
                <w:sz w:val="22"/>
                <w:szCs w:val="22"/>
              </w:rPr>
              <w:t>YEAR</w:t>
            </w:r>
          </w:p>
        </w:tc>
        <w:tc>
          <w:tcPr>
            <w:tcW w:w="2515" w:type="dxa"/>
          </w:tcPr>
          <w:p w:rsidR="000F4E1E" w:rsidRPr="00DA5D9F" w:rsidRDefault="000F4E1E" w:rsidP="00565A71">
            <w:pPr>
              <w:pStyle w:val="normal0"/>
              <w:spacing w:line="276" w:lineRule="auto"/>
              <w:jc w:val="center"/>
              <w:rPr>
                <w:b/>
                <w:sz w:val="22"/>
                <w:szCs w:val="22"/>
              </w:rPr>
            </w:pPr>
            <w:r w:rsidRPr="00DA5D9F">
              <w:rPr>
                <w:b/>
                <w:sz w:val="22"/>
                <w:szCs w:val="22"/>
              </w:rPr>
              <w:t>AMOUNT INVOLVED</w:t>
            </w:r>
          </w:p>
        </w:tc>
        <w:tc>
          <w:tcPr>
            <w:tcW w:w="2515" w:type="dxa"/>
          </w:tcPr>
          <w:p w:rsidR="000F4E1E" w:rsidRPr="00DA5D9F" w:rsidRDefault="000F4E1E" w:rsidP="00565A71">
            <w:pPr>
              <w:pStyle w:val="normal0"/>
              <w:spacing w:line="276" w:lineRule="auto"/>
              <w:jc w:val="center"/>
              <w:rPr>
                <w:b/>
                <w:sz w:val="22"/>
                <w:szCs w:val="22"/>
              </w:rPr>
            </w:pPr>
            <w:r w:rsidRPr="00DA5D9F">
              <w:rPr>
                <w:b/>
                <w:sz w:val="22"/>
                <w:szCs w:val="22"/>
              </w:rPr>
              <w:t>AMOUNT RECEIVED</w:t>
            </w:r>
          </w:p>
        </w:tc>
        <w:tc>
          <w:tcPr>
            <w:tcW w:w="2515" w:type="dxa"/>
          </w:tcPr>
          <w:p w:rsidR="000F4E1E" w:rsidRPr="00DA5D9F" w:rsidRDefault="000F4E1E" w:rsidP="00565A71">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682DEF">
        <w:trPr>
          <w:cantSplit/>
          <w:trHeight w:val="287"/>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310</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14.19</w:t>
            </w:r>
          </w:p>
        </w:tc>
      </w:tr>
      <w:tr w:rsidR="000F4E1E" w:rsidRPr="00DA5D9F" w:rsidTr="00682DEF">
        <w:trPr>
          <w:cantSplit/>
          <w:trHeight w:val="170"/>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55300</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5300</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9.58</w:t>
            </w:r>
          </w:p>
        </w:tc>
      </w:tr>
      <w:tr w:rsidR="000F4E1E" w:rsidRPr="00DA5D9F" w:rsidTr="00682DEF">
        <w:trPr>
          <w:cantSplit/>
          <w:trHeight w:val="242"/>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604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42</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6.95</w:t>
            </w:r>
          </w:p>
        </w:tc>
      </w:tr>
      <w:tr w:rsidR="000F4E1E" w:rsidRPr="00DA5D9F" w:rsidTr="00682DEF">
        <w:trPr>
          <w:cantSplit/>
          <w:trHeight w:val="233"/>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693</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9.24</w:t>
            </w:r>
          </w:p>
        </w:tc>
      </w:tr>
      <w:tr w:rsidR="000F4E1E" w:rsidRPr="00DA5D9F" w:rsidTr="00682DEF">
        <w:trPr>
          <w:cantSplit/>
          <w:trHeight w:val="305"/>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671</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24.44</w:t>
            </w:r>
          </w:p>
        </w:tc>
      </w:tr>
      <w:tr w:rsidR="000F4E1E" w:rsidRPr="00DA5D9F" w:rsidTr="00682DEF">
        <w:trPr>
          <w:cantSplit/>
          <w:trHeight w:val="260"/>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133095</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7235</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5.44</w:t>
            </w:r>
          </w:p>
        </w:tc>
      </w:tr>
      <w:tr w:rsidR="000F4E1E" w:rsidRPr="00DA5D9F" w:rsidTr="00682DEF">
        <w:trPr>
          <w:cantSplit/>
          <w:trHeight w:val="260"/>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264413</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10552</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3.99</w:t>
            </w:r>
          </w:p>
        </w:tc>
      </w:tr>
      <w:tr w:rsidR="000F4E1E" w:rsidRPr="00DA5D9F" w:rsidTr="00682DEF">
        <w:trPr>
          <w:cantSplit/>
          <w:trHeight w:val="323"/>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245570</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10018</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4.07</w:t>
            </w:r>
          </w:p>
        </w:tc>
      </w:tr>
      <w:tr w:rsidR="000F4E1E" w:rsidRPr="00DA5D9F" w:rsidTr="00682DEF">
        <w:trPr>
          <w:cantSplit/>
          <w:trHeight w:val="260"/>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225361</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8113</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3.60</w:t>
            </w:r>
          </w:p>
        </w:tc>
      </w:tr>
      <w:tr w:rsidR="000F4E1E" w:rsidRPr="00DA5D9F" w:rsidTr="00682DEF">
        <w:trPr>
          <w:cantSplit/>
          <w:trHeight w:val="242"/>
          <w:tblHeader/>
        </w:trPr>
        <w:tc>
          <w:tcPr>
            <w:tcW w:w="2514"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47165</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12114</w:t>
            </w:r>
          </w:p>
        </w:tc>
        <w:tc>
          <w:tcPr>
            <w:tcW w:w="2515"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25.68</w:t>
            </w:r>
          </w:p>
        </w:tc>
      </w:tr>
    </w:tbl>
    <w:p w:rsidR="000F4E1E" w:rsidRDefault="000F4E1E" w:rsidP="00565A71">
      <w:pPr>
        <w:pStyle w:val="normal0"/>
        <w:spacing w:line="276" w:lineRule="auto"/>
        <w:jc w:val="both"/>
        <w:rPr>
          <w:sz w:val="22"/>
          <w:szCs w:val="22"/>
        </w:rPr>
      </w:pPr>
      <w:r w:rsidRPr="00DA5D9F">
        <w:rPr>
          <w:b/>
          <w:sz w:val="22"/>
          <w:szCs w:val="22"/>
        </w:rPr>
        <w:t>Source:</w:t>
      </w:r>
      <w:r w:rsidRPr="00DA5D9F">
        <w:rPr>
          <w:sz w:val="22"/>
          <w:szCs w:val="22"/>
        </w:rPr>
        <w:t xml:space="preserve">  Report on Trends and progress in Banking in India</w:t>
      </w:r>
    </w:p>
    <w:p w:rsidR="00DF27E0" w:rsidRPr="00DA5D9F" w:rsidRDefault="00DF27E0" w:rsidP="00565A71">
      <w:pPr>
        <w:pStyle w:val="normal0"/>
        <w:spacing w:line="276" w:lineRule="auto"/>
        <w:jc w:val="both"/>
        <w:rPr>
          <w:sz w:val="22"/>
          <w:szCs w:val="22"/>
        </w:rPr>
      </w:pPr>
    </w:p>
    <w:p w:rsidR="000F4E1E" w:rsidRPr="00DA5D9F" w:rsidRDefault="000F4E1E" w:rsidP="00565A71">
      <w:pPr>
        <w:pStyle w:val="normal0"/>
        <w:spacing w:line="276" w:lineRule="auto"/>
        <w:jc w:val="both"/>
        <w:rPr>
          <w:b/>
          <w:sz w:val="22"/>
          <w:szCs w:val="22"/>
        </w:rPr>
      </w:pPr>
      <w:r w:rsidRPr="00DA5D9F">
        <w:rPr>
          <w:b/>
          <w:sz w:val="22"/>
          <w:szCs w:val="22"/>
        </w:rPr>
        <w:t xml:space="preserve"> RECOVERY OF NPAs THOUGH SARFAESI ACT</w:t>
      </w:r>
    </w:p>
    <w:p w:rsidR="000F4E1E" w:rsidRPr="00DA5D9F" w:rsidRDefault="000F4E1E" w:rsidP="00565A71">
      <w:pPr>
        <w:pStyle w:val="normal0"/>
        <w:spacing w:line="276" w:lineRule="auto"/>
        <w:jc w:val="both"/>
        <w:rPr>
          <w:sz w:val="22"/>
          <w:szCs w:val="22"/>
        </w:rPr>
      </w:pPr>
      <w:r w:rsidRPr="00DA5D9F">
        <w:rPr>
          <w:sz w:val="22"/>
          <w:szCs w:val="22"/>
        </w:rPr>
        <w:lastRenderedPageBreak/>
        <w:tab/>
      </w:r>
      <w:r w:rsidR="00682DEF" w:rsidRPr="00DA5D9F">
        <w:rPr>
          <w:sz w:val="22"/>
          <w:szCs w:val="22"/>
        </w:rPr>
        <w:t>The recovery of NPA through the SARFAESI ACT were increasing trend except in the year 2016 &amp; 2017.</w:t>
      </w:r>
      <w:r w:rsidRPr="00DA5D9F">
        <w:rPr>
          <w:sz w:val="22"/>
          <w:szCs w:val="22"/>
        </w:rPr>
        <w:t>The recovery procedure of NPA through SARAFASI ACT has present</w:t>
      </w:r>
      <w:r w:rsidR="00682DEF" w:rsidRPr="00DA5D9F">
        <w:rPr>
          <w:sz w:val="22"/>
          <w:szCs w:val="22"/>
        </w:rPr>
        <w:t>ed in the table 4.11</w:t>
      </w:r>
    </w:p>
    <w:p w:rsidR="000F4E1E" w:rsidRPr="00DA5D9F" w:rsidRDefault="00682DEF" w:rsidP="00565A71">
      <w:pPr>
        <w:pStyle w:val="normal0"/>
        <w:spacing w:line="276" w:lineRule="auto"/>
        <w:jc w:val="center"/>
        <w:rPr>
          <w:b/>
          <w:sz w:val="22"/>
          <w:szCs w:val="22"/>
        </w:rPr>
      </w:pPr>
      <w:r w:rsidRPr="00DA5D9F">
        <w:rPr>
          <w:b/>
          <w:sz w:val="22"/>
          <w:szCs w:val="22"/>
        </w:rPr>
        <w:t>TABLE – 4.11</w:t>
      </w:r>
    </w:p>
    <w:p w:rsidR="000F4E1E" w:rsidRPr="00DA5D9F" w:rsidRDefault="000F4E1E" w:rsidP="00565A71">
      <w:pPr>
        <w:pStyle w:val="normal0"/>
        <w:spacing w:line="276" w:lineRule="auto"/>
        <w:jc w:val="center"/>
        <w:rPr>
          <w:b/>
          <w:sz w:val="22"/>
          <w:szCs w:val="22"/>
        </w:rPr>
      </w:pPr>
      <w:bookmarkStart w:id="8" w:name="_lnxbz9" w:colFirst="0" w:colLast="0"/>
      <w:bookmarkEnd w:id="8"/>
      <w:r w:rsidRPr="00DA5D9F">
        <w:rPr>
          <w:b/>
          <w:sz w:val="22"/>
          <w:szCs w:val="22"/>
        </w:rPr>
        <w:t>RECOVERY OF NPAs THOUGH SARFAESI ACT</w:t>
      </w:r>
    </w:p>
    <w:p w:rsidR="000F4E1E" w:rsidRPr="00DA5D9F" w:rsidRDefault="000F4E1E" w:rsidP="00565A71">
      <w:pPr>
        <w:pStyle w:val="normal0"/>
        <w:spacing w:line="276" w:lineRule="auto"/>
        <w:jc w:val="right"/>
        <w:rPr>
          <w:sz w:val="22"/>
          <w:szCs w:val="22"/>
        </w:rPr>
      </w:pPr>
      <w:r w:rsidRPr="00DA5D9F">
        <w:rPr>
          <w:sz w:val="22"/>
          <w:szCs w:val="22"/>
        </w:rPr>
        <w:t>(In crorest)</w:t>
      </w:r>
    </w:p>
    <w:tbl>
      <w:tblPr>
        <w:tblW w:w="10027"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06"/>
        <w:gridCol w:w="2507"/>
        <w:gridCol w:w="2507"/>
        <w:gridCol w:w="2507"/>
      </w:tblGrid>
      <w:tr w:rsidR="000F4E1E" w:rsidRPr="00DA5D9F" w:rsidTr="000F4E1E">
        <w:trPr>
          <w:cantSplit/>
          <w:trHeight w:val="520"/>
          <w:tblHeader/>
        </w:trPr>
        <w:tc>
          <w:tcPr>
            <w:tcW w:w="2506" w:type="dxa"/>
          </w:tcPr>
          <w:p w:rsidR="000F4E1E" w:rsidRPr="00DA5D9F" w:rsidRDefault="000F4E1E" w:rsidP="00565A71">
            <w:pPr>
              <w:pStyle w:val="normal0"/>
              <w:spacing w:line="276" w:lineRule="auto"/>
              <w:jc w:val="center"/>
              <w:rPr>
                <w:b/>
                <w:sz w:val="22"/>
                <w:szCs w:val="22"/>
              </w:rPr>
            </w:pPr>
            <w:r w:rsidRPr="00DA5D9F">
              <w:rPr>
                <w:b/>
                <w:sz w:val="22"/>
                <w:szCs w:val="22"/>
              </w:rPr>
              <w:t>YEAR</w:t>
            </w:r>
          </w:p>
        </w:tc>
        <w:tc>
          <w:tcPr>
            <w:tcW w:w="2507" w:type="dxa"/>
          </w:tcPr>
          <w:p w:rsidR="000F4E1E" w:rsidRPr="00DA5D9F" w:rsidRDefault="000F4E1E" w:rsidP="00565A71">
            <w:pPr>
              <w:pStyle w:val="normal0"/>
              <w:spacing w:line="276" w:lineRule="auto"/>
              <w:jc w:val="center"/>
              <w:rPr>
                <w:b/>
                <w:sz w:val="22"/>
                <w:szCs w:val="22"/>
              </w:rPr>
            </w:pPr>
            <w:r w:rsidRPr="00DA5D9F">
              <w:rPr>
                <w:b/>
                <w:sz w:val="22"/>
                <w:szCs w:val="22"/>
              </w:rPr>
              <w:t>AMOUNT INVOLVED</w:t>
            </w:r>
          </w:p>
        </w:tc>
        <w:tc>
          <w:tcPr>
            <w:tcW w:w="2507" w:type="dxa"/>
          </w:tcPr>
          <w:p w:rsidR="000F4E1E" w:rsidRPr="00DA5D9F" w:rsidRDefault="000F4E1E" w:rsidP="00565A71">
            <w:pPr>
              <w:pStyle w:val="normal0"/>
              <w:spacing w:line="276" w:lineRule="auto"/>
              <w:jc w:val="center"/>
              <w:rPr>
                <w:b/>
                <w:sz w:val="22"/>
                <w:szCs w:val="22"/>
              </w:rPr>
            </w:pPr>
            <w:r w:rsidRPr="00DA5D9F">
              <w:rPr>
                <w:b/>
                <w:sz w:val="22"/>
                <w:szCs w:val="22"/>
              </w:rPr>
              <w:t>AMOUNT RECEIVED</w:t>
            </w:r>
          </w:p>
        </w:tc>
        <w:tc>
          <w:tcPr>
            <w:tcW w:w="2507" w:type="dxa"/>
          </w:tcPr>
          <w:p w:rsidR="000F4E1E" w:rsidRPr="00DA5D9F" w:rsidRDefault="000F4E1E" w:rsidP="00565A71">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2012-13</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681</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185</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27.17</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2013-14</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94600</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24400</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25.80</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2014-15</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1568</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256</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16.33</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2015-16</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801</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132</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16.48</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2016-17</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1131</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78</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6.89</w:t>
            </w:r>
          </w:p>
        </w:tc>
      </w:tr>
      <w:tr w:rsidR="000F4E1E" w:rsidRPr="00DA5D9F" w:rsidTr="000F4E1E">
        <w:trPr>
          <w:cantSplit/>
          <w:trHeight w:val="26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81879</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26380</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32.21</w:t>
            </w:r>
          </w:p>
        </w:tc>
      </w:tr>
      <w:tr w:rsidR="000F4E1E" w:rsidRPr="00DA5D9F" w:rsidTr="000F4E1E">
        <w:trPr>
          <w:cantSplit/>
          <w:trHeight w:val="17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258642</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38905</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15.04</w:t>
            </w:r>
          </w:p>
        </w:tc>
      </w:tr>
      <w:tr w:rsidR="000F4E1E" w:rsidRPr="00DA5D9F" w:rsidTr="000F4E1E">
        <w:trPr>
          <w:cantSplit/>
          <w:trHeight w:val="170"/>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196582</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52563</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26.74</w:t>
            </w:r>
          </w:p>
        </w:tc>
      </w:tr>
      <w:tr w:rsidR="000F4E1E" w:rsidRPr="00DA5D9F" w:rsidTr="000F4E1E">
        <w:trPr>
          <w:cantSplit/>
          <w:trHeight w:val="188"/>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67510</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27686</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41.01</w:t>
            </w:r>
          </w:p>
        </w:tc>
      </w:tr>
      <w:tr w:rsidR="000F4E1E" w:rsidRPr="00DA5D9F" w:rsidTr="000F4E1E">
        <w:trPr>
          <w:cantSplit/>
          <w:trHeight w:val="188"/>
          <w:tblHeader/>
        </w:trPr>
        <w:tc>
          <w:tcPr>
            <w:tcW w:w="2506"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121642</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27349</w:t>
            </w:r>
          </w:p>
        </w:tc>
        <w:tc>
          <w:tcPr>
            <w:tcW w:w="2507"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22.48</w:t>
            </w:r>
          </w:p>
        </w:tc>
      </w:tr>
    </w:tbl>
    <w:p w:rsidR="000F4E1E" w:rsidRPr="00DA5D9F" w:rsidRDefault="000F4E1E" w:rsidP="00565A71">
      <w:pPr>
        <w:pStyle w:val="normal0"/>
        <w:spacing w:line="276" w:lineRule="auto"/>
        <w:jc w:val="both"/>
        <w:rPr>
          <w:sz w:val="22"/>
          <w:szCs w:val="22"/>
        </w:rPr>
      </w:pPr>
      <w:r w:rsidRPr="00DA5D9F">
        <w:rPr>
          <w:b/>
          <w:sz w:val="22"/>
          <w:szCs w:val="22"/>
        </w:rPr>
        <w:t>Source:</w:t>
      </w:r>
      <w:r w:rsidRPr="00DA5D9F">
        <w:rPr>
          <w:sz w:val="22"/>
          <w:szCs w:val="22"/>
        </w:rPr>
        <w:t xml:space="preserve">  Report on Trends and progress in Banking in India</w:t>
      </w:r>
    </w:p>
    <w:p w:rsidR="000F4E1E" w:rsidRPr="00DA5D9F" w:rsidRDefault="000F4E1E" w:rsidP="00565A71">
      <w:pPr>
        <w:pStyle w:val="normal0"/>
        <w:spacing w:line="276" w:lineRule="auto"/>
        <w:jc w:val="both"/>
        <w:rPr>
          <w:sz w:val="22"/>
          <w:szCs w:val="22"/>
        </w:rPr>
      </w:pPr>
    </w:p>
    <w:p w:rsidR="000F4E1E" w:rsidRPr="00DA5D9F" w:rsidRDefault="000F4E1E" w:rsidP="00565A71">
      <w:pPr>
        <w:pStyle w:val="normal0"/>
        <w:spacing w:line="276" w:lineRule="auto"/>
        <w:jc w:val="both"/>
        <w:rPr>
          <w:b/>
          <w:sz w:val="22"/>
          <w:szCs w:val="22"/>
        </w:rPr>
      </w:pPr>
      <w:r w:rsidRPr="00DA5D9F">
        <w:rPr>
          <w:b/>
          <w:sz w:val="22"/>
          <w:szCs w:val="22"/>
        </w:rPr>
        <w:t>RECOVERY OF NPAs THOUGH   INSOLVENCY AND BANKRUPTCY CODE</w:t>
      </w:r>
    </w:p>
    <w:p w:rsidR="008F2FBD" w:rsidRPr="00DA5D9F" w:rsidRDefault="000F4E1E" w:rsidP="00565A71">
      <w:pPr>
        <w:pStyle w:val="normal0"/>
        <w:spacing w:line="276" w:lineRule="auto"/>
        <w:ind w:firstLine="720"/>
        <w:jc w:val="both"/>
        <w:rPr>
          <w:sz w:val="22"/>
          <w:szCs w:val="22"/>
        </w:rPr>
      </w:pPr>
      <w:r w:rsidRPr="00DA5D9F">
        <w:rPr>
          <w:sz w:val="22"/>
          <w:szCs w:val="22"/>
        </w:rPr>
        <w:tab/>
      </w:r>
      <w:r w:rsidR="00682DEF" w:rsidRPr="00DA5D9F">
        <w:rPr>
          <w:sz w:val="22"/>
          <w:szCs w:val="22"/>
        </w:rPr>
        <w:t>The IBC code was introduced in the year 2016, thereby the researche</w:t>
      </w:r>
      <w:r w:rsidR="008F2FBD" w:rsidRPr="00DA5D9F">
        <w:rPr>
          <w:sz w:val="22"/>
          <w:szCs w:val="22"/>
        </w:rPr>
        <w:t>r</w:t>
      </w:r>
      <w:r w:rsidR="00682DEF" w:rsidRPr="00DA5D9F">
        <w:rPr>
          <w:sz w:val="22"/>
          <w:szCs w:val="22"/>
        </w:rPr>
        <w:t xml:space="preserve"> has present the data regarding recovery of NPA through IBC code from the year 2017 to 2022. The recovery of NPA through IBC has decr</w:t>
      </w:r>
      <w:r w:rsidR="008F2FBD" w:rsidRPr="00DA5D9F">
        <w:rPr>
          <w:sz w:val="22"/>
          <w:szCs w:val="22"/>
        </w:rPr>
        <w:t>eased from 49.61% to 21.18% during the period</w:t>
      </w:r>
      <w:r w:rsidR="00682DEF" w:rsidRPr="00DA5D9F">
        <w:rPr>
          <w:sz w:val="22"/>
          <w:szCs w:val="22"/>
        </w:rPr>
        <w:t xml:space="preserve"> 2017 to 2021.</w:t>
      </w:r>
      <w:r w:rsidR="008F2FBD" w:rsidRPr="00DA5D9F">
        <w:rPr>
          <w:sz w:val="22"/>
          <w:szCs w:val="22"/>
        </w:rPr>
        <w:t xml:space="preserve"> The details are presented in table 4.12</w:t>
      </w:r>
    </w:p>
    <w:p w:rsidR="000F4E1E" w:rsidRPr="00DA5D9F" w:rsidRDefault="000F4E1E" w:rsidP="00565A71">
      <w:pPr>
        <w:pStyle w:val="normal0"/>
        <w:spacing w:line="276" w:lineRule="auto"/>
        <w:jc w:val="center"/>
        <w:rPr>
          <w:b/>
          <w:sz w:val="22"/>
          <w:szCs w:val="22"/>
        </w:rPr>
      </w:pPr>
      <w:r w:rsidRPr="00DA5D9F">
        <w:rPr>
          <w:b/>
          <w:sz w:val="22"/>
          <w:szCs w:val="22"/>
        </w:rPr>
        <w:t>TABLE – 4.9.4</w:t>
      </w:r>
    </w:p>
    <w:p w:rsidR="000F4E1E" w:rsidRPr="00DA5D9F" w:rsidRDefault="000F4E1E" w:rsidP="00565A71">
      <w:pPr>
        <w:pStyle w:val="normal0"/>
        <w:spacing w:line="276" w:lineRule="auto"/>
        <w:jc w:val="center"/>
        <w:rPr>
          <w:b/>
          <w:sz w:val="22"/>
          <w:szCs w:val="22"/>
        </w:rPr>
      </w:pPr>
      <w:bookmarkStart w:id="9" w:name="_35nkun2" w:colFirst="0" w:colLast="0"/>
      <w:bookmarkEnd w:id="9"/>
      <w:r w:rsidRPr="00DA5D9F">
        <w:rPr>
          <w:b/>
          <w:sz w:val="22"/>
          <w:szCs w:val="22"/>
        </w:rPr>
        <w:t xml:space="preserve"> RECOVERY OF NPAs THOUGH   INSOLVENCY AND BANKRUPTCY CODE</w:t>
      </w:r>
    </w:p>
    <w:p w:rsidR="000F4E1E" w:rsidRPr="00DA5D9F" w:rsidRDefault="000F4E1E" w:rsidP="00565A71">
      <w:pPr>
        <w:pStyle w:val="normal0"/>
        <w:spacing w:line="276" w:lineRule="auto"/>
        <w:jc w:val="right"/>
        <w:rPr>
          <w:sz w:val="22"/>
          <w:szCs w:val="22"/>
        </w:rPr>
      </w:pPr>
      <w:r w:rsidRPr="00DA5D9F">
        <w:rPr>
          <w:sz w:val="22"/>
          <w:szCs w:val="22"/>
        </w:rPr>
        <w:t>(In crores)</w:t>
      </w:r>
    </w:p>
    <w:tbl>
      <w:tblPr>
        <w:tblW w:w="9851"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462"/>
        <w:gridCol w:w="2463"/>
        <w:gridCol w:w="2463"/>
        <w:gridCol w:w="2463"/>
      </w:tblGrid>
      <w:tr w:rsidR="000F4E1E" w:rsidRPr="00DA5D9F" w:rsidTr="000F4E1E">
        <w:trPr>
          <w:cantSplit/>
          <w:trHeight w:val="520"/>
          <w:tblHeader/>
        </w:trPr>
        <w:tc>
          <w:tcPr>
            <w:tcW w:w="2462" w:type="dxa"/>
          </w:tcPr>
          <w:p w:rsidR="000F4E1E" w:rsidRPr="00DA5D9F" w:rsidRDefault="000F4E1E" w:rsidP="00565A71">
            <w:pPr>
              <w:pStyle w:val="normal0"/>
              <w:spacing w:line="276" w:lineRule="auto"/>
              <w:jc w:val="center"/>
              <w:rPr>
                <w:b/>
                <w:sz w:val="22"/>
                <w:szCs w:val="22"/>
              </w:rPr>
            </w:pPr>
            <w:r w:rsidRPr="00DA5D9F">
              <w:rPr>
                <w:b/>
                <w:sz w:val="22"/>
                <w:szCs w:val="22"/>
              </w:rPr>
              <w:t>YEAR</w:t>
            </w:r>
          </w:p>
        </w:tc>
        <w:tc>
          <w:tcPr>
            <w:tcW w:w="2463" w:type="dxa"/>
          </w:tcPr>
          <w:p w:rsidR="000F4E1E" w:rsidRPr="00DA5D9F" w:rsidRDefault="000F4E1E" w:rsidP="00565A71">
            <w:pPr>
              <w:pStyle w:val="normal0"/>
              <w:spacing w:line="276" w:lineRule="auto"/>
              <w:jc w:val="center"/>
              <w:rPr>
                <w:b/>
                <w:sz w:val="22"/>
                <w:szCs w:val="22"/>
              </w:rPr>
            </w:pPr>
            <w:r w:rsidRPr="00DA5D9F">
              <w:rPr>
                <w:b/>
                <w:sz w:val="22"/>
                <w:szCs w:val="22"/>
              </w:rPr>
              <w:t>AMOUNT INVOLVED</w:t>
            </w:r>
          </w:p>
        </w:tc>
        <w:tc>
          <w:tcPr>
            <w:tcW w:w="2463" w:type="dxa"/>
          </w:tcPr>
          <w:p w:rsidR="000F4E1E" w:rsidRPr="00DA5D9F" w:rsidRDefault="000F4E1E" w:rsidP="00565A71">
            <w:pPr>
              <w:pStyle w:val="normal0"/>
              <w:spacing w:line="276" w:lineRule="auto"/>
              <w:jc w:val="center"/>
              <w:rPr>
                <w:b/>
                <w:sz w:val="22"/>
                <w:szCs w:val="22"/>
              </w:rPr>
            </w:pPr>
            <w:r w:rsidRPr="00DA5D9F">
              <w:rPr>
                <w:b/>
                <w:sz w:val="22"/>
                <w:szCs w:val="22"/>
              </w:rPr>
              <w:t>AMOUNT RECEIVED</w:t>
            </w:r>
          </w:p>
        </w:tc>
        <w:tc>
          <w:tcPr>
            <w:tcW w:w="2463" w:type="dxa"/>
          </w:tcPr>
          <w:p w:rsidR="000F4E1E" w:rsidRPr="00DA5D9F" w:rsidRDefault="000F4E1E" w:rsidP="00565A71">
            <w:pPr>
              <w:pStyle w:val="normal0"/>
              <w:spacing w:line="276" w:lineRule="auto"/>
              <w:jc w:val="center"/>
              <w:rPr>
                <w:b/>
                <w:sz w:val="22"/>
                <w:szCs w:val="22"/>
              </w:rPr>
            </w:pPr>
            <w:r w:rsidRPr="00DA5D9F">
              <w:rPr>
                <w:b/>
                <w:sz w:val="22"/>
                <w:szCs w:val="22"/>
              </w:rPr>
              <w:t>PERCENTAGE OF RECOVERY</w:t>
            </w:r>
          </w:p>
        </w:tc>
      </w:tr>
      <w:tr w:rsidR="000F4E1E" w:rsidRPr="00DA5D9F" w:rsidTr="000F4E1E">
        <w:trPr>
          <w:cantSplit/>
          <w:trHeight w:val="260"/>
          <w:tblHeader/>
        </w:trPr>
        <w:tc>
          <w:tcPr>
            <w:tcW w:w="246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2017-18</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9929</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4926</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49.61</w:t>
            </w:r>
          </w:p>
        </w:tc>
      </w:tr>
      <w:tr w:rsidR="000F4E1E" w:rsidRPr="00DA5D9F" w:rsidTr="008F2FBD">
        <w:trPr>
          <w:cantSplit/>
          <w:trHeight w:val="323"/>
          <w:tblHeader/>
        </w:trPr>
        <w:tc>
          <w:tcPr>
            <w:tcW w:w="246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2018-19</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145457</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66440</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45.68</w:t>
            </w:r>
          </w:p>
        </w:tc>
      </w:tr>
      <w:tr w:rsidR="000F4E1E" w:rsidRPr="00DA5D9F" w:rsidTr="008F2FBD">
        <w:trPr>
          <w:cantSplit/>
          <w:trHeight w:val="260"/>
          <w:tblHeader/>
        </w:trPr>
        <w:tc>
          <w:tcPr>
            <w:tcW w:w="246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2019-20</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232478</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105773</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45.50</w:t>
            </w:r>
          </w:p>
        </w:tc>
      </w:tr>
      <w:tr w:rsidR="000F4E1E" w:rsidRPr="00DA5D9F" w:rsidTr="008F2FBD">
        <w:trPr>
          <w:cantSplit/>
          <w:trHeight w:val="260"/>
          <w:tblHeader/>
        </w:trPr>
        <w:tc>
          <w:tcPr>
            <w:tcW w:w="246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2020-21</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135319</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27311</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20.18</w:t>
            </w:r>
          </w:p>
        </w:tc>
      </w:tr>
      <w:tr w:rsidR="000F4E1E" w:rsidRPr="00DA5D9F" w:rsidTr="008F2FBD">
        <w:trPr>
          <w:cantSplit/>
          <w:trHeight w:val="260"/>
          <w:tblHeader/>
        </w:trPr>
        <w:tc>
          <w:tcPr>
            <w:tcW w:w="2462"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2021-22</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199250</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47421</w:t>
            </w:r>
          </w:p>
        </w:tc>
        <w:tc>
          <w:tcPr>
            <w:tcW w:w="2463" w:type="dxa"/>
            <w:vAlign w:val="bottom"/>
          </w:tcPr>
          <w:p w:rsidR="000F4E1E" w:rsidRPr="00DA5D9F" w:rsidRDefault="000F4E1E" w:rsidP="00565A71">
            <w:pPr>
              <w:pStyle w:val="normal0"/>
              <w:spacing w:line="276" w:lineRule="auto"/>
              <w:jc w:val="center"/>
              <w:rPr>
                <w:color w:val="000000"/>
                <w:sz w:val="22"/>
                <w:szCs w:val="22"/>
              </w:rPr>
            </w:pPr>
            <w:r w:rsidRPr="00DA5D9F">
              <w:rPr>
                <w:color w:val="000000"/>
                <w:sz w:val="22"/>
                <w:szCs w:val="22"/>
              </w:rPr>
              <w:t>23.80</w:t>
            </w:r>
          </w:p>
        </w:tc>
      </w:tr>
    </w:tbl>
    <w:p w:rsidR="000F4E1E" w:rsidRPr="00DA5D9F" w:rsidRDefault="000F4E1E" w:rsidP="00565A71">
      <w:pPr>
        <w:pStyle w:val="normal0"/>
        <w:spacing w:line="276" w:lineRule="auto"/>
        <w:jc w:val="both"/>
        <w:rPr>
          <w:sz w:val="22"/>
          <w:szCs w:val="22"/>
        </w:rPr>
      </w:pPr>
      <w:r w:rsidRPr="00DA5D9F">
        <w:rPr>
          <w:b/>
          <w:sz w:val="22"/>
          <w:szCs w:val="22"/>
        </w:rPr>
        <w:t>Source:</w:t>
      </w:r>
      <w:r w:rsidRPr="00DA5D9F">
        <w:rPr>
          <w:sz w:val="22"/>
          <w:szCs w:val="22"/>
        </w:rPr>
        <w:t xml:space="preserve">  Report on Trends and progress in Banking in India</w:t>
      </w:r>
    </w:p>
    <w:p w:rsidR="000F4E1E" w:rsidRPr="00DA5D9F" w:rsidRDefault="000F4E1E" w:rsidP="00AB290B">
      <w:pPr>
        <w:pStyle w:val="NoSpacing"/>
        <w:spacing w:afterLines="60" w:line="276" w:lineRule="auto"/>
        <w:jc w:val="both"/>
        <w:rPr>
          <w:rFonts w:ascii="Times New Roman" w:hAnsi="Times New Roman" w:cs="Times New Roman"/>
          <w:b/>
        </w:rPr>
      </w:pPr>
    </w:p>
    <w:p w:rsidR="00AB09BF" w:rsidRPr="00DA5D9F" w:rsidRDefault="00AB09BF" w:rsidP="00AB290B">
      <w:pPr>
        <w:spacing w:afterLines="60"/>
        <w:rPr>
          <w:rFonts w:ascii="Times New Roman" w:hAnsi="Times New Roman" w:cs="Times New Roman"/>
          <w:b/>
          <w:lang w:val="en-IN"/>
        </w:rPr>
      </w:pPr>
      <w:r w:rsidRPr="00DA5D9F">
        <w:rPr>
          <w:rFonts w:ascii="Times New Roman" w:hAnsi="Times New Roman" w:cs="Times New Roman"/>
          <w:b/>
          <w:lang w:val="en-IN"/>
        </w:rPr>
        <w:t>FINDINGS</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CDR of Public Sector Banks has decreased in the year 2016-2022</w:t>
      </w:r>
      <w:r w:rsidR="008F2FBD" w:rsidRPr="00DA5D9F">
        <w:rPr>
          <w:color w:val="262626"/>
          <w:sz w:val="22"/>
          <w:szCs w:val="22"/>
        </w:rPr>
        <w:t xml:space="preserve"> and </w:t>
      </w:r>
      <w:r w:rsidRPr="00DA5D9F">
        <w:rPr>
          <w:color w:val="262626"/>
          <w:sz w:val="22"/>
          <w:szCs w:val="22"/>
        </w:rPr>
        <w:t xml:space="preserve">The CDR of Private Sector banks has a positive growth followed by Foreign Banks </w:t>
      </w:r>
      <w:r w:rsidR="008F2FBD" w:rsidRPr="00DA5D9F">
        <w:rPr>
          <w:color w:val="262626"/>
          <w:sz w:val="22"/>
          <w:szCs w:val="22"/>
        </w:rPr>
        <w:t>but</w:t>
      </w:r>
      <w:r w:rsidRPr="00DA5D9F">
        <w:rPr>
          <w:color w:val="262626"/>
          <w:sz w:val="22"/>
          <w:szCs w:val="22"/>
        </w:rPr>
        <w:t xml:space="preserve"> it was decreased due to covid </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Capital Adequacy Ratio of Scheduled Commercial Banks has increase i</w:t>
      </w:r>
      <w:r w:rsidR="008F2FBD" w:rsidRPr="00DA5D9F">
        <w:rPr>
          <w:color w:val="262626"/>
          <w:sz w:val="22"/>
          <w:szCs w:val="22"/>
        </w:rPr>
        <w:t>n trend from 13.9% to 16.8%  during the study period</w:t>
      </w:r>
      <w:r w:rsidRPr="00DA5D9F">
        <w:rPr>
          <w:color w:val="262626"/>
          <w:sz w:val="22"/>
          <w:szCs w:val="22"/>
        </w:rPr>
        <w:t xml:space="preserve"> 2012-2022</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lastRenderedPageBreak/>
        <w:t>The CAR of PSB has increasing Trend from 12.34% to 14.7%</w:t>
      </w:r>
      <w:r w:rsidR="008F2FBD" w:rsidRPr="00DA5D9F">
        <w:rPr>
          <w:color w:val="262626"/>
          <w:sz w:val="22"/>
          <w:szCs w:val="22"/>
        </w:rPr>
        <w:t xml:space="preserve"> during the period </w:t>
      </w:r>
      <w:r w:rsidRPr="00DA5D9F">
        <w:rPr>
          <w:color w:val="262626"/>
          <w:sz w:val="22"/>
          <w:szCs w:val="22"/>
        </w:rPr>
        <w:t>2012-22</w:t>
      </w:r>
      <w:r w:rsidR="008F2FBD" w:rsidRPr="00DA5D9F">
        <w:rPr>
          <w:color w:val="262626"/>
          <w:sz w:val="22"/>
          <w:szCs w:val="22"/>
        </w:rPr>
        <w:t xml:space="preserve">, </w:t>
      </w:r>
      <w:r w:rsidRPr="00DA5D9F">
        <w:rPr>
          <w:color w:val="262626"/>
          <w:sz w:val="22"/>
          <w:szCs w:val="22"/>
        </w:rPr>
        <w:t>P</w:t>
      </w:r>
      <w:r w:rsidR="008F2FBD" w:rsidRPr="00DA5D9F">
        <w:rPr>
          <w:color w:val="262626"/>
          <w:sz w:val="22"/>
          <w:szCs w:val="22"/>
        </w:rPr>
        <w:t>S</w:t>
      </w:r>
      <w:r w:rsidRPr="00DA5D9F">
        <w:rPr>
          <w:color w:val="262626"/>
          <w:sz w:val="22"/>
          <w:szCs w:val="22"/>
        </w:rPr>
        <w:t xml:space="preserve">B </w:t>
      </w:r>
      <w:r w:rsidR="008F2FBD" w:rsidRPr="00DA5D9F">
        <w:rPr>
          <w:color w:val="262626"/>
          <w:sz w:val="22"/>
          <w:szCs w:val="22"/>
        </w:rPr>
        <w:t>(</w:t>
      </w:r>
      <w:r w:rsidRPr="00DA5D9F">
        <w:rPr>
          <w:color w:val="262626"/>
          <w:sz w:val="22"/>
          <w:szCs w:val="22"/>
        </w:rPr>
        <w:t>16.8%to 18.8%</w:t>
      </w:r>
      <w:r w:rsidR="008F2FBD" w:rsidRPr="00DA5D9F">
        <w:rPr>
          <w:color w:val="262626"/>
          <w:sz w:val="22"/>
          <w:szCs w:val="22"/>
        </w:rPr>
        <w:t>)</w:t>
      </w:r>
      <w:r w:rsidRPr="00DA5D9F">
        <w:rPr>
          <w:color w:val="262626"/>
          <w:sz w:val="22"/>
          <w:szCs w:val="22"/>
        </w:rPr>
        <w:t xml:space="preserve"> followed by Foreign B</w:t>
      </w:r>
      <w:r w:rsidR="008F2FBD" w:rsidRPr="00DA5D9F">
        <w:rPr>
          <w:color w:val="262626"/>
          <w:sz w:val="22"/>
          <w:szCs w:val="22"/>
        </w:rPr>
        <w:t>anks 11.05%to 19.8% .</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Gross Advances of Bank Groups in India shows that the PSB have the highest Percentage (57.01%) </w:t>
      </w:r>
      <w:r w:rsidR="008F2FBD" w:rsidRPr="00DA5D9F">
        <w:rPr>
          <w:color w:val="262626"/>
          <w:sz w:val="22"/>
          <w:szCs w:val="22"/>
        </w:rPr>
        <w:t>followed by PS</w:t>
      </w:r>
      <w:r w:rsidRPr="00DA5D9F">
        <w:rPr>
          <w:color w:val="262626"/>
          <w:sz w:val="22"/>
          <w:szCs w:val="22"/>
        </w:rPr>
        <w:t xml:space="preserve">B (29.82) </w:t>
      </w:r>
      <w:r w:rsidR="008F2FBD" w:rsidRPr="00DA5D9F">
        <w:rPr>
          <w:color w:val="262626"/>
          <w:sz w:val="22"/>
          <w:szCs w:val="22"/>
        </w:rPr>
        <w:t xml:space="preserve">and </w:t>
      </w:r>
      <w:r w:rsidRPr="00DA5D9F">
        <w:rPr>
          <w:color w:val="262626"/>
          <w:sz w:val="22"/>
          <w:szCs w:val="22"/>
        </w:rPr>
        <w:t>Foreign Bank (12.8).</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In the GNPA  of SCB the Public Sector Banks has a high G</w:t>
      </w:r>
      <w:r w:rsidR="008F2FBD" w:rsidRPr="00DA5D9F">
        <w:rPr>
          <w:color w:val="262626"/>
          <w:sz w:val="22"/>
          <w:szCs w:val="22"/>
        </w:rPr>
        <w:t>NPA around 80.36% followed by PS</w:t>
      </w:r>
      <w:r w:rsidRPr="00DA5D9F">
        <w:rPr>
          <w:color w:val="262626"/>
          <w:sz w:val="22"/>
          <w:szCs w:val="22"/>
        </w:rPr>
        <w:t>B 17.18% and Foreign Bank 2%</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GNPA to Gross Advances Ratio of SCB has increased from 3.23% to 5.82% </w:t>
      </w:r>
      <w:r w:rsidR="008F2FBD" w:rsidRPr="00DA5D9F">
        <w:rPr>
          <w:color w:val="262626"/>
          <w:sz w:val="22"/>
          <w:szCs w:val="22"/>
        </w:rPr>
        <w:t>and in PSB and PS</w:t>
      </w:r>
      <w:r w:rsidRPr="00DA5D9F">
        <w:rPr>
          <w:color w:val="262626"/>
          <w:sz w:val="22"/>
          <w:szCs w:val="22"/>
        </w:rPr>
        <w:t xml:space="preserve">B has increased from 3.24% to 7.28 % </w:t>
      </w:r>
      <w:r w:rsidR="008F2FBD" w:rsidRPr="00DA5D9F">
        <w:rPr>
          <w:color w:val="262626"/>
          <w:sz w:val="22"/>
          <w:szCs w:val="22"/>
        </w:rPr>
        <w:t>;</w:t>
      </w:r>
      <w:r w:rsidRPr="00DA5D9F">
        <w:rPr>
          <w:color w:val="262626"/>
          <w:sz w:val="22"/>
          <w:szCs w:val="22"/>
        </w:rPr>
        <w:t xml:space="preserve">In Foreign Banks the GNPA has decreased from 3.04 % to 2.09% </w:t>
      </w:r>
      <w:r w:rsidR="008F2FBD" w:rsidRPr="00DA5D9F">
        <w:rPr>
          <w:color w:val="262626"/>
          <w:sz w:val="22"/>
          <w:szCs w:val="22"/>
        </w:rPr>
        <w:t>.</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Net Advances of Bank Groups in India shows that the PSB have the highest Percentage (66.61%) </w:t>
      </w:r>
      <w:r w:rsidR="008F2FBD" w:rsidRPr="00DA5D9F">
        <w:rPr>
          <w:color w:val="262626"/>
          <w:sz w:val="22"/>
          <w:szCs w:val="22"/>
        </w:rPr>
        <w:t>and PS</w:t>
      </w:r>
      <w:r w:rsidRPr="00DA5D9F">
        <w:rPr>
          <w:color w:val="262626"/>
          <w:sz w:val="22"/>
          <w:szCs w:val="22"/>
        </w:rPr>
        <w:t>B (28.5%) followed by Foreign Bank (7.22%).</w:t>
      </w:r>
    </w:p>
    <w:p w:rsidR="008F2FBD"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NNPA to Net advances Ratio Particularly</w:t>
      </w:r>
      <w:r w:rsidR="008F2FBD" w:rsidRPr="00DA5D9F">
        <w:rPr>
          <w:color w:val="262626"/>
          <w:sz w:val="22"/>
          <w:szCs w:val="22"/>
        </w:rPr>
        <w:t xml:space="preserve"> of</w:t>
      </w:r>
      <w:r w:rsidRPr="00DA5D9F">
        <w:rPr>
          <w:color w:val="262626"/>
          <w:sz w:val="22"/>
          <w:szCs w:val="22"/>
        </w:rPr>
        <w:t xml:space="preserve"> </w:t>
      </w:r>
      <w:r w:rsidR="008F2FBD" w:rsidRPr="00DA5D9F">
        <w:rPr>
          <w:color w:val="262626"/>
          <w:sz w:val="22"/>
          <w:szCs w:val="22"/>
        </w:rPr>
        <w:t xml:space="preserve">Public Sector Banks </w:t>
      </w:r>
      <w:r w:rsidRPr="00DA5D9F">
        <w:rPr>
          <w:color w:val="262626"/>
          <w:sz w:val="22"/>
          <w:szCs w:val="22"/>
        </w:rPr>
        <w:t>in the year 2016-2019.</w:t>
      </w:r>
    </w:p>
    <w:p w:rsidR="004E233C" w:rsidRPr="00DA5D9F" w:rsidRDefault="008F2FBD"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 </w:t>
      </w:r>
      <w:r w:rsidR="004E233C" w:rsidRPr="00DA5D9F">
        <w:rPr>
          <w:color w:val="262626"/>
          <w:sz w:val="22"/>
          <w:szCs w:val="22"/>
        </w:rPr>
        <w:t xml:space="preserve">The Recovery of NPA through LAKADALTS has a fluctuating Trend </w:t>
      </w:r>
      <w:r w:rsidRPr="00DA5D9F">
        <w:rPr>
          <w:color w:val="262626"/>
          <w:sz w:val="22"/>
          <w:szCs w:val="22"/>
        </w:rPr>
        <w:t>during the study period</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Recovery of NPA through DRT has increased in the year 2016,2017,2021,2022</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Recovery </w:t>
      </w:r>
      <w:r w:rsidR="008F2FBD" w:rsidRPr="00DA5D9F">
        <w:rPr>
          <w:color w:val="262626"/>
          <w:sz w:val="22"/>
          <w:szCs w:val="22"/>
        </w:rPr>
        <w:t>of NPA through SARFAST ACT has incresed</w:t>
      </w:r>
      <w:r w:rsidRPr="00DA5D9F">
        <w:rPr>
          <w:color w:val="262626"/>
          <w:sz w:val="22"/>
          <w:szCs w:val="22"/>
        </w:rPr>
        <w:t xml:space="preserve"> trend expect in the year 2016 and 2017</w:t>
      </w:r>
    </w:p>
    <w:p w:rsidR="004E233C" w:rsidRPr="00DA5D9F" w:rsidRDefault="004E233C" w:rsidP="00565A71">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Recovery of NPA through IBC has decreased from 49.61% to 21.18% from the year 2017-2022.</w:t>
      </w:r>
    </w:p>
    <w:p w:rsidR="004E233C" w:rsidRPr="00DA5D9F" w:rsidRDefault="004E233C" w:rsidP="00AB290B">
      <w:pPr>
        <w:spacing w:afterLines="60"/>
        <w:rPr>
          <w:rFonts w:ascii="Times New Roman" w:hAnsi="Times New Roman" w:cs="Times New Roman"/>
          <w:b/>
          <w:lang w:val="en-IN"/>
        </w:rPr>
      </w:pPr>
    </w:p>
    <w:p w:rsidR="00AB09BF" w:rsidRPr="00DA5D9F" w:rsidRDefault="00AB09BF" w:rsidP="00AB290B">
      <w:pPr>
        <w:spacing w:afterLines="60"/>
        <w:rPr>
          <w:rFonts w:ascii="Times New Roman" w:hAnsi="Times New Roman" w:cs="Times New Roman"/>
          <w:b/>
          <w:lang w:val="en-IN"/>
        </w:rPr>
      </w:pPr>
      <w:r w:rsidRPr="00DA5D9F">
        <w:rPr>
          <w:rFonts w:ascii="Times New Roman" w:hAnsi="Times New Roman" w:cs="Times New Roman"/>
          <w:b/>
          <w:lang w:val="en-IN"/>
        </w:rPr>
        <w:t>SUGGESTIONS</w:t>
      </w:r>
    </w:p>
    <w:p w:rsidR="004E233C" w:rsidRPr="00DA5D9F" w:rsidRDefault="00491C2A" w:rsidP="00565A71">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 xml:space="preserve">It is suggested that the </w:t>
      </w:r>
      <w:r w:rsidR="004E233C" w:rsidRPr="00DA5D9F">
        <w:rPr>
          <w:color w:val="000000"/>
          <w:sz w:val="22"/>
          <w:szCs w:val="22"/>
        </w:rPr>
        <w:t xml:space="preserve">SCBs are </w:t>
      </w:r>
      <w:r w:rsidRPr="00DA5D9F">
        <w:rPr>
          <w:color w:val="000000"/>
          <w:sz w:val="22"/>
          <w:szCs w:val="22"/>
        </w:rPr>
        <w:t>make compulsory to comply</w:t>
      </w:r>
      <w:r w:rsidR="004E233C" w:rsidRPr="00DA5D9F">
        <w:rPr>
          <w:color w:val="000000"/>
          <w:sz w:val="22"/>
          <w:szCs w:val="22"/>
        </w:rPr>
        <w:t xml:space="preserve"> the credit policy guidelines issued by RBI</w:t>
      </w:r>
      <w:r w:rsidRPr="00DA5D9F">
        <w:rPr>
          <w:color w:val="000000"/>
          <w:sz w:val="22"/>
          <w:szCs w:val="22"/>
        </w:rPr>
        <w:t>.</w:t>
      </w:r>
    </w:p>
    <w:p w:rsidR="004E233C" w:rsidRPr="00DA5D9F" w:rsidRDefault="004E233C" w:rsidP="00565A71">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 xml:space="preserve">Banks has to grant the loans for the establishment of business at a moderate rate of interest, </w:t>
      </w:r>
    </w:p>
    <w:p w:rsidR="004E233C" w:rsidRPr="00DA5D9F" w:rsidRDefault="004E233C" w:rsidP="00565A71">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The Scheduled Commercial Banks should utilize the ideal fund to decrease the NP</w:t>
      </w:r>
      <w:r w:rsidR="00491C2A" w:rsidRPr="00DA5D9F">
        <w:rPr>
          <w:color w:val="000000"/>
          <w:sz w:val="22"/>
          <w:szCs w:val="22"/>
        </w:rPr>
        <w:t>As</w:t>
      </w:r>
      <w:r w:rsidRPr="00DA5D9F">
        <w:rPr>
          <w:color w:val="000000"/>
          <w:sz w:val="22"/>
          <w:szCs w:val="22"/>
        </w:rPr>
        <w:t>.</w:t>
      </w:r>
    </w:p>
    <w:p w:rsidR="004E233C" w:rsidRPr="00DA5D9F" w:rsidRDefault="004E233C" w:rsidP="00565A71">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 xml:space="preserve">Most of the customers </w:t>
      </w:r>
      <w:r w:rsidR="00491C2A" w:rsidRPr="00DA5D9F">
        <w:rPr>
          <w:color w:val="000000"/>
          <w:sz w:val="22"/>
          <w:szCs w:val="22"/>
        </w:rPr>
        <w:t xml:space="preserve">opined </w:t>
      </w:r>
      <w:r w:rsidRPr="00DA5D9F">
        <w:rPr>
          <w:color w:val="000000"/>
          <w:sz w:val="22"/>
          <w:szCs w:val="22"/>
        </w:rPr>
        <w:t>that the rate of interest charg</w:t>
      </w:r>
      <w:r w:rsidR="00491C2A" w:rsidRPr="00DA5D9F">
        <w:rPr>
          <w:color w:val="000000"/>
          <w:sz w:val="22"/>
          <w:szCs w:val="22"/>
        </w:rPr>
        <w:t>ed should be brought down so it is suggested that the</w:t>
      </w:r>
      <w:r w:rsidRPr="00DA5D9F">
        <w:rPr>
          <w:color w:val="000000"/>
          <w:sz w:val="22"/>
          <w:szCs w:val="22"/>
        </w:rPr>
        <w:t xml:space="preserve"> bank should work on the strategies to fix up th</w:t>
      </w:r>
      <w:r w:rsidR="00491C2A" w:rsidRPr="00DA5D9F">
        <w:rPr>
          <w:color w:val="000000"/>
          <w:sz w:val="22"/>
          <w:szCs w:val="22"/>
        </w:rPr>
        <w:t>e competitive interest rate</w:t>
      </w:r>
      <w:r w:rsidRPr="00DA5D9F">
        <w:rPr>
          <w:color w:val="000000"/>
          <w:sz w:val="22"/>
          <w:szCs w:val="22"/>
        </w:rPr>
        <w:t>.</w:t>
      </w:r>
    </w:p>
    <w:p w:rsidR="004E233C" w:rsidRPr="00DA5D9F" w:rsidRDefault="004E233C" w:rsidP="00565A71">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The bank should employ a credit monitoring policy that could analyze the reasons for high NPA</w:t>
      </w:r>
      <w:r w:rsidR="00491C2A" w:rsidRPr="00DA5D9F">
        <w:rPr>
          <w:color w:val="000000"/>
          <w:sz w:val="22"/>
          <w:szCs w:val="22"/>
        </w:rPr>
        <w:t>s</w:t>
      </w:r>
      <w:r w:rsidRPr="00DA5D9F">
        <w:rPr>
          <w:color w:val="000000"/>
          <w:sz w:val="22"/>
          <w:szCs w:val="22"/>
        </w:rPr>
        <w:t>. The Credit section should carefully watch the warming signals viz. non-payment of quarterly interest, dishono</w:t>
      </w:r>
      <w:r w:rsidR="00A46119">
        <w:rPr>
          <w:color w:val="000000"/>
          <w:sz w:val="22"/>
          <w:szCs w:val="22"/>
        </w:rPr>
        <w:t>u</w:t>
      </w:r>
      <w:r w:rsidRPr="00DA5D9F">
        <w:rPr>
          <w:color w:val="000000"/>
          <w:sz w:val="22"/>
          <w:szCs w:val="22"/>
        </w:rPr>
        <w:t xml:space="preserve">r of check etc. </w:t>
      </w:r>
    </w:p>
    <w:p w:rsidR="00AB09BF" w:rsidRPr="00DA5D9F" w:rsidRDefault="004E233C" w:rsidP="00AB290B">
      <w:pPr>
        <w:pStyle w:val="ListParagraph"/>
        <w:numPr>
          <w:ilvl w:val="0"/>
          <w:numId w:val="25"/>
        </w:numPr>
        <w:spacing w:afterLines="60" w:line="276" w:lineRule="auto"/>
        <w:rPr>
          <w:rFonts w:ascii="Times New Roman" w:hAnsi="Times New Roman" w:cs="Times New Roman"/>
        </w:rPr>
      </w:pPr>
      <w:r w:rsidRPr="00DA5D9F">
        <w:rPr>
          <w:rFonts w:ascii="Times New Roman" w:hAnsi="Times New Roman" w:cs="Times New Roman"/>
          <w:color w:val="000000"/>
        </w:rPr>
        <w:t>The bank should practice loan screening before advancing loans to beneficiaries to vacillate the necessity of the loans</w:t>
      </w:r>
    </w:p>
    <w:p w:rsidR="00AB09BF" w:rsidRPr="00DA5D9F" w:rsidRDefault="00AB09BF" w:rsidP="00AB290B">
      <w:pPr>
        <w:spacing w:afterLines="60"/>
        <w:jc w:val="both"/>
        <w:rPr>
          <w:rFonts w:ascii="Times New Roman" w:hAnsi="Times New Roman" w:cs="Times New Roman"/>
          <w:b/>
        </w:rPr>
      </w:pPr>
      <w:r w:rsidRPr="00DA5D9F">
        <w:rPr>
          <w:rFonts w:ascii="Times New Roman" w:hAnsi="Times New Roman" w:cs="Times New Roman"/>
          <w:b/>
        </w:rPr>
        <w:t>CONCLUSION</w:t>
      </w:r>
    </w:p>
    <w:p w:rsidR="004E233C" w:rsidRPr="00DA5D9F" w:rsidRDefault="004E233C" w:rsidP="00DF27E0">
      <w:pPr>
        <w:pStyle w:val="normal0"/>
        <w:spacing w:line="276" w:lineRule="auto"/>
        <w:ind w:firstLine="720"/>
        <w:jc w:val="both"/>
        <w:rPr>
          <w:sz w:val="22"/>
          <w:szCs w:val="22"/>
        </w:rPr>
      </w:pPr>
      <w:r w:rsidRPr="00DA5D9F">
        <w:rPr>
          <w:sz w:val="22"/>
          <w:szCs w:val="22"/>
        </w:rPr>
        <w:t xml:space="preserve">The </w:t>
      </w:r>
      <w:r w:rsidR="00491C2A" w:rsidRPr="00DA5D9F">
        <w:rPr>
          <w:sz w:val="22"/>
          <w:szCs w:val="22"/>
        </w:rPr>
        <w:t xml:space="preserve">present study </w:t>
      </w:r>
      <w:r w:rsidRPr="00DA5D9F">
        <w:rPr>
          <w:sz w:val="22"/>
          <w:szCs w:val="22"/>
        </w:rPr>
        <w:t xml:space="preserve">undertaken </w:t>
      </w:r>
      <w:r w:rsidR="00491C2A" w:rsidRPr="00DA5D9F">
        <w:rPr>
          <w:sz w:val="22"/>
          <w:szCs w:val="22"/>
        </w:rPr>
        <w:t>to gain</w:t>
      </w:r>
      <w:r w:rsidRPr="00DA5D9F">
        <w:rPr>
          <w:sz w:val="22"/>
          <w:szCs w:val="22"/>
        </w:rPr>
        <w:t xml:space="preserve"> knowledge of the credit policy and credit risk management</w:t>
      </w:r>
      <w:r w:rsidR="00491C2A" w:rsidRPr="00DA5D9F">
        <w:rPr>
          <w:sz w:val="22"/>
          <w:szCs w:val="22"/>
        </w:rPr>
        <w:t xml:space="preserve"> system in commercial banks.</w:t>
      </w:r>
      <w:r w:rsidRPr="00DA5D9F">
        <w:rPr>
          <w:sz w:val="22"/>
          <w:szCs w:val="22"/>
        </w:rPr>
        <w:t xml:space="preserve"> Credit Risk </w:t>
      </w:r>
      <w:r w:rsidR="00491C2A" w:rsidRPr="00DA5D9F">
        <w:rPr>
          <w:sz w:val="22"/>
          <w:szCs w:val="22"/>
        </w:rPr>
        <w:t xml:space="preserve">Management </w:t>
      </w:r>
      <w:r w:rsidRPr="00DA5D9F">
        <w:rPr>
          <w:sz w:val="22"/>
          <w:szCs w:val="22"/>
        </w:rPr>
        <w:t xml:space="preserve">Policy of the bank has become very vital in the smooth operation of the banking activities. Credit Policy of the bank provides the framework to determine (a) whether or not to extend credit to a customer and (b) how much credit to be extended. The </w:t>
      </w:r>
      <w:r w:rsidR="00491C2A" w:rsidRPr="00DA5D9F">
        <w:rPr>
          <w:sz w:val="22"/>
          <w:szCs w:val="22"/>
        </w:rPr>
        <w:t xml:space="preserve">research </w:t>
      </w:r>
      <w:r w:rsidRPr="00DA5D9F">
        <w:rPr>
          <w:sz w:val="22"/>
          <w:szCs w:val="22"/>
        </w:rPr>
        <w:t>work has certainly enriched the knowledge about the effective management of credit risk management in banking sector.</w:t>
      </w:r>
      <w:r w:rsidRPr="00DA5D9F">
        <w:rPr>
          <w:sz w:val="22"/>
          <w:szCs w:val="22"/>
        </w:rPr>
        <w:tab/>
        <w:t>NPAs can be reduced, if appropriate steps are taken an appropriate time, hence banks must take appropriate</w:t>
      </w:r>
      <w:r w:rsidR="00491C2A" w:rsidRPr="00DA5D9F">
        <w:rPr>
          <w:sz w:val="22"/>
          <w:szCs w:val="22"/>
        </w:rPr>
        <w:t xml:space="preserve"> strategies to</w:t>
      </w:r>
      <w:r w:rsidRPr="00DA5D9F">
        <w:rPr>
          <w:sz w:val="22"/>
          <w:szCs w:val="22"/>
        </w:rPr>
        <w:t xml:space="preserve"> reducing NPAs. It is not possible to eliminate totally the NPAs in the banking business but can only be minimized. It is always wise to follow the proper policy appraisal, supervision and follow up of advances to avoid NPAs. </w:t>
      </w:r>
    </w:p>
    <w:p w:rsidR="004E233C" w:rsidRPr="00DA5D9F" w:rsidRDefault="004E233C" w:rsidP="00AB290B">
      <w:pPr>
        <w:spacing w:afterLines="60"/>
        <w:jc w:val="both"/>
        <w:rPr>
          <w:rFonts w:ascii="Times New Roman" w:hAnsi="Times New Roman" w:cs="Times New Roman"/>
          <w:b/>
        </w:rPr>
      </w:pPr>
    </w:p>
    <w:p w:rsidR="00AB09BF" w:rsidRPr="00DA5D9F" w:rsidRDefault="00AB09BF" w:rsidP="00AB290B">
      <w:pPr>
        <w:spacing w:afterLines="60"/>
        <w:rPr>
          <w:rFonts w:ascii="Times New Roman" w:hAnsi="Times New Roman" w:cs="Times New Roman"/>
          <w:b/>
        </w:rPr>
      </w:pPr>
      <w:r w:rsidRPr="00DA5D9F">
        <w:rPr>
          <w:rFonts w:ascii="Times New Roman" w:hAnsi="Times New Roman" w:cs="Times New Roman"/>
          <w:b/>
        </w:rPr>
        <w:lastRenderedPageBreak/>
        <w:t>REFERENCES</w:t>
      </w:r>
    </w:p>
    <w:p w:rsidR="009C72F1" w:rsidRPr="00DA5D9F" w:rsidRDefault="009C72F1" w:rsidP="00AB290B">
      <w:pPr>
        <w:spacing w:afterLines="60"/>
        <w:rPr>
          <w:rFonts w:ascii="Times New Roman" w:hAnsi="Times New Roman" w:cs="Times New Roman"/>
          <w:b/>
          <w:u w:val="single"/>
        </w:rPr>
      </w:pPr>
      <w:r w:rsidRPr="00DA5D9F">
        <w:rPr>
          <w:rFonts w:ascii="Times New Roman" w:hAnsi="Times New Roman" w:cs="Times New Roman"/>
          <w:b/>
          <w:u w:val="single"/>
        </w:rPr>
        <w:t>JOURNALS</w:t>
      </w:r>
    </w:p>
    <w:p w:rsidR="004E233C" w:rsidRPr="00DA5D9F" w:rsidRDefault="004E233C" w:rsidP="00565A71">
      <w:pPr>
        <w:pStyle w:val="normal0"/>
        <w:numPr>
          <w:ilvl w:val="0"/>
          <w:numId w:val="19"/>
        </w:numPr>
        <w:pBdr>
          <w:top w:val="nil"/>
          <w:left w:val="nil"/>
          <w:bottom w:val="nil"/>
          <w:right w:val="nil"/>
          <w:between w:val="nil"/>
        </w:pBdr>
        <w:spacing w:line="276" w:lineRule="auto"/>
        <w:jc w:val="both"/>
        <w:rPr>
          <w:b/>
          <w:color w:val="000000"/>
          <w:sz w:val="22"/>
          <w:szCs w:val="22"/>
        </w:rPr>
      </w:pPr>
      <w:r w:rsidRPr="00DA5D9F">
        <w:rPr>
          <w:color w:val="000000"/>
          <w:sz w:val="22"/>
          <w:szCs w:val="22"/>
        </w:rPr>
        <w:t xml:space="preserve">International Journal of Humanities, Law and Social Sciences Published Biannually by New Archaeological &amp; Geological Society, Kanpur, India- </w:t>
      </w:r>
      <w:r w:rsidR="009C72F1" w:rsidRPr="00DA5D9F">
        <w:rPr>
          <w:color w:val="000000"/>
          <w:sz w:val="22"/>
          <w:szCs w:val="22"/>
        </w:rPr>
        <w:t xml:space="preserve">An Overview Of The Impact Of Credit Risk Management On   Indian Banking Sector </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Ram Bilas Agrawal, Dr. Mredu Goyal, Non- Performing Assets of Banks: A Literature Review, -- Pal arch Journal of Archaeology Egypt/Egyptology 18(10), 330-340. ISSN 1567-214x)</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The relationship between credit risk management and profitability between investment and commercial banks in Palestine. International Journal of Economics and Finance, 7(11), 163-169. </w:t>
      </w:r>
    </w:p>
    <w:p w:rsidR="004E233C" w:rsidRPr="00DA5D9F" w:rsidRDefault="009C72F1"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The Impact Of Credit Risk Management On The Commercial Banks Performance In Nigeria </w:t>
      </w:r>
      <w:r w:rsidR="004E233C" w:rsidRPr="00DA5D9F">
        <w:rPr>
          <w:color w:val="000000"/>
          <w:sz w:val="22"/>
          <w:szCs w:val="22"/>
        </w:rPr>
        <w:t>-International Journal of Management and Sustainability Vol. 3, No. 5, 295-306. ISSN(e):2306-0662</w:t>
      </w:r>
      <w:r w:rsidR="002C7F37" w:rsidRPr="00DA5D9F">
        <w:rPr>
          <w:color w:val="000000"/>
          <w:sz w:val="22"/>
          <w:szCs w:val="22"/>
        </w:rPr>
        <w:t>,</w:t>
      </w:r>
      <w:r w:rsidR="004E233C" w:rsidRPr="00DA5D9F">
        <w:rPr>
          <w:color w:val="000000"/>
          <w:sz w:val="22"/>
          <w:szCs w:val="22"/>
        </w:rPr>
        <w:t>ISSN(p):2306-9856</w:t>
      </w:r>
      <w:r w:rsidR="002C7F37" w:rsidRPr="00DA5D9F">
        <w:rPr>
          <w:color w:val="000000"/>
          <w:sz w:val="22"/>
          <w:szCs w:val="22"/>
        </w:rPr>
        <w:t>,</w:t>
      </w:r>
      <w:r w:rsidR="004E233C" w:rsidRPr="00DA5D9F">
        <w:rPr>
          <w:color w:val="000000"/>
          <w:sz w:val="22"/>
          <w:szCs w:val="22"/>
        </w:rPr>
        <w:t>DOI: 0.18488/journal.11/2014.3.5/11.5.295.306.</w:t>
      </w:r>
    </w:p>
    <w:p w:rsidR="004E233C" w:rsidRPr="00DA5D9F" w:rsidRDefault="009C72F1"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A Study Of Credit Risk Management In Commercial Banks </w:t>
      </w:r>
      <w:r w:rsidR="004E233C" w:rsidRPr="00DA5D9F">
        <w:rPr>
          <w:color w:val="000000"/>
          <w:sz w:val="22"/>
          <w:szCs w:val="22"/>
        </w:rPr>
        <w:t xml:space="preserve">–Madurai Kamaraj University </w:t>
      </w:r>
      <w:r w:rsidRPr="00DA5D9F">
        <w:rPr>
          <w:color w:val="000000"/>
          <w:sz w:val="22"/>
          <w:szCs w:val="22"/>
        </w:rPr>
        <w:t>, Madurai.</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Priyanka. Y. Kumar, C.R &amp; Scholar P (2019). A Study of Non-Performing Assets of Commercial Banks and it’s recovery in India. Complexity International, 23(2).</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Dudhe, C. (2017). Impact of non- performing assets on the profitability of banks –a Selective study. Economic and Management Journal, 18 (9-12), 4-13.</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Gnawali, A. (2018) Non-Performing Assets and its Effects on Profitability of Nepalese Commercial Banks. International Journal of Research in Business Student and Management, 5 (9), 39-47.</w:t>
      </w:r>
    </w:p>
    <w:p w:rsidR="004E233C" w:rsidRPr="00DA5D9F" w:rsidRDefault="004E233C" w:rsidP="00565A71">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Sengupta, R.and Vardhan,H.(2017), “Non-performing assets in Indian banks this time it is different”, Indira Gandhi Institute of Development and Research Economic and Political Weekly, Vol. 52 No.12,pp.85-95.</w:t>
      </w:r>
    </w:p>
    <w:p w:rsidR="004E233C" w:rsidRPr="00DA5D9F" w:rsidRDefault="004E233C" w:rsidP="00AB290B">
      <w:pPr>
        <w:pStyle w:val="ListParagraph"/>
        <w:numPr>
          <w:ilvl w:val="0"/>
          <w:numId w:val="21"/>
        </w:numPr>
        <w:spacing w:afterLines="60" w:line="276" w:lineRule="auto"/>
        <w:jc w:val="both"/>
        <w:rPr>
          <w:rFonts w:ascii="Times New Roman" w:hAnsi="Times New Roman" w:cs="Times New Roman"/>
          <w:b/>
        </w:rPr>
      </w:pPr>
      <w:r w:rsidRPr="00DA5D9F">
        <w:rPr>
          <w:rFonts w:ascii="Times New Roman" w:hAnsi="Times New Roman" w:cs="Times New Roman"/>
          <w:color w:val="000000"/>
        </w:rPr>
        <w:t>Chatterjee, C. and Mukherjee, J. and Das, R., “Management of nonperforming assets - a current scenario”, International Journal of Social Science &amp; Interdisciplinary Research, Vol.1 Issue 11, 2012</w:t>
      </w:r>
    </w:p>
    <w:p w:rsidR="00AB09BF" w:rsidRPr="00DA5D9F" w:rsidRDefault="00AB09BF" w:rsidP="00565A71">
      <w:pPr>
        <w:rPr>
          <w:rFonts w:ascii="Times New Roman" w:hAnsi="Times New Roman" w:cs="Times New Roman"/>
          <w:b/>
          <w:u w:val="single"/>
        </w:rPr>
      </w:pPr>
      <w:r w:rsidRPr="00DA5D9F">
        <w:rPr>
          <w:rFonts w:ascii="Times New Roman" w:hAnsi="Times New Roman" w:cs="Times New Roman"/>
          <w:b/>
          <w:u w:val="single"/>
        </w:rPr>
        <w:t>WEBSITES</w:t>
      </w:r>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b/>
          <w:color w:val="000000"/>
          <w:sz w:val="22"/>
          <w:szCs w:val="22"/>
        </w:rPr>
      </w:pPr>
      <w:hyperlink r:id="rId7">
        <w:r w:rsidR="009C72F1" w:rsidRPr="00DA5D9F">
          <w:rPr>
            <w:b/>
            <w:color w:val="0000FF"/>
            <w:sz w:val="22"/>
            <w:szCs w:val="22"/>
            <w:u w:val="single"/>
          </w:rPr>
          <w:t>http://www.rbi.org.in</w:t>
        </w:r>
      </w:hyperlink>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8">
        <w:r w:rsidR="009C72F1" w:rsidRPr="00DA5D9F">
          <w:rPr>
            <w:color w:val="0000FF"/>
            <w:sz w:val="22"/>
            <w:szCs w:val="22"/>
            <w:u w:val="single"/>
          </w:rPr>
          <w:t>http://www.finance-research.net</w:t>
        </w:r>
      </w:hyperlink>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9">
        <w:r w:rsidR="009C72F1" w:rsidRPr="00DA5D9F">
          <w:rPr>
            <w:color w:val="0000FF"/>
            <w:sz w:val="22"/>
            <w:szCs w:val="22"/>
            <w:u w:val="single"/>
          </w:rPr>
          <w:t>www.investopedia.com</w:t>
        </w:r>
      </w:hyperlink>
    </w:p>
    <w:p w:rsidR="009C72F1" w:rsidRPr="00DA5D9F" w:rsidRDefault="009C72F1"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http//:www.asticlebase.com/banking articles/problem-and-recovery</w:t>
      </w:r>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0">
        <w:r w:rsidR="009C72F1" w:rsidRPr="00DA5D9F">
          <w:rPr>
            <w:color w:val="0000FF"/>
            <w:sz w:val="22"/>
            <w:szCs w:val="22"/>
            <w:u w:val="single"/>
          </w:rPr>
          <w:t>https://www.slideshare.net/Amanrajak6/a-study-on-npa-of-sbi</w:t>
        </w:r>
      </w:hyperlink>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1">
        <w:r w:rsidR="009C72F1" w:rsidRPr="00DA5D9F">
          <w:rPr>
            <w:color w:val="0000FF"/>
            <w:sz w:val="22"/>
            <w:szCs w:val="22"/>
            <w:u w:val="single"/>
          </w:rPr>
          <w:t>https://www.researchgate.net</w:t>
        </w:r>
      </w:hyperlink>
    </w:p>
    <w:p w:rsidR="009C72F1" w:rsidRPr="00DA5D9F" w:rsidRDefault="00E80CEC"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2">
        <w:r w:rsidR="009C72F1" w:rsidRPr="00DA5D9F">
          <w:rPr>
            <w:color w:val="0000FF"/>
            <w:sz w:val="22"/>
            <w:szCs w:val="22"/>
            <w:u w:val="single"/>
          </w:rPr>
          <w:t>https://prepp.in/news/e-492-classification-of-npa-Indian-economy-notes</w:t>
        </w:r>
      </w:hyperlink>
    </w:p>
    <w:p w:rsidR="009C72F1" w:rsidRDefault="00E80CEC" w:rsidP="00EC2B7E">
      <w:pPr>
        <w:pStyle w:val="normal0"/>
        <w:numPr>
          <w:ilvl w:val="0"/>
          <w:numId w:val="20"/>
        </w:numPr>
        <w:pBdr>
          <w:top w:val="nil"/>
          <w:left w:val="nil"/>
          <w:bottom w:val="nil"/>
          <w:right w:val="nil"/>
          <w:between w:val="nil"/>
        </w:pBdr>
        <w:tabs>
          <w:tab w:val="center" w:pos="4680"/>
        </w:tabs>
        <w:jc w:val="both"/>
        <w:rPr>
          <w:sz w:val="22"/>
          <w:szCs w:val="22"/>
        </w:rPr>
      </w:pPr>
      <w:hyperlink r:id="rId13">
        <w:r w:rsidR="009C72F1" w:rsidRPr="00DA5D9F">
          <w:rPr>
            <w:color w:val="0000FF"/>
            <w:sz w:val="22"/>
            <w:szCs w:val="22"/>
            <w:u w:val="single"/>
          </w:rPr>
          <w:t>https://groww.i./p/non-perfoming-assets</w:t>
        </w:r>
      </w:hyperlink>
    </w:p>
    <w:p w:rsidR="000123D2" w:rsidRDefault="00E80CEC" w:rsidP="00EC2B7E">
      <w:pPr>
        <w:pStyle w:val="normal0"/>
        <w:numPr>
          <w:ilvl w:val="0"/>
          <w:numId w:val="20"/>
        </w:numPr>
        <w:pBdr>
          <w:top w:val="nil"/>
          <w:left w:val="nil"/>
          <w:bottom w:val="nil"/>
          <w:right w:val="nil"/>
          <w:between w:val="nil"/>
        </w:pBdr>
        <w:tabs>
          <w:tab w:val="center" w:pos="4680"/>
        </w:tabs>
        <w:jc w:val="both"/>
        <w:rPr>
          <w:sz w:val="22"/>
          <w:szCs w:val="22"/>
        </w:rPr>
      </w:pPr>
      <w:hyperlink r:id="rId14" w:history="1">
        <w:r w:rsidR="00EC2B7E" w:rsidRPr="00F308B3">
          <w:rPr>
            <w:rStyle w:val="Hyperlink"/>
            <w:sz w:val="22"/>
            <w:szCs w:val="22"/>
          </w:rPr>
          <w:t>https://www.jetir.org/view?paper=JETIR2201562</w:t>
        </w:r>
      </w:hyperlink>
    </w:p>
    <w:p w:rsidR="00EC2B7E" w:rsidRDefault="00E80CEC" w:rsidP="00EC2B7E">
      <w:pPr>
        <w:pStyle w:val="normal0"/>
        <w:numPr>
          <w:ilvl w:val="0"/>
          <w:numId w:val="20"/>
        </w:numPr>
        <w:pBdr>
          <w:top w:val="nil"/>
          <w:left w:val="nil"/>
          <w:bottom w:val="nil"/>
          <w:right w:val="nil"/>
          <w:between w:val="nil"/>
        </w:pBdr>
        <w:tabs>
          <w:tab w:val="center" w:pos="4680"/>
        </w:tabs>
        <w:jc w:val="both"/>
        <w:rPr>
          <w:sz w:val="22"/>
          <w:szCs w:val="22"/>
        </w:rPr>
      </w:pPr>
      <w:hyperlink r:id="rId15" w:history="1">
        <w:r w:rsidR="00EC2B7E" w:rsidRPr="00F308B3">
          <w:rPr>
            <w:rStyle w:val="Hyperlink"/>
            <w:sz w:val="22"/>
            <w:szCs w:val="22"/>
          </w:rPr>
          <w:t>https://iwjtmne.mijntweedemening.nl/credit-risk-in-banks</w:t>
        </w:r>
      </w:hyperlink>
    </w:p>
    <w:p w:rsidR="00EC2B7E" w:rsidRDefault="00E80CEC" w:rsidP="00EC2B7E">
      <w:pPr>
        <w:pStyle w:val="normal0"/>
        <w:numPr>
          <w:ilvl w:val="0"/>
          <w:numId w:val="20"/>
        </w:numPr>
        <w:pBdr>
          <w:top w:val="nil"/>
          <w:left w:val="nil"/>
          <w:bottom w:val="nil"/>
          <w:right w:val="nil"/>
          <w:between w:val="nil"/>
        </w:pBdr>
        <w:tabs>
          <w:tab w:val="center" w:pos="4680"/>
        </w:tabs>
        <w:jc w:val="both"/>
        <w:rPr>
          <w:sz w:val="22"/>
          <w:szCs w:val="22"/>
        </w:rPr>
      </w:pPr>
      <w:hyperlink r:id="rId16" w:history="1">
        <w:r w:rsidR="00EC2B7E" w:rsidRPr="00F308B3">
          <w:rPr>
            <w:rStyle w:val="Hyperlink"/>
            <w:sz w:val="22"/>
            <w:szCs w:val="22"/>
          </w:rPr>
          <w:t>https://ug.linkedin.com/posts/govind-gurnani-2a2a0955_credit-risk-management-in-the-banks-credit-activity-7055393382147256321-qVv4</w:t>
        </w:r>
      </w:hyperlink>
    </w:p>
    <w:p w:rsidR="00EC2B7E" w:rsidRPr="00AB290B" w:rsidRDefault="00E80CEC" w:rsidP="00EC2B7E">
      <w:pPr>
        <w:pStyle w:val="normal0"/>
        <w:numPr>
          <w:ilvl w:val="0"/>
          <w:numId w:val="20"/>
        </w:numPr>
        <w:pBdr>
          <w:top w:val="nil"/>
          <w:left w:val="nil"/>
          <w:bottom w:val="nil"/>
          <w:right w:val="nil"/>
          <w:between w:val="nil"/>
        </w:pBdr>
        <w:tabs>
          <w:tab w:val="center" w:pos="4680"/>
        </w:tabs>
        <w:jc w:val="both"/>
        <w:rPr>
          <w:sz w:val="22"/>
          <w:szCs w:val="22"/>
        </w:rPr>
      </w:pPr>
      <w:hyperlink r:id="rId17" w:history="1">
        <w:r w:rsidR="009C6FF3" w:rsidRPr="00F308B3">
          <w:rPr>
            <w:rStyle w:val="Hyperlink"/>
            <w:sz w:val="22"/>
            <w:szCs w:val="22"/>
          </w:rPr>
          <w:t>http://lrc.acharyainstitutes.in:8080/jspui/bitstream/123456789/957/1/A%20Study%20on%20Credit%20Risk%20Management%20at%20HDFC%20Bank%2C%20Tumkur.pdf</w:t>
        </w:r>
      </w:hyperlink>
    </w:p>
    <w:p w:rsidR="00AB290B" w:rsidRDefault="00AB290B" w:rsidP="00EC2B7E">
      <w:pPr>
        <w:pStyle w:val="normal0"/>
        <w:numPr>
          <w:ilvl w:val="0"/>
          <w:numId w:val="20"/>
        </w:numPr>
        <w:pBdr>
          <w:top w:val="nil"/>
          <w:left w:val="nil"/>
          <w:bottom w:val="nil"/>
          <w:right w:val="nil"/>
          <w:between w:val="nil"/>
        </w:pBdr>
        <w:tabs>
          <w:tab w:val="center" w:pos="4680"/>
        </w:tabs>
        <w:jc w:val="both"/>
        <w:rPr>
          <w:sz w:val="22"/>
          <w:szCs w:val="22"/>
        </w:rPr>
      </w:pPr>
      <w:hyperlink r:id="rId18" w:history="1">
        <w:r w:rsidRPr="00F308B3">
          <w:rPr>
            <w:rStyle w:val="Hyperlink"/>
            <w:sz w:val="22"/>
            <w:szCs w:val="22"/>
          </w:rPr>
          <w:t>https://ug.linkedin.com/posts/govind-gurnani-2a2a0955_credit-risk-management-in-the-banks-credit-activity-7055393382147256321-qVv4</w:t>
        </w:r>
      </w:hyperlink>
    </w:p>
    <w:p w:rsidR="00AB290B" w:rsidRDefault="00AB290B" w:rsidP="00AB290B">
      <w:pPr>
        <w:pStyle w:val="normal0"/>
        <w:pBdr>
          <w:top w:val="nil"/>
          <w:left w:val="nil"/>
          <w:bottom w:val="nil"/>
          <w:right w:val="nil"/>
          <w:between w:val="nil"/>
        </w:pBdr>
        <w:tabs>
          <w:tab w:val="center" w:pos="4680"/>
        </w:tabs>
        <w:ind w:left="720"/>
        <w:jc w:val="both"/>
        <w:rPr>
          <w:sz w:val="22"/>
          <w:szCs w:val="22"/>
        </w:rPr>
      </w:pPr>
    </w:p>
    <w:p w:rsidR="009C6FF3" w:rsidRPr="00DA5D9F" w:rsidRDefault="009C6FF3" w:rsidP="00AB290B">
      <w:pPr>
        <w:pStyle w:val="normal0"/>
        <w:pBdr>
          <w:top w:val="nil"/>
          <w:left w:val="nil"/>
          <w:bottom w:val="nil"/>
          <w:right w:val="nil"/>
          <w:between w:val="nil"/>
        </w:pBdr>
        <w:tabs>
          <w:tab w:val="center" w:pos="4680"/>
        </w:tabs>
        <w:ind w:left="720"/>
        <w:jc w:val="both"/>
        <w:rPr>
          <w:sz w:val="22"/>
          <w:szCs w:val="22"/>
        </w:rPr>
      </w:pPr>
    </w:p>
    <w:p w:rsidR="009C72F1" w:rsidRDefault="009C72F1" w:rsidP="00565A71">
      <w:pPr>
        <w:pStyle w:val="normal0"/>
        <w:tabs>
          <w:tab w:val="center" w:pos="4680"/>
        </w:tabs>
        <w:spacing w:line="276" w:lineRule="auto"/>
        <w:jc w:val="both"/>
        <w:rPr>
          <w:b/>
          <w:sz w:val="22"/>
          <w:szCs w:val="22"/>
        </w:rPr>
      </w:pPr>
      <w:r w:rsidRPr="00DA5D9F">
        <w:rPr>
          <w:b/>
          <w:sz w:val="22"/>
          <w:szCs w:val="22"/>
        </w:rPr>
        <w:t>RBI PUBLICATIONS</w:t>
      </w:r>
    </w:p>
    <w:p w:rsidR="009C6FF3" w:rsidRPr="00DA5D9F" w:rsidRDefault="009C6FF3" w:rsidP="00565A71">
      <w:pPr>
        <w:pStyle w:val="normal0"/>
        <w:tabs>
          <w:tab w:val="center" w:pos="4680"/>
        </w:tabs>
        <w:spacing w:line="276" w:lineRule="auto"/>
        <w:jc w:val="both"/>
        <w:rPr>
          <w:b/>
          <w:sz w:val="22"/>
          <w:szCs w:val="22"/>
        </w:rPr>
      </w:pPr>
    </w:p>
    <w:p w:rsidR="009C72F1" w:rsidRPr="00DA5D9F" w:rsidRDefault="009C72F1"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Annual Reports from 2012-2022</w:t>
      </w:r>
    </w:p>
    <w:p w:rsidR="009C72F1" w:rsidRPr="00DA5D9F" w:rsidRDefault="009C72F1"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Statutory Tables relating to banks in India, 2012-2022</w:t>
      </w:r>
    </w:p>
    <w:p w:rsidR="009C72F1" w:rsidRPr="00DA5D9F" w:rsidRDefault="009C72F1" w:rsidP="00565A71">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Trends and Progress of banking in India, 2012-2022</w:t>
      </w:r>
    </w:p>
    <w:p w:rsidR="009C72F1" w:rsidRPr="00DA5D9F" w:rsidRDefault="009C72F1" w:rsidP="00565A71">
      <w:pPr>
        <w:pStyle w:val="normal0"/>
        <w:numPr>
          <w:ilvl w:val="0"/>
          <w:numId w:val="20"/>
        </w:numPr>
        <w:pBdr>
          <w:top w:val="nil"/>
          <w:left w:val="nil"/>
          <w:bottom w:val="nil"/>
          <w:right w:val="nil"/>
          <w:between w:val="nil"/>
        </w:pBdr>
        <w:tabs>
          <w:tab w:val="center" w:pos="4680"/>
        </w:tabs>
        <w:spacing w:after="200" w:line="276" w:lineRule="auto"/>
        <w:jc w:val="both"/>
        <w:rPr>
          <w:sz w:val="22"/>
          <w:szCs w:val="22"/>
        </w:rPr>
      </w:pPr>
      <w:r w:rsidRPr="00DA5D9F">
        <w:rPr>
          <w:color w:val="000000"/>
          <w:sz w:val="22"/>
          <w:szCs w:val="22"/>
        </w:rPr>
        <w:t>Reports on Currency and Finance, 2012-2022</w:t>
      </w:r>
    </w:p>
    <w:p w:rsidR="00AB09BF" w:rsidRPr="00DA5D9F" w:rsidRDefault="00AB09BF" w:rsidP="00565A71">
      <w:pPr>
        <w:rPr>
          <w:rFonts w:ascii="Times New Roman" w:hAnsi="Times New Roman" w:cs="Times New Roman"/>
        </w:rPr>
      </w:pPr>
    </w:p>
    <w:p w:rsidR="00AB09BF" w:rsidRPr="00DA5D9F" w:rsidRDefault="00AB09BF" w:rsidP="00565A71">
      <w:pPr>
        <w:rPr>
          <w:rFonts w:ascii="Times New Roman" w:hAnsi="Times New Roman" w:cs="Times New Roman"/>
        </w:rPr>
      </w:pPr>
    </w:p>
    <w:sectPr w:rsidR="00AB09BF" w:rsidRPr="00DA5D9F" w:rsidSect="00AB09BF">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401" w:rsidRDefault="00211401" w:rsidP="00884120">
      <w:pPr>
        <w:spacing w:after="0" w:line="240" w:lineRule="auto"/>
      </w:pPr>
      <w:r>
        <w:separator/>
      </w:r>
    </w:p>
  </w:endnote>
  <w:endnote w:type="continuationSeparator" w:id="1">
    <w:p w:rsidR="00211401" w:rsidRDefault="00211401" w:rsidP="00884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218216"/>
      <w:docPartObj>
        <w:docPartGallery w:val="Page Numbers (Bottom of Page)"/>
        <w:docPartUnique/>
      </w:docPartObj>
    </w:sdtPr>
    <w:sdtEndPr>
      <w:rPr>
        <w:noProof/>
      </w:rPr>
    </w:sdtEndPr>
    <w:sdtContent>
      <w:p w:rsidR="00F15AE1" w:rsidRDefault="00E80CEC">
        <w:pPr>
          <w:pStyle w:val="Footer"/>
          <w:jc w:val="center"/>
        </w:pPr>
        <w:fldSimple w:instr=" PAGE   \* MERGEFORMAT ">
          <w:r w:rsidR="00AB290B">
            <w:rPr>
              <w:noProof/>
            </w:rPr>
            <w:t>2</w:t>
          </w:r>
        </w:fldSimple>
      </w:p>
    </w:sdtContent>
  </w:sdt>
  <w:p w:rsidR="00F15AE1" w:rsidRDefault="00F15A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401" w:rsidRDefault="00211401" w:rsidP="00884120">
      <w:pPr>
        <w:spacing w:after="0" w:line="240" w:lineRule="auto"/>
      </w:pPr>
      <w:r>
        <w:separator/>
      </w:r>
    </w:p>
  </w:footnote>
  <w:footnote w:type="continuationSeparator" w:id="1">
    <w:p w:rsidR="00211401" w:rsidRDefault="00211401" w:rsidP="00884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90"/>
    <w:multiLevelType w:val="hybridMultilevel"/>
    <w:tmpl w:val="1FB4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13323"/>
    <w:multiLevelType w:val="hybridMultilevel"/>
    <w:tmpl w:val="9700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7D1D28"/>
    <w:multiLevelType w:val="hybridMultilevel"/>
    <w:tmpl w:val="920A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0A6712"/>
    <w:multiLevelType w:val="hybridMultilevel"/>
    <w:tmpl w:val="F0B8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F2922"/>
    <w:multiLevelType w:val="hybridMultilevel"/>
    <w:tmpl w:val="5D78233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02C1F"/>
    <w:multiLevelType w:val="hybridMultilevel"/>
    <w:tmpl w:val="73A0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2715A"/>
    <w:multiLevelType w:val="multilevel"/>
    <w:tmpl w:val="CDA00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2C114088"/>
    <w:multiLevelType w:val="multilevel"/>
    <w:tmpl w:val="DAE86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24D7447"/>
    <w:multiLevelType w:val="multilevel"/>
    <w:tmpl w:val="4F6A011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DC72C20"/>
    <w:multiLevelType w:val="hybridMultilevel"/>
    <w:tmpl w:val="10841ACC"/>
    <w:lvl w:ilvl="0" w:tplc="1010BA1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0">
    <w:nsid w:val="3E6D1C4A"/>
    <w:multiLevelType w:val="hybridMultilevel"/>
    <w:tmpl w:val="E43452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1603801"/>
    <w:multiLevelType w:val="hybridMultilevel"/>
    <w:tmpl w:val="343AF548"/>
    <w:lvl w:ilvl="0" w:tplc="65C6CD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62A41"/>
    <w:multiLevelType w:val="hybridMultilevel"/>
    <w:tmpl w:val="9808EED4"/>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3">
    <w:nsid w:val="46FE306D"/>
    <w:multiLevelType w:val="multilevel"/>
    <w:tmpl w:val="6EE01A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48BB7758"/>
    <w:multiLevelType w:val="hybridMultilevel"/>
    <w:tmpl w:val="6D32A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B2F88"/>
    <w:multiLevelType w:val="hybridMultilevel"/>
    <w:tmpl w:val="6B2A99D4"/>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6">
    <w:nsid w:val="4C2F67F5"/>
    <w:multiLevelType w:val="hybridMultilevel"/>
    <w:tmpl w:val="DCB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CE1E3F"/>
    <w:multiLevelType w:val="hybridMultilevel"/>
    <w:tmpl w:val="1E24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0E40B7"/>
    <w:multiLevelType w:val="multilevel"/>
    <w:tmpl w:val="B9603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3790910"/>
    <w:multiLevelType w:val="hybridMultilevel"/>
    <w:tmpl w:val="B8841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B3194"/>
    <w:multiLevelType w:val="multilevel"/>
    <w:tmpl w:val="5212F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F785232"/>
    <w:multiLevelType w:val="hybridMultilevel"/>
    <w:tmpl w:val="2C6451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767D80"/>
    <w:multiLevelType w:val="hybridMultilevel"/>
    <w:tmpl w:val="B462A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C10FA2"/>
    <w:multiLevelType w:val="hybridMultilevel"/>
    <w:tmpl w:val="EBF81D7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AB5636"/>
    <w:multiLevelType w:val="multilevel"/>
    <w:tmpl w:val="C1B4CE5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25">
    <w:nsid w:val="7D2F3570"/>
    <w:multiLevelType w:val="multilevel"/>
    <w:tmpl w:val="7B60B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FE84B1E"/>
    <w:multiLevelType w:val="multilevel"/>
    <w:tmpl w:val="246A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1"/>
  </w:num>
  <w:num w:numId="3">
    <w:abstractNumId w:val="16"/>
  </w:num>
  <w:num w:numId="4">
    <w:abstractNumId w:val="23"/>
  </w:num>
  <w:num w:numId="5">
    <w:abstractNumId w:val="1"/>
  </w:num>
  <w:num w:numId="6">
    <w:abstractNumId w:val="5"/>
  </w:num>
  <w:num w:numId="7">
    <w:abstractNumId w:val="3"/>
  </w:num>
  <w:num w:numId="8">
    <w:abstractNumId w:val="17"/>
  </w:num>
  <w:num w:numId="9">
    <w:abstractNumId w:val="9"/>
  </w:num>
  <w:num w:numId="10">
    <w:abstractNumId w:val="14"/>
  </w:num>
  <w:num w:numId="11">
    <w:abstractNumId w:val="0"/>
  </w:num>
  <w:num w:numId="12">
    <w:abstractNumId w:val="21"/>
  </w:num>
  <w:num w:numId="13">
    <w:abstractNumId w:val="4"/>
  </w:num>
  <w:num w:numId="14">
    <w:abstractNumId w:val="10"/>
  </w:num>
  <w:num w:numId="15">
    <w:abstractNumId w:val="18"/>
  </w:num>
  <w:num w:numId="16">
    <w:abstractNumId w:val="24"/>
  </w:num>
  <w:num w:numId="17">
    <w:abstractNumId w:val="6"/>
  </w:num>
  <w:num w:numId="18">
    <w:abstractNumId w:val="8"/>
  </w:num>
  <w:num w:numId="19">
    <w:abstractNumId w:val="13"/>
  </w:num>
  <w:num w:numId="20">
    <w:abstractNumId w:val="20"/>
  </w:num>
  <w:num w:numId="21">
    <w:abstractNumId w:val="22"/>
  </w:num>
  <w:num w:numId="22">
    <w:abstractNumId w:val="7"/>
  </w:num>
  <w:num w:numId="23">
    <w:abstractNumId w:val="26"/>
  </w:num>
  <w:num w:numId="24">
    <w:abstractNumId w:val="25"/>
  </w:num>
  <w:num w:numId="25">
    <w:abstractNumId w:val="19"/>
  </w:num>
  <w:num w:numId="26">
    <w:abstractNumId w:val="12"/>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B09BF"/>
    <w:rsid w:val="000123D2"/>
    <w:rsid w:val="000F4E1E"/>
    <w:rsid w:val="001F6701"/>
    <w:rsid w:val="00211401"/>
    <w:rsid w:val="00282F8C"/>
    <w:rsid w:val="002C7F37"/>
    <w:rsid w:val="002E20D2"/>
    <w:rsid w:val="00357D0E"/>
    <w:rsid w:val="00406F38"/>
    <w:rsid w:val="00491C2A"/>
    <w:rsid w:val="00491ED2"/>
    <w:rsid w:val="004E233C"/>
    <w:rsid w:val="00565A71"/>
    <w:rsid w:val="006064E5"/>
    <w:rsid w:val="00645BE7"/>
    <w:rsid w:val="006800BA"/>
    <w:rsid w:val="00682DEF"/>
    <w:rsid w:val="00877B93"/>
    <w:rsid w:val="00884120"/>
    <w:rsid w:val="008F2FBD"/>
    <w:rsid w:val="00994FBE"/>
    <w:rsid w:val="009C6FF3"/>
    <w:rsid w:val="009C72F1"/>
    <w:rsid w:val="00A46119"/>
    <w:rsid w:val="00AB09BF"/>
    <w:rsid w:val="00AB290B"/>
    <w:rsid w:val="00D618D5"/>
    <w:rsid w:val="00DA5D9F"/>
    <w:rsid w:val="00DD592C"/>
    <w:rsid w:val="00DF27E0"/>
    <w:rsid w:val="00E50FFB"/>
    <w:rsid w:val="00E80CEC"/>
    <w:rsid w:val="00EC2B7E"/>
    <w:rsid w:val="00F15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BF"/>
    <w:pPr>
      <w:spacing w:after="0" w:line="240" w:lineRule="auto"/>
    </w:pPr>
    <w:rPr>
      <w:rFonts w:eastAsiaTheme="minorHAnsi"/>
    </w:rPr>
  </w:style>
  <w:style w:type="table" w:styleId="TableGrid">
    <w:name w:val="Table Grid"/>
    <w:basedOn w:val="TableNormal"/>
    <w:uiPriority w:val="39"/>
    <w:rsid w:val="00AB09B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B09BF"/>
    <w:rPr>
      <w:rFonts w:eastAsiaTheme="minorHAnsi"/>
    </w:rPr>
  </w:style>
  <w:style w:type="paragraph" w:styleId="Header">
    <w:name w:val="header"/>
    <w:basedOn w:val="Normal"/>
    <w:link w:val="HeaderChar"/>
    <w:uiPriority w:val="99"/>
    <w:unhideWhenUsed/>
    <w:rsid w:val="00AB09BF"/>
    <w:pPr>
      <w:tabs>
        <w:tab w:val="center" w:pos="4680"/>
        <w:tab w:val="right" w:pos="9360"/>
      </w:tabs>
      <w:spacing w:after="0" w:line="240" w:lineRule="auto"/>
    </w:pPr>
    <w:rPr>
      <w:rFonts w:eastAsiaTheme="minorHAnsi"/>
    </w:rPr>
  </w:style>
  <w:style w:type="character" w:customStyle="1" w:styleId="HeaderChar1">
    <w:name w:val="Header Char1"/>
    <w:basedOn w:val="DefaultParagraphFont"/>
    <w:link w:val="Header"/>
    <w:uiPriority w:val="99"/>
    <w:semiHidden/>
    <w:rsid w:val="00AB09BF"/>
  </w:style>
  <w:style w:type="paragraph" w:styleId="Footer">
    <w:name w:val="footer"/>
    <w:basedOn w:val="Normal"/>
    <w:link w:val="FooterChar"/>
    <w:uiPriority w:val="99"/>
    <w:unhideWhenUsed/>
    <w:rsid w:val="00AB09B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09BF"/>
    <w:rPr>
      <w:rFonts w:eastAsiaTheme="minorHAnsi"/>
    </w:rPr>
  </w:style>
  <w:style w:type="paragraph" w:styleId="ListParagraph">
    <w:name w:val="List Paragraph"/>
    <w:basedOn w:val="Normal"/>
    <w:uiPriority w:val="34"/>
    <w:qFormat/>
    <w:rsid w:val="00AB09BF"/>
    <w:pPr>
      <w:spacing w:after="160" w:line="254" w:lineRule="auto"/>
      <w:ind w:left="720"/>
      <w:contextualSpacing/>
    </w:pPr>
    <w:rPr>
      <w:rFonts w:eastAsiaTheme="minorHAnsi"/>
    </w:rPr>
  </w:style>
  <w:style w:type="paragraph" w:styleId="FootnoteText">
    <w:name w:val="footnote text"/>
    <w:basedOn w:val="Normal"/>
    <w:link w:val="FootnoteTextChar"/>
    <w:uiPriority w:val="99"/>
    <w:semiHidden/>
    <w:unhideWhenUsed/>
    <w:rsid w:val="00AB09B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B09BF"/>
    <w:rPr>
      <w:rFonts w:eastAsiaTheme="minorHAnsi"/>
      <w:sz w:val="20"/>
      <w:szCs w:val="20"/>
    </w:rPr>
  </w:style>
  <w:style w:type="character" w:styleId="Hyperlink">
    <w:name w:val="Hyperlink"/>
    <w:basedOn w:val="DefaultParagraphFont"/>
    <w:uiPriority w:val="99"/>
    <w:unhideWhenUsed/>
    <w:rsid w:val="00AB09BF"/>
    <w:rPr>
      <w:color w:val="0000FF" w:themeColor="hyperlink"/>
      <w:u w:val="single"/>
    </w:rPr>
  </w:style>
  <w:style w:type="paragraph" w:customStyle="1" w:styleId="normal0">
    <w:name w:val="normal"/>
    <w:rsid w:val="00AB09BF"/>
    <w:pPr>
      <w:spacing w:after="0" w:line="240" w:lineRule="auto"/>
    </w:pPr>
    <w:rPr>
      <w:rFonts w:ascii="Times New Roman" w:eastAsia="Times New Roman" w:hAnsi="Times New Roman" w:cs="Times New Roman"/>
      <w:sz w:val="24"/>
      <w:szCs w:val="24"/>
      <w:lang w:val="en-IN"/>
    </w:rPr>
  </w:style>
  <w:style w:type="character" w:customStyle="1" w:styleId="plagfind">
    <w:name w:val="plag_find"/>
    <w:basedOn w:val="DefaultParagraphFont"/>
    <w:rsid w:val="00282F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e-research.net" TargetMode="External"/><Relationship Id="rId13" Type="http://schemas.openxmlformats.org/officeDocument/2006/relationships/hyperlink" Target="https://groww.i./p/non-perfoming-assets" TargetMode="External"/><Relationship Id="rId18" Type="http://schemas.openxmlformats.org/officeDocument/2006/relationships/hyperlink" Target="https://ug.linkedin.com/posts/govind-gurnani-2a2a0955_credit-risk-management-in-the-banks-credit-activity-7055393382147256321-qVv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bi.org.in" TargetMode="External"/><Relationship Id="rId12" Type="http://schemas.openxmlformats.org/officeDocument/2006/relationships/hyperlink" Target="https://prepp.in/news/e-492-classification-of-npa-Indian-economy-notes" TargetMode="External"/><Relationship Id="rId17" Type="http://schemas.openxmlformats.org/officeDocument/2006/relationships/hyperlink" Target="http://lrc.acharyainstitutes.in:8080/jspui/bitstream/123456789/957/1/A%20Study%20on%20Credit%20Risk%20Management%20at%20HDFC%20Bank%2C%20Tumkur.pdf" TargetMode="External"/><Relationship Id="rId2" Type="http://schemas.openxmlformats.org/officeDocument/2006/relationships/styles" Target="styles.xml"/><Relationship Id="rId16" Type="http://schemas.openxmlformats.org/officeDocument/2006/relationships/hyperlink" Target="https://ug.linkedin.com/posts/govind-gurnani-2a2a0955_credit-risk-management-in-the-banks-credit-activity-7055393382147256321-qVv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 TargetMode="External"/><Relationship Id="rId5" Type="http://schemas.openxmlformats.org/officeDocument/2006/relationships/footnotes" Target="footnotes.xml"/><Relationship Id="rId15" Type="http://schemas.openxmlformats.org/officeDocument/2006/relationships/hyperlink" Target="https://iwjtmne.mijntweedemening.nl/credit-risk-in-banks" TargetMode="External"/><Relationship Id="rId10" Type="http://schemas.openxmlformats.org/officeDocument/2006/relationships/hyperlink" Target="https://www.slideshare.net/Amanrajak6/a-study-on-npa-of-sb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vestopedia.com" TargetMode="External"/><Relationship Id="rId14" Type="http://schemas.openxmlformats.org/officeDocument/2006/relationships/hyperlink" Target="https://www.jetir.org/view?paper=JETIR2201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14</Pages>
  <Words>5022</Words>
  <Characters>28626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15</cp:revision>
  <dcterms:created xsi:type="dcterms:W3CDTF">2023-08-31T14:34:00Z</dcterms:created>
  <dcterms:modified xsi:type="dcterms:W3CDTF">2023-08-31T17:58:00Z</dcterms:modified>
</cp:coreProperties>
</file>