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194C6" w14:textId="59AC6F62" w:rsidR="008A55B5" w:rsidRPr="00466548" w:rsidRDefault="00475624" w:rsidP="00466548">
      <w:pPr>
        <w:rPr>
          <w:rFonts w:eastAsia="MS Mincho"/>
        </w:rPr>
      </w:pPr>
      <w:r w:rsidRPr="00475624">
        <w:rPr>
          <w:rFonts w:eastAsia="MS Mincho"/>
          <w:bCs/>
          <w:noProof/>
          <w:sz w:val="48"/>
          <w:szCs w:val="48"/>
        </w:rPr>
        <w:t>Advances in Analytical Techniques for Personalized Medicine</w:t>
      </w:r>
    </w:p>
    <w:p w14:paraId="1FDB472A" w14:textId="77777777" w:rsidR="008A55B5" w:rsidRDefault="008A55B5" w:rsidP="00466548">
      <w:pPr>
        <w:pStyle w:val="Author"/>
        <w:spacing w:before="0" w:after="0"/>
        <w:rPr>
          <w:rFonts w:eastAsia="MS Mincho"/>
          <w:sz w:val="20"/>
          <w:szCs w:val="20"/>
        </w:rPr>
      </w:pPr>
    </w:p>
    <w:p w14:paraId="61456BEF" w14:textId="59B8C145" w:rsidR="00475624" w:rsidRPr="00466548" w:rsidRDefault="00475624" w:rsidP="00466548">
      <w:pPr>
        <w:pStyle w:val="Author"/>
        <w:spacing w:before="0" w:after="0"/>
        <w:rPr>
          <w:rFonts w:eastAsia="MS Mincho"/>
          <w:sz w:val="20"/>
          <w:szCs w:val="20"/>
        </w:rPr>
        <w:sectPr w:rsidR="00475624"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F4AA157" w14:textId="79519652" w:rsidR="008A55B5" w:rsidRPr="00466548" w:rsidRDefault="00475624" w:rsidP="00466548">
      <w:pPr>
        <w:pStyle w:val="Author"/>
        <w:spacing w:before="0" w:after="0"/>
        <w:rPr>
          <w:rFonts w:eastAsia="MS Mincho"/>
          <w:sz w:val="20"/>
          <w:szCs w:val="20"/>
        </w:rPr>
      </w:pPr>
      <w:r>
        <w:rPr>
          <w:rFonts w:eastAsia="MS Mincho"/>
          <w:sz w:val="20"/>
          <w:szCs w:val="20"/>
        </w:rPr>
        <w:t>Divya Narla</w:t>
      </w:r>
    </w:p>
    <w:p w14:paraId="1E7DA1DC" w14:textId="77777777" w:rsidR="00475624" w:rsidRDefault="00475624" w:rsidP="00475624">
      <w:pPr>
        <w:pStyle w:val="Affiliation"/>
        <w:rPr>
          <w:rFonts w:eastAsia="MS Mincho"/>
        </w:rPr>
      </w:pPr>
      <w:r>
        <w:rPr>
          <w:rFonts w:eastAsia="MS Mincho"/>
        </w:rPr>
        <w:t xml:space="preserve">Associate Professor, </w:t>
      </w:r>
    </w:p>
    <w:p w14:paraId="0382120D" w14:textId="052CB08C" w:rsidR="00475624" w:rsidRPr="00466548" w:rsidRDefault="00475624" w:rsidP="00475624">
      <w:pPr>
        <w:pStyle w:val="Affiliation"/>
        <w:rPr>
          <w:rFonts w:eastAsia="MS Mincho"/>
        </w:rPr>
      </w:pPr>
      <w:r>
        <w:rPr>
          <w:rFonts w:eastAsia="MS Mincho"/>
        </w:rPr>
        <w:t>Department of Pharmaceutical Analysis</w:t>
      </w:r>
    </w:p>
    <w:p w14:paraId="2FFB1E38" w14:textId="77777777" w:rsidR="00475624" w:rsidRPr="00466548" w:rsidRDefault="00475624" w:rsidP="00475624">
      <w:pPr>
        <w:pStyle w:val="Affiliation"/>
        <w:rPr>
          <w:rFonts w:eastAsia="MS Mincho"/>
        </w:rPr>
      </w:pPr>
      <w:r>
        <w:rPr>
          <w:rFonts w:eastAsia="MS Mincho"/>
        </w:rPr>
        <w:t>Aditya College of Pharmacy</w:t>
      </w:r>
    </w:p>
    <w:p w14:paraId="4FC3053D" w14:textId="77777777" w:rsidR="00475624" w:rsidRPr="00466548" w:rsidRDefault="00475624" w:rsidP="00475624">
      <w:pPr>
        <w:pStyle w:val="Affiliation"/>
        <w:rPr>
          <w:rFonts w:eastAsia="MS Mincho"/>
        </w:rPr>
      </w:pPr>
      <w:proofErr w:type="spellStart"/>
      <w:r>
        <w:rPr>
          <w:rFonts w:eastAsia="MS Mincho"/>
        </w:rPr>
        <w:t>Surampalem</w:t>
      </w:r>
      <w:proofErr w:type="spellEnd"/>
      <w:r w:rsidRPr="00466548">
        <w:rPr>
          <w:rFonts w:eastAsia="MS Mincho"/>
        </w:rPr>
        <w:t xml:space="preserve">, </w:t>
      </w:r>
      <w:r>
        <w:rPr>
          <w:rFonts w:eastAsia="MS Mincho"/>
        </w:rPr>
        <w:t>India</w:t>
      </w:r>
    </w:p>
    <w:p w14:paraId="4C3CD5D3" w14:textId="0FF8436E" w:rsidR="004A68BE" w:rsidRDefault="00475624" w:rsidP="00466548">
      <w:pPr>
        <w:pStyle w:val="Affiliation"/>
        <w:rPr>
          <w:rFonts w:eastAsia="MS Mincho"/>
        </w:rPr>
      </w:pPr>
      <w:r w:rsidRPr="00475624">
        <w:rPr>
          <w:rFonts w:eastAsia="MS Mincho"/>
        </w:rPr>
        <w:t>divyanarla@gmail.com</w:t>
      </w:r>
    </w:p>
    <w:p w14:paraId="1372CD43" w14:textId="77777777" w:rsidR="00475624" w:rsidRDefault="00475624" w:rsidP="004A68BE">
      <w:pPr>
        <w:pStyle w:val="Author"/>
        <w:spacing w:before="0" w:after="0"/>
        <w:rPr>
          <w:rFonts w:eastAsia="MS Mincho"/>
          <w:sz w:val="20"/>
          <w:szCs w:val="20"/>
        </w:rPr>
      </w:pPr>
    </w:p>
    <w:p w14:paraId="34F59019" w14:textId="54B734D6" w:rsidR="004A68BE" w:rsidRPr="00466548" w:rsidRDefault="005F7348" w:rsidP="004A68BE">
      <w:pPr>
        <w:pStyle w:val="Author"/>
        <w:spacing w:before="0" w:after="0"/>
        <w:rPr>
          <w:rFonts w:eastAsia="MS Mincho"/>
          <w:sz w:val="20"/>
          <w:szCs w:val="20"/>
        </w:rPr>
      </w:pPr>
      <w:r>
        <w:rPr>
          <w:rFonts w:eastAsia="MS Mincho"/>
          <w:sz w:val="20"/>
          <w:szCs w:val="20"/>
        </w:rPr>
        <w:t>Prakash Nathaniel Kumar Sarella</w:t>
      </w:r>
    </w:p>
    <w:p w14:paraId="4BA5CE79" w14:textId="77777777" w:rsidR="004A68BE" w:rsidRPr="00466548" w:rsidRDefault="005F7348" w:rsidP="004A68BE">
      <w:pPr>
        <w:pStyle w:val="Affiliation"/>
        <w:rPr>
          <w:rFonts w:eastAsia="MS Mincho"/>
        </w:rPr>
      </w:pPr>
      <w:r>
        <w:rPr>
          <w:rFonts w:eastAsia="MS Mincho"/>
        </w:rPr>
        <w:t>Associate Professor, Department of Pharmaceutics</w:t>
      </w:r>
    </w:p>
    <w:p w14:paraId="32EEC50F" w14:textId="77777777" w:rsidR="004A68BE" w:rsidRPr="00466548" w:rsidRDefault="005F7348" w:rsidP="004A68BE">
      <w:pPr>
        <w:pStyle w:val="Affiliation"/>
        <w:rPr>
          <w:rFonts w:eastAsia="MS Mincho"/>
        </w:rPr>
      </w:pPr>
      <w:r>
        <w:rPr>
          <w:rFonts w:eastAsia="MS Mincho"/>
        </w:rPr>
        <w:t>Aditya College of Pharmacy</w:t>
      </w:r>
    </w:p>
    <w:p w14:paraId="0D0AA6C5" w14:textId="77777777" w:rsidR="004A68BE" w:rsidRPr="00466548" w:rsidRDefault="005F7348" w:rsidP="004A68BE">
      <w:pPr>
        <w:pStyle w:val="Affiliation"/>
        <w:rPr>
          <w:rFonts w:eastAsia="MS Mincho"/>
        </w:rPr>
      </w:pPr>
      <w:proofErr w:type="spellStart"/>
      <w:r>
        <w:rPr>
          <w:rFonts w:eastAsia="MS Mincho"/>
        </w:rPr>
        <w:t>Surampalem</w:t>
      </w:r>
      <w:proofErr w:type="spellEnd"/>
      <w:r w:rsidR="004A68BE" w:rsidRPr="00466548">
        <w:rPr>
          <w:rFonts w:eastAsia="MS Mincho"/>
        </w:rPr>
        <w:t xml:space="preserve">, </w:t>
      </w:r>
      <w:r>
        <w:rPr>
          <w:rFonts w:eastAsia="MS Mincho"/>
        </w:rPr>
        <w:t>India</w:t>
      </w:r>
    </w:p>
    <w:p w14:paraId="6CAC90A1" w14:textId="77777777" w:rsidR="004A68BE" w:rsidRDefault="005F7348" w:rsidP="004A68BE">
      <w:pPr>
        <w:pStyle w:val="Affiliation"/>
        <w:rPr>
          <w:rFonts w:eastAsia="MS Mincho"/>
        </w:rPr>
      </w:pPr>
      <w:r>
        <w:rPr>
          <w:rFonts w:eastAsia="MS Mincho"/>
        </w:rPr>
        <w:t>sarellaprakash@acop.edu.in</w:t>
      </w:r>
    </w:p>
    <w:p w14:paraId="62E6A25A" w14:textId="0A94AFE6" w:rsidR="00466548" w:rsidRDefault="00466548" w:rsidP="00475624">
      <w:pPr>
        <w:pStyle w:val="Author"/>
        <w:spacing w:before="0" w:after="0"/>
        <w:jc w:val="both"/>
        <w:rPr>
          <w:rFonts w:eastAsia="MS Mincho"/>
        </w:rPr>
      </w:pPr>
    </w:p>
    <w:p w14:paraId="44EF40B8"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B1725D2"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212E213"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32D6F3A1" w14:textId="6E46577C" w:rsidR="00466548" w:rsidRDefault="00475624" w:rsidP="00475624">
      <w:pPr>
        <w:pStyle w:val="Abstract"/>
        <w:spacing w:after="0"/>
        <w:ind w:firstLine="720"/>
        <w:rPr>
          <w:b w:val="0"/>
          <w:sz w:val="20"/>
          <w:szCs w:val="20"/>
        </w:rPr>
      </w:pPr>
      <w:r w:rsidRPr="00475624">
        <w:rPr>
          <w:b w:val="0"/>
          <w:sz w:val="20"/>
          <w:szCs w:val="20"/>
        </w:rPr>
        <w:t>The chapter "Advances in Analytical Techniques for Personalized Medicine" explores the transformative role of analytical methods in tailoring medical treatments to individual patients. Personalized medicine, a paradigm shift in healthcare, is driven by the understanding that each patient's genetic makeup, molecular profile, and lifestyle factors influence treatment responses. Genomic and proteomic analyses enable identification of biomarkers that guide treatment stratification, optimizing therapeutic outcomes. Pharmacogenomics utilizes genetic variations to predict drug metabolism, enabling precise drug selection and dosage adjustment. The interplay between patients' microbiomes and treatment responses is uncovered through advanced microbiome analysis, contributing to personalized therapies. Metabolomics provides diagnostic insights by profiling metabolic signatures associated with diseases and treatment efficacy. Cutting-edge imaging techniques allow non-invasive tracking of disease progression and response to therapies. Point-of-care diagnostics and wearable sensors empower real-time patient monitoring, enhancing personalized care. Bioinformatics and data integration facilitate meaningful interpretation of multi-omics data, aiding clinical decision-making. The chapter also addresses ethical considerations surrounding patient data privacy and regulatory challenges. Case studies underscore successful applications of analytical techniques in personalized cancer therapies and rare disease treatments. In a rapidly advancing landscape, this chapter outlines the potential and challenges of integrating analytical innovations into personalized medicine, revolutionizing patient-centered healthcare.</w:t>
      </w:r>
    </w:p>
    <w:p w14:paraId="1B9719A0" w14:textId="77777777" w:rsidR="00475624" w:rsidRPr="00466548" w:rsidRDefault="00475624" w:rsidP="00466548">
      <w:pPr>
        <w:pStyle w:val="Abstract"/>
        <w:spacing w:after="0"/>
        <w:ind w:firstLine="0"/>
        <w:rPr>
          <w:rFonts w:eastAsia="MS Mincho"/>
          <w:b w:val="0"/>
          <w:sz w:val="20"/>
          <w:szCs w:val="20"/>
        </w:rPr>
      </w:pPr>
    </w:p>
    <w:p w14:paraId="7B4D36FC" w14:textId="0A5516FD"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F7348" w:rsidRPr="005F7348">
        <w:t xml:space="preserve"> </w:t>
      </w:r>
      <w:r w:rsidR="00475624" w:rsidRPr="00475624">
        <w:rPr>
          <w:rFonts w:eastAsia="MS Mincho"/>
          <w:b w:val="0"/>
          <w:i w:val="0"/>
          <w:sz w:val="20"/>
          <w:szCs w:val="20"/>
        </w:rPr>
        <w:t xml:space="preserve">Personalized medicine; </w:t>
      </w:r>
      <w:r w:rsidR="00475624">
        <w:rPr>
          <w:rFonts w:eastAsia="MS Mincho"/>
          <w:b w:val="0"/>
          <w:i w:val="0"/>
          <w:sz w:val="20"/>
          <w:szCs w:val="20"/>
        </w:rPr>
        <w:t>A</w:t>
      </w:r>
      <w:r w:rsidR="00475624" w:rsidRPr="00475624">
        <w:rPr>
          <w:rFonts w:eastAsia="MS Mincho"/>
          <w:b w:val="0"/>
          <w:i w:val="0"/>
          <w:sz w:val="20"/>
          <w:szCs w:val="20"/>
        </w:rPr>
        <w:t xml:space="preserve">nalytical techniques; </w:t>
      </w:r>
      <w:r w:rsidR="00475624">
        <w:rPr>
          <w:rFonts w:eastAsia="MS Mincho"/>
          <w:b w:val="0"/>
          <w:i w:val="0"/>
          <w:sz w:val="20"/>
          <w:szCs w:val="20"/>
        </w:rPr>
        <w:t>G</w:t>
      </w:r>
      <w:r w:rsidR="00475624" w:rsidRPr="00475624">
        <w:rPr>
          <w:rFonts w:eastAsia="MS Mincho"/>
          <w:b w:val="0"/>
          <w:i w:val="0"/>
          <w:sz w:val="20"/>
          <w:szCs w:val="20"/>
        </w:rPr>
        <w:t xml:space="preserve">enomics; </w:t>
      </w:r>
      <w:r w:rsidR="00475624">
        <w:rPr>
          <w:rFonts w:eastAsia="MS Mincho"/>
          <w:b w:val="0"/>
          <w:i w:val="0"/>
          <w:sz w:val="20"/>
          <w:szCs w:val="20"/>
        </w:rPr>
        <w:t>P</w:t>
      </w:r>
      <w:r w:rsidR="00475624" w:rsidRPr="00475624">
        <w:rPr>
          <w:rFonts w:eastAsia="MS Mincho"/>
          <w:b w:val="0"/>
          <w:i w:val="0"/>
          <w:sz w:val="20"/>
          <w:szCs w:val="20"/>
        </w:rPr>
        <w:t xml:space="preserve">harmacogenomics; </w:t>
      </w:r>
      <w:r w:rsidR="00475624">
        <w:rPr>
          <w:rFonts w:eastAsia="MS Mincho"/>
          <w:b w:val="0"/>
          <w:i w:val="0"/>
          <w:sz w:val="20"/>
          <w:szCs w:val="20"/>
        </w:rPr>
        <w:t>M</w:t>
      </w:r>
      <w:r w:rsidR="00475624" w:rsidRPr="00475624">
        <w:rPr>
          <w:rFonts w:eastAsia="MS Mincho"/>
          <w:b w:val="0"/>
          <w:i w:val="0"/>
          <w:sz w:val="20"/>
          <w:szCs w:val="20"/>
        </w:rPr>
        <w:t xml:space="preserve">etabolomics; imaging; </w:t>
      </w:r>
      <w:r w:rsidR="00475624">
        <w:rPr>
          <w:rFonts w:eastAsia="MS Mincho"/>
          <w:b w:val="0"/>
          <w:i w:val="0"/>
          <w:sz w:val="20"/>
          <w:szCs w:val="20"/>
        </w:rPr>
        <w:t>P</w:t>
      </w:r>
      <w:r w:rsidR="00475624" w:rsidRPr="00475624">
        <w:rPr>
          <w:rFonts w:eastAsia="MS Mincho"/>
          <w:b w:val="0"/>
          <w:i w:val="0"/>
          <w:sz w:val="20"/>
          <w:szCs w:val="20"/>
        </w:rPr>
        <w:t>oint-of-care diagnostics.</w:t>
      </w:r>
    </w:p>
    <w:p w14:paraId="5C435708" w14:textId="77777777" w:rsidR="00466548" w:rsidRPr="00466548" w:rsidRDefault="00466548" w:rsidP="00466548">
      <w:pPr>
        <w:pStyle w:val="keywords"/>
        <w:spacing w:after="0"/>
        <w:ind w:firstLine="0"/>
        <w:rPr>
          <w:rFonts w:eastAsia="MS Mincho"/>
          <w:b w:val="0"/>
          <w:i w:val="0"/>
          <w:sz w:val="20"/>
          <w:szCs w:val="20"/>
        </w:rPr>
      </w:pPr>
    </w:p>
    <w:p w14:paraId="1E6EC6EB"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AD1E643" w14:textId="77777777" w:rsidR="00466548" w:rsidRPr="00466548" w:rsidRDefault="00466548" w:rsidP="00466548">
      <w:pPr>
        <w:rPr>
          <w:rFonts w:eastAsia="MS Mincho"/>
        </w:rPr>
      </w:pPr>
    </w:p>
    <w:p w14:paraId="2063F571" w14:textId="3924A08F" w:rsidR="00475624" w:rsidRDefault="00475624" w:rsidP="00475624">
      <w:pPr>
        <w:pStyle w:val="BodyText"/>
      </w:pPr>
      <w:r>
        <w:t xml:space="preserve">Personalized medicine represents a groundbreaking approach in healthcare that </w:t>
      </w:r>
      <w:proofErr w:type="gramStart"/>
      <w:r>
        <w:t>tailors</w:t>
      </w:r>
      <w:proofErr w:type="gramEnd"/>
      <w:r>
        <w:t xml:space="preserve"> medical interventions to the unique characteristics of each individual patient. Unlike the traditional one-size-fits-all model, personalized medicine takes into account a patient's genetic makeup, molecular profile, lifestyle, and environmental factors to determine the most effective treatment strategies. This approach recognizes that individuals respond differently to medications and therapies due to their inherent genetic variability</w:t>
      </w:r>
      <w:r w:rsidR="00466EED">
        <w:t xml:space="preserve"> </w:t>
      </w:r>
      <w:r w:rsidR="00466EED">
        <w:fldChar w:fldCharType="begin"/>
      </w:r>
      <w:r w:rsidR="00466EED">
        <w:instrText xml:space="preserve"> ADDIN ZOTERO_ITEM CSL_CITATION {"citationID":"s0QY9TdX","properties":{"formattedCitation":"[1], [2]","plainCitation":"[1], [2]","noteIndex":0},"citationItems":[{"id":4386,"uris":["http://zotero.org/users/9143596/items/CNV5VJUF"],"itemData":{"id":4386,"type":"article-journal","container-title":"Annual review of genomics and human genetics","DOI":"10.1146/annurev-genom-082410-101446","note":"publisher: Annual Reviews","page":"217–244","source":"Google Scholar","title":"Personalized medicine: progress and promise","title-short":"Personalized medicine","volume":"12","author":[{"family":"Chan","given":"Isaac S."},{"family":"Ginsburg","given":"Geoffrey S."}],"issued":{"date-parts":[["2011"]]}}},{"id":4383,"uris":["http://zotero.org/users/9143596/items/BNL84RRP"],"itemData":{"id":4383,"type":"article-journal","container-title":"Current opinion in molecular therapeutics","issue":"6","page":"548–558","source":"Google Scholar","title":"Personalized medicine.","volume":"4","author":[{"family":"Jain","given":"Kewal K."}],"issued":{"date-parts":[["2002"]]}}}],"schema":"https://github.com/citation-style-language/schema/raw/master/csl-citation.json"} </w:instrText>
      </w:r>
      <w:r w:rsidR="00466EED">
        <w:fldChar w:fldCharType="separate"/>
      </w:r>
      <w:r w:rsidR="00466EED" w:rsidRPr="00466EED">
        <w:t>[1], [2]</w:t>
      </w:r>
      <w:r w:rsidR="00466EED">
        <w:fldChar w:fldCharType="end"/>
      </w:r>
      <w:r>
        <w:t>.</w:t>
      </w:r>
    </w:p>
    <w:p w14:paraId="35CBC445" w14:textId="1D8A8C67" w:rsidR="00475624" w:rsidRDefault="00475624" w:rsidP="00475624">
      <w:pPr>
        <w:pStyle w:val="BodyText"/>
      </w:pPr>
      <w:r>
        <w:t>The fundamental principle of personalized medicine is to optimize treatment outcomes by identifying the most suitable interventions based on a patient's genetic predisposition and specific health conditions. Advances in analytical techniques have played a pivotal role in enabling personalized medicine to become a reality. High-throughput genomic sequencing, proteomic analysis, and metabolomic profiling have opened new avenues for understanding the intricate molecular underpinnings of diseases and treatment responses</w:t>
      </w:r>
      <w:r w:rsidR="00466EED">
        <w:fldChar w:fldCharType="begin"/>
      </w:r>
      <w:r w:rsidR="00466EED">
        <w:instrText xml:space="preserve"> ADDIN ZOTERO_ITEM CSL_CITATION {"citationID":"8qWxhgSg","properties":{"formattedCitation":"[3], [4]","plainCitation":"[3], [4]","noteIndex":0},"citationItems":[{"id":4384,"uris":["http://zotero.org/users/9143596/items/M4EPN5EB"],"itemData":{"id":4384,"type":"article-journal","container-title":"Advanced drug delivery reviews","DOI":"10.1016/j.addr.2012.06.006","issue":"13","note":"publisher: Elsevier","page":"1394–1416","source":"Google Scholar","title":"Nanotheranostics for personalized medicine","volume":"64","author":[{"family":"Mura","given":"Simona"},{"family":"Couvreur","given":"Patrick"}],"issued":{"date-parts":[["2012"]]}}},{"id":4385,"uris":["http://zotero.org/users/9143596/items/2IY73D9J"],"itemData":{"id":4385,"type":"article-journal","container-title":"Nature","DOI":"10.1038/461724a","issue":"7265","note":"publisher: Nature Publishing Group UK London","page":"724–726","source":"Google Scholar","title":"An agenda for personalized medicine","volume":"461","author":[{"family":"Ng","given":"Pauline C."},{"family":"Murray","given":"Sarah S."},{"family":"Levy","given":"Samuel"},{"family":"Venter","given":"J. Craig"}],"issued":{"date-parts":[["2009"]]}}}],"schema":"https://github.com/citation-style-language/schema/raw/master/csl-citation.json"} </w:instrText>
      </w:r>
      <w:r w:rsidR="00466EED">
        <w:fldChar w:fldCharType="separate"/>
      </w:r>
      <w:r w:rsidR="00466EED" w:rsidRPr="00466EED">
        <w:t>[3], [4]</w:t>
      </w:r>
      <w:r w:rsidR="00466EED">
        <w:fldChar w:fldCharType="end"/>
      </w:r>
      <w:r>
        <w:t>.</w:t>
      </w:r>
    </w:p>
    <w:p w14:paraId="017B575C" w14:textId="274FC52A" w:rsidR="00466548" w:rsidRDefault="00475624" w:rsidP="00475624">
      <w:pPr>
        <w:pStyle w:val="BodyText"/>
        <w:spacing w:after="0" w:line="240" w:lineRule="auto"/>
        <w:ind w:firstLine="0"/>
      </w:pPr>
      <w:r>
        <w:tab/>
        <w:t>This chapter delves into the core concepts of personalized medicine and how cutting-edge analytical techniques are driving its implementation. It explores how genetic and molecular insights are guiding treatment decisions, emphasizing the shift from a reactive treatment approach to a proactive and preventive one. Through a comprehensive exploration of the analytical tools and strategies that underpin personalized medicine, this chapter sets the stage for the subsequent discussions on the specific advances in analytical techniques that are shaping the future of healthcare in the context of personalized medicine</w:t>
      </w:r>
      <w:r w:rsidR="005F7348" w:rsidRPr="005F7348">
        <w:t>.</w:t>
      </w:r>
    </w:p>
    <w:p w14:paraId="73D30EAE" w14:textId="77777777" w:rsidR="00875DFE" w:rsidRDefault="00875DFE" w:rsidP="00466548">
      <w:pPr>
        <w:pStyle w:val="BodyText"/>
        <w:spacing w:after="0" w:line="240" w:lineRule="auto"/>
        <w:ind w:firstLine="0"/>
      </w:pPr>
    </w:p>
    <w:p w14:paraId="6A9D661B" w14:textId="77777777" w:rsidR="00875DFE" w:rsidRDefault="00875DFE" w:rsidP="00466548">
      <w:pPr>
        <w:pStyle w:val="BodyText"/>
        <w:spacing w:after="0" w:line="240" w:lineRule="auto"/>
        <w:ind w:firstLine="0"/>
      </w:pPr>
    </w:p>
    <w:p w14:paraId="33631537" w14:textId="3C38939F" w:rsidR="008A55B5" w:rsidRPr="00402841" w:rsidRDefault="00475624" w:rsidP="00466548">
      <w:pPr>
        <w:pStyle w:val="Heading1"/>
        <w:spacing w:before="0" w:after="0"/>
        <w:ind w:firstLine="0"/>
        <w:rPr>
          <w:rFonts w:eastAsia="MS Mincho"/>
        </w:rPr>
      </w:pPr>
      <w:r>
        <w:rPr>
          <w:rFonts w:ascii="Times New Roman" w:eastAsia="MS Mincho" w:hAnsi="Times New Roman"/>
          <w:sz w:val="20"/>
          <w:szCs w:val="20"/>
        </w:rPr>
        <w:t>GENOMIC AND PROTEOMIC ANALYSIS</w:t>
      </w:r>
    </w:p>
    <w:p w14:paraId="7B31BF09" w14:textId="5DEA7630" w:rsidR="00466548" w:rsidRDefault="00466548" w:rsidP="00466548">
      <w:pPr>
        <w:rPr>
          <w:rFonts w:eastAsia="MS Mincho"/>
        </w:rPr>
      </w:pPr>
    </w:p>
    <w:p w14:paraId="06C4F066" w14:textId="6D051BD5" w:rsidR="004B67B5" w:rsidRDefault="004B67B5" w:rsidP="004B67B5">
      <w:pPr>
        <w:ind w:firstLine="720"/>
        <w:jc w:val="both"/>
      </w:pPr>
      <w:r>
        <w:t>Genomic and proteomic analyses form the bedrock of personalized medicine, unraveling the intricate genetic and molecular signatures that define an individual's health profile</w:t>
      </w:r>
      <w:r w:rsidR="00466EED">
        <w:fldChar w:fldCharType="begin"/>
      </w:r>
      <w:r w:rsidR="00466EED">
        <w:instrText xml:space="preserve"> ADDIN ZOTERO_ITEM CSL_CITATION {"citationID":"PMO9ZcZJ","properties":{"formattedCitation":"[5]","plainCitation":"[5]","noteIndex":0},"citationItems":[{"id":4390,"uris":["http://zotero.org/users/9143596/items/RBZAG779"],"itemData":{"id":4390,"type":"article-journal","container-title":"Vascular pharmacology","DOI":"10.1016/j.vph.2006.08.003","issue":"5","note":"publisher: Elsevier","page":"258–267","source":"Google Scholar","title":"The application of genomic and proteomic technologies in predictive, preventive and personalized medicine","volume":"45","author":[{"family":"Collins","given":"C. D."},{"family":"Purohit","given":"S."},{"family":"Podolsky","given":"R. H."},{"family":"Zhao","given":"H. S."},{"family":"Schatz","given":"D."},{"family":"Eckenrode","given":"S. E."},{"family":"Yang","given":"P."},{"family":"Hopkins","given":"D."},{"family":"Muir","given":"A."},{"family":"Hoffman","given":"M."}],"issued":{"date-parts":[["2006"]]}}}],"schema":"https://github.com/citation-style-language/schema/raw/master/csl-citation.json"} </w:instrText>
      </w:r>
      <w:r w:rsidR="00466EED">
        <w:fldChar w:fldCharType="separate"/>
      </w:r>
      <w:r w:rsidR="00466EED" w:rsidRPr="00466EED">
        <w:t>[5]</w:t>
      </w:r>
      <w:r w:rsidR="00466EED">
        <w:fldChar w:fldCharType="end"/>
      </w:r>
      <w:r>
        <w:t xml:space="preserve">. These advanced analytical </w:t>
      </w:r>
      <w:r>
        <w:lastRenderedPageBreak/>
        <w:t>techniques enable healthcare professionals to gain unprecedented insights into the underlying mechanisms of diseases and tailor treatments accordingly</w:t>
      </w:r>
    </w:p>
    <w:p w14:paraId="3E7AB73A" w14:textId="06748C44" w:rsidR="00767BF4" w:rsidRPr="00767BF4" w:rsidRDefault="004B67B5" w:rsidP="00767BF4">
      <w:pPr>
        <w:pStyle w:val="Heading2"/>
        <w:spacing w:before="0" w:after="0"/>
        <w:ind w:left="0" w:firstLine="0"/>
        <w:rPr>
          <w:b/>
          <w:i w:val="0"/>
        </w:rPr>
      </w:pPr>
      <w:r w:rsidRPr="004B67B5">
        <w:rPr>
          <w:b/>
          <w:i w:val="0"/>
        </w:rPr>
        <w:t>Genomic Analysis: Decoding Genetic Blueprint</w:t>
      </w:r>
    </w:p>
    <w:p w14:paraId="04D408C3" w14:textId="073E11A5" w:rsidR="00767BF4" w:rsidRDefault="006B577B" w:rsidP="00466548">
      <w:pPr>
        <w:pStyle w:val="BodyText"/>
        <w:spacing w:after="0" w:line="240" w:lineRule="auto"/>
        <w:ind w:firstLine="0"/>
      </w:pPr>
      <w:r>
        <w:tab/>
      </w:r>
      <w:r>
        <w:tab/>
      </w:r>
      <w:r w:rsidR="004B67B5">
        <w:t>Genomic analysis involves sequencing an individual's DNA to identify variations, mutations, and genetic markers that can influence disease susceptibility, drug metabolism, and treatment response. By understanding these genetic factors, clinicians can predict a patient's predisposition to certain diseases and select the most effective therapies. Pharmacogenomics, a subfield of genomic analysis, focuses on how an individual's genetic makeup impacts their response to medications. This knowledge allows healthcare providers to choose medications and dosages that are most likely to be safe and efficacious</w:t>
      </w:r>
      <w:r w:rsidR="00466EED">
        <w:fldChar w:fldCharType="begin"/>
      </w:r>
      <w:r w:rsidR="00466EED">
        <w:instrText xml:space="preserve"> ADDIN ZOTERO_ITEM CSL_CITATION {"citationID":"56pK7w5K","properties":{"formattedCitation":"[6]","plainCitation":"[6]","noteIndex":0},"citationItems":[{"id":4393,"uris":["http://zotero.org/users/9143596/items/VDDY5YQ7"],"itemData":{"id":4393,"type":"article-journal","container-title":"Pharmacogenomics","DOI":"10.1517/phgs.5.3.331.29830","issue":"3","note":"publisher: Future Medicine","page":"331–336","source":"Google Scholar","title":"Role of pharmacoproteomics in the development of personalized medicine","volume":"5","author":[{"family":"Jain","given":"K. K."}],"issued":{"date-parts":[["2004"]]}}}],"schema":"https://github.com/citation-style-language/schema/raw/master/csl-citation.json"} </w:instrText>
      </w:r>
      <w:r w:rsidR="00466EED">
        <w:fldChar w:fldCharType="separate"/>
      </w:r>
      <w:r w:rsidR="00466EED" w:rsidRPr="00466EED">
        <w:t>[6]</w:t>
      </w:r>
      <w:r w:rsidR="00466EED">
        <w:fldChar w:fldCharType="end"/>
      </w:r>
      <w:r w:rsidR="008A55B5" w:rsidRPr="00466548">
        <w:t xml:space="preserve">. </w:t>
      </w:r>
    </w:p>
    <w:p w14:paraId="7CF4EDA8" w14:textId="6313B0F3" w:rsidR="00767BF4" w:rsidRPr="00767BF4" w:rsidRDefault="004B67B5" w:rsidP="00767BF4">
      <w:pPr>
        <w:pStyle w:val="Heading2"/>
        <w:spacing w:before="0" w:after="0"/>
        <w:ind w:left="0" w:firstLine="0"/>
        <w:rPr>
          <w:b/>
          <w:i w:val="0"/>
        </w:rPr>
      </w:pPr>
      <w:r w:rsidRPr="004B67B5">
        <w:rPr>
          <w:b/>
          <w:i w:val="0"/>
        </w:rPr>
        <w:t>Proteomic Analysis: Unveiling Molecular Signatures</w:t>
      </w:r>
    </w:p>
    <w:p w14:paraId="7B68B1D8" w14:textId="574C9750" w:rsidR="004B67B5" w:rsidRDefault="006B577B" w:rsidP="004B67B5">
      <w:pPr>
        <w:jc w:val="both"/>
      </w:pPr>
      <w:r>
        <w:tab/>
      </w:r>
      <w:r w:rsidR="004B67B5">
        <w:t xml:space="preserve">Proteomics involves the systematic study of an individual's proteins, which are the functional workhorses of the body. Proteomic analysis can identify specific proteins that are overexpressed, </w:t>
      </w:r>
      <w:proofErr w:type="spellStart"/>
      <w:r w:rsidR="004B67B5">
        <w:t>underexpressed</w:t>
      </w:r>
      <w:proofErr w:type="spellEnd"/>
      <w:r w:rsidR="004B67B5">
        <w:t>, or post-translationally modified in various diseases. These molecular fingerprints provide crucial information about disease progression and potential therapeutic targets. In personalized medicine, proteomics guides treatment decisions by pinpointing unique molecular markers that can indicate the efficacy of targeted therapies</w:t>
      </w:r>
      <w:r w:rsidR="00466EED">
        <w:fldChar w:fldCharType="begin"/>
      </w:r>
      <w:r w:rsidR="00466EED">
        <w:instrText xml:space="preserve"> ADDIN ZOTERO_ITEM CSL_CITATION {"citationID":"ISdNMF0A","properties":{"formattedCitation":"[7]","plainCitation":"[7]","noteIndex":0},"citationItems":[{"id":4392,"uris":["http://zotero.org/users/9143596/items/ZZQJUCWB"],"itemData":{"id":4392,"type":"article-journal","container-title":"Canadian Journal of Cardiology","DOI":"10.1016/S0828-282X(07)71003-6","note":"publisher: Elsevier","page":"28A–33A","source":"Google Scholar","title":"Predict, prevent and personalize: Genomic and proteomic approaches to cardiovascular medicine","title-short":"Predict, prevent and personalize","volume":"23","author":[{"family":"Ouzounian","given":"Maral"},{"family":"Lee","given":"Douglas S."},{"family":"Gramolini","given":"Anthony O."},{"family":"Emili","given":"Andrew"},{"family":"Fukuoka","given":"Masahiro"},{"family":"Liu","given":"Peter P."}],"issued":{"date-parts":[["2007"]]}}}],"schema":"https://github.com/citation-style-language/schema/raw/master/csl-citation.json"} </w:instrText>
      </w:r>
      <w:r w:rsidR="00466EED">
        <w:fldChar w:fldCharType="separate"/>
      </w:r>
      <w:r w:rsidR="00466EED" w:rsidRPr="00466EED">
        <w:t>[7]</w:t>
      </w:r>
      <w:r w:rsidR="00466EED">
        <w:fldChar w:fldCharType="end"/>
      </w:r>
      <w:r w:rsidR="004B67B5">
        <w:t>.</w:t>
      </w:r>
    </w:p>
    <w:p w14:paraId="5B4E48DB" w14:textId="0065D7AD" w:rsidR="008A55B5" w:rsidRDefault="004B67B5" w:rsidP="004B67B5">
      <w:pPr>
        <w:pStyle w:val="BodyText"/>
        <w:spacing w:after="0" w:line="240" w:lineRule="auto"/>
        <w:ind w:firstLine="0"/>
      </w:pPr>
      <w:r>
        <w:tab/>
        <w:t>The integration of genomic and proteomic analyses empowers healthcare professionals to develop highly individualized treatment strategies. By harnessing the power of these analytical techniques, personalized medicine transforms healthcare from a reactive approach to a proactive one, enabling more precise and effective interventions tailored to each patient's unique genetic and molecular characteristics</w:t>
      </w:r>
      <w:r w:rsidR="00466EED">
        <w:fldChar w:fldCharType="begin"/>
      </w:r>
      <w:r w:rsidR="00466EED">
        <w:instrText xml:space="preserve"> ADDIN ZOTERO_ITEM CSL_CITATION {"citationID":"qsB3BYkF","properties":{"formattedCitation":"[8]","plainCitation":"[8]","noteIndex":0},"citationItems":[{"id":4391,"uris":["http://zotero.org/users/9143596/items/G82F3Z5X"],"itemData":{"id":4391,"type":"article-journal","container-title":"Cancers","DOI":"10.3390/cancers13112512","issue":"11","note":"publisher: MDPI","page":"2512","source":"Google Scholar","title":"Proteomics, personalized medicine and cancer","volume":"13","author":[{"family":"Su","given":"Miao"},{"family":"Zhang","given":"Zhe"},{"family":"Zhou","given":"Li"},{"family":"Han","given":"Chao"},{"family":"Huang","given":"Canhua"},{"family":"Nice","given":"Edouard C."}],"issued":{"date-parts":[["2021"]]}}}],"schema":"https://github.com/citation-style-language/schema/raw/master/csl-citation.json"} </w:instrText>
      </w:r>
      <w:r w:rsidR="00466EED">
        <w:fldChar w:fldCharType="separate"/>
      </w:r>
      <w:r w:rsidR="00466EED" w:rsidRPr="00466EED">
        <w:t>[8]</w:t>
      </w:r>
      <w:r w:rsidR="00466EED">
        <w:fldChar w:fldCharType="end"/>
      </w:r>
      <w:r w:rsidR="008A55B5" w:rsidRPr="00466548">
        <w:t>.</w:t>
      </w:r>
    </w:p>
    <w:p w14:paraId="654DD917" w14:textId="77777777" w:rsidR="009A7567" w:rsidRDefault="009A7567" w:rsidP="00466548">
      <w:pPr>
        <w:pStyle w:val="BodyText"/>
        <w:spacing w:after="0" w:line="240" w:lineRule="auto"/>
        <w:ind w:firstLine="0"/>
      </w:pPr>
    </w:p>
    <w:p w14:paraId="69ED6A0F" w14:textId="77777777" w:rsidR="00767BF4" w:rsidRPr="00466548" w:rsidRDefault="00767BF4" w:rsidP="00466548">
      <w:pPr>
        <w:pStyle w:val="BodyText"/>
        <w:spacing w:after="0" w:line="240" w:lineRule="auto"/>
        <w:ind w:firstLine="0"/>
      </w:pPr>
    </w:p>
    <w:p w14:paraId="540AA015" w14:textId="7712BA34" w:rsidR="008A55B5" w:rsidRPr="00402841" w:rsidRDefault="004B67B5" w:rsidP="00466548">
      <w:pPr>
        <w:pStyle w:val="Heading1"/>
        <w:spacing w:before="0" w:after="0"/>
        <w:ind w:firstLine="0"/>
        <w:rPr>
          <w:rFonts w:eastAsia="MS Mincho"/>
        </w:rPr>
      </w:pPr>
      <w:r>
        <w:rPr>
          <w:rFonts w:ascii="Times New Roman" w:eastAsia="MS Mincho" w:hAnsi="Times New Roman"/>
          <w:sz w:val="20"/>
          <w:szCs w:val="20"/>
        </w:rPr>
        <w:t>PHARMACOGENOMICS AND DRUG OPTIMIZATION</w:t>
      </w:r>
    </w:p>
    <w:p w14:paraId="36AC2F47" w14:textId="77777777" w:rsidR="00767BF4" w:rsidRPr="00767BF4" w:rsidRDefault="00767BF4" w:rsidP="00767BF4">
      <w:pPr>
        <w:rPr>
          <w:rFonts w:eastAsia="MS Mincho"/>
        </w:rPr>
      </w:pPr>
    </w:p>
    <w:p w14:paraId="069E94FB" w14:textId="031628C8" w:rsidR="00767BF4" w:rsidRPr="00466548" w:rsidRDefault="00D01167" w:rsidP="0057525D">
      <w:pPr>
        <w:pStyle w:val="BodyText"/>
        <w:spacing w:after="0" w:line="240" w:lineRule="auto"/>
        <w:ind w:firstLine="0"/>
      </w:pPr>
      <w:r>
        <w:tab/>
      </w:r>
      <w:r>
        <w:tab/>
      </w:r>
      <w:r w:rsidR="004B67B5">
        <w:t>Pharmacogenomics, an integral component of personalized medicine, embodies the convergence of genetics and pharmacology. It seeks to decipher the genetic factors influencing an individual's response to medications, paving the way for optimized drug selection, dosing, and therapeutic outcomes</w:t>
      </w:r>
      <w:r w:rsidR="00466EED">
        <w:t xml:space="preserve"> </w:t>
      </w:r>
      <w:r w:rsidR="00466EED">
        <w:fldChar w:fldCharType="begin"/>
      </w:r>
      <w:r w:rsidR="00466EED">
        <w:instrText xml:space="preserve"> ADDIN ZOTERO_ITEM CSL_CITATION {"citationID":"Esgcp6i0","properties":{"formattedCitation":"[9]","plainCitation":"[9]","noteIndex":0},"citationItems":[{"id":4389,"uris":["http://zotero.org/users/9143596/items/UAHZDJ7F"],"itemData":{"id":4389,"type":"article-journal","container-title":"Journal of personalized medicine","DOI":"10.3390/jpm2010001","issue":"1","note":"publisher: MDPI","page":"1–14","source":"Google Scholar","title":"Personalized medicine and cancer","volume":"2","author":[{"family":"Verma","given":"Mukesh"}],"issued":{"date-parts":[["2012"]]}}}],"schema":"https://github.com/citation-style-language/schema/raw/master/csl-citation.json"} </w:instrText>
      </w:r>
      <w:r w:rsidR="00466EED">
        <w:fldChar w:fldCharType="separate"/>
      </w:r>
      <w:r w:rsidR="00466EED" w:rsidRPr="00466EED">
        <w:t>[9]</w:t>
      </w:r>
      <w:r w:rsidR="00466EED">
        <w:fldChar w:fldCharType="end"/>
      </w:r>
      <w:r w:rsidR="0057525D" w:rsidRPr="0057525D">
        <w:t>.</w:t>
      </w:r>
    </w:p>
    <w:p w14:paraId="0CC62107" w14:textId="615CD462" w:rsidR="00767BF4" w:rsidRPr="00767BF4" w:rsidRDefault="004B67B5" w:rsidP="00767BF4">
      <w:pPr>
        <w:pStyle w:val="Heading2"/>
        <w:spacing w:before="0" w:after="0"/>
        <w:ind w:left="0" w:firstLine="0"/>
        <w:rPr>
          <w:b/>
          <w:i w:val="0"/>
        </w:rPr>
      </w:pPr>
      <w:r w:rsidRPr="004B67B5">
        <w:rPr>
          <w:b/>
          <w:i w:val="0"/>
        </w:rPr>
        <w:t>Understanding Genetic Variability</w:t>
      </w:r>
    </w:p>
    <w:p w14:paraId="27EDB3BB" w14:textId="3E25229F" w:rsidR="00767BF4" w:rsidRDefault="00D01167" w:rsidP="00466548">
      <w:pPr>
        <w:pStyle w:val="BodyText"/>
        <w:spacing w:after="0" w:line="240" w:lineRule="auto"/>
        <w:ind w:firstLine="0"/>
      </w:pPr>
      <w:r>
        <w:tab/>
      </w:r>
      <w:r>
        <w:tab/>
      </w:r>
      <w:r w:rsidR="004B67B5">
        <w:t>At the heart of pharmacogenomics lies the understanding that genetic variations among individuals can significantly impact how drugs are metabolized and their efficacy. These genetic polymorphisms can affect drug absorption, distribution, metabolism, and excretion, collectively shaping an individual's drug response and susceptibility to adverse reactions. By identifying these genetic variations, healthcare providers can predict a patient's likelihood of responding positively or negatively to specific drugs</w:t>
      </w:r>
      <w:r w:rsidR="00466EED">
        <w:fldChar w:fldCharType="begin"/>
      </w:r>
      <w:r w:rsidR="00466EED">
        <w:instrText xml:space="preserve"> ADDIN ZOTERO_ITEM CSL_CITATION {"citationID":"HMibYioY","properties":{"formattedCitation":"[10]","plainCitation":"[10]","noteIndex":0},"citationItems":[{"id":4402,"uris":["http://zotero.org/users/9143596/items/HLEB4KBN"],"itemData":{"id":4402,"type":"article-journal","container-title":"Journal of clinical medicine research","issue":"4","note":"publisher: Elmer Press","page":"191","source":"Google Scholar","title":"Pharmacogenomics: the right drug to the right person","title-short":"Pharmacogenomics","volume":"1","author":[{"family":"Aneesh","given":"T. P."},{"family":"Sekhar","given":"Sonal"},{"family":"Jose","given":"Asha"},{"family":"Chandran","given":"Lekshmi"},{"family":"Zachariah","given":"Subin Mary"}],"issued":{"date-parts":[["2009"]]}}}],"schema":"https://github.com/citation-style-language/schema/raw/master/csl-citation.json"} </w:instrText>
      </w:r>
      <w:r w:rsidR="00466EED">
        <w:fldChar w:fldCharType="separate"/>
      </w:r>
      <w:r w:rsidR="00466EED" w:rsidRPr="00466EED">
        <w:t>[10]</w:t>
      </w:r>
      <w:r w:rsidR="00466EED">
        <w:fldChar w:fldCharType="end"/>
      </w:r>
      <w:r w:rsidR="004B67B5">
        <w:t>. The examples of pharmacogenomic variations and drug responses are shown in Table 1</w:t>
      </w:r>
      <w:r w:rsidR="0057525D" w:rsidRPr="0057525D">
        <w:t>.</w:t>
      </w:r>
    </w:p>
    <w:p w14:paraId="0F9342F0" w14:textId="77777777" w:rsidR="004B67B5" w:rsidRDefault="004B67B5" w:rsidP="00466548">
      <w:pPr>
        <w:pStyle w:val="BodyText"/>
        <w:spacing w:after="0" w:line="240" w:lineRule="auto"/>
        <w:ind w:firstLine="0"/>
      </w:pPr>
    </w:p>
    <w:p w14:paraId="36EE8C80" w14:textId="05CC2DAB" w:rsidR="004B67B5" w:rsidRDefault="004B67B5" w:rsidP="004B67B5">
      <w:pPr>
        <w:pStyle w:val="BodyText"/>
        <w:spacing w:after="0" w:line="240" w:lineRule="auto"/>
        <w:ind w:firstLine="0"/>
        <w:jc w:val="center"/>
        <w:rPr>
          <w:b/>
          <w:bCs/>
        </w:rPr>
      </w:pPr>
      <w:r w:rsidRPr="000E3CEC">
        <w:rPr>
          <w:b/>
          <w:bCs/>
        </w:rPr>
        <w:t>Table 1: Examples of Pharmacogenomic Variations and Drug Responses</w:t>
      </w:r>
    </w:p>
    <w:tbl>
      <w:tblPr>
        <w:tblStyle w:val="TableGrid"/>
        <w:tblW w:w="9795" w:type="dxa"/>
        <w:tblLook w:val="04A0" w:firstRow="1" w:lastRow="0" w:firstColumn="1" w:lastColumn="0" w:noHBand="0" w:noVBand="1"/>
      </w:tblPr>
      <w:tblGrid>
        <w:gridCol w:w="1339"/>
        <w:gridCol w:w="2283"/>
        <w:gridCol w:w="2019"/>
        <w:gridCol w:w="4154"/>
      </w:tblGrid>
      <w:tr w:rsidR="004B67B5" w:rsidRPr="000E3CEC" w14:paraId="21D6AA39" w14:textId="77777777" w:rsidTr="005B1A54">
        <w:tc>
          <w:tcPr>
            <w:tcW w:w="0" w:type="auto"/>
            <w:hideMark/>
          </w:tcPr>
          <w:p w14:paraId="0C911002"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Gene</w:t>
            </w:r>
          </w:p>
        </w:tc>
        <w:tc>
          <w:tcPr>
            <w:tcW w:w="0" w:type="auto"/>
            <w:hideMark/>
          </w:tcPr>
          <w:p w14:paraId="341FDB25"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Variation</w:t>
            </w:r>
          </w:p>
        </w:tc>
        <w:tc>
          <w:tcPr>
            <w:tcW w:w="0" w:type="auto"/>
            <w:hideMark/>
          </w:tcPr>
          <w:p w14:paraId="4526D9AE"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Drug</w:t>
            </w:r>
          </w:p>
        </w:tc>
        <w:tc>
          <w:tcPr>
            <w:tcW w:w="0" w:type="auto"/>
            <w:hideMark/>
          </w:tcPr>
          <w:p w14:paraId="7E79CDBC"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Response</w:t>
            </w:r>
          </w:p>
        </w:tc>
      </w:tr>
      <w:tr w:rsidR="004B67B5" w:rsidRPr="000E3CEC" w14:paraId="2E0C3238" w14:textId="77777777" w:rsidTr="005B1A54">
        <w:tc>
          <w:tcPr>
            <w:tcW w:w="0" w:type="auto"/>
            <w:vMerge w:val="restart"/>
            <w:vAlign w:val="center"/>
            <w:hideMark/>
          </w:tcPr>
          <w:p w14:paraId="434D092D"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CYP2D6</w:t>
            </w:r>
          </w:p>
        </w:tc>
        <w:tc>
          <w:tcPr>
            <w:tcW w:w="0" w:type="auto"/>
            <w:vMerge w:val="restart"/>
            <w:vAlign w:val="center"/>
            <w:hideMark/>
          </w:tcPr>
          <w:p w14:paraId="7D65CD39"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Poor metabolizer</w:t>
            </w:r>
          </w:p>
        </w:tc>
        <w:tc>
          <w:tcPr>
            <w:tcW w:w="0" w:type="auto"/>
            <w:hideMark/>
          </w:tcPr>
          <w:p w14:paraId="457F07A8"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Codeine</w:t>
            </w:r>
          </w:p>
        </w:tc>
        <w:tc>
          <w:tcPr>
            <w:tcW w:w="0" w:type="auto"/>
            <w:hideMark/>
          </w:tcPr>
          <w:p w14:paraId="35558CED"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Ineffective pain relief</w:t>
            </w:r>
          </w:p>
        </w:tc>
      </w:tr>
      <w:tr w:rsidR="004B67B5" w:rsidRPr="000E3CEC" w14:paraId="2934ECD5" w14:textId="77777777" w:rsidTr="005B1A54">
        <w:tc>
          <w:tcPr>
            <w:tcW w:w="0" w:type="auto"/>
            <w:vMerge/>
            <w:vAlign w:val="center"/>
            <w:hideMark/>
          </w:tcPr>
          <w:p w14:paraId="24EF6B2F" w14:textId="77777777" w:rsidR="004B67B5" w:rsidRPr="000E3CEC" w:rsidRDefault="004B67B5" w:rsidP="005B1A54">
            <w:pPr>
              <w:jc w:val="both"/>
              <w:rPr>
                <w:rFonts w:eastAsia="Times New Roman" w:cs="Times New Roman"/>
                <w:sz w:val="20"/>
                <w:szCs w:val="20"/>
              </w:rPr>
            </w:pPr>
          </w:p>
        </w:tc>
        <w:tc>
          <w:tcPr>
            <w:tcW w:w="0" w:type="auto"/>
            <w:vMerge/>
            <w:vAlign w:val="center"/>
            <w:hideMark/>
          </w:tcPr>
          <w:p w14:paraId="0FEF9F94" w14:textId="77777777" w:rsidR="004B67B5" w:rsidRPr="000E3CEC" w:rsidRDefault="004B67B5" w:rsidP="005B1A54">
            <w:pPr>
              <w:jc w:val="both"/>
              <w:rPr>
                <w:rFonts w:eastAsia="Times New Roman" w:cs="Times New Roman"/>
                <w:sz w:val="20"/>
                <w:szCs w:val="20"/>
              </w:rPr>
            </w:pPr>
          </w:p>
        </w:tc>
        <w:tc>
          <w:tcPr>
            <w:tcW w:w="0" w:type="auto"/>
            <w:hideMark/>
          </w:tcPr>
          <w:p w14:paraId="76C99866"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Tramadol</w:t>
            </w:r>
          </w:p>
        </w:tc>
        <w:tc>
          <w:tcPr>
            <w:tcW w:w="0" w:type="auto"/>
            <w:hideMark/>
          </w:tcPr>
          <w:p w14:paraId="2EE884A1"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Reduced pain relief</w:t>
            </w:r>
          </w:p>
        </w:tc>
      </w:tr>
      <w:tr w:rsidR="004B67B5" w:rsidRPr="000E3CEC" w14:paraId="79C37887" w14:textId="77777777" w:rsidTr="005B1A54">
        <w:tc>
          <w:tcPr>
            <w:tcW w:w="0" w:type="auto"/>
            <w:vMerge w:val="restart"/>
            <w:vAlign w:val="center"/>
            <w:hideMark/>
          </w:tcPr>
          <w:p w14:paraId="6E6E60C5"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TPMT</w:t>
            </w:r>
          </w:p>
        </w:tc>
        <w:tc>
          <w:tcPr>
            <w:tcW w:w="0" w:type="auto"/>
            <w:vMerge w:val="restart"/>
            <w:vAlign w:val="center"/>
            <w:hideMark/>
          </w:tcPr>
          <w:p w14:paraId="1B836B04"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Intermediate TPMT</w:t>
            </w:r>
          </w:p>
        </w:tc>
        <w:tc>
          <w:tcPr>
            <w:tcW w:w="0" w:type="auto"/>
            <w:hideMark/>
          </w:tcPr>
          <w:p w14:paraId="1BAD3F43"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Thiopurine drugs</w:t>
            </w:r>
          </w:p>
        </w:tc>
        <w:tc>
          <w:tcPr>
            <w:tcW w:w="0" w:type="auto"/>
            <w:hideMark/>
          </w:tcPr>
          <w:p w14:paraId="6060B9C4"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Increased toxicity risk</w:t>
            </w:r>
          </w:p>
        </w:tc>
      </w:tr>
      <w:tr w:rsidR="004B67B5" w:rsidRPr="000E3CEC" w14:paraId="5118207F" w14:textId="77777777" w:rsidTr="005B1A54">
        <w:tc>
          <w:tcPr>
            <w:tcW w:w="0" w:type="auto"/>
            <w:vMerge/>
            <w:hideMark/>
          </w:tcPr>
          <w:p w14:paraId="5AF3DB90" w14:textId="77777777" w:rsidR="004B67B5" w:rsidRPr="000E3CEC" w:rsidRDefault="004B67B5" w:rsidP="005B1A54">
            <w:pPr>
              <w:jc w:val="both"/>
              <w:rPr>
                <w:rFonts w:eastAsia="Times New Roman" w:cs="Times New Roman"/>
                <w:sz w:val="20"/>
                <w:szCs w:val="20"/>
              </w:rPr>
            </w:pPr>
          </w:p>
        </w:tc>
        <w:tc>
          <w:tcPr>
            <w:tcW w:w="0" w:type="auto"/>
            <w:vMerge/>
            <w:hideMark/>
          </w:tcPr>
          <w:p w14:paraId="583AFB5A" w14:textId="77777777" w:rsidR="004B67B5" w:rsidRPr="000E3CEC" w:rsidRDefault="004B67B5" w:rsidP="005B1A54">
            <w:pPr>
              <w:jc w:val="both"/>
              <w:rPr>
                <w:rFonts w:eastAsia="Times New Roman" w:cs="Times New Roman"/>
                <w:sz w:val="20"/>
                <w:szCs w:val="20"/>
              </w:rPr>
            </w:pPr>
          </w:p>
        </w:tc>
        <w:tc>
          <w:tcPr>
            <w:tcW w:w="0" w:type="auto"/>
            <w:hideMark/>
          </w:tcPr>
          <w:p w14:paraId="69C995F1"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Mercaptopurine</w:t>
            </w:r>
          </w:p>
        </w:tc>
        <w:tc>
          <w:tcPr>
            <w:tcW w:w="0" w:type="auto"/>
            <w:hideMark/>
          </w:tcPr>
          <w:p w14:paraId="758A2E1E"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Enhanced myelosuppression</w:t>
            </w:r>
          </w:p>
        </w:tc>
      </w:tr>
      <w:tr w:rsidR="004B67B5" w:rsidRPr="000E3CEC" w14:paraId="239656CE" w14:textId="77777777" w:rsidTr="005B1A54">
        <w:tc>
          <w:tcPr>
            <w:tcW w:w="0" w:type="auto"/>
            <w:vMerge w:val="restart"/>
            <w:vAlign w:val="center"/>
            <w:hideMark/>
          </w:tcPr>
          <w:p w14:paraId="25A37BAF"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VKORC1</w:t>
            </w:r>
          </w:p>
        </w:tc>
        <w:tc>
          <w:tcPr>
            <w:tcW w:w="0" w:type="auto"/>
            <w:vMerge w:val="restart"/>
            <w:vAlign w:val="center"/>
            <w:hideMark/>
          </w:tcPr>
          <w:p w14:paraId="0BCCB05C"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High sensitivity</w:t>
            </w:r>
          </w:p>
        </w:tc>
        <w:tc>
          <w:tcPr>
            <w:tcW w:w="0" w:type="auto"/>
            <w:hideMark/>
          </w:tcPr>
          <w:p w14:paraId="46966D59"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Warfarin</w:t>
            </w:r>
          </w:p>
        </w:tc>
        <w:tc>
          <w:tcPr>
            <w:tcW w:w="0" w:type="auto"/>
            <w:hideMark/>
          </w:tcPr>
          <w:p w14:paraId="13EDC474"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Increased bleeding risk</w:t>
            </w:r>
          </w:p>
        </w:tc>
      </w:tr>
      <w:tr w:rsidR="004B67B5" w:rsidRPr="000E3CEC" w14:paraId="1B4023D0" w14:textId="77777777" w:rsidTr="005B1A54">
        <w:tc>
          <w:tcPr>
            <w:tcW w:w="0" w:type="auto"/>
            <w:vMerge/>
            <w:hideMark/>
          </w:tcPr>
          <w:p w14:paraId="598CED4F" w14:textId="77777777" w:rsidR="004B67B5" w:rsidRPr="000E3CEC" w:rsidRDefault="004B67B5" w:rsidP="005B1A54">
            <w:pPr>
              <w:jc w:val="both"/>
              <w:rPr>
                <w:rFonts w:eastAsia="Times New Roman" w:cs="Times New Roman"/>
                <w:sz w:val="20"/>
                <w:szCs w:val="20"/>
              </w:rPr>
            </w:pPr>
          </w:p>
        </w:tc>
        <w:tc>
          <w:tcPr>
            <w:tcW w:w="0" w:type="auto"/>
            <w:vMerge/>
            <w:vAlign w:val="center"/>
            <w:hideMark/>
          </w:tcPr>
          <w:p w14:paraId="0E78CCB0" w14:textId="77777777" w:rsidR="004B67B5" w:rsidRPr="000E3CEC" w:rsidRDefault="004B67B5" w:rsidP="005B1A54">
            <w:pPr>
              <w:jc w:val="both"/>
              <w:rPr>
                <w:rFonts w:eastAsia="Times New Roman" w:cs="Times New Roman"/>
                <w:sz w:val="20"/>
                <w:szCs w:val="20"/>
              </w:rPr>
            </w:pPr>
          </w:p>
        </w:tc>
        <w:tc>
          <w:tcPr>
            <w:tcW w:w="0" w:type="auto"/>
            <w:hideMark/>
          </w:tcPr>
          <w:p w14:paraId="4B513F5F" w14:textId="77777777" w:rsidR="004B67B5" w:rsidRPr="000E3CEC" w:rsidRDefault="004B67B5" w:rsidP="005B1A54">
            <w:pPr>
              <w:jc w:val="both"/>
              <w:rPr>
                <w:rFonts w:eastAsia="Times New Roman" w:cs="Times New Roman"/>
                <w:sz w:val="20"/>
                <w:szCs w:val="20"/>
              </w:rPr>
            </w:pPr>
            <w:proofErr w:type="spellStart"/>
            <w:r w:rsidRPr="000E3CEC">
              <w:rPr>
                <w:rFonts w:eastAsia="Times New Roman" w:cs="Times New Roman"/>
                <w:sz w:val="20"/>
                <w:szCs w:val="20"/>
              </w:rPr>
              <w:t>Acenocoumarol</w:t>
            </w:r>
            <w:proofErr w:type="spellEnd"/>
          </w:p>
        </w:tc>
        <w:tc>
          <w:tcPr>
            <w:tcW w:w="0" w:type="auto"/>
            <w:hideMark/>
          </w:tcPr>
          <w:p w14:paraId="06F90BA3"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Higher potential for bleeding</w:t>
            </w:r>
          </w:p>
        </w:tc>
      </w:tr>
      <w:tr w:rsidR="004B67B5" w:rsidRPr="000E3CEC" w14:paraId="3845A7B9" w14:textId="77777777" w:rsidTr="005B1A54">
        <w:tc>
          <w:tcPr>
            <w:tcW w:w="0" w:type="auto"/>
            <w:vMerge w:val="restart"/>
            <w:vAlign w:val="center"/>
            <w:hideMark/>
          </w:tcPr>
          <w:p w14:paraId="06AAB3DD"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SLCO1B1</w:t>
            </w:r>
          </w:p>
        </w:tc>
        <w:tc>
          <w:tcPr>
            <w:tcW w:w="0" w:type="auto"/>
            <w:vMerge w:val="restart"/>
            <w:vAlign w:val="center"/>
            <w:hideMark/>
          </w:tcPr>
          <w:p w14:paraId="5DC2DBD5"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*5/*5 genotype</w:t>
            </w:r>
          </w:p>
        </w:tc>
        <w:tc>
          <w:tcPr>
            <w:tcW w:w="0" w:type="auto"/>
            <w:hideMark/>
          </w:tcPr>
          <w:p w14:paraId="17785D36"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Statins</w:t>
            </w:r>
          </w:p>
        </w:tc>
        <w:tc>
          <w:tcPr>
            <w:tcW w:w="0" w:type="auto"/>
            <w:hideMark/>
          </w:tcPr>
          <w:p w14:paraId="7F9CAA7E"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Increased muscle toxicity</w:t>
            </w:r>
          </w:p>
        </w:tc>
      </w:tr>
      <w:tr w:rsidR="004B67B5" w:rsidRPr="000E3CEC" w14:paraId="32C64424" w14:textId="77777777" w:rsidTr="005B1A54">
        <w:tc>
          <w:tcPr>
            <w:tcW w:w="0" w:type="auto"/>
            <w:vMerge/>
            <w:vAlign w:val="center"/>
            <w:hideMark/>
          </w:tcPr>
          <w:p w14:paraId="63403919" w14:textId="77777777" w:rsidR="004B67B5" w:rsidRPr="000E3CEC" w:rsidRDefault="004B67B5" w:rsidP="005B1A54">
            <w:pPr>
              <w:jc w:val="both"/>
              <w:rPr>
                <w:rFonts w:eastAsia="Times New Roman" w:cs="Times New Roman"/>
                <w:sz w:val="20"/>
                <w:szCs w:val="20"/>
              </w:rPr>
            </w:pPr>
          </w:p>
        </w:tc>
        <w:tc>
          <w:tcPr>
            <w:tcW w:w="0" w:type="auto"/>
            <w:vMerge/>
            <w:hideMark/>
          </w:tcPr>
          <w:p w14:paraId="31DB6C91" w14:textId="77777777" w:rsidR="004B67B5" w:rsidRPr="000E3CEC" w:rsidRDefault="004B67B5" w:rsidP="005B1A54">
            <w:pPr>
              <w:jc w:val="both"/>
              <w:rPr>
                <w:rFonts w:eastAsia="Times New Roman" w:cs="Times New Roman"/>
                <w:sz w:val="20"/>
                <w:szCs w:val="20"/>
              </w:rPr>
            </w:pPr>
          </w:p>
        </w:tc>
        <w:tc>
          <w:tcPr>
            <w:tcW w:w="0" w:type="auto"/>
            <w:hideMark/>
          </w:tcPr>
          <w:p w14:paraId="49E0D383"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Simvastatin</w:t>
            </w:r>
          </w:p>
        </w:tc>
        <w:tc>
          <w:tcPr>
            <w:tcW w:w="0" w:type="auto"/>
            <w:hideMark/>
          </w:tcPr>
          <w:p w14:paraId="511F2474"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Elevated risk of muscle-related effects</w:t>
            </w:r>
          </w:p>
        </w:tc>
      </w:tr>
      <w:tr w:rsidR="004B67B5" w:rsidRPr="000E3CEC" w14:paraId="5873730C" w14:textId="77777777" w:rsidTr="005B1A54">
        <w:tc>
          <w:tcPr>
            <w:tcW w:w="0" w:type="auto"/>
            <w:vMerge/>
            <w:vAlign w:val="center"/>
            <w:hideMark/>
          </w:tcPr>
          <w:p w14:paraId="7B30F649" w14:textId="77777777" w:rsidR="004B67B5" w:rsidRPr="000E3CEC" w:rsidRDefault="004B67B5" w:rsidP="005B1A54">
            <w:pPr>
              <w:jc w:val="both"/>
              <w:rPr>
                <w:rFonts w:eastAsia="Times New Roman" w:cs="Times New Roman"/>
                <w:sz w:val="20"/>
                <w:szCs w:val="20"/>
              </w:rPr>
            </w:pPr>
          </w:p>
        </w:tc>
        <w:tc>
          <w:tcPr>
            <w:tcW w:w="0" w:type="auto"/>
            <w:vMerge/>
            <w:hideMark/>
          </w:tcPr>
          <w:p w14:paraId="20654D3A" w14:textId="77777777" w:rsidR="004B67B5" w:rsidRPr="000E3CEC" w:rsidRDefault="004B67B5" w:rsidP="005B1A54">
            <w:pPr>
              <w:jc w:val="both"/>
              <w:rPr>
                <w:rFonts w:eastAsia="Times New Roman" w:cs="Times New Roman"/>
                <w:sz w:val="20"/>
                <w:szCs w:val="20"/>
              </w:rPr>
            </w:pPr>
          </w:p>
        </w:tc>
        <w:tc>
          <w:tcPr>
            <w:tcW w:w="0" w:type="auto"/>
            <w:hideMark/>
          </w:tcPr>
          <w:p w14:paraId="6950638A"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Atorvastatin</w:t>
            </w:r>
          </w:p>
        </w:tc>
        <w:tc>
          <w:tcPr>
            <w:tcW w:w="0" w:type="auto"/>
            <w:hideMark/>
          </w:tcPr>
          <w:p w14:paraId="4C078B2F"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Greater likelihood of muscle issues</w:t>
            </w:r>
          </w:p>
        </w:tc>
      </w:tr>
      <w:tr w:rsidR="004B67B5" w:rsidRPr="000E3CEC" w14:paraId="714C17BC" w14:textId="77777777" w:rsidTr="005B1A54">
        <w:tc>
          <w:tcPr>
            <w:tcW w:w="0" w:type="auto"/>
            <w:vMerge/>
            <w:hideMark/>
          </w:tcPr>
          <w:p w14:paraId="60117F8E" w14:textId="77777777" w:rsidR="004B67B5" w:rsidRPr="000E3CEC" w:rsidRDefault="004B67B5" w:rsidP="005B1A54">
            <w:pPr>
              <w:jc w:val="both"/>
              <w:rPr>
                <w:rFonts w:eastAsia="Times New Roman" w:cs="Times New Roman"/>
                <w:sz w:val="20"/>
                <w:szCs w:val="20"/>
              </w:rPr>
            </w:pPr>
          </w:p>
        </w:tc>
        <w:tc>
          <w:tcPr>
            <w:tcW w:w="0" w:type="auto"/>
            <w:vMerge/>
            <w:hideMark/>
          </w:tcPr>
          <w:p w14:paraId="1A574F84" w14:textId="77777777" w:rsidR="004B67B5" w:rsidRPr="000E3CEC" w:rsidRDefault="004B67B5" w:rsidP="005B1A54">
            <w:pPr>
              <w:jc w:val="both"/>
              <w:rPr>
                <w:rFonts w:eastAsia="Times New Roman" w:cs="Times New Roman"/>
                <w:sz w:val="20"/>
                <w:szCs w:val="20"/>
              </w:rPr>
            </w:pPr>
          </w:p>
        </w:tc>
        <w:tc>
          <w:tcPr>
            <w:tcW w:w="0" w:type="auto"/>
            <w:hideMark/>
          </w:tcPr>
          <w:p w14:paraId="22924822"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Pravastatin</w:t>
            </w:r>
          </w:p>
        </w:tc>
        <w:tc>
          <w:tcPr>
            <w:tcW w:w="0" w:type="auto"/>
            <w:hideMark/>
          </w:tcPr>
          <w:p w14:paraId="60E5F746"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Minimal muscle-related risks</w:t>
            </w:r>
          </w:p>
        </w:tc>
      </w:tr>
    </w:tbl>
    <w:p w14:paraId="0500A137" w14:textId="77777777" w:rsidR="004B67B5" w:rsidRPr="00466548" w:rsidRDefault="004B67B5" w:rsidP="00466548">
      <w:pPr>
        <w:pStyle w:val="BodyText"/>
        <w:spacing w:after="0" w:line="240" w:lineRule="auto"/>
        <w:ind w:firstLine="0"/>
      </w:pPr>
    </w:p>
    <w:p w14:paraId="6514CA86" w14:textId="21DBAA54" w:rsidR="00D01167" w:rsidRPr="00D01167" w:rsidRDefault="004B67B5" w:rsidP="00D01167">
      <w:pPr>
        <w:pStyle w:val="Heading2"/>
        <w:spacing w:before="0" w:after="0"/>
        <w:ind w:left="0" w:firstLine="0"/>
        <w:rPr>
          <w:b/>
          <w:i w:val="0"/>
        </w:rPr>
      </w:pPr>
      <w:r w:rsidRPr="004B67B5">
        <w:rPr>
          <w:b/>
          <w:i w:val="0"/>
        </w:rPr>
        <w:t>Tailoring Treatment for Maximum Benefit</w:t>
      </w:r>
    </w:p>
    <w:p w14:paraId="69AA5C5B" w14:textId="75F2FFBF" w:rsidR="00767BF4" w:rsidRPr="00466548" w:rsidRDefault="00E345D6" w:rsidP="00767BF4">
      <w:pPr>
        <w:pStyle w:val="bulletlist"/>
        <w:numPr>
          <w:ilvl w:val="0"/>
          <w:numId w:val="0"/>
        </w:numPr>
        <w:spacing w:after="0" w:line="240" w:lineRule="auto"/>
      </w:pPr>
      <w:r>
        <w:tab/>
      </w:r>
      <w:r>
        <w:tab/>
      </w:r>
      <w:r w:rsidR="004B67B5" w:rsidRPr="004B67B5">
        <w:t>Pharmacogenomics guides the selection of medications and dosage adjustments to align with a patient's genetic makeup, minimizing the risk of adverse effects and treatment failures. For instance, an individual's genetic profile may indicate a slower metabolism of a certain drug, necessitating a lower dosage to prevent toxicity. Conversely, a fast metabolizer might require a higher dose to achieve therapeutic levels</w:t>
      </w:r>
      <w:r w:rsidR="00466EED">
        <w:t xml:space="preserve"> </w:t>
      </w:r>
      <w:r w:rsidR="00466EED">
        <w:fldChar w:fldCharType="begin"/>
      </w:r>
      <w:r w:rsidR="00466EED">
        <w:instrText xml:space="preserve"> ADDIN ZOTERO_ITEM CSL_CITATION {"citationID":"mtcXKkJO","properties":{"formattedCitation":"[11]","plainCitation":"[11]","noteIndex":0},"citationItems":[{"id":4400,"uris":["http://zotero.org/users/9143596/items/5ZTD4TWJ"],"itemData":{"id":4400,"type":"article-journal","DOI":"10.2217/1745509X.1.2.303","note":"publisher: Future Medicine","source":"Google Scholar","title":"Pharmacogenomics, nutrigenomics and therapeutic optimization in Alzheimer’s disease","author":[{"family":"Cacabelos","given":"Ramón"}],"issued":{"date-parts":[["2005"]]}}}],"schema":"https://github.com/citation-style-language/schema/raw/master/csl-citation.json"} </w:instrText>
      </w:r>
      <w:r w:rsidR="00466EED">
        <w:fldChar w:fldCharType="separate"/>
      </w:r>
      <w:r w:rsidR="00466EED" w:rsidRPr="00466EED">
        <w:t>[11]</w:t>
      </w:r>
      <w:r w:rsidR="00466EED">
        <w:fldChar w:fldCharType="end"/>
      </w:r>
      <w:r w:rsidRPr="00E345D6">
        <w:t>.</w:t>
      </w:r>
    </w:p>
    <w:p w14:paraId="47A5FB8E" w14:textId="41F52120" w:rsidR="00767BF4" w:rsidRPr="00767BF4" w:rsidRDefault="004B67B5" w:rsidP="00767BF4">
      <w:pPr>
        <w:pStyle w:val="Heading2"/>
        <w:spacing w:before="0" w:after="0"/>
        <w:ind w:left="0" w:firstLine="0"/>
        <w:rPr>
          <w:b/>
          <w:i w:val="0"/>
        </w:rPr>
      </w:pPr>
      <w:r w:rsidRPr="004B67B5">
        <w:rPr>
          <w:b/>
          <w:i w:val="0"/>
        </w:rPr>
        <w:t>Trial and Error to Precision Medicine</w:t>
      </w:r>
    </w:p>
    <w:p w14:paraId="0F5E8EC0" w14:textId="48FA6328" w:rsidR="004B67B5" w:rsidRDefault="00D01167" w:rsidP="004B67B5">
      <w:pPr>
        <w:jc w:val="both"/>
      </w:pPr>
      <w:r>
        <w:tab/>
      </w:r>
      <w:r w:rsidR="004B67B5">
        <w:t>The traditional approach to prescribing medications often involved a trial-and-error process, where patients had to endure potential side effects or inadequate responses before finding an effective treatment. Pharmacogenomics revolutionizes this paradigm by allowing clinicians to preemptively tailor treatments based on genetic information, enhancing patient safety and treatment efficacy</w:t>
      </w:r>
      <w:r w:rsidR="00466EED">
        <w:t xml:space="preserve"> </w:t>
      </w:r>
      <w:r w:rsidR="00466EED">
        <w:fldChar w:fldCharType="begin"/>
      </w:r>
      <w:r w:rsidR="00466EED">
        <w:instrText xml:space="preserve"> ADDIN ZOTERO_ITEM CSL_CITATION {"citationID":"WWflkCcc","properties":{"formattedCitation":"[12]","plainCitation":"[12]","noteIndex":0},"citationItems":[{"id":4403,"uris":["http://zotero.org/users/9143596/items/6NSSP8UF"],"itemData":{"id":4403,"type":"article-journal","container-title":"Expert Review of Precision Medicine and Drug Development","DOI":"10.1080/23808993.2020.1738217","issue":"3","note":"publisher: Taylor &amp; Francis","page":"181–234","source":"Google Scholar","title":"Pharmacogenomics of drugs used to treat brain disorders","volume":"5","author":[{"family":"Cacabelos","given":"Ramon"}],"issued":{"date-parts":[["2020"]]}}}],"schema":"https://github.com/citation-style-language/schema/raw/master/csl-citation.json"} </w:instrText>
      </w:r>
      <w:r w:rsidR="00466EED">
        <w:fldChar w:fldCharType="separate"/>
      </w:r>
      <w:r w:rsidR="00466EED" w:rsidRPr="00466EED">
        <w:t>[12]</w:t>
      </w:r>
      <w:r w:rsidR="00466EED">
        <w:fldChar w:fldCharType="end"/>
      </w:r>
      <w:r w:rsidR="004B67B5">
        <w:t>.</w:t>
      </w:r>
    </w:p>
    <w:p w14:paraId="38AD53FF" w14:textId="7D3434D7" w:rsidR="00466548" w:rsidRDefault="004B67B5" w:rsidP="004B67B5">
      <w:pPr>
        <w:jc w:val="both"/>
      </w:pPr>
      <w:r>
        <w:lastRenderedPageBreak/>
        <w:t>While the promise of pharmacogenomics is undeniable, its widespread integration into clinical practice presents challenges. Establishing standardized guidelines, interpreting complex genetic data, and addressing ethical considerations related to patient privacy are key areas of concern</w:t>
      </w:r>
      <w:r w:rsidR="001456E2">
        <w:fldChar w:fldCharType="begin"/>
      </w:r>
      <w:r w:rsidR="001456E2">
        <w:instrText xml:space="preserve"> ADDIN ZOTERO_ITEM CSL_CITATION {"citationID":"Il0q7YGo","properties":{"formattedCitation":"[13], [14]","plainCitation":"[13], [14]","noteIndex":0},"citationItems":[{"id":4404,"uris":["http://zotero.org/users/9143596/items/3CY7ED3A"],"itemData":{"id":4404,"type":"article-journal","container-title":"Nature","DOI":"10.1038/nature02626","issue":"6990","note":"publisher: Nature Publishing Group UK London","page":"464–468","source":"Google Scholar","title":"Moving towards individualized medicine with pharmacogenomics","volume":"429","author":[{"family":"Evans","given":"William E."},{"family":"Relling","given":"Mary V."}],"issued":{"date-parts":[["2004"]]}}},{"id":4401,"uris":["http://zotero.org/users/9143596/items/QTWK93Q3"],"itemData":{"id":4401,"type":"article-journal","DOI":"10.2217/14622416.6.8.857","note":"publisher: Future Medicine","source":"Google Scholar","title":"Pharmacogenomics and drug development","author":[{"family":"Guo","given":"Yingying"},{"family":"Shafer","given":"Steven"},{"family":"Weller","given":"Paul"},{"family":"Usuka","given":"Jonathan"},{"family":"Peltz","given":"Gary"}],"issued":{"date-parts":[["2005"]]}}}],"schema":"https://github.com/citation-style-language/schema/raw/master/csl-citation.json"} </w:instrText>
      </w:r>
      <w:r w:rsidR="001456E2">
        <w:fldChar w:fldCharType="separate"/>
      </w:r>
      <w:r w:rsidR="001456E2" w:rsidRPr="001456E2">
        <w:t>[13], [14]</w:t>
      </w:r>
      <w:r w:rsidR="001456E2">
        <w:fldChar w:fldCharType="end"/>
      </w:r>
      <w:r>
        <w:t>.</w:t>
      </w:r>
    </w:p>
    <w:p w14:paraId="6C7C3AC5" w14:textId="77777777" w:rsidR="00C82F76" w:rsidRPr="00466548" w:rsidRDefault="00C82F76" w:rsidP="00C82F76">
      <w:pPr>
        <w:pStyle w:val="BodyText"/>
        <w:spacing w:after="0" w:line="240" w:lineRule="auto"/>
        <w:ind w:firstLine="0"/>
      </w:pPr>
    </w:p>
    <w:p w14:paraId="74E78F4D" w14:textId="2F7EA4A2" w:rsidR="00C82F76" w:rsidRPr="00402841" w:rsidRDefault="004B67B5" w:rsidP="00C82F76">
      <w:pPr>
        <w:pStyle w:val="Heading1"/>
        <w:tabs>
          <w:tab w:val="clear" w:pos="3150"/>
          <w:tab w:val="num" w:pos="576"/>
        </w:tabs>
        <w:spacing w:before="0" w:after="0"/>
        <w:ind w:firstLine="0"/>
        <w:rPr>
          <w:rFonts w:eastAsia="MS Mincho"/>
        </w:rPr>
      </w:pPr>
      <w:r>
        <w:rPr>
          <w:rFonts w:ascii="Times New Roman" w:eastAsia="MS Mincho" w:hAnsi="Times New Roman"/>
          <w:sz w:val="20"/>
          <w:szCs w:val="20"/>
        </w:rPr>
        <w:t>MICROBIOME AND TREATMENT RESPONSE</w:t>
      </w:r>
    </w:p>
    <w:p w14:paraId="72716100" w14:textId="77777777" w:rsidR="00C82F76" w:rsidRPr="00767BF4" w:rsidRDefault="00C82F76" w:rsidP="00C82F76">
      <w:pPr>
        <w:rPr>
          <w:rFonts w:eastAsia="MS Mincho"/>
        </w:rPr>
      </w:pPr>
    </w:p>
    <w:p w14:paraId="02A329BA" w14:textId="00672106" w:rsidR="00C82F76" w:rsidRPr="00466548" w:rsidRDefault="00C82F76" w:rsidP="00C82F76">
      <w:pPr>
        <w:pStyle w:val="BodyText"/>
        <w:spacing w:after="0" w:line="240" w:lineRule="auto"/>
        <w:ind w:firstLine="0"/>
      </w:pPr>
      <w:r>
        <w:tab/>
      </w:r>
      <w:r>
        <w:tab/>
      </w:r>
      <w:r w:rsidR="004B67B5">
        <w:t>The human microbiome, a complex ecosystem of microorganisms inhabiting our body, has emerged as a critical player in health and disease. Recent advancements in analytical techniques have unveiled the profound impact of the microbiome on treatment responses, ushering in a new era of personalized medicine that considers our microbial inhabitants</w:t>
      </w:r>
      <w:r w:rsidR="001456E2">
        <w:fldChar w:fldCharType="begin"/>
      </w:r>
      <w:r w:rsidR="001456E2">
        <w:instrText xml:space="preserve"> ADDIN ZOTERO_ITEM CSL_CITATION {"citationID":"VM1C4gKH","properties":{"formattedCitation":"[14], [15]","plainCitation":"[14], [15]","noteIndex":0},"citationItems":[{"id":4401,"uris":["http://zotero.org/users/9143596/items/QTWK93Q3"],"itemData":{"id":4401,"type":"article-journal","DOI":"10.2217/14622416.6.8.857","note":"publisher: Future Medicine","source":"Google Scholar","title":"Pharmacogenomics and drug development","author":[{"family":"Guo","given":"Yingying"},{"family":"Shafer","given":"Steven"},{"family":"Weller","given":"Paul"},{"family":"Usuka","given":"Jonathan"},{"family":"Peltz","given":"Gary"}],"issued":{"date-parts":[["2005"]]}}},{"id":4406,"uris":["http://zotero.org/users/9143596/items/YSQSH6GI"],"itemData":{"id":4406,"type":"article-journal","container-title":"Cancer Cell","DOI":"10.1016/j.ccell.2021.08.006","issue":"10","note":"publisher: Elsevier","page":"1317–1341","source":"Google Scholar","title":"Microbiome and cancer","volume":"39","author":[{"family":"Cullin","given":"Nyssa"},{"family":"Antunes","given":"Camila Azevedo"},{"family":"Straussman","given":"Ravid"},{"family":"Stein-Thoeringer","given":"Christoph K."},{"family":"Elinav","given":"Eran"}],"issued":{"date-parts":[["2021"]]}}}],"schema":"https://github.com/citation-style-language/schema/raw/master/csl-citation.json"} </w:instrText>
      </w:r>
      <w:r w:rsidR="001456E2">
        <w:fldChar w:fldCharType="separate"/>
      </w:r>
      <w:r w:rsidR="001456E2" w:rsidRPr="001456E2">
        <w:t>[14], [15]</w:t>
      </w:r>
      <w:r w:rsidR="001456E2">
        <w:fldChar w:fldCharType="end"/>
      </w:r>
      <w:r w:rsidRPr="0057525D">
        <w:t>.</w:t>
      </w:r>
    </w:p>
    <w:p w14:paraId="48846743" w14:textId="6585EEC8" w:rsidR="00C82F76" w:rsidRPr="00767BF4" w:rsidRDefault="004B67B5" w:rsidP="00C82F76">
      <w:pPr>
        <w:pStyle w:val="Heading2"/>
        <w:numPr>
          <w:ilvl w:val="1"/>
          <w:numId w:val="4"/>
        </w:numPr>
        <w:tabs>
          <w:tab w:val="clear" w:pos="360"/>
          <w:tab w:val="num" w:pos="288"/>
        </w:tabs>
        <w:spacing w:before="0" w:after="0"/>
        <w:ind w:left="0" w:firstLine="0"/>
        <w:rPr>
          <w:b/>
          <w:i w:val="0"/>
        </w:rPr>
      </w:pPr>
      <w:r>
        <w:rPr>
          <w:b/>
          <w:i w:val="0"/>
        </w:rPr>
        <w:t>Microbiome’s Role in Health and Disease</w:t>
      </w:r>
    </w:p>
    <w:p w14:paraId="1A7A5301" w14:textId="560927DB" w:rsidR="00C82F76" w:rsidRDefault="00C82F76" w:rsidP="00C82F76">
      <w:pPr>
        <w:pStyle w:val="BodyText"/>
        <w:spacing w:after="0" w:line="240" w:lineRule="auto"/>
        <w:ind w:firstLine="0"/>
      </w:pPr>
      <w:r>
        <w:tab/>
      </w:r>
      <w:r>
        <w:tab/>
      </w:r>
      <w:r w:rsidR="004B67B5">
        <w:t>The microbiome, consisting of bacteria, viruses, fungi, and other microorganisms, exerts a far-reaching influence on diverse physiological processes. It contributes to digestion, metabolism, immune modulation, and even neurological functions. Imbalances in the microbiome, known as dysbiosis, have been implicated in various diseases, ranging from gastrointestinal disorders to autoimmune conditions and beyond</w:t>
      </w:r>
      <w:r w:rsidR="001456E2">
        <w:t xml:space="preserve"> </w:t>
      </w:r>
      <w:r w:rsidR="001456E2">
        <w:fldChar w:fldCharType="begin"/>
      </w:r>
      <w:r w:rsidR="001456E2">
        <w:instrText xml:space="preserve"> ADDIN ZOTERO_ITEM CSL_CITATION {"citationID":"lIbK2ApW","properties":{"formattedCitation":"[16]","plainCitation":"[16]","noteIndex":0},"citationItems":[{"id":4410,"uris":["http://zotero.org/users/9143596/items/JUI4W8GX"],"itemData":{"id":4410,"type":"article-journal","container-title":"Nature medicine","DOI":"10.1038/s41591-019-0377-7","issue":"3","note":"publisher: Nature Publishing Group US New York","page":"377–388","source":"Google Scholar","title":"The microbiome, cancer, and cancer therapy","volume":"25","author":[{"family":"Helmink","given":"Beth A."},{"family":"Khan","given":"MA Wadud"},{"family":"Hermann","given":"Amanda"},{"family":"Gopalakrishnan","given":"Vancheswaran"},{"family":"Wargo","given":"Jennifer A."}],"issued":{"date-parts":[["2019"]]}}}],"schema":"https://github.com/citation-style-language/schema/raw/master/csl-citation.json"} </w:instrText>
      </w:r>
      <w:r w:rsidR="001456E2">
        <w:fldChar w:fldCharType="separate"/>
      </w:r>
      <w:r w:rsidR="001456E2" w:rsidRPr="001456E2">
        <w:t>[16]</w:t>
      </w:r>
      <w:r w:rsidR="001456E2">
        <w:fldChar w:fldCharType="end"/>
      </w:r>
      <w:r w:rsidR="004B67B5">
        <w:t>. The microbiome modulation versus disease treatment is shown in Table 2</w:t>
      </w:r>
      <w:r w:rsidRPr="0057525D">
        <w:t>.</w:t>
      </w:r>
    </w:p>
    <w:p w14:paraId="6AEDC29F" w14:textId="2B26DBEE" w:rsidR="004B67B5" w:rsidRDefault="004B67B5" w:rsidP="00C82F76">
      <w:pPr>
        <w:pStyle w:val="BodyText"/>
        <w:spacing w:after="0" w:line="240" w:lineRule="auto"/>
        <w:ind w:firstLine="0"/>
      </w:pPr>
    </w:p>
    <w:p w14:paraId="21DDEC8C" w14:textId="77777777" w:rsidR="004B67B5" w:rsidRPr="000E3CEC" w:rsidRDefault="004B67B5" w:rsidP="004B67B5">
      <w:pPr>
        <w:rPr>
          <w:b/>
          <w:bCs/>
        </w:rPr>
      </w:pPr>
      <w:r w:rsidRPr="000E3CEC">
        <w:rPr>
          <w:b/>
          <w:bCs/>
        </w:rPr>
        <w:t>Table 2: Microbiome Modulation and Disease Treatment</w:t>
      </w:r>
    </w:p>
    <w:tbl>
      <w:tblPr>
        <w:tblStyle w:val="TableGrid"/>
        <w:tblW w:w="9795" w:type="dxa"/>
        <w:tblLook w:val="04A0" w:firstRow="1" w:lastRow="0" w:firstColumn="1" w:lastColumn="0" w:noHBand="0" w:noVBand="1"/>
      </w:tblPr>
      <w:tblGrid>
        <w:gridCol w:w="1761"/>
        <w:gridCol w:w="1834"/>
        <w:gridCol w:w="2160"/>
        <w:gridCol w:w="4040"/>
      </w:tblGrid>
      <w:tr w:rsidR="004B67B5" w:rsidRPr="000E3CEC" w14:paraId="18942898" w14:textId="77777777" w:rsidTr="005B1A54">
        <w:tc>
          <w:tcPr>
            <w:tcW w:w="1761" w:type="dxa"/>
            <w:hideMark/>
          </w:tcPr>
          <w:p w14:paraId="59C888C1"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Disease/Condition</w:t>
            </w:r>
          </w:p>
        </w:tc>
        <w:tc>
          <w:tcPr>
            <w:tcW w:w="1834" w:type="dxa"/>
            <w:hideMark/>
          </w:tcPr>
          <w:p w14:paraId="7D334268"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Microbiome Imbalance</w:t>
            </w:r>
          </w:p>
        </w:tc>
        <w:tc>
          <w:tcPr>
            <w:tcW w:w="2160" w:type="dxa"/>
            <w:hideMark/>
          </w:tcPr>
          <w:p w14:paraId="32877802"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Intervention</w:t>
            </w:r>
          </w:p>
        </w:tc>
        <w:tc>
          <w:tcPr>
            <w:tcW w:w="4040" w:type="dxa"/>
            <w:hideMark/>
          </w:tcPr>
          <w:p w14:paraId="1213B1AE" w14:textId="77777777" w:rsidR="004B67B5" w:rsidRPr="000E3CEC" w:rsidRDefault="004B67B5" w:rsidP="005B1A54">
            <w:pPr>
              <w:jc w:val="both"/>
              <w:rPr>
                <w:rFonts w:eastAsia="Times New Roman" w:cs="Times New Roman"/>
                <w:b/>
                <w:bCs/>
                <w:sz w:val="20"/>
                <w:szCs w:val="20"/>
              </w:rPr>
            </w:pPr>
            <w:r w:rsidRPr="000E3CEC">
              <w:rPr>
                <w:rFonts w:eastAsia="Times New Roman" w:cs="Times New Roman"/>
                <w:b/>
                <w:bCs/>
                <w:sz w:val="20"/>
                <w:szCs w:val="20"/>
              </w:rPr>
              <w:t>Treatment Outcome</w:t>
            </w:r>
          </w:p>
        </w:tc>
      </w:tr>
      <w:tr w:rsidR="004B67B5" w:rsidRPr="000E3CEC" w14:paraId="55FA59D7" w14:textId="77777777" w:rsidTr="005B1A54">
        <w:tc>
          <w:tcPr>
            <w:tcW w:w="1761" w:type="dxa"/>
            <w:vMerge w:val="restart"/>
            <w:vAlign w:val="center"/>
            <w:hideMark/>
          </w:tcPr>
          <w:p w14:paraId="06E61488"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Clostridium difficile infection</w:t>
            </w:r>
          </w:p>
        </w:tc>
        <w:tc>
          <w:tcPr>
            <w:tcW w:w="1834" w:type="dxa"/>
            <w:vMerge w:val="restart"/>
            <w:vAlign w:val="center"/>
            <w:hideMark/>
          </w:tcPr>
          <w:p w14:paraId="43AE598E"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Dysbiosis due to antibiotic use</w:t>
            </w:r>
          </w:p>
        </w:tc>
        <w:tc>
          <w:tcPr>
            <w:tcW w:w="2160" w:type="dxa"/>
            <w:vAlign w:val="center"/>
            <w:hideMark/>
          </w:tcPr>
          <w:p w14:paraId="12AE869D"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Fecal Microbiota Transplantation (FMT)</w:t>
            </w:r>
          </w:p>
        </w:tc>
        <w:tc>
          <w:tcPr>
            <w:tcW w:w="4040" w:type="dxa"/>
            <w:hideMark/>
          </w:tcPr>
          <w:p w14:paraId="4C6EE956"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Rapid resolution of infection</w:t>
            </w:r>
          </w:p>
        </w:tc>
      </w:tr>
      <w:tr w:rsidR="004B67B5" w:rsidRPr="000E3CEC" w14:paraId="3BAD55E8" w14:textId="77777777" w:rsidTr="005B1A54">
        <w:tc>
          <w:tcPr>
            <w:tcW w:w="1761" w:type="dxa"/>
            <w:vMerge/>
            <w:hideMark/>
          </w:tcPr>
          <w:p w14:paraId="00555F88" w14:textId="77777777" w:rsidR="004B67B5" w:rsidRPr="000E3CEC" w:rsidRDefault="004B67B5" w:rsidP="005B1A54">
            <w:pPr>
              <w:jc w:val="both"/>
              <w:rPr>
                <w:rFonts w:eastAsia="Times New Roman" w:cs="Times New Roman"/>
                <w:sz w:val="20"/>
                <w:szCs w:val="20"/>
              </w:rPr>
            </w:pPr>
          </w:p>
        </w:tc>
        <w:tc>
          <w:tcPr>
            <w:tcW w:w="1834" w:type="dxa"/>
            <w:vMerge/>
            <w:vAlign w:val="center"/>
            <w:hideMark/>
          </w:tcPr>
          <w:p w14:paraId="663E9063" w14:textId="77777777" w:rsidR="004B67B5" w:rsidRPr="000E3CEC" w:rsidRDefault="004B67B5" w:rsidP="005B1A54">
            <w:pPr>
              <w:jc w:val="both"/>
              <w:rPr>
                <w:rFonts w:eastAsia="Times New Roman" w:cs="Times New Roman"/>
                <w:sz w:val="20"/>
                <w:szCs w:val="20"/>
              </w:rPr>
            </w:pPr>
          </w:p>
        </w:tc>
        <w:tc>
          <w:tcPr>
            <w:tcW w:w="2160" w:type="dxa"/>
            <w:vAlign w:val="center"/>
            <w:hideMark/>
          </w:tcPr>
          <w:p w14:paraId="093617B6"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Probiotics</w:t>
            </w:r>
          </w:p>
        </w:tc>
        <w:tc>
          <w:tcPr>
            <w:tcW w:w="4040" w:type="dxa"/>
            <w:hideMark/>
          </w:tcPr>
          <w:p w14:paraId="7B3858A3"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Improved gut flora balance, reduced recurrence</w:t>
            </w:r>
          </w:p>
        </w:tc>
      </w:tr>
      <w:tr w:rsidR="004B67B5" w:rsidRPr="000E3CEC" w14:paraId="0267536F" w14:textId="77777777" w:rsidTr="005B1A54">
        <w:tc>
          <w:tcPr>
            <w:tcW w:w="1761" w:type="dxa"/>
            <w:vMerge w:val="restart"/>
            <w:vAlign w:val="center"/>
            <w:hideMark/>
          </w:tcPr>
          <w:p w14:paraId="03C58651"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Inflammatory Bowel Disease</w:t>
            </w:r>
          </w:p>
        </w:tc>
        <w:tc>
          <w:tcPr>
            <w:tcW w:w="1834" w:type="dxa"/>
            <w:vMerge w:val="restart"/>
            <w:vAlign w:val="center"/>
            <w:hideMark/>
          </w:tcPr>
          <w:p w14:paraId="4BBE8D85"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Dysbiosis in gut microbiota</w:t>
            </w:r>
          </w:p>
        </w:tc>
        <w:tc>
          <w:tcPr>
            <w:tcW w:w="2160" w:type="dxa"/>
            <w:vAlign w:val="center"/>
            <w:hideMark/>
          </w:tcPr>
          <w:p w14:paraId="6847F4B7"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Prebiotics</w:t>
            </w:r>
          </w:p>
        </w:tc>
        <w:tc>
          <w:tcPr>
            <w:tcW w:w="4040" w:type="dxa"/>
            <w:hideMark/>
          </w:tcPr>
          <w:p w14:paraId="2B8402AC"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Reduced inflammation, enhanced gut barrier function</w:t>
            </w:r>
          </w:p>
        </w:tc>
      </w:tr>
      <w:tr w:rsidR="004B67B5" w:rsidRPr="000E3CEC" w14:paraId="2E7A78E3" w14:textId="77777777" w:rsidTr="005B1A54">
        <w:tc>
          <w:tcPr>
            <w:tcW w:w="1761" w:type="dxa"/>
            <w:vMerge/>
            <w:hideMark/>
          </w:tcPr>
          <w:p w14:paraId="50F87FB9" w14:textId="77777777" w:rsidR="004B67B5" w:rsidRPr="000E3CEC" w:rsidRDefault="004B67B5" w:rsidP="005B1A54">
            <w:pPr>
              <w:jc w:val="both"/>
              <w:rPr>
                <w:rFonts w:eastAsia="Times New Roman" w:cs="Times New Roman"/>
                <w:sz w:val="20"/>
                <w:szCs w:val="20"/>
              </w:rPr>
            </w:pPr>
          </w:p>
        </w:tc>
        <w:tc>
          <w:tcPr>
            <w:tcW w:w="1834" w:type="dxa"/>
            <w:vMerge/>
            <w:vAlign w:val="center"/>
            <w:hideMark/>
          </w:tcPr>
          <w:p w14:paraId="6848B11A" w14:textId="77777777" w:rsidR="004B67B5" w:rsidRPr="000E3CEC" w:rsidRDefault="004B67B5" w:rsidP="005B1A54">
            <w:pPr>
              <w:jc w:val="both"/>
              <w:rPr>
                <w:rFonts w:eastAsia="Times New Roman" w:cs="Times New Roman"/>
                <w:sz w:val="20"/>
                <w:szCs w:val="20"/>
              </w:rPr>
            </w:pPr>
          </w:p>
        </w:tc>
        <w:tc>
          <w:tcPr>
            <w:tcW w:w="2160" w:type="dxa"/>
            <w:vAlign w:val="center"/>
            <w:hideMark/>
          </w:tcPr>
          <w:p w14:paraId="47BF1B92"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Probiotics</w:t>
            </w:r>
          </w:p>
        </w:tc>
        <w:tc>
          <w:tcPr>
            <w:tcW w:w="4040" w:type="dxa"/>
            <w:hideMark/>
          </w:tcPr>
          <w:p w14:paraId="099183D0"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Symptom relief, disease management</w:t>
            </w:r>
          </w:p>
        </w:tc>
      </w:tr>
      <w:tr w:rsidR="004B67B5" w:rsidRPr="000E3CEC" w14:paraId="576482B5" w14:textId="77777777" w:rsidTr="005B1A54">
        <w:tc>
          <w:tcPr>
            <w:tcW w:w="1761" w:type="dxa"/>
            <w:vMerge/>
            <w:hideMark/>
          </w:tcPr>
          <w:p w14:paraId="2B7C6A64" w14:textId="77777777" w:rsidR="004B67B5" w:rsidRPr="000E3CEC" w:rsidRDefault="004B67B5" w:rsidP="005B1A54">
            <w:pPr>
              <w:jc w:val="both"/>
              <w:rPr>
                <w:rFonts w:eastAsia="Times New Roman" w:cs="Times New Roman"/>
                <w:sz w:val="20"/>
                <w:szCs w:val="20"/>
              </w:rPr>
            </w:pPr>
          </w:p>
        </w:tc>
        <w:tc>
          <w:tcPr>
            <w:tcW w:w="1834" w:type="dxa"/>
            <w:vMerge/>
            <w:vAlign w:val="center"/>
            <w:hideMark/>
          </w:tcPr>
          <w:p w14:paraId="5F0A5492" w14:textId="77777777" w:rsidR="004B67B5" w:rsidRPr="000E3CEC" w:rsidRDefault="004B67B5" w:rsidP="005B1A54">
            <w:pPr>
              <w:jc w:val="both"/>
              <w:rPr>
                <w:rFonts w:eastAsia="Times New Roman" w:cs="Times New Roman"/>
                <w:sz w:val="20"/>
                <w:szCs w:val="20"/>
              </w:rPr>
            </w:pPr>
          </w:p>
        </w:tc>
        <w:tc>
          <w:tcPr>
            <w:tcW w:w="2160" w:type="dxa"/>
            <w:vAlign w:val="center"/>
            <w:hideMark/>
          </w:tcPr>
          <w:p w14:paraId="2A5B4181" w14:textId="77777777" w:rsidR="004B67B5" w:rsidRPr="000E3CEC" w:rsidRDefault="004B67B5" w:rsidP="005B1A54">
            <w:pPr>
              <w:jc w:val="both"/>
              <w:rPr>
                <w:rFonts w:eastAsia="Times New Roman" w:cs="Times New Roman"/>
                <w:sz w:val="20"/>
                <w:szCs w:val="20"/>
              </w:rPr>
            </w:pPr>
            <w:proofErr w:type="spellStart"/>
            <w:r w:rsidRPr="000E3CEC">
              <w:rPr>
                <w:rFonts w:eastAsia="Times New Roman" w:cs="Times New Roman"/>
                <w:sz w:val="20"/>
                <w:szCs w:val="20"/>
              </w:rPr>
              <w:t>Faecal</w:t>
            </w:r>
            <w:proofErr w:type="spellEnd"/>
            <w:r w:rsidRPr="000E3CEC">
              <w:rPr>
                <w:rFonts w:eastAsia="Times New Roman" w:cs="Times New Roman"/>
                <w:sz w:val="20"/>
                <w:szCs w:val="20"/>
              </w:rPr>
              <w:t xml:space="preserve"> Microbiota Transplantation (FMT)</w:t>
            </w:r>
          </w:p>
        </w:tc>
        <w:tc>
          <w:tcPr>
            <w:tcW w:w="4040" w:type="dxa"/>
            <w:hideMark/>
          </w:tcPr>
          <w:p w14:paraId="09ECAAE3"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Alleviation of symptoms, improved gut health</w:t>
            </w:r>
          </w:p>
        </w:tc>
      </w:tr>
      <w:tr w:rsidR="004B67B5" w:rsidRPr="000E3CEC" w14:paraId="3878692C" w14:textId="77777777" w:rsidTr="005B1A54">
        <w:trPr>
          <w:trHeight w:val="782"/>
        </w:trPr>
        <w:tc>
          <w:tcPr>
            <w:tcW w:w="1761" w:type="dxa"/>
            <w:vMerge w:val="restart"/>
            <w:vAlign w:val="center"/>
            <w:hideMark/>
          </w:tcPr>
          <w:p w14:paraId="45F73517"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Obesity</w:t>
            </w:r>
          </w:p>
        </w:tc>
        <w:tc>
          <w:tcPr>
            <w:tcW w:w="1834" w:type="dxa"/>
            <w:vAlign w:val="center"/>
            <w:hideMark/>
          </w:tcPr>
          <w:p w14:paraId="37BC9D4E"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Reduced microbial diversity</w:t>
            </w:r>
          </w:p>
        </w:tc>
        <w:tc>
          <w:tcPr>
            <w:tcW w:w="2160" w:type="dxa"/>
            <w:vAlign w:val="center"/>
            <w:hideMark/>
          </w:tcPr>
          <w:p w14:paraId="59EB8D08"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Dietary changes</w:t>
            </w:r>
          </w:p>
        </w:tc>
        <w:tc>
          <w:tcPr>
            <w:tcW w:w="4040" w:type="dxa"/>
            <w:hideMark/>
          </w:tcPr>
          <w:p w14:paraId="3C8E41A0"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Improved metabolic health, weight management</w:t>
            </w:r>
          </w:p>
        </w:tc>
      </w:tr>
      <w:tr w:rsidR="004B67B5" w:rsidRPr="000E3CEC" w14:paraId="1B6F294C" w14:textId="77777777" w:rsidTr="005B1A54">
        <w:tc>
          <w:tcPr>
            <w:tcW w:w="1761" w:type="dxa"/>
            <w:vMerge/>
            <w:hideMark/>
          </w:tcPr>
          <w:p w14:paraId="7E6792D9" w14:textId="77777777" w:rsidR="004B67B5" w:rsidRPr="000E3CEC" w:rsidRDefault="004B67B5" w:rsidP="005B1A54">
            <w:pPr>
              <w:jc w:val="both"/>
              <w:rPr>
                <w:rFonts w:eastAsia="Times New Roman" w:cs="Times New Roman"/>
                <w:sz w:val="20"/>
                <w:szCs w:val="20"/>
              </w:rPr>
            </w:pPr>
          </w:p>
        </w:tc>
        <w:tc>
          <w:tcPr>
            <w:tcW w:w="1834" w:type="dxa"/>
            <w:vMerge w:val="restart"/>
            <w:vAlign w:val="center"/>
            <w:hideMark/>
          </w:tcPr>
          <w:p w14:paraId="6679952D"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Altered gut microbiota</w:t>
            </w:r>
          </w:p>
        </w:tc>
        <w:tc>
          <w:tcPr>
            <w:tcW w:w="2160" w:type="dxa"/>
            <w:vAlign w:val="center"/>
            <w:hideMark/>
          </w:tcPr>
          <w:p w14:paraId="615CD369"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Exercise and dietary modifications</w:t>
            </w:r>
          </w:p>
        </w:tc>
        <w:tc>
          <w:tcPr>
            <w:tcW w:w="4040" w:type="dxa"/>
            <w:hideMark/>
          </w:tcPr>
          <w:p w14:paraId="41274AD8"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Enhanced weight loss, metabolic improvement</w:t>
            </w:r>
          </w:p>
        </w:tc>
      </w:tr>
      <w:tr w:rsidR="004B67B5" w:rsidRPr="000E3CEC" w14:paraId="5B1F996E" w14:textId="77777777" w:rsidTr="005B1A54">
        <w:tc>
          <w:tcPr>
            <w:tcW w:w="1761" w:type="dxa"/>
            <w:vMerge/>
            <w:hideMark/>
          </w:tcPr>
          <w:p w14:paraId="12900082" w14:textId="77777777" w:rsidR="004B67B5" w:rsidRPr="000E3CEC" w:rsidRDefault="004B67B5" w:rsidP="005B1A54">
            <w:pPr>
              <w:jc w:val="both"/>
              <w:rPr>
                <w:rFonts w:eastAsia="Times New Roman" w:cs="Times New Roman"/>
                <w:sz w:val="20"/>
                <w:szCs w:val="20"/>
              </w:rPr>
            </w:pPr>
          </w:p>
        </w:tc>
        <w:tc>
          <w:tcPr>
            <w:tcW w:w="1834" w:type="dxa"/>
            <w:vMerge/>
            <w:vAlign w:val="center"/>
            <w:hideMark/>
          </w:tcPr>
          <w:p w14:paraId="39704209" w14:textId="77777777" w:rsidR="004B67B5" w:rsidRPr="000E3CEC" w:rsidRDefault="004B67B5" w:rsidP="005B1A54">
            <w:pPr>
              <w:jc w:val="both"/>
              <w:rPr>
                <w:rFonts w:eastAsia="Times New Roman" w:cs="Times New Roman"/>
                <w:sz w:val="20"/>
                <w:szCs w:val="20"/>
              </w:rPr>
            </w:pPr>
          </w:p>
        </w:tc>
        <w:tc>
          <w:tcPr>
            <w:tcW w:w="2160" w:type="dxa"/>
            <w:vAlign w:val="center"/>
            <w:hideMark/>
          </w:tcPr>
          <w:p w14:paraId="22A21FB3"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Prebiotics</w:t>
            </w:r>
          </w:p>
        </w:tc>
        <w:tc>
          <w:tcPr>
            <w:tcW w:w="4040" w:type="dxa"/>
            <w:hideMark/>
          </w:tcPr>
          <w:p w14:paraId="40A6D3FE"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Positive effects on gut health and weight</w:t>
            </w:r>
          </w:p>
        </w:tc>
      </w:tr>
      <w:tr w:rsidR="004B67B5" w:rsidRPr="000E3CEC" w14:paraId="4B339B78" w14:textId="77777777" w:rsidTr="005B1A54">
        <w:tc>
          <w:tcPr>
            <w:tcW w:w="1761" w:type="dxa"/>
            <w:vMerge/>
            <w:hideMark/>
          </w:tcPr>
          <w:p w14:paraId="664DE8DA" w14:textId="77777777" w:rsidR="004B67B5" w:rsidRPr="000E3CEC" w:rsidRDefault="004B67B5" w:rsidP="005B1A54">
            <w:pPr>
              <w:jc w:val="both"/>
              <w:rPr>
                <w:rFonts w:eastAsia="Times New Roman" w:cs="Times New Roman"/>
                <w:sz w:val="20"/>
                <w:szCs w:val="20"/>
              </w:rPr>
            </w:pPr>
          </w:p>
        </w:tc>
        <w:tc>
          <w:tcPr>
            <w:tcW w:w="1834" w:type="dxa"/>
            <w:vMerge/>
            <w:vAlign w:val="center"/>
            <w:hideMark/>
          </w:tcPr>
          <w:p w14:paraId="55EACF82" w14:textId="77777777" w:rsidR="004B67B5" w:rsidRPr="000E3CEC" w:rsidRDefault="004B67B5" w:rsidP="005B1A54">
            <w:pPr>
              <w:jc w:val="both"/>
              <w:rPr>
                <w:rFonts w:eastAsia="Times New Roman" w:cs="Times New Roman"/>
                <w:sz w:val="20"/>
                <w:szCs w:val="20"/>
              </w:rPr>
            </w:pPr>
          </w:p>
        </w:tc>
        <w:tc>
          <w:tcPr>
            <w:tcW w:w="2160" w:type="dxa"/>
            <w:vAlign w:val="center"/>
            <w:hideMark/>
          </w:tcPr>
          <w:p w14:paraId="2C277FAD"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Bariatric surgery</w:t>
            </w:r>
          </w:p>
        </w:tc>
        <w:tc>
          <w:tcPr>
            <w:tcW w:w="4040" w:type="dxa"/>
            <w:hideMark/>
          </w:tcPr>
          <w:p w14:paraId="0259D456"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Microbiome changes contributing to weight loss</w:t>
            </w:r>
          </w:p>
        </w:tc>
      </w:tr>
      <w:tr w:rsidR="004B67B5" w:rsidRPr="000E3CEC" w14:paraId="0B541CAA" w14:textId="77777777" w:rsidTr="005B1A54">
        <w:tc>
          <w:tcPr>
            <w:tcW w:w="1761" w:type="dxa"/>
            <w:vMerge w:val="restart"/>
            <w:vAlign w:val="center"/>
            <w:hideMark/>
          </w:tcPr>
          <w:p w14:paraId="15E0153A"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Type 2 Diabetes</w:t>
            </w:r>
          </w:p>
        </w:tc>
        <w:tc>
          <w:tcPr>
            <w:tcW w:w="1834" w:type="dxa"/>
            <w:vMerge w:val="restart"/>
            <w:vAlign w:val="center"/>
            <w:hideMark/>
          </w:tcPr>
          <w:p w14:paraId="509B1940"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Dysbiosis and altered metabolic activity</w:t>
            </w:r>
          </w:p>
        </w:tc>
        <w:tc>
          <w:tcPr>
            <w:tcW w:w="2160" w:type="dxa"/>
            <w:vAlign w:val="center"/>
            <w:hideMark/>
          </w:tcPr>
          <w:p w14:paraId="69249B84"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High-fiber diet</w:t>
            </w:r>
          </w:p>
        </w:tc>
        <w:tc>
          <w:tcPr>
            <w:tcW w:w="4040" w:type="dxa"/>
            <w:hideMark/>
          </w:tcPr>
          <w:p w14:paraId="3C6F0D0A"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Improved glucose control, metabolic benefits</w:t>
            </w:r>
          </w:p>
        </w:tc>
      </w:tr>
      <w:tr w:rsidR="004B67B5" w:rsidRPr="000E3CEC" w14:paraId="5553764D" w14:textId="77777777" w:rsidTr="005B1A54">
        <w:tc>
          <w:tcPr>
            <w:tcW w:w="1761" w:type="dxa"/>
            <w:vMerge/>
            <w:hideMark/>
          </w:tcPr>
          <w:p w14:paraId="34DC6C0B" w14:textId="77777777" w:rsidR="004B67B5" w:rsidRPr="000E3CEC" w:rsidRDefault="004B67B5" w:rsidP="005B1A54">
            <w:pPr>
              <w:jc w:val="both"/>
              <w:rPr>
                <w:rFonts w:eastAsia="Times New Roman" w:cs="Times New Roman"/>
                <w:sz w:val="20"/>
                <w:szCs w:val="20"/>
              </w:rPr>
            </w:pPr>
          </w:p>
        </w:tc>
        <w:tc>
          <w:tcPr>
            <w:tcW w:w="1834" w:type="dxa"/>
            <w:vMerge/>
            <w:vAlign w:val="center"/>
            <w:hideMark/>
          </w:tcPr>
          <w:p w14:paraId="0729A403" w14:textId="77777777" w:rsidR="004B67B5" w:rsidRPr="000E3CEC" w:rsidRDefault="004B67B5" w:rsidP="005B1A54">
            <w:pPr>
              <w:jc w:val="both"/>
              <w:rPr>
                <w:rFonts w:eastAsia="Times New Roman" w:cs="Times New Roman"/>
                <w:sz w:val="20"/>
                <w:szCs w:val="20"/>
              </w:rPr>
            </w:pPr>
          </w:p>
        </w:tc>
        <w:tc>
          <w:tcPr>
            <w:tcW w:w="2160" w:type="dxa"/>
            <w:vAlign w:val="center"/>
            <w:hideMark/>
          </w:tcPr>
          <w:p w14:paraId="6385BB8A"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Fecal Microbiota Transplantation (FMT)</w:t>
            </w:r>
          </w:p>
        </w:tc>
        <w:tc>
          <w:tcPr>
            <w:tcW w:w="4040" w:type="dxa"/>
            <w:hideMark/>
          </w:tcPr>
          <w:p w14:paraId="1C787CAB"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Potential positive impact on insulin sensitivity</w:t>
            </w:r>
          </w:p>
        </w:tc>
      </w:tr>
      <w:tr w:rsidR="004B67B5" w:rsidRPr="000E3CEC" w14:paraId="19C7024E" w14:textId="77777777" w:rsidTr="005B1A54">
        <w:tc>
          <w:tcPr>
            <w:tcW w:w="1761" w:type="dxa"/>
            <w:vMerge/>
            <w:hideMark/>
          </w:tcPr>
          <w:p w14:paraId="7DEE3B11" w14:textId="77777777" w:rsidR="004B67B5" w:rsidRPr="000E3CEC" w:rsidRDefault="004B67B5" w:rsidP="005B1A54">
            <w:pPr>
              <w:jc w:val="both"/>
              <w:rPr>
                <w:rFonts w:eastAsia="Times New Roman" w:cs="Times New Roman"/>
                <w:sz w:val="20"/>
                <w:szCs w:val="20"/>
              </w:rPr>
            </w:pPr>
          </w:p>
        </w:tc>
        <w:tc>
          <w:tcPr>
            <w:tcW w:w="1834" w:type="dxa"/>
            <w:vMerge/>
            <w:vAlign w:val="center"/>
            <w:hideMark/>
          </w:tcPr>
          <w:p w14:paraId="375CE5E0" w14:textId="77777777" w:rsidR="004B67B5" w:rsidRPr="000E3CEC" w:rsidRDefault="004B67B5" w:rsidP="005B1A54">
            <w:pPr>
              <w:jc w:val="both"/>
              <w:rPr>
                <w:rFonts w:eastAsia="Times New Roman" w:cs="Times New Roman"/>
                <w:sz w:val="20"/>
                <w:szCs w:val="20"/>
              </w:rPr>
            </w:pPr>
          </w:p>
        </w:tc>
        <w:tc>
          <w:tcPr>
            <w:tcW w:w="2160" w:type="dxa"/>
            <w:vAlign w:val="center"/>
            <w:hideMark/>
          </w:tcPr>
          <w:p w14:paraId="01EB8F08"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 xml:space="preserve">Probiotics and </w:t>
            </w:r>
            <w:proofErr w:type="spellStart"/>
            <w:r w:rsidRPr="000E3CEC">
              <w:rPr>
                <w:rFonts w:eastAsia="Times New Roman" w:cs="Times New Roman"/>
                <w:sz w:val="20"/>
                <w:szCs w:val="20"/>
              </w:rPr>
              <w:t>synbiotics</w:t>
            </w:r>
            <w:proofErr w:type="spellEnd"/>
          </w:p>
        </w:tc>
        <w:tc>
          <w:tcPr>
            <w:tcW w:w="4040" w:type="dxa"/>
            <w:hideMark/>
          </w:tcPr>
          <w:p w14:paraId="44DAD26A" w14:textId="77777777" w:rsidR="004B67B5" w:rsidRPr="000E3CEC" w:rsidRDefault="004B67B5" w:rsidP="005B1A54">
            <w:pPr>
              <w:jc w:val="both"/>
              <w:rPr>
                <w:rFonts w:eastAsia="Times New Roman" w:cs="Times New Roman"/>
                <w:sz w:val="20"/>
                <w:szCs w:val="20"/>
              </w:rPr>
            </w:pPr>
            <w:r w:rsidRPr="000E3CEC">
              <w:rPr>
                <w:rFonts w:eastAsia="Times New Roman" w:cs="Times New Roman"/>
                <w:sz w:val="20"/>
                <w:szCs w:val="20"/>
              </w:rPr>
              <w:t>Potential modulation of gut microbiota for health</w:t>
            </w:r>
          </w:p>
        </w:tc>
      </w:tr>
    </w:tbl>
    <w:p w14:paraId="0CCFFB07" w14:textId="77777777" w:rsidR="004B67B5" w:rsidRPr="00466548" w:rsidRDefault="004B67B5" w:rsidP="00C82F76">
      <w:pPr>
        <w:pStyle w:val="BodyText"/>
        <w:spacing w:after="0" w:line="240" w:lineRule="auto"/>
        <w:ind w:firstLine="0"/>
      </w:pPr>
    </w:p>
    <w:p w14:paraId="61CF19CA" w14:textId="7938ADFB" w:rsidR="00C82F76" w:rsidRPr="00D01167" w:rsidRDefault="004B67B5" w:rsidP="00C82F76">
      <w:pPr>
        <w:pStyle w:val="Heading2"/>
        <w:numPr>
          <w:ilvl w:val="1"/>
          <w:numId w:val="4"/>
        </w:numPr>
        <w:tabs>
          <w:tab w:val="clear" w:pos="360"/>
          <w:tab w:val="num" w:pos="288"/>
        </w:tabs>
        <w:spacing w:before="0" w:after="0"/>
        <w:ind w:left="0" w:firstLine="0"/>
        <w:rPr>
          <w:b/>
          <w:i w:val="0"/>
        </w:rPr>
      </w:pPr>
      <w:r w:rsidRPr="004B67B5">
        <w:rPr>
          <w:b/>
          <w:i w:val="0"/>
        </w:rPr>
        <w:t>Microbiome and Drug Metabolism</w:t>
      </w:r>
    </w:p>
    <w:p w14:paraId="0161469F" w14:textId="625CD7A7" w:rsidR="00C44CA6" w:rsidRDefault="00C82F76" w:rsidP="00C44CA6">
      <w:pPr>
        <w:jc w:val="both"/>
      </w:pPr>
      <w:r>
        <w:tab/>
      </w:r>
      <w:r w:rsidR="004B67B5">
        <w:t>Emerging evidence suggests that the microbiome can significantly affect the metabolism of drugs within the body. Certain microorganisms possess enzymes that can modify drug compounds, impacting their efficacy and toxicity. Moreover, the composition of the microbiome may influence how drugs are absorbed and distributed, influencing treatment outcomes</w:t>
      </w:r>
      <w:r w:rsidR="001456E2">
        <w:fldChar w:fldCharType="begin"/>
      </w:r>
      <w:r w:rsidR="001456E2">
        <w:instrText xml:space="preserve"> ADDIN ZOTERO_ITEM CSL_CITATION {"citationID":"htid5agc","properties":{"formattedCitation":"[17]","plainCitation":"[17]","noteIndex":0},"citationItems":[{"id":4408,"uris":["http://zotero.org/users/9143596/items/XTQH5TVH"],"itemData":{"id":4408,"type":"article-journal","container-title":"Alimentary pharmacology &amp; therapeutics","DOI":"10.1111/apt.13750","issue":"7","note":"publisher: Wiley Online Library","page":"715–727","source":"Google Scholar","title":"Gut microbiome predictors of treatment response and recurrence in primary Clostridium difficile infection","volume":"44","author":[{"family":"Khanna","given":"Sahil"},{"family":"Montassier","given":"Emmanuel"},{"family":"Schmidt","given":"Bradley"},{"family":"Patel","given":"Robin"},{"family":"Knights","given":"Daniel"},{"family":"Pardi","given":"Darrell S."},{"family":"Kashyap","given":"P. C."}],"issued":{"date-parts":[["2016"]]}}}],"schema":"https://github.com/citation-style-language/schema/raw/master/csl-citation.json"} </w:instrText>
      </w:r>
      <w:r w:rsidR="001456E2">
        <w:fldChar w:fldCharType="separate"/>
      </w:r>
      <w:r w:rsidR="001456E2" w:rsidRPr="001456E2">
        <w:t>[17]</w:t>
      </w:r>
      <w:r w:rsidR="001456E2">
        <w:fldChar w:fldCharType="end"/>
      </w:r>
      <w:r w:rsidRPr="00E345D6">
        <w:t>.</w:t>
      </w:r>
    </w:p>
    <w:p w14:paraId="76ABDA60" w14:textId="6F17BD5A" w:rsidR="00C44CA6" w:rsidRPr="00C44CA6" w:rsidRDefault="00C44CA6" w:rsidP="00C44CA6">
      <w:pPr>
        <w:pStyle w:val="Heading2"/>
        <w:rPr>
          <w:b/>
          <w:bCs/>
          <w:i w:val="0"/>
          <w:iCs w:val="0"/>
        </w:rPr>
      </w:pPr>
      <w:r w:rsidRPr="00C44CA6">
        <w:rPr>
          <w:b/>
          <w:bCs/>
          <w:i w:val="0"/>
          <w:iCs w:val="0"/>
        </w:rPr>
        <w:t>Microbial Biomarkers for Treatment Response</w:t>
      </w:r>
    </w:p>
    <w:p w14:paraId="11F6F6B2" w14:textId="742FA9FE" w:rsidR="00CE66F1" w:rsidRDefault="00CE66F1" w:rsidP="0057602F">
      <w:pPr>
        <w:ind w:firstLine="288"/>
        <w:jc w:val="both"/>
      </w:pPr>
      <w:r>
        <w:t>Analyzing the composition of a patient's microbiome could provide predictive insights into how they might respond to specific treatments. The presence or absence of certain microbial species can indicate the likelihood of treatment success or failure. In this context, the microbiome acts as a unique biomarker reservoir that can guide treatment decisions</w:t>
      </w:r>
      <w:r w:rsidR="001456E2">
        <w:fldChar w:fldCharType="begin"/>
      </w:r>
      <w:r w:rsidR="001456E2">
        <w:instrText xml:space="preserve"> ADDIN ZOTERO_ITEM CSL_CITATION {"citationID":"036DwlYu","properties":{"formattedCitation":"[18]","plainCitation":"[18]","noteIndex":0},"citationItems":[{"id":4409,"uris":["http://zotero.org/users/9143596/items/6FQPISMG"],"itemData":{"id":4409,"type":"article-journal","container-title":"Current treatment options in gastroenterology","DOI":"10.1007/s11938-019-00221-w","note":"publisher: Springer","page":"115–126","source":"Google Scholar","title":"The gut microbiome as a target for IBD treatment: are we there yet?","title-short":"The gut microbiome as a target for IBD treatment","volume":"17","author":[{"family":"Knox","given":"Natalie C."},{"family":"Forbes","given":"Jessica D."},{"family":"Van Domselaar","given":"Gary"},{"family":"Bernstein","given":"Charles N."}],"issued":{"date-parts":[["2019"]]}}}],"schema":"https://github.com/citation-style-language/schema/raw/master/csl-citation.json"} </w:instrText>
      </w:r>
      <w:r w:rsidR="001456E2">
        <w:fldChar w:fldCharType="separate"/>
      </w:r>
      <w:r w:rsidR="001456E2" w:rsidRPr="001456E2">
        <w:t>[18]</w:t>
      </w:r>
      <w:r w:rsidR="001456E2">
        <w:fldChar w:fldCharType="end"/>
      </w:r>
      <w:r>
        <w:t>. The role of biomarkers in disease diagnosis is listed out in Table 3.</w:t>
      </w:r>
    </w:p>
    <w:p w14:paraId="07175FF9" w14:textId="77777777" w:rsidR="004D0C58" w:rsidRDefault="004D0C58" w:rsidP="00875DFE">
      <w:pPr>
        <w:pStyle w:val="bulletlist"/>
        <w:numPr>
          <w:ilvl w:val="0"/>
          <w:numId w:val="0"/>
        </w:numPr>
        <w:spacing w:after="0"/>
      </w:pPr>
    </w:p>
    <w:p w14:paraId="17566CA1" w14:textId="77777777" w:rsidR="0008027E" w:rsidRPr="00054876" w:rsidRDefault="00875DFE" w:rsidP="0008027E">
      <w:pPr>
        <w:rPr>
          <w:b/>
          <w:bCs/>
        </w:rPr>
      </w:pPr>
      <w:r>
        <w:rPr>
          <w:b/>
        </w:rPr>
        <w:t xml:space="preserve">Table </w:t>
      </w:r>
      <w:r w:rsidR="0008027E" w:rsidRPr="00B044A6">
        <w:rPr>
          <w:b/>
          <w:iCs/>
        </w:rPr>
        <w:t>3</w:t>
      </w:r>
      <w:r w:rsidRPr="00B044A6">
        <w:rPr>
          <w:b/>
          <w:iCs/>
        </w:rPr>
        <w:t>:</w:t>
      </w:r>
      <w:r w:rsidRPr="000B5B2F">
        <w:rPr>
          <w:b/>
        </w:rPr>
        <w:t xml:space="preserve"> </w:t>
      </w:r>
      <w:r w:rsidR="0008027E" w:rsidRPr="00054876">
        <w:rPr>
          <w:b/>
          <w:bCs/>
        </w:rPr>
        <w:t>Biomarker Discovery and Disease Diagnosis</w:t>
      </w:r>
    </w:p>
    <w:tbl>
      <w:tblPr>
        <w:tblStyle w:val="TableGrid"/>
        <w:tblW w:w="9795" w:type="dxa"/>
        <w:tblLook w:val="04A0" w:firstRow="1" w:lastRow="0" w:firstColumn="1" w:lastColumn="0" w:noHBand="0" w:noVBand="1"/>
      </w:tblPr>
      <w:tblGrid>
        <w:gridCol w:w="1302"/>
        <w:gridCol w:w="1971"/>
        <w:gridCol w:w="2636"/>
        <w:gridCol w:w="1955"/>
        <w:gridCol w:w="1931"/>
      </w:tblGrid>
      <w:tr w:rsidR="0008027E" w:rsidRPr="00054876" w14:paraId="129D5243" w14:textId="77777777" w:rsidTr="005B1A54">
        <w:tc>
          <w:tcPr>
            <w:tcW w:w="0" w:type="auto"/>
            <w:hideMark/>
          </w:tcPr>
          <w:p w14:paraId="69920C4A" w14:textId="77777777" w:rsidR="0008027E" w:rsidRPr="00054876" w:rsidRDefault="0008027E" w:rsidP="005B1A54">
            <w:pPr>
              <w:jc w:val="both"/>
              <w:rPr>
                <w:rFonts w:eastAsia="Times New Roman" w:cs="Times New Roman"/>
                <w:b/>
                <w:bCs/>
                <w:sz w:val="20"/>
                <w:szCs w:val="20"/>
              </w:rPr>
            </w:pPr>
            <w:r w:rsidRPr="00054876">
              <w:rPr>
                <w:rFonts w:eastAsia="Times New Roman" w:cs="Times New Roman"/>
                <w:b/>
                <w:bCs/>
                <w:sz w:val="20"/>
                <w:szCs w:val="20"/>
              </w:rPr>
              <w:t>Biomarker</w:t>
            </w:r>
          </w:p>
        </w:tc>
        <w:tc>
          <w:tcPr>
            <w:tcW w:w="0" w:type="auto"/>
            <w:hideMark/>
          </w:tcPr>
          <w:p w14:paraId="22EE6EBE" w14:textId="77777777" w:rsidR="0008027E" w:rsidRPr="00054876" w:rsidRDefault="0008027E" w:rsidP="005B1A54">
            <w:pPr>
              <w:jc w:val="both"/>
              <w:rPr>
                <w:rFonts w:eastAsia="Times New Roman" w:cs="Times New Roman"/>
                <w:b/>
                <w:bCs/>
                <w:sz w:val="20"/>
                <w:szCs w:val="20"/>
              </w:rPr>
            </w:pPr>
            <w:r w:rsidRPr="00054876">
              <w:rPr>
                <w:rFonts w:eastAsia="Times New Roman" w:cs="Times New Roman"/>
                <w:b/>
                <w:bCs/>
                <w:sz w:val="20"/>
                <w:szCs w:val="20"/>
              </w:rPr>
              <w:t>Disease/Condition</w:t>
            </w:r>
          </w:p>
        </w:tc>
        <w:tc>
          <w:tcPr>
            <w:tcW w:w="0" w:type="auto"/>
            <w:hideMark/>
          </w:tcPr>
          <w:p w14:paraId="301B2C2B" w14:textId="77777777" w:rsidR="0008027E" w:rsidRPr="00054876" w:rsidRDefault="0008027E" w:rsidP="005B1A54">
            <w:pPr>
              <w:jc w:val="both"/>
              <w:rPr>
                <w:rFonts w:eastAsia="Times New Roman" w:cs="Times New Roman"/>
                <w:b/>
                <w:bCs/>
                <w:sz w:val="20"/>
                <w:szCs w:val="20"/>
              </w:rPr>
            </w:pPr>
            <w:r w:rsidRPr="00054876">
              <w:rPr>
                <w:rFonts w:eastAsia="Times New Roman" w:cs="Times New Roman"/>
                <w:b/>
                <w:bCs/>
                <w:sz w:val="20"/>
                <w:szCs w:val="20"/>
              </w:rPr>
              <w:t>Analytical Technique</w:t>
            </w:r>
          </w:p>
        </w:tc>
        <w:tc>
          <w:tcPr>
            <w:tcW w:w="0" w:type="auto"/>
            <w:hideMark/>
          </w:tcPr>
          <w:p w14:paraId="1D7A297E" w14:textId="77777777" w:rsidR="0008027E" w:rsidRPr="00054876" w:rsidRDefault="0008027E" w:rsidP="005B1A54">
            <w:pPr>
              <w:jc w:val="both"/>
              <w:rPr>
                <w:rFonts w:eastAsia="Times New Roman" w:cs="Times New Roman"/>
                <w:b/>
                <w:bCs/>
                <w:sz w:val="20"/>
                <w:szCs w:val="20"/>
              </w:rPr>
            </w:pPr>
            <w:r w:rsidRPr="00054876">
              <w:rPr>
                <w:rFonts w:eastAsia="Times New Roman" w:cs="Times New Roman"/>
                <w:b/>
                <w:bCs/>
                <w:sz w:val="20"/>
                <w:szCs w:val="20"/>
              </w:rPr>
              <w:t>Diagnostic Application</w:t>
            </w:r>
          </w:p>
        </w:tc>
        <w:tc>
          <w:tcPr>
            <w:tcW w:w="0" w:type="auto"/>
            <w:hideMark/>
          </w:tcPr>
          <w:p w14:paraId="72967F44" w14:textId="77777777" w:rsidR="0008027E" w:rsidRPr="00054876" w:rsidRDefault="0008027E" w:rsidP="005B1A54">
            <w:pPr>
              <w:jc w:val="both"/>
              <w:rPr>
                <w:rFonts w:eastAsia="Times New Roman" w:cs="Times New Roman"/>
                <w:b/>
                <w:bCs/>
                <w:sz w:val="20"/>
                <w:szCs w:val="20"/>
              </w:rPr>
            </w:pPr>
            <w:r w:rsidRPr="00054876">
              <w:rPr>
                <w:rFonts w:eastAsia="Times New Roman" w:cs="Times New Roman"/>
                <w:b/>
                <w:bCs/>
                <w:sz w:val="20"/>
                <w:szCs w:val="20"/>
              </w:rPr>
              <w:t>Potential Treatment Strategy</w:t>
            </w:r>
          </w:p>
        </w:tc>
      </w:tr>
      <w:tr w:rsidR="0008027E" w:rsidRPr="00054876" w14:paraId="7D827968" w14:textId="77777777" w:rsidTr="005B1A54">
        <w:tc>
          <w:tcPr>
            <w:tcW w:w="0" w:type="auto"/>
            <w:hideMark/>
          </w:tcPr>
          <w:p w14:paraId="38697FE0"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KRAS mutation</w:t>
            </w:r>
          </w:p>
        </w:tc>
        <w:tc>
          <w:tcPr>
            <w:tcW w:w="0" w:type="auto"/>
            <w:hideMark/>
          </w:tcPr>
          <w:p w14:paraId="425B7C4E"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Colorectal cancer</w:t>
            </w:r>
          </w:p>
        </w:tc>
        <w:tc>
          <w:tcPr>
            <w:tcW w:w="0" w:type="auto"/>
            <w:hideMark/>
          </w:tcPr>
          <w:p w14:paraId="4ABCA490"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Next-generation sequencing (NGS)</w:t>
            </w:r>
          </w:p>
        </w:tc>
        <w:tc>
          <w:tcPr>
            <w:tcW w:w="0" w:type="auto"/>
            <w:hideMark/>
          </w:tcPr>
          <w:p w14:paraId="4201F530"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Mutation detection for early diagnosis</w:t>
            </w:r>
          </w:p>
        </w:tc>
        <w:tc>
          <w:tcPr>
            <w:tcW w:w="0" w:type="auto"/>
            <w:hideMark/>
          </w:tcPr>
          <w:p w14:paraId="60281A36"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 xml:space="preserve">Targeted therapy with specific </w:t>
            </w:r>
            <w:r w:rsidRPr="00054876">
              <w:rPr>
                <w:rFonts w:eastAsia="Times New Roman" w:cs="Times New Roman"/>
                <w:sz w:val="20"/>
                <w:szCs w:val="20"/>
              </w:rPr>
              <w:lastRenderedPageBreak/>
              <w:t>inhibitors</w:t>
            </w:r>
          </w:p>
        </w:tc>
      </w:tr>
      <w:tr w:rsidR="0008027E" w:rsidRPr="00054876" w14:paraId="2B87934C" w14:textId="77777777" w:rsidTr="005B1A54">
        <w:tc>
          <w:tcPr>
            <w:tcW w:w="0" w:type="auto"/>
            <w:hideMark/>
          </w:tcPr>
          <w:p w14:paraId="11788B49"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lastRenderedPageBreak/>
              <w:t>BCR-ABL fusion</w:t>
            </w:r>
          </w:p>
        </w:tc>
        <w:tc>
          <w:tcPr>
            <w:tcW w:w="0" w:type="auto"/>
            <w:hideMark/>
          </w:tcPr>
          <w:p w14:paraId="588436C6"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Chronic myeloid leukemia</w:t>
            </w:r>
          </w:p>
        </w:tc>
        <w:tc>
          <w:tcPr>
            <w:tcW w:w="0" w:type="auto"/>
            <w:hideMark/>
          </w:tcPr>
          <w:p w14:paraId="6336402A"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Polymerase chain reaction (PCR)</w:t>
            </w:r>
          </w:p>
        </w:tc>
        <w:tc>
          <w:tcPr>
            <w:tcW w:w="0" w:type="auto"/>
            <w:hideMark/>
          </w:tcPr>
          <w:p w14:paraId="33487D3A"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Confirming diagnosis, disease monitoring</w:t>
            </w:r>
          </w:p>
        </w:tc>
        <w:tc>
          <w:tcPr>
            <w:tcW w:w="0" w:type="auto"/>
            <w:hideMark/>
          </w:tcPr>
          <w:p w14:paraId="7EF8D81C"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Tyrosine kinase inhibitors</w:t>
            </w:r>
          </w:p>
        </w:tc>
      </w:tr>
      <w:tr w:rsidR="0008027E" w:rsidRPr="00054876" w14:paraId="4C1628D8" w14:textId="77777777" w:rsidTr="005B1A54">
        <w:tc>
          <w:tcPr>
            <w:tcW w:w="0" w:type="auto"/>
            <w:hideMark/>
          </w:tcPr>
          <w:p w14:paraId="0B2A9E75"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HER2 expression</w:t>
            </w:r>
          </w:p>
        </w:tc>
        <w:tc>
          <w:tcPr>
            <w:tcW w:w="0" w:type="auto"/>
            <w:hideMark/>
          </w:tcPr>
          <w:p w14:paraId="7D0DABCB"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Breast cancer</w:t>
            </w:r>
          </w:p>
        </w:tc>
        <w:tc>
          <w:tcPr>
            <w:tcW w:w="0" w:type="auto"/>
            <w:hideMark/>
          </w:tcPr>
          <w:p w14:paraId="10847AEB"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Immunohistochemistry (IHC)</w:t>
            </w:r>
          </w:p>
        </w:tc>
        <w:tc>
          <w:tcPr>
            <w:tcW w:w="0" w:type="auto"/>
            <w:hideMark/>
          </w:tcPr>
          <w:p w14:paraId="456C39B3"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Stratification for targeted therapy</w:t>
            </w:r>
          </w:p>
        </w:tc>
        <w:tc>
          <w:tcPr>
            <w:tcW w:w="0" w:type="auto"/>
            <w:hideMark/>
          </w:tcPr>
          <w:p w14:paraId="63EE67EF"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HER2-targeted therapies</w:t>
            </w:r>
          </w:p>
        </w:tc>
      </w:tr>
      <w:tr w:rsidR="0008027E" w:rsidRPr="00054876" w14:paraId="59A76D63" w14:textId="77777777" w:rsidTr="005B1A54">
        <w:tc>
          <w:tcPr>
            <w:tcW w:w="0" w:type="auto"/>
            <w:hideMark/>
          </w:tcPr>
          <w:p w14:paraId="0929CB53"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PSA levels</w:t>
            </w:r>
          </w:p>
        </w:tc>
        <w:tc>
          <w:tcPr>
            <w:tcW w:w="0" w:type="auto"/>
            <w:hideMark/>
          </w:tcPr>
          <w:p w14:paraId="2369F55D"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Prostate cancer</w:t>
            </w:r>
          </w:p>
        </w:tc>
        <w:tc>
          <w:tcPr>
            <w:tcW w:w="0" w:type="auto"/>
            <w:hideMark/>
          </w:tcPr>
          <w:p w14:paraId="32F6ABD4"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Enzyme-linked immunosorbent assay (ELISA)</w:t>
            </w:r>
          </w:p>
        </w:tc>
        <w:tc>
          <w:tcPr>
            <w:tcW w:w="0" w:type="auto"/>
            <w:hideMark/>
          </w:tcPr>
          <w:p w14:paraId="3C2AC2F3"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Screening and disease monitoring</w:t>
            </w:r>
          </w:p>
        </w:tc>
        <w:tc>
          <w:tcPr>
            <w:tcW w:w="0" w:type="auto"/>
            <w:hideMark/>
          </w:tcPr>
          <w:p w14:paraId="4F85C370"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Active surveillance or treatment</w:t>
            </w:r>
          </w:p>
        </w:tc>
      </w:tr>
      <w:tr w:rsidR="0008027E" w:rsidRPr="00054876" w14:paraId="53ECFD68" w14:textId="77777777" w:rsidTr="005B1A54">
        <w:tc>
          <w:tcPr>
            <w:tcW w:w="0" w:type="auto"/>
            <w:hideMark/>
          </w:tcPr>
          <w:p w14:paraId="071C56AB"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Troponin levels</w:t>
            </w:r>
          </w:p>
        </w:tc>
        <w:tc>
          <w:tcPr>
            <w:tcW w:w="0" w:type="auto"/>
            <w:hideMark/>
          </w:tcPr>
          <w:p w14:paraId="6535A095"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Acute myocardial infarction</w:t>
            </w:r>
          </w:p>
        </w:tc>
        <w:tc>
          <w:tcPr>
            <w:tcW w:w="0" w:type="auto"/>
            <w:hideMark/>
          </w:tcPr>
          <w:p w14:paraId="555E5263"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Cardiac troponin assay</w:t>
            </w:r>
          </w:p>
        </w:tc>
        <w:tc>
          <w:tcPr>
            <w:tcW w:w="0" w:type="auto"/>
            <w:hideMark/>
          </w:tcPr>
          <w:p w14:paraId="1E8B8D23"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Early detection of heart damage</w:t>
            </w:r>
          </w:p>
        </w:tc>
        <w:tc>
          <w:tcPr>
            <w:tcW w:w="0" w:type="auto"/>
            <w:hideMark/>
          </w:tcPr>
          <w:p w14:paraId="6AB24424"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Cardiac interventions and therapies</w:t>
            </w:r>
          </w:p>
        </w:tc>
      </w:tr>
      <w:tr w:rsidR="0008027E" w:rsidRPr="00054876" w14:paraId="2AC5C6F8" w14:textId="77777777" w:rsidTr="005B1A54">
        <w:tc>
          <w:tcPr>
            <w:tcW w:w="0" w:type="auto"/>
            <w:hideMark/>
          </w:tcPr>
          <w:p w14:paraId="45C260F0"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Aβ42/Aβ40 ratio</w:t>
            </w:r>
          </w:p>
        </w:tc>
        <w:tc>
          <w:tcPr>
            <w:tcW w:w="0" w:type="auto"/>
            <w:hideMark/>
          </w:tcPr>
          <w:p w14:paraId="4D0DAF14"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Alzheimer's disease</w:t>
            </w:r>
          </w:p>
        </w:tc>
        <w:tc>
          <w:tcPr>
            <w:tcW w:w="0" w:type="auto"/>
            <w:hideMark/>
          </w:tcPr>
          <w:p w14:paraId="21026E94"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Immunoassays and mass spectrometry</w:t>
            </w:r>
          </w:p>
        </w:tc>
        <w:tc>
          <w:tcPr>
            <w:tcW w:w="0" w:type="auto"/>
            <w:hideMark/>
          </w:tcPr>
          <w:p w14:paraId="7558F536"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Early detection and risk assessment</w:t>
            </w:r>
          </w:p>
        </w:tc>
        <w:tc>
          <w:tcPr>
            <w:tcW w:w="0" w:type="auto"/>
            <w:hideMark/>
          </w:tcPr>
          <w:p w14:paraId="70C40376"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Disease-modifying therapies</w:t>
            </w:r>
          </w:p>
        </w:tc>
      </w:tr>
      <w:tr w:rsidR="0008027E" w:rsidRPr="00054876" w14:paraId="3EE08E09" w14:textId="77777777" w:rsidTr="005B1A54">
        <w:tc>
          <w:tcPr>
            <w:tcW w:w="0" w:type="auto"/>
            <w:hideMark/>
          </w:tcPr>
          <w:p w14:paraId="006EF0BD"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BNP levels</w:t>
            </w:r>
          </w:p>
        </w:tc>
        <w:tc>
          <w:tcPr>
            <w:tcW w:w="0" w:type="auto"/>
            <w:hideMark/>
          </w:tcPr>
          <w:p w14:paraId="3B163191"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Heart failure</w:t>
            </w:r>
          </w:p>
        </w:tc>
        <w:tc>
          <w:tcPr>
            <w:tcW w:w="0" w:type="auto"/>
            <w:hideMark/>
          </w:tcPr>
          <w:p w14:paraId="5D785646"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B-type natriuretic peptide (BNP) assay</w:t>
            </w:r>
          </w:p>
        </w:tc>
        <w:tc>
          <w:tcPr>
            <w:tcW w:w="0" w:type="auto"/>
            <w:hideMark/>
          </w:tcPr>
          <w:p w14:paraId="6C92B57C"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Diagnosis and disease severity assessment</w:t>
            </w:r>
          </w:p>
        </w:tc>
        <w:tc>
          <w:tcPr>
            <w:tcW w:w="0" w:type="auto"/>
            <w:hideMark/>
          </w:tcPr>
          <w:p w14:paraId="53495221"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Medication and lifestyle management</w:t>
            </w:r>
          </w:p>
        </w:tc>
      </w:tr>
      <w:tr w:rsidR="0008027E" w:rsidRPr="00054876" w14:paraId="1033D9E3" w14:textId="77777777" w:rsidTr="005B1A54">
        <w:tc>
          <w:tcPr>
            <w:tcW w:w="0" w:type="auto"/>
            <w:hideMark/>
          </w:tcPr>
          <w:p w14:paraId="47B5C523"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PGRN mutations</w:t>
            </w:r>
          </w:p>
        </w:tc>
        <w:tc>
          <w:tcPr>
            <w:tcW w:w="0" w:type="auto"/>
            <w:hideMark/>
          </w:tcPr>
          <w:p w14:paraId="2358AFB3"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Frontotemporal dementia</w:t>
            </w:r>
          </w:p>
        </w:tc>
        <w:tc>
          <w:tcPr>
            <w:tcW w:w="0" w:type="auto"/>
            <w:hideMark/>
          </w:tcPr>
          <w:p w14:paraId="1C5933A8"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Genetic sequencing</w:t>
            </w:r>
          </w:p>
        </w:tc>
        <w:tc>
          <w:tcPr>
            <w:tcW w:w="0" w:type="auto"/>
            <w:hideMark/>
          </w:tcPr>
          <w:p w14:paraId="251F6E67"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Genetic confirmation and risk assessment</w:t>
            </w:r>
          </w:p>
        </w:tc>
        <w:tc>
          <w:tcPr>
            <w:tcW w:w="0" w:type="auto"/>
            <w:hideMark/>
          </w:tcPr>
          <w:p w14:paraId="41DB2C00" w14:textId="77777777" w:rsidR="0008027E" w:rsidRPr="00054876" w:rsidRDefault="0008027E" w:rsidP="005B1A54">
            <w:pPr>
              <w:jc w:val="both"/>
              <w:rPr>
                <w:rFonts w:eastAsia="Times New Roman" w:cs="Times New Roman"/>
                <w:sz w:val="20"/>
                <w:szCs w:val="20"/>
              </w:rPr>
            </w:pPr>
            <w:r w:rsidRPr="00054876">
              <w:rPr>
                <w:rFonts w:eastAsia="Times New Roman" w:cs="Times New Roman"/>
                <w:sz w:val="20"/>
                <w:szCs w:val="20"/>
              </w:rPr>
              <w:t>Symptomatic and supportive care</w:t>
            </w:r>
          </w:p>
        </w:tc>
      </w:tr>
    </w:tbl>
    <w:p w14:paraId="7BBFFD29" w14:textId="77777777" w:rsidR="005319C6" w:rsidRDefault="005319C6" w:rsidP="00C82F76">
      <w:pPr>
        <w:pStyle w:val="bulletlist"/>
        <w:numPr>
          <w:ilvl w:val="0"/>
          <w:numId w:val="0"/>
        </w:numPr>
        <w:spacing w:after="0" w:line="240" w:lineRule="auto"/>
      </w:pPr>
    </w:p>
    <w:p w14:paraId="235DDB5B" w14:textId="6B485740" w:rsidR="0008027E" w:rsidRPr="00D01167" w:rsidRDefault="0008027E" w:rsidP="0008027E">
      <w:pPr>
        <w:pStyle w:val="Heading2"/>
        <w:numPr>
          <w:ilvl w:val="1"/>
          <w:numId w:val="4"/>
        </w:numPr>
        <w:tabs>
          <w:tab w:val="clear" w:pos="360"/>
          <w:tab w:val="num" w:pos="288"/>
        </w:tabs>
        <w:spacing w:before="0" w:after="0"/>
        <w:ind w:left="0" w:firstLine="0"/>
        <w:rPr>
          <w:b/>
          <w:i w:val="0"/>
        </w:rPr>
      </w:pPr>
      <w:r w:rsidRPr="0008027E">
        <w:rPr>
          <w:b/>
          <w:i w:val="0"/>
        </w:rPr>
        <w:t>Personalized Therapies via Microbiome Modulation</w:t>
      </w:r>
    </w:p>
    <w:p w14:paraId="62B4E78E" w14:textId="39C449A9" w:rsidR="0008027E" w:rsidRDefault="0008027E" w:rsidP="0008027E">
      <w:pPr>
        <w:jc w:val="both"/>
      </w:pPr>
      <w:r>
        <w:tab/>
        <w:t>Emerging evidence suggests that the microbiome can significantly affect the metabolism of drugs within the body. Certain microorganisms possess enzymes that can modify drug compounds, impacting their efficacy and toxicity. Moreover, the composition of the microbiome may influence how drugs are absorbed and distributed, influencing treatment outcomes</w:t>
      </w:r>
      <w:r w:rsidR="001456E2">
        <w:fldChar w:fldCharType="begin"/>
      </w:r>
      <w:r w:rsidR="001456E2">
        <w:instrText xml:space="preserve"> ADDIN ZOTERO_ITEM CSL_CITATION {"citationID":"bLURitMw","properties":{"formattedCitation":"[19]\\uc0\\u8211{}[21]","plainCitation":"[19]–[21]","noteIndex":0},"citationItems":[{"id":4411,"uris":["http://zotero.org/users/9143596/items/UE3E2KJ4"],"itemData":{"id":4411,"type":"article-journal","container-title":"The Lancet Oncology","DOI":"10.1016/S1470-2045(18)30952-5","issue":"2","note":"publisher: Elsevier","page":"e77–e91","source":"Google Scholar","title":"Modulating the microbiome to improve therapeutic response in cancer","volume":"20","author":[{"family":"McQuade","given":"Jennifer L."},{"family":"Daniel","given":"Carrie R."},{"family":"Helmink","given":"Beth A."},{"family":"Wargo","given":"Jennifer A."}],"issued":{"date-parts":[["2019"]]}}},{"id":4412,"uris":["http://zotero.org/users/9143596/items/QYH5QRWM"],"itemData":{"id":4412,"type":"article-journal","container-title":"Nature Reviews Gastroenterology &amp; Hepatology","DOI":"10.1038/s41575-021-00499-1","issue":"1","note":"publisher: Nature Publishing Group UK London","page":"7–25","source":"Google Scholar","title":"The promise of the gut microbiome as part of individualized treatment strategies","volume":"19","author":[{"family":"Schupack","given":"Daniel A."},{"family":"Mars","given":"Ruben AT"},{"family":"Voelker","given":"Dayne H."},{"family":"Abeykoon","given":"Jithma P."},{"family":"Kashyap","given":"Purna C."}],"issued":{"date-parts":[["2022"]]}}},{"id":4407,"uris":["http://zotero.org/users/9143596/items/JMU3DKD6"],"itemData":{"id":4407,"type":"article-journal","container-title":"Behavioural Brain Research","DOI":"10.1016/j.bbr.2020.112886","note":"publisher: Elsevier","page":"112886","source":"Google Scholar","title":"The gut microbiome and antipsychotic treatment response","volume":"396","author":[{"family":"Seeman","given":"Mary V."}],"issued":{"date-parts":[["2021"]]}}}],"schema":"https://github.com/citation-style-language/schema/raw/master/csl-citation.json"} </w:instrText>
      </w:r>
      <w:r w:rsidR="001456E2">
        <w:fldChar w:fldCharType="separate"/>
      </w:r>
      <w:r w:rsidR="001456E2" w:rsidRPr="001456E2">
        <w:rPr>
          <w:szCs w:val="24"/>
        </w:rPr>
        <w:t>[19]–[21]</w:t>
      </w:r>
      <w:r w:rsidR="001456E2">
        <w:fldChar w:fldCharType="end"/>
      </w:r>
      <w:r w:rsidRPr="00E345D6">
        <w:t>.</w:t>
      </w:r>
    </w:p>
    <w:p w14:paraId="25DB2B08" w14:textId="77777777" w:rsidR="0008027E" w:rsidRDefault="0008027E" w:rsidP="0008027E">
      <w:pPr>
        <w:jc w:val="both"/>
      </w:pPr>
    </w:p>
    <w:p w14:paraId="74A1D476" w14:textId="13660B81" w:rsidR="00875DFE" w:rsidRPr="00402841" w:rsidRDefault="0008027E" w:rsidP="00875DFE">
      <w:pPr>
        <w:pStyle w:val="Heading1"/>
        <w:tabs>
          <w:tab w:val="clear" w:pos="3150"/>
          <w:tab w:val="num" w:pos="576"/>
        </w:tabs>
        <w:spacing w:before="0" w:after="0"/>
        <w:ind w:firstLine="0"/>
        <w:rPr>
          <w:rFonts w:eastAsia="MS Mincho"/>
        </w:rPr>
      </w:pPr>
      <w:r>
        <w:rPr>
          <w:rFonts w:ascii="Times New Roman" w:eastAsia="MS Mincho" w:hAnsi="Times New Roman"/>
          <w:sz w:val="20"/>
          <w:szCs w:val="20"/>
        </w:rPr>
        <w:t>IMAGING FOR PERSONALIZED CARE</w:t>
      </w:r>
    </w:p>
    <w:p w14:paraId="7F60AFD8" w14:textId="77777777" w:rsidR="00875DFE" w:rsidRPr="00767BF4" w:rsidRDefault="00875DFE" w:rsidP="00875DFE">
      <w:pPr>
        <w:rPr>
          <w:rFonts w:eastAsia="MS Mincho"/>
        </w:rPr>
      </w:pPr>
    </w:p>
    <w:p w14:paraId="3B46F0C6" w14:textId="10B204F6" w:rsidR="00875DFE" w:rsidRPr="00767BF4" w:rsidRDefault="005A579C" w:rsidP="00875DFE">
      <w:pPr>
        <w:pStyle w:val="Heading2"/>
        <w:numPr>
          <w:ilvl w:val="1"/>
          <w:numId w:val="4"/>
        </w:numPr>
        <w:tabs>
          <w:tab w:val="clear" w:pos="360"/>
          <w:tab w:val="num" w:pos="288"/>
        </w:tabs>
        <w:spacing w:before="0" w:after="0"/>
        <w:ind w:left="0" w:firstLine="0"/>
        <w:rPr>
          <w:b/>
          <w:i w:val="0"/>
        </w:rPr>
      </w:pPr>
      <w:r w:rsidRPr="005A579C">
        <w:rPr>
          <w:b/>
          <w:i w:val="0"/>
        </w:rPr>
        <w:t>Molecular Imaging for Precise Diagnosis</w:t>
      </w:r>
    </w:p>
    <w:p w14:paraId="72D4FB6A" w14:textId="6007CC07" w:rsidR="00875DFE" w:rsidRDefault="00875DFE" w:rsidP="005A579C">
      <w:pPr>
        <w:pStyle w:val="BodyText"/>
        <w:spacing w:after="0" w:line="240" w:lineRule="auto"/>
        <w:ind w:firstLine="0"/>
      </w:pPr>
      <w:r>
        <w:tab/>
      </w:r>
      <w:r>
        <w:tab/>
      </w:r>
      <w:r w:rsidR="005A579C">
        <w:t>Molecular imaging techniques enable healthcare professionals to visualize specific molecules and biological processes within the body. Positron emission tomography (PET), single-photon emission computed tomography (SPECT), and magnetic resonance imaging (MRI) with specialized contrast agents allow the detection of molecular markers associated with diseases. This high level of precision aids in early diagnosis and accurate disease staging</w:t>
      </w:r>
      <w:r w:rsidR="001456E2">
        <w:fldChar w:fldCharType="begin"/>
      </w:r>
      <w:r w:rsidR="001456E2">
        <w:instrText xml:space="preserve"> ADDIN ZOTERO_ITEM CSL_CITATION {"citationID":"cnY6yhhJ","properties":{"formattedCitation":"[22]","plainCitation":"[22]","noteIndex":0},"citationItems":[{"id":4419,"uris":["http://zotero.org/users/9143596/items/6KH7MCKS"],"itemData":{"id":4419,"type":"article-journal","container-title":"Radiology","DOI":"10.1148/radiol.2015151187","issue":"3","note":"publisher: Radiological Society of North America","page":"638–643","source":"Google Scholar","title":"A roadmap for personalized care in radiology","volume":"277","author":[{"family":"Kang","given":"Stella K."},{"family":"Fagerlin","given":"Angela"},{"family":"Braithwaite","given":"R. Scott"}],"issued":{"date-parts":[["2015"]]}}}],"schema":"https://github.com/citation-style-language/schema/raw/master/csl-citation.json"} </w:instrText>
      </w:r>
      <w:r w:rsidR="001456E2">
        <w:fldChar w:fldCharType="separate"/>
      </w:r>
      <w:r w:rsidR="001456E2" w:rsidRPr="001456E2">
        <w:t>[22]</w:t>
      </w:r>
      <w:r w:rsidR="001456E2">
        <w:fldChar w:fldCharType="end"/>
      </w:r>
      <w:r w:rsidR="005A579C">
        <w:t>.</w:t>
      </w:r>
    </w:p>
    <w:p w14:paraId="6FBE07E4" w14:textId="60CAC1DD" w:rsidR="00875DFE" w:rsidRPr="00D01167" w:rsidRDefault="005A579C" w:rsidP="00875DFE">
      <w:pPr>
        <w:pStyle w:val="Heading2"/>
        <w:numPr>
          <w:ilvl w:val="1"/>
          <w:numId w:val="4"/>
        </w:numPr>
        <w:tabs>
          <w:tab w:val="clear" w:pos="360"/>
          <w:tab w:val="num" w:pos="288"/>
        </w:tabs>
        <w:spacing w:before="0" w:after="0"/>
        <w:ind w:left="0" w:firstLine="0"/>
        <w:rPr>
          <w:b/>
          <w:i w:val="0"/>
        </w:rPr>
      </w:pPr>
      <w:r w:rsidRPr="005A579C">
        <w:rPr>
          <w:b/>
          <w:i w:val="0"/>
        </w:rPr>
        <w:t>Theranostics: Integrating Imaging and Therapy</w:t>
      </w:r>
    </w:p>
    <w:p w14:paraId="013FC777" w14:textId="36501E8E" w:rsidR="00B044A6" w:rsidRDefault="00875DFE" w:rsidP="00B044A6">
      <w:pPr>
        <w:jc w:val="both"/>
      </w:pPr>
      <w:r>
        <w:tab/>
      </w:r>
      <w:r w:rsidR="00B044A6">
        <w:t>The concept of "</w:t>
      </w:r>
      <w:proofErr w:type="spellStart"/>
      <w:r w:rsidR="00B044A6">
        <w:t>theranostics</w:t>
      </w:r>
      <w:proofErr w:type="spellEnd"/>
      <w:r w:rsidR="00B044A6">
        <w:t>" involves combining diagnostic and therapeutic capabilities into a single platform. Molecular imaging techniques can be paired with targeted therapies, enabling healthcare providers to monitor treatment response in real time. This dynamic feedback loop empowers clinicians to adjust treatments based on individual patient's responses, optimizing outcomes</w:t>
      </w:r>
      <w:r w:rsidR="001456E2">
        <w:fldChar w:fldCharType="begin"/>
      </w:r>
      <w:r w:rsidR="001456E2">
        <w:instrText xml:space="preserve"> ADDIN ZOTERO_ITEM CSL_CITATION {"citationID":"n2bqdBcf","properties":{"formattedCitation":"[23]","plainCitation":"[23]","noteIndex":0},"citationItems":[{"id":4421,"uris":["http://zotero.org/users/9143596/items/Z6MBPE3P"],"itemData":{"id":4421,"type":"article-journal","container-title":"Molecular oncology","DOI":"10.1016/j.molonc.2012.02.005","issue":"2","note":"publisher: Elsevier","page":"182–195","source":"Google Scholar","title":"Molecular imaging for personalized cancer care","volume":"6","author":[{"family":"Kircher","given":"Moritz F."},{"family":"Hricak","given":"Hedvig"},{"family":"Larson","given":"Steven M."}],"issued":{"date-parts":[["2012"]]}}}],"schema":"https://github.com/citation-style-language/schema/raw/master/csl-citation.json"} </w:instrText>
      </w:r>
      <w:r w:rsidR="001456E2">
        <w:fldChar w:fldCharType="separate"/>
      </w:r>
      <w:r w:rsidR="001456E2" w:rsidRPr="001456E2">
        <w:t>[23]</w:t>
      </w:r>
      <w:r w:rsidR="001456E2">
        <w:fldChar w:fldCharType="end"/>
      </w:r>
      <w:r w:rsidR="00B044A6">
        <w:t>.</w:t>
      </w:r>
    </w:p>
    <w:p w14:paraId="7BF6B95E" w14:textId="1BFD0FEC" w:rsidR="00B044A6" w:rsidRPr="00B044A6" w:rsidRDefault="00B044A6" w:rsidP="00B044A6">
      <w:pPr>
        <w:pStyle w:val="Heading2"/>
        <w:numPr>
          <w:ilvl w:val="1"/>
          <w:numId w:val="4"/>
        </w:numPr>
        <w:tabs>
          <w:tab w:val="clear" w:pos="360"/>
          <w:tab w:val="num" w:pos="288"/>
        </w:tabs>
        <w:spacing w:before="0" w:after="0"/>
        <w:ind w:left="0" w:firstLine="0"/>
        <w:rPr>
          <w:b/>
          <w:i w:val="0"/>
          <w:iCs w:val="0"/>
        </w:rPr>
      </w:pPr>
      <w:r w:rsidRPr="00B044A6">
        <w:rPr>
          <w:b/>
          <w:bCs/>
          <w:i w:val="0"/>
          <w:iCs w:val="0"/>
        </w:rPr>
        <w:t>Non-Invasive Monitoring of Treatment Response</w:t>
      </w:r>
    </w:p>
    <w:p w14:paraId="7958C978" w14:textId="3B919BE2" w:rsidR="00B044A6" w:rsidRDefault="00B044A6" w:rsidP="00B044A6">
      <w:pPr>
        <w:ind w:firstLine="720"/>
        <w:jc w:val="both"/>
      </w:pPr>
      <w:r>
        <w:t>Imaging techniques such as functional MRI (fMRI) and diffusion-weighted imaging (DWI) offer non-invasive methods to monitor changes in tissue structure and function over time. These tools enable clinicians to assess how tumors and other conditions are responding to treatment, allowing for timely adjustments if necessary</w:t>
      </w:r>
      <w:r w:rsidR="001456E2">
        <w:fldChar w:fldCharType="begin"/>
      </w:r>
      <w:r w:rsidR="001456E2">
        <w:instrText xml:space="preserve"> ADDIN ZOTERO_ITEM CSL_CITATION {"citationID":"SHjaqH55","properties":{"formattedCitation":"[24]","plainCitation":"[24]","noteIndex":0},"citationItems":[{"id":4420,"uris":["http://zotero.org/users/9143596/items/VXJCZ2BN"],"itemData":{"id":4420,"type":"article-journal","container-title":"Nature reviews Clinical oncology","DOI":"10.1038/nrclinonc.2017.141","issue":"12","note":"publisher: Nature Publishing Group UK London","page":"749–762","source":"Google Scholar","title":"Radiomics: the bridge between medical imaging and personalized medicine","title-short":"Radiomics","volume":"14","author":[{"family":"Lambin","given":"Philippe"},{"family":"Leijenaar","given":"Ralph TH"},{"family":"Deist","given":"Timo M."},{"family":"Peerlings","given":"Jurgen"},{"family":"De Jong","given":"Evelyn EC"},{"family":"Van Timmeren","given":"Janita"},{"family":"Sanduleanu","given":"Sebastian"},{"family":"Larue","given":"Ruben THM"},{"family":"Even","given":"Aniek JG"},{"family":"Jochems","given":"Arthur"}],"issued":{"date-parts":[["2017"]]}}}],"schema":"https://github.com/citation-style-language/schema/raw/master/csl-citation.json"} </w:instrText>
      </w:r>
      <w:r w:rsidR="001456E2">
        <w:fldChar w:fldCharType="separate"/>
      </w:r>
      <w:r w:rsidR="001456E2" w:rsidRPr="001456E2">
        <w:t>[24]</w:t>
      </w:r>
      <w:r w:rsidR="001456E2">
        <w:fldChar w:fldCharType="end"/>
      </w:r>
      <w:r>
        <w:t>.</w:t>
      </w:r>
    </w:p>
    <w:p w14:paraId="3B498FD9" w14:textId="62C7E654" w:rsidR="00B044A6" w:rsidRPr="00B044A6" w:rsidRDefault="00B044A6" w:rsidP="00B044A6">
      <w:pPr>
        <w:pStyle w:val="Heading2"/>
        <w:numPr>
          <w:ilvl w:val="1"/>
          <w:numId w:val="4"/>
        </w:numPr>
        <w:tabs>
          <w:tab w:val="clear" w:pos="360"/>
          <w:tab w:val="num" w:pos="288"/>
        </w:tabs>
        <w:spacing w:before="0" w:after="0"/>
        <w:ind w:left="0" w:firstLine="0"/>
        <w:rPr>
          <w:b/>
          <w:i w:val="0"/>
          <w:iCs w:val="0"/>
        </w:rPr>
      </w:pPr>
      <w:r>
        <w:rPr>
          <w:b/>
          <w:bCs/>
          <w:i w:val="0"/>
          <w:iCs w:val="0"/>
        </w:rPr>
        <w:t>Imaging-guided interventions</w:t>
      </w:r>
    </w:p>
    <w:p w14:paraId="0BF8F637" w14:textId="61472AC4" w:rsidR="004D0C58" w:rsidRDefault="00B044A6" w:rsidP="00B044A6">
      <w:pPr>
        <w:ind w:firstLine="720"/>
        <w:jc w:val="both"/>
      </w:pPr>
      <w:r>
        <w:t xml:space="preserve">Personalized medicine extends to interventional procedures, </w:t>
      </w:r>
      <w:proofErr w:type="gramStart"/>
      <w:r>
        <w:t>where</w:t>
      </w:r>
      <w:proofErr w:type="gramEnd"/>
      <w:r>
        <w:t xml:space="preserve"> imaging technologies guide minimally invasive surgeries and treatments. Real-time imaging feedback ensures precision and accuracy during procedures, minimizing damage to healthy tissue and improving patient outcomes</w:t>
      </w:r>
      <w:r w:rsidR="001456E2">
        <w:fldChar w:fldCharType="begin"/>
      </w:r>
      <w:r w:rsidR="001456E2">
        <w:instrText xml:space="preserve"> ADDIN ZOTERO_ITEM CSL_CITATION {"citationID":"peRLj5HY","properties":{"formattedCitation":"[24]","plainCitation":"[24]","noteIndex":0},"citationItems":[{"id":4420,"uris":["http://zotero.org/users/9143596/items/VXJCZ2BN"],"itemData":{"id":4420,"type":"article-journal","container-title":"Nature reviews Clinical oncology","DOI":"10.1038/nrclinonc.2017.141","issue":"12","note":"publisher: Nature Publishing Group UK London","page":"749–762","source":"Google Scholar","title":"Radiomics: the bridge between medical imaging and personalized medicine","title-short":"Radiomics","volume":"14","author":[{"family":"Lambin","given":"Philippe"},{"family":"Leijenaar","given":"Ralph TH"},{"family":"Deist","given":"Timo M."},{"family":"Peerlings","given":"Jurgen"},{"family":"De Jong","given":"Evelyn EC"},{"family":"Van Timmeren","given":"Janita"},{"family":"Sanduleanu","given":"Sebastian"},{"family":"Larue","given":"Ruben THM"},{"family":"Even","given":"Aniek JG"},{"family":"Jochems","given":"Arthur"}],"issued":{"date-parts":[["2017"]]}}}],"schema":"https://github.com/citation-style-language/schema/raw/master/csl-citation.json"} </w:instrText>
      </w:r>
      <w:r w:rsidR="001456E2">
        <w:fldChar w:fldCharType="separate"/>
      </w:r>
      <w:r w:rsidR="001456E2" w:rsidRPr="001456E2">
        <w:t>[24]</w:t>
      </w:r>
      <w:r w:rsidR="001456E2">
        <w:fldChar w:fldCharType="end"/>
      </w:r>
      <w:r>
        <w:t>.</w:t>
      </w:r>
    </w:p>
    <w:p w14:paraId="67F195DA" w14:textId="77777777" w:rsidR="00B044A6" w:rsidRDefault="00B044A6" w:rsidP="00B044A6">
      <w:pPr>
        <w:ind w:firstLine="720"/>
        <w:jc w:val="both"/>
      </w:pPr>
    </w:p>
    <w:p w14:paraId="2B7B3887" w14:textId="70A0DC18" w:rsidR="004D0C58" w:rsidRPr="00402841" w:rsidRDefault="00B044A6" w:rsidP="004D0C58">
      <w:pPr>
        <w:pStyle w:val="Heading1"/>
        <w:spacing w:before="0" w:after="0"/>
        <w:ind w:firstLine="0"/>
        <w:rPr>
          <w:rFonts w:eastAsia="MS Mincho"/>
        </w:rPr>
      </w:pPr>
      <w:r>
        <w:rPr>
          <w:rFonts w:ascii="Times New Roman" w:eastAsia="MS Mincho" w:hAnsi="Times New Roman"/>
          <w:sz w:val="20"/>
          <w:szCs w:val="20"/>
        </w:rPr>
        <w:t>POINT OF CARE DIAGNOSTICS</w:t>
      </w:r>
    </w:p>
    <w:p w14:paraId="386F66DD" w14:textId="5B1BB809" w:rsidR="00B044A6" w:rsidRDefault="00B044A6" w:rsidP="00B044A6">
      <w:pPr>
        <w:ind w:firstLine="720"/>
        <w:jc w:val="both"/>
      </w:pPr>
      <w:r>
        <w:t>Point-of-care diagnostics is at the forefront of transforming healthcare delivery by bringing advanced analytical capabilities directly to the patient's bedside. This approach eliminates the need for time-consuming laboratory testing, enabling rapid and informed clinical decisions that are essential for personalized care</w:t>
      </w:r>
      <w:r w:rsidR="001456E2">
        <w:fldChar w:fldCharType="begin"/>
      </w:r>
      <w:r w:rsidR="001456E2">
        <w:instrText xml:space="preserve"> ADDIN ZOTERO_ITEM CSL_CITATION {"citationID":"TZxR1RHf","properties":{"formattedCitation":"[25]","plainCitation":"[25]","noteIndex":0},"citationItems":[{"id":4423,"uris":["http://zotero.org/users/9143596/items/4SIJFU47"],"itemData":{"id":4423,"type":"article-journal","container-title":"Cmaj","DOI":"10.1503/cmaj.170107","issue":"33","note":"publisher: Can Med Assoc","page":"E1065–E1068","source":"Google Scholar","title":"Finding the right balance between precision medicine and personalized care","volume":"189","author":[{"family":"McAlister","given":"Finlay A."},{"family":"Laupacis","given":"Andreas"},{"family":"Armstrong","given":"Paul W."}],"issued":{"date-parts":[["2017"]]}}}],"schema":"https://github.com/citation-style-language/schema/raw/master/csl-citation.json"} </w:instrText>
      </w:r>
      <w:r w:rsidR="001456E2">
        <w:fldChar w:fldCharType="separate"/>
      </w:r>
      <w:r w:rsidR="001456E2" w:rsidRPr="001456E2">
        <w:t>[25]</w:t>
      </w:r>
      <w:r w:rsidR="001456E2">
        <w:fldChar w:fldCharType="end"/>
      </w:r>
      <w:r>
        <w:t>.</w:t>
      </w:r>
    </w:p>
    <w:p w14:paraId="4025539F" w14:textId="464CA05D" w:rsidR="004D0C58" w:rsidRPr="00767BF4" w:rsidRDefault="00B044A6" w:rsidP="004D0C58">
      <w:pPr>
        <w:pStyle w:val="Heading2"/>
        <w:numPr>
          <w:ilvl w:val="1"/>
          <w:numId w:val="4"/>
        </w:numPr>
        <w:tabs>
          <w:tab w:val="clear" w:pos="360"/>
          <w:tab w:val="num" w:pos="288"/>
        </w:tabs>
        <w:spacing w:before="0" w:after="0"/>
        <w:ind w:left="0" w:firstLine="0"/>
        <w:rPr>
          <w:b/>
          <w:i w:val="0"/>
        </w:rPr>
      </w:pPr>
      <w:r w:rsidRPr="00B044A6">
        <w:rPr>
          <w:b/>
          <w:i w:val="0"/>
        </w:rPr>
        <w:t>Instantaneous Testing for Immediate Action</w:t>
      </w:r>
    </w:p>
    <w:p w14:paraId="3CABD925" w14:textId="375CF8BD" w:rsidR="00B044A6" w:rsidRDefault="004D0C58" w:rsidP="00B044A6">
      <w:pPr>
        <w:jc w:val="both"/>
      </w:pPr>
      <w:r>
        <w:tab/>
      </w:r>
      <w:r w:rsidR="00B044A6">
        <w:t>Point-of-care diagnostics involve portable and user-friendly devices that provide quick and accurate results, often within minutes. These devices enable healthcare professionals to make timely decisions, whether it's adjusting treatment regimens, initiating interventions, or making critical triage choices</w:t>
      </w:r>
      <w:r w:rsidR="001456E2">
        <w:fldChar w:fldCharType="begin"/>
      </w:r>
      <w:r w:rsidR="001456E2">
        <w:instrText xml:space="preserve"> ADDIN ZOTERO_ITEM CSL_CITATION {"citationID":"sgkY7szp","properties":{"formattedCitation":"[26]","plainCitation":"[26]","noteIndex":0},"citationItems":[{"id":4422,"uris":["http://zotero.org/users/9143596/items/NXG3PH7X"],"itemData":{"id":4422,"type":"document","note":"page: 1–4\ncontainer-title: Science China Life Sciences\nvolume: 60","publisher":"Springer","source":"Google Scholar","title":"Magnetic resonance imaging in personalized medicine","author":[{"family":"Wang","given":"Xiaoying"},{"family":"Zhou","given":"Xiaohong Joe"}],"issued":{"date-parts":[["2017"]]}}}],"schema":"https://github.com/citation-style-language/schema/raw/master/csl-citation.json"} </w:instrText>
      </w:r>
      <w:r w:rsidR="001456E2">
        <w:fldChar w:fldCharType="separate"/>
      </w:r>
      <w:r w:rsidR="001456E2" w:rsidRPr="001456E2">
        <w:t>[26]</w:t>
      </w:r>
      <w:r w:rsidR="001456E2">
        <w:fldChar w:fldCharType="end"/>
      </w:r>
      <w:r w:rsidR="00B044A6">
        <w:t>.</w:t>
      </w:r>
    </w:p>
    <w:p w14:paraId="7305DF5A" w14:textId="27B632A4" w:rsidR="004D0C58" w:rsidRDefault="004D0C58" w:rsidP="004D0C58">
      <w:pPr>
        <w:pStyle w:val="BodyText"/>
        <w:spacing w:after="0" w:line="240" w:lineRule="auto"/>
        <w:ind w:firstLine="0"/>
      </w:pPr>
    </w:p>
    <w:p w14:paraId="43566719" w14:textId="1BF95E24" w:rsidR="004D0C58" w:rsidRPr="00D01167" w:rsidRDefault="00B044A6" w:rsidP="004D0C58">
      <w:pPr>
        <w:pStyle w:val="Heading2"/>
        <w:numPr>
          <w:ilvl w:val="1"/>
          <w:numId w:val="4"/>
        </w:numPr>
        <w:tabs>
          <w:tab w:val="clear" w:pos="360"/>
          <w:tab w:val="num" w:pos="288"/>
        </w:tabs>
        <w:spacing w:before="0" w:after="0"/>
        <w:ind w:left="0" w:firstLine="0"/>
        <w:rPr>
          <w:b/>
          <w:i w:val="0"/>
        </w:rPr>
      </w:pPr>
      <w:r w:rsidRPr="00B044A6">
        <w:rPr>
          <w:b/>
          <w:i w:val="0"/>
        </w:rPr>
        <w:lastRenderedPageBreak/>
        <w:t>Wearable Sensors for Continuous Monitoring</w:t>
      </w:r>
    </w:p>
    <w:p w14:paraId="0F06E7A9" w14:textId="33A073C6" w:rsidR="00B044A6" w:rsidRDefault="004D0C58" w:rsidP="00B044A6">
      <w:pPr>
        <w:jc w:val="both"/>
      </w:pPr>
      <w:r>
        <w:tab/>
      </w:r>
      <w:r w:rsidR="00B044A6">
        <w:t>The integration of wearable sensors further extends point-of-care diagnostics beyond the clinical setting. These devices continuously collect data on vital signs, biomarkers, and other health indicators. The real-time data generated by wearables empowers patients to actively participate in managing their health and allows healthcare providers to tailor treatments based on constantly updated information</w:t>
      </w:r>
      <w:r w:rsidR="001456E2">
        <w:fldChar w:fldCharType="begin"/>
      </w:r>
      <w:r w:rsidR="001456E2">
        <w:instrText xml:space="preserve"> ADDIN ZOTERO_ITEM CSL_CITATION {"citationID":"Ann5yN5a","properties":{"formattedCitation":"[27]","plainCitation":"[27]","noteIndex":0},"citationItems":[{"id":4426,"uris":["http://zotero.org/users/9143596/items/JLC7D6S6"],"itemData":{"id":4426,"type":"article-journal","container-title":"Analytical chemistry","DOI":"10.1021/ac2030199","issue":"2","note":"publisher: ACS Publications","page":"487–515","source":"Google Scholar","title":"Point of care diagnostics: status and future","title-short":"Point of care diagnostics","volume":"84","author":[{"family":"Gubala","given":"Vladimir"},{"family":"Harris","given":"Leanne F."},{"family":"Ricco","given":"Antonio J."},{"family":"Tan","given":"Ming X."},{"family":"Williams","given":"David E."}],"issued":{"date-parts":[["2012"]]}}}],"schema":"https://github.com/citation-style-language/schema/raw/master/csl-citation.json"} </w:instrText>
      </w:r>
      <w:r w:rsidR="001456E2">
        <w:fldChar w:fldCharType="separate"/>
      </w:r>
      <w:r w:rsidR="001456E2" w:rsidRPr="001456E2">
        <w:t>[27]</w:t>
      </w:r>
      <w:r w:rsidR="001456E2">
        <w:fldChar w:fldCharType="end"/>
      </w:r>
      <w:r w:rsidR="00B044A6">
        <w:t>.</w:t>
      </w:r>
    </w:p>
    <w:p w14:paraId="5531CC55" w14:textId="52A59040" w:rsidR="004D0C58" w:rsidRPr="00D01167" w:rsidRDefault="00B044A6" w:rsidP="004D0C58">
      <w:pPr>
        <w:pStyle w:val="Heading2"/>
        <w:numPr>
          <w:ilvl w:val="1"/>
          <w:numId w:val="4"/>
        </w:numPr>
        <w:tabs>
          <w:tab w:val="clear" w:pos="360"/>
          <w:tab w:val="num" w:pos="288"/>
        </w:tabs>
        <w:spacing w:before="0" w:after="0"/>
        <w:ind w:left="0" w:firstLine="0"/>
        <w:rPr>
          <w:b/>
          <w:i w:val="0"/>
        </w:rPr>
      </w:pPr>
      <w:r>
        <w:rPr>
          <w:b/>
          <w:i w:val="0"/>
        </w:rPr>
        <w:t>Remote monitoring for personalized interventions</w:t>
      </w:r>
    </w:p>
    <w:p w14:paraId="49D2DBE5" w14:textId="48BAE2B4" w:rsidR="00B044A6" w:rsidRDefault="004D0C58" w:rsidP="00B044A6">
      <w:pPr>
        <w:jc w:val="both"/>
      </w:pPr>
      <w:r>
        <w:tab/>
      </w:r>
      <w:r w:rsidR="00B044A6">
        <w:t>In addition to real-time monitoring, point-of-care diagnostics allow for remote monitoring, especially valuable for patients in rural or underserved areas. Telemedicine coupled with point-of-care devices enables healthcare providers to remotely assess patients' conditions and recommend appropriate interventions, bridging geographical gaps in access to specialized care</w:t>
      </w:r>
      <w:r w:rsidR="001456E2">
        <w:fldChar w:fldCharType="begin"/>
      </w:r>
      <w:r w:rsidR="001456E2">
        <w:instrText xml:space="preserve"> ADDIN ZOTERO_ITEM CSL_CITATION {"citationID":"j0BQ1hU8","properties":{"formattedCitation":"[28]","plainCitation":"[28]","noteIndex":0},"citationItems":[{"id":4428,"uris":["http://zotero.org/users/9143596/items/WVM4JZIL"],"itemData":{"id":4428,"type":"article-journal","container-title":"Analytical chemistry","DOI":"10.1021/acs.analchem.6b04630","issue":"1","note":"publisher: ACS Publications","page":"102–123","source":"Google Scholar","title":"Point-of-care diagnostics: recent developments in a connected age","title-short":"Point-of-care diagnostics","volume":"89","author":[{"family":"Nayak","given":"Samiksha"},{"family":"Blumenfeld","given":"Nicole R."},{"family":"Laksanasopin","given":"Tassaneewan"},{"family":"Sia","given":"Samuel K."}],"issued":{"date-parts":[["2017"]]}}}],"schema":"https://github.com/citation-style-language/schema/raw/master/csl-citation.json"} </w:instrText>
      </w:r>
      <w:r w:rsidR="001456E2">
        <w:fldChar w:fldCharType="separate"/>
      </w:r>
      <w:r w:rsidR="001456E2" w:rsidRPr="001456E2">
        <w:t>[28]</w:t>
      </w:r>
      <w:r w:rsidR="001456E2">
        <w:fldChar w:fldCharType="end"/>
      </w:r>
      <w:r w:rsidR="00B044A6">
        <w:t>.</w:t>
      </w:r>
    </w:p>
    <w:p w14:paraId="1439E4BC" w14:textId="638FE314" w:rsidR="004D0C58" w:rsidRPr="00D01167" w:rsidRDefault="00B044A6" w:rsidP="004D0C58">
      <w:pPr>
        <w:pStyle w:val="Heading2"/>
        <w:numPr>
          <w:ilvl w:val="1"/>
          <w:numId w:val="4"/>
        </w:numPr>
        <w:tabs>
          <w:tab w:val="clear" w:pos="360"/>
          <w:tab w:val="num" w:pos="288"/>
        </w:tabs>
        <w:spacing w:before="0" w:after="0"/>
        <w:ind w:left="0" w:firstLine="0"/>
        <w:rPr>
          <w:b/>
          <w:i w:val="0"/>
        </w:rPr>
      </w:pPr>
      <w:r>
        <w:rPr>
          <w:b/>
          <w:i w:val="0"/>
        </w:rPr>
        <w:t>Enhancing early detection and prevention</w:t>
      </w:r>
    </w:p>
    <w:p w14:paraId="48499D8C" w14:textId="7AAC2F6B" w:rsidR="004D0C58" w:rsidRDefault="004D0C58" w:rsidP="00B044A6">
      <w:pPr>
        <w:pStyle w:val="bulletlist"/>
        <w:numPr>
          <w:ilvl w:val="0"/>
          <w:numId w:val="0"/>
        </w:numPr>
        <w:spacing w:after="0" w:line="240" w:lineRule="auto"/>
      </w:pPr>
      <w:r>
        <w:tab/>
      </w:r>
      <w:r>
        <w:tab/>
      </w:r>
      <w:r w:rsidR="00B044A6">
        <w:t>The rapid results from point-of-care tests aid in the early detection of diseases, facilitating prompt interventions that can significantly impact patient outcomes. From identifying infectious diseases to managing chronic conditions, these diagnostics empower healthcare providers to intervene early and effectively</w:t>
      </w:r>
      <w:r w:rsidR="001456E2">
        <w:fldChar w:fldCharType="begin"/>
      </w:r>
      <w:r w:rsidR="001456E2">
        <w:instrText xml:space="preserve"> ADDIN ZOTERO_ITEM CSL_CITATION {"citationID":"lm1btgzF","properties":{"formattedCitation":"[29], [30]","plainCitation":"[29], [30]","noteIndex":0},"citationItems":[{"id":4427,"uris":["http://zotero.org/users/9143596/items/NG78NQCC"],"itemData":{"id":4427,"type":"article-journal","container-title":"Biosensors","DOI":"10.3390/bios7040062","issue":"4","note":"publisher: MDPI","page":"62","source":"Google Scholar","title":"Point-of-care diagnostics: Recent advances and trends","title-short":"Point-of-care diagnostics","volume":"7","author":[{"family":"Vashist","given":"Sandeep Kumar"}],"issued":{"date-parts":[["2017"]]}}},{"id":4429,"uris":["http://zotero.org/users/9143596/items/9PRLLR4Z"],"itemData":{"id":4429,"type":"article-journal","container-title":"Annu. Rev. Biomed. Eng.","DOI":"10.1146/annurev.bioeng.10.061807.160524","note":"publisher: Annual Reviews","page":"107–144","source":"Google Scholar","title":"Point-of-care diagnostics for global health","volume":"10","author":[{"family":"Yager","given":"Paul"},{"family":"Domingo","given":"Gonzalo J."},{"family":"Gerdes","given":"John"}],"issued":{"date-parts":[["2008"]]}}}],"schema":"https://github.com/citation-style-language/schema/raw/master/csl-citation.json"} </w:instrText>
      </w:r>
      <w:r w:rsidR="001456E2">
        <w:fldChar w:fldCharType="separate"/>
      </w:r>
      <w:r w:rsidR="001456E2" w:rsidRPr="001456E2">
        <w:t>[29], [30]</w:t>
      </w:r>
      <w:r w:rsidR="001456E2">
        <w:fldChar w:fldCharType="end"/>
      </w:r>
      <w:r>
        <w:t>.</w:t>
      </w:r>
    </w:p>
    <w:p w14:paraId="5FA1EE3E" w14:textId="77777777" w:rsidR="00B044A6" w:rsidRDefault="00B044A6" w:rsidP="00B044A6">
      <w:pPr>
        <w:pStyle w:val="bulletlist"/>
        <w:numPr>
          <w:ilvl w:val="0"/>
          <w:numId w:val="0"/>
        </w:numPr>
        <w:spacing w:after="0" w:line="240" w:lineRule="auto"/>
      </w:pPr>
    </w:p>
    <w:p w14:paraId="114FC8D2" w14:textId="52E45363" w:rsidR="00B044A6" w:rsidRPr="00402841" w:rsidRDefault="00B044A6" w:rsidP="00B044A6">
      <w:pPr>
        <w:pStyle w:val="Heading1"/>
        <w:spacing w:before="0" w:after="0"/>
        <w:ind w:firstLine="0"/>
        <w:rPr>
          <w:rFonts w:eastAsia="MS Mincho"/>
        </w:rPr>
      </w:pPr>
      <w:r>
        <w:rPr>
          <w:rFonts w:ascii="Times New Roman" w:eastAsia="MS Mincho" w:hAnsi="Times New Roman"/>
          <w:sz w:val="20"/>
          <w:szCs w:val="20"/>
        </w:rPr>
        <w:t>BIOINFORMATICS AND DATA INTEGRATION</w:t>
      </w:r>
    </w:p>
    <w:p w14:paraId="3CD7D99C" w14:textId="77777777" w:rsidR="00B044A6" w:rsidRPr="00466548" w:rsidRDefault="00B044A6" w:rsidP="00B044A6">
      <w:pPr>
        <w:rPr>
          <w:rFonts w:eastAsia="MS Mincho"/>
        </w:rPr>
      </w:pPr>
    </w:p>
    <w:p w14:paraId="2B571A8E" w14:textId="11239C38" w:rsidR="00B044A6" w:rsidRDefault="00B044A6" w:rsidP="00B044A6">
      <w:pPr>
        <w:jc w:val="both"/>
      </w:pPr>
      <w:r>
        <w:tab/>
        <w:t>Bioinformatics and data integration play a pivotal role in translating the vast amount of complex biological data generated by modern analytical techniques into actionable insights for personalized medicine. These fields provide the tools and strategies needed to extract meaningful information from diverse datasets, enabling healthcare professionals to make informed decisions tailored to individual patients</w:t>
      </w:r>
      <w:r w:rsidR="001456E2">
        <w:fldChar w:fldCharType="begin"/>
      </w:r>
      <w:r w:rsidR="001456E2">
        <w:instrText xml:space="preserve"> ADDIN ZOTERO_ITEM CSL_CITATION {"citationID":"mQLhXXSw","properties":{"formattedCitation":"[31]","plainCitation":"[31]","noteIndex":0},"citationItems":[{"id":4442,"uris":["http://zotero.org/users/9143596/items/HI5KZTLZ"],"itemData":{"id":4442,"type":"article-journal","abstract":"Many publicly available data repositories and resources have been developed to support protein-related information management, data-driven hypothesis generation, and biological knowledge discovery. To help researchers quickly find the appropriate protein-related informatics resources, we present a comprehensive review (with categorization and description) of major protein bioinformatics databases in this chapter. We also discuss the challenges and opportunities for developing next-generation protein bioinformatics databases and resources to support data integration and data analytics in the Big Data era.","container-title":"Methods in Molecular Biology (Clifton, N.J.)","DOI":"10.1007/978-1-4939-6783-4_1","ISSN":"1940-6029","journalAbbreviation":"Methods Mol Biol","language":"eng","note":"PMID: 28150231\nPMCID: PMC5506686","page":"3-39","source":"PubMed","title":"Protein Bioinformatics Databases and Resources","volume":"1558","author":[{"family":"Chen","given":"Chuming"},{"family":"Huang","given":"Hongzhan"},{"family":"Wu","given":"Cathy H."}],"issued":{"date-parts":[["2017"]]}}}],"schema":"https://github.com/citation-style-language/schema/raw/master/csl-citation.json"} </w:instrText>
      </w:r>
      <w:r w:rsidR="001456E2">
        <w:fldChar w:fldCharType="separate"/>
      </w:r>
      <w:r w:rsidR="001456E2" w:rsidRPr="001456E2">
        <w:t>[31]</w:t>
      </w:r>
      <w:r w:rsidR="001456E2">
        <w:fldChar w:fldCharType="end"/>
      </w:r>
      <w:r>
        <w:t>.</w:t>
      </w:r>
    </w:p>
    <w:p w14:paraId="7DC3D2D3" w14:textId="46AF8666" w:rsidR="00B044A6" w:rsidRPr="00767BF4" w:rsidRDefault="00B044A6" w:rsidP="00B044A6">
      <w:pPr>
        <w:pStyle w:val="Heading2"/>
        <w:numPr>
          <w:ilvl w:val="1"/>
          <w:numId w:val="4"/>
        </w:numPr>
        <w:tabs>
          <w:tab w:val="clear" w:pos="360"/>
          <w:tab w:val="num" w:pos="288"/>
        </w:tabs>
        <w:spacing w:before="0" w:after="0"/>
        <w:ind w:left="0" w:firstLine="0"/>
        <w:rPr>
          <w:b/>
          <w:i w:val="0"/>
        </w:rPr>
      </w:pPr>
      <w:r>
        <w:rPr>
          <w:b/>
          <w:i w:val="0"/>
        </w:rPr>
        <w:t>Managing the data deluge</w:t>
      </w:r>
    </w:p>
    <w:p w14:paraId="3DF10DE6" w14:textId="6308BE0A" w:rsidR="00B044A6" w:rsidRDefault="00B044A6" w:rsidP="00B044A6">
      <w:pPr>
        <w:jc w:val="both"/>
      </w:pPr>
      <w:r>
        <w:tab/>
        <w:t>The advent of high-throughput technologies like genomics, proteomics, and metabolomics has resulted in an explosion of biological data. Bioinformatics involves developing computational tools and algorithms to process, analyze, and interpret these large datasets. It transforms raw data into comprehensible information, revealing patterns, correlations, and potential biomarkers</w:t>
      </w:r>
      <w:r w:rsidR="001456E2">
        <w:fldChar w:fldCharType="begin"/>
      </w:r>
      <w:r w:rsidR="001456E2">
        <w:instrText xml:space="preserve"> ADDIN ZOTERO_ITEM CSL_CITATION {"citationID":"POSOtGrw","properties":{"formattedCitation":"[32]","plainCitation":"[32]","noteIndex":0},"citationItems":[{"id":4447,"uris":["http://zotero.org/users/9143596/items/27E2QQAT"],"itemData":{"id":4447,"type":"article-journal","abstract":"In the post-genome era, researchers are systematically tackling gene functions and complex regulatory processes by studying organisms on a global scale; however, a major challenge lies in the voluminous, complex, and dynamic data being maintained in heterogeneous sources, especially from proteomics experiments. Advanced computational methods are needed for integration, mining, comparative analysis, and functional interpretation of high-throughput proteomic data. In the first part of this review, we discuss aspects of data integration important for capturing all data relevant to functional analysis. We provide a list of databases commonly used in genomics and proteomics and explain strategies to connect the source data, with especial emphasis on our ID mapping service. Next, we describe iProClass, a central data infrastructure that supports both data integration and functional annotation of proteins, and give a brief introduction to the data search/retrieval and analysis tools currently available at our website (http://pir.georgetown.edu) that researchers can use for large-scale functional analysis. In the last part, we introduce iProXpress (integrated Protein eXpression), an integrated research and discovery platform for large-scale expression data analysis, and we show a prototype that has been useful for organelle proteome analysis.","container-title":"Frontiers in Bioscience: A Journal and Virtual Library","DOI":"10.2741/2449","ISSN":"1093-9946","journalAbbreviation":"Front Biosci","language":"eng","note":"PMID: 17569631","page":"5071-5088","source":"PubMed","title":"Integration of bioinformatics resources for functional analysis of gene expression and proteomic data","volume":"12","author":[{"family":"Huang","given":"Hongzhan"},{"family":"Hu","given":"Zhang-Zhi"},{"family":"Arighi","given":"Cecilia N."},{"family":"Wu","given":"Cathy H."}],"issued":{"date-parts":[["2007",9,1]]}}}],"schema":"https://github.com/citation-style-language/schema/raw/master/csl-citation.json"} </w:instrText>
      </w:r>
      <w:r w:rsidR="001456E2">
        <w:fldChar w:fldCharType="separate"/>
      </w:r>
      <w:r w:rsidR="001456E2" w:rsidRPr="001456E2">
        <w:t>[32]</w:t>
      </w:r>
      <w:r w:rsidR="001456E2">
        <w:fldChar w:fldCharType="end"/>
      </w:r>
      <w:r>
        <w:t>.</w:t>
      </w:r>
    </w:p>
    <w:p w14:paraId="631FB33F" w14:textId="1C2A6619" w:rsidR="00B044A6" w:rsidRPr="00D01167" w:rsidRDefault="00B044A6" w:rsidP="00B044A6">
      <w:pPr>
        <w:pStyle w:val="Heading2"/>
        <w:numPr>
          <w:ilvl w:val="1"/>
          <w:numId w:val="4"/>
        </w:numPr>
        <w:tabs>
          <w:tab w:val="clear" w:pos="360"/>
          <w:tab w:val="num" w:pos="288"/>
        </w:tabs>
        <w:spacing w:before="0" w:after="0"/>
        <w:ind w:left="0" w:firstLine="0"/>
        <w:rPr>
          <w:b/>
          <w:i w:val="0"/>
        </w:rPr>
      </w:pPr>
      <w:r>
        <w:rPr>
          <w:b/>
          <w:i w:val="0"/>
        </w:rPr>
        <w:t>Integrating multi-omics data</w:t>
      </w:r>
    </w:p>
    <w:p w14:paraId="6DE35F3B" w14:textId="1F22F299" w:rsidR="00B044A6" w:rsidRDefault="00B044A6" w:rsidP="00B044A6">
      <w:pPr>
        <w:jc w:val="both"/>
      </w:pPr>
      <w:r>
        <w:tab/>
        <w:t>In personalized medicine, a holistic view of a patient's health profile often requires the integration of data from multiple omics disciplines, such as genomics, proteomics, and metabolomics. Data integration tools allow for the correlation of genetic variations, molecular expression patterns, and metabolic signatures, providing a more comprehensive understanding of disease mechanisms and treatment responses</w:t>
      </w:r>
      <w:r w:rsidR="001456E2">
        <w:fldChar w:fldCharType="begin"/>
      </w:r>
      <w:r w:rsidR="001456E2">
        <w:instrText xml:space="preserve"> ADDIN ZOTERO_ITEM CSL_CITATION {"citationID":"q9LpqZWE","properties":{"formattedCitation":"[33]","plainCitation":"[33]","noteIndex":0},"citationItems":[{"id":4445,"uris":["http://zotero.org/users/9143596/items/EAXC2TB2"],"itemData":{"id":4445,"type":"article-journal","abstract":"The field of proteomics is advancing rapidly as a result of powerful new technologies and proteomics experiments yield a vast and increasing amount of information. Data regarding protein occurrence, abundance, identity, sequence, structure, properties, and interactions need to be stored. Currently, a common standard has not yet been established and open access to results is needed for further development of robust analysis algorithms. Databases for proteomics will evolve from pure storage into knowledge resources, providing a repository for information (meta-data) which is mainly not stored in simple flat files. This review will shed light on recent steps towards the generation of a common standard in proteomics data storage and integration, but is not meant to be a comprehensive overview of all available databases and tools in the proteomics community.","container-title":"Bioscience Reports","DOI":"10.1007/s10540-005-2850-4","ISSN":"0144-8463","issue":"1-2","journalAbbreviation":"Biosci Rep","language":"eng","note":"PMID: 16222422","page":"95-106","source":"PubMed","title":"A bioinformatics perspective on proteomics: data storage, analysis, and integration","title-short":"A bioinformatics perspective on proteomics","volume":"25","author":[{"family":"Kremer","given":"Andreas"},{"family":"Schneider","given":"Reinhard"},{"family":"Terstappen","given":"Georg C."}],"issued":{"date-parts":[["2005"]]}}}],"schema":"https://github.com/citation-style-language/schema/raw/master/csl-citation.json"} </w:instrText>
      </w:r>
      <w:r w:rsidR="001456E2">
        <w:fldChar w:fldCharType="separate"/>
      </w:r>
      <w:r w:rsidR="001456E2" w:rsidRPr="001456E2">
        <w:t>[33]</w:t>
      </w:r>
      <w:r w:rsidR="001456E2">
        <w:fldChar w:fldCharType="end"/>
      </w:r>
      <w:r>
        <w:t xml:space="preserve">. The integration of multi-omics data in personalized medicine is illustrated in Figure 1. </w:t>
      </w:r>
    </w:p>
    <w:p w14:paraId="46C947AE" w14:textId="77777777" w:rsidR="00B044A6" w:rsidRDefault="00B044A6" w:rsidP="00B044A6">
      <w:r>
        <w:rPr>
          <w:noProof/>
        </w:rPr>
        <w:drawing>
          <wp:inline distT="0" distB="0" distL="0" distR="0" wp14:anchorId="64E32742" wp14:editId="72BF10F2">
            <wp:extent cx="4792980" cy="34503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12298" cy="3464238"/>
                    </a:xfrm>
                    <a:prstGeom prst="rect">
                      <a:avLst/>
                    </a:prstGeom>
                    <a:noFill/>
                    <a:ln>
                      <a:noFill/>
                    </a:ln>
                  </pic:spPr>
                </pic:pic>
              </a:graphicData>
            </a:graphic>
          </wp:inline>
        </w:drawing>
      </w:r>
    </w:p>
    <w:p w14:paraId="66A65A80" w14:textId="77777777" w:rsidR="004B2748" w:rsidRDefault="00B044A6" w:rsidP="004B2748">
      <w:pPr>
        <w:rPr>
          <w:b/>
          <w:bCs/>
        </w:rPr>
      </w:pPr>
      <w:r w:rsidRPr="00F50143">
        <w:rPr>
          <w:b/>
          <w:bCs/>
        </w:rPr>
        <w:t>Figure 1: Data Integration in Personalized Medicine</w:t>
      </w:r>
    </w:p>
    <w:p w14:paraId="0A05D5B6" w14:textId="1FE3FE3E" w:rsidR="00B044A6" w:rsidRPr="004B2748" w:rsidRDefault="004B2748" w:rsidP="004B2748">
      <w:pPr>
        <w:pStyle w:val="Heading2"/>
        <w:rPr>
          <w:b/>
          <w:bCs/>
          <w:i w:val="0"/>
          <w:iCs w:val="0"/>
        </w:rPr>
      </w:pPr>
      <w:r>
        <w:rPr>
          <w:b/>
          <w:bCs/>
          <w:i w:val="0"/>
          <w:iCs w:val="0"/>
        </w:rPr>
        <w:t>Predictive modeling for treatment responses</w:t>
      </w:r>
    </w:p>
    <w:p w14:paraId="1CE456B3" w14:textId="4EB3E5FE" w:rsidR="00B044A6" w:rsidRDefault="00B044A6" w:rsidP="00B044A6">
      <w:pPr>
        <w:jc w:val="both"/>
      </w:pPr>
      <w:r>
        <w:tab/>
      </w:r>
      <w:r w:rsidR="004B2748">
        <w:t xml:space="preserve">Bioinformatics enables the development of predictive models that use patient-specific data to forecast treatment outcomes. By identifying patterns in large datasets, these models can help healthcare providers </w:t>
      </w:r>
      <w:r w:rsidR="004B2748">
        <w:lastRenderedPageBreak/>
        <w:t>anticipate how a patient might respond to a particular therapy, facilitating treatment decisions that are more likely to succeed</w:t>
      </w:r>
      <w:r w:rsidR="001456E2">
        <w:fldChar w:fldCharType="begin"/>
      </w:r>
      <w:r w:rsidR="001456E2">
        <w:instrText xml:space="preserve"> ADDIN ZOTERO_ITEM CSL_CITATION {"citationID":"wFKOtsVv","properties":{"formattedCitation":"[34]","plainCitation":"[34]","noteIndex":0},"citationItems":[{"id":4444,"uris":["http://zotero.org/users/9143596/items/ZEVFJ6UL"],"itemData":{"id":4444,"type":"article-journal","abstract":"The glycome constitutes the entire complement of free carbohydrates and glycoconjugates expressed on whole cells or tissues. 'Systems Glycobiology' is an emerging discipline that aims to quantitatively describe and analyse the glycome. Here, instead of developing a detailed understanding of single biochemical processes, a combination of computational and experimental tools are used to seek an integrated or 'systems-level' view. This can explain how multiple biochemical reactions and transport processes interact with each other to control glycome biosynthesis and function. Computational methods in this field commonly build in silico reaction network models to describe experimental data derived from structural studies that measure cell-surface glycan distribution. While considerable progress has been made, several challenges remain due to the complex and heterogeneous nature of this post-translational modification. First, for the in silico models to be standardized and shared among laboratories, it is necessary to integrate glycan structure information and glycosylation-related enzyme definitions into the mathematical models. Second, as glycoinformatics resources grow, it would be attractive to utilize 'Big Data' stored in these repositories for model construction and validation. Third, while the technology for profiling the glycome at the whole-cell level has been standardized, there is a need to integrate mass spectrometry derived site-specific glycosylation data into the models. The current review discusses progress that is being made to resolve the above bottlenecks. The focus is on how computational models can bridge the gap between 'data' generated in wet-laboratory studies with 'knowledge' that can enhance our understanding of the glycome.","container-title":"Wiley Interdisciplinary Reviews. Systems Biology and Medicine","DOI":"10.1002/wsbm.1296","ISSN":"1939-005X","issue":"4","journalAbbreviation":"Wiley Interdiscip Rev Syst Biol Med","language":"eng","note":"PMID: 25871730\nPMCID: PMC4457600","page":"163-181","source":"PubMed","title":"Integration of systems glycobiology with bioinformatics toolboxes, glycoinformatics resources, and glycoproteomics data","volume":"7","author":[{"family":"Liu","given":"Gang"},{"family":"Neelamegham","given":"Sriram"}],"issued":{"date-parts":[["2015"]]}}}],"schema":"https://github.com/citation-style-language/schema/raw/master/csl-citation.json"} </w:instrText>
      </w:r>
      <w:r w:rsidR="001456E2">
        <w:fldChar w:fldCharType="separate"/>
      </w:r>
      <w:r w:rsidR="001456E2" w:rsidRPr="001456E2">
        <w:t>[34]</w:t>
      </w:r>
      <w:r w:rsidR="001456E2">
        <w:fldChar w:fldCharType="end"/>
      </w:r>
      <w:r>
        <w:t>.</w:t>
      </w:r>
    </w:p>
    <w:p w14:paraId="7EDED19D" w14:textId="26655AE1" w:rsidR="00B044A6" w:rsidRPr="00D01167" w:rsidRDefault="004B2748" w:rsidP="00B044A6">
      <w:pPr>
        <w:pStyle w:val="Heading2"/>
        <w:numPr>
          <w:ilvl w:val="1"/>
          <w:numId w:val="4"/>
        </w:numPr>
        <w:tabs>
          <w:tab w:val="clear" w:pos="360"/>
          <w:tab w:val="num" w:pos="288"/>
        </w:tabs>
        <w:spacing w:before="0" w:after="0"/>
        <w:ind w:left="0" w:firstLine="0"/>
        <w:rPr>
          <w:b/>
          <w:i w:val="0"/>
        </w:rPr>
      </w:pPr>
      <w:r>
        <w:rPr>
          <w:b/>
          <w:i w:val="0"/>
        </w:rPr>
        <w:t>Enabling precision medicine approaches</w:t>
      </w:r>
    </w:p>
    <w:p w14:paraId="6F69CCFD" w14:textId="00D70CD6" w:rsidR="004B2748" w:rsidRDefault="00B044A6" w:rsidP="004B2748">
      <w:pPr>
        <w:jc w:val="both"/>
      </w:pPr>
      <w:r>
        <w:tab/>
      </w:r>
      <w:r w:rsidR="004B2748">
        <w:t>Data integration is essential for applying precision medicine approaches, where treatment decisions are tailored to a patient's unique characteristics. Integrating clinical data, genetic information, biomarker profiles, and other relevant data points allows for a holistic view of the patient, enabling healthcare providers to design personalized treatment strategies</w:t>
      </w:r>
      <w:r w:rsidR="001456E2">
        <w:fldChar w:fldCharType="begin"/>
      </w:r>
      <w:r w:rsidR="001456E2">
        <w:instrText xml:space="preserve"> ADDIN ZOTERO_ITEM CSL_CITATION {"citationID":"Qs1wgTRV","properties":{"formattedCitation":"[35]","plainCitation":"[35]","noteIndex":0},"citationItems":[{"id":4446,"uris":["http://zotero.org/users/9143596/items/22ZND2GH"],"itemData":{"id":4446,"type":"article-journal","abstract":"The advent of high throughput technologies has led to a wealth of publicly available 'omics data coming from different sources, such as transcriptomics, proteomics, metabolomics. Combining such large-scale biological data sets can lead to the discovery of important biological insights, provided that relevant information can be extracted in a holistic manner. Current statistical approaches have been focusing on identifying small subsets of molecules (a 'molecular signature') to explain or predict biological conditions, but mainly for a single type of 'omics. In addition, commonly used methods are univariate and consider each biological feature independently. We introduce mixOmics, an R package dedicated to the multivariate analysis of biological data sets with a specific focus on data exploration, dimension reduction and visualisation. By adopting a systems biology approach, the toolkit provides a wide range of methods that statistically integrate several data sets at once to probe relationships between heterogeneous 'omics data sets. Our recent methods extend Projection to Latent Structure (PLS) models for discriminant analysis, for data integration across multiple 'omics data or across independent studies, and for the identification of molecular signatures. We illustrate our latest mixOmics integrative frameworks for the multivariate analyses of 'omics data available from the package.","container-title":"PLoS computational biology","DOI":"10.1371/journal.pcbi.1005752","ISSN":"1553-7358","issue":"11","journalAbbreviation":"PLoS Comput Biol","language":"eng","note":"PMID: 29099853\nPMCID: PMC5687754","page":"e1005752","source":"PubMed","title":"mixOmics: An R package for 'omics feature selection and multiple data integration","title-short":"mixOmics","volume":"13","author":[{"family":"Rohart","given":"Florian"},{"family":"Gautier","given":"Benoît"},{"family":"Singh","given":"Amrit"},{"family":"Lê Cao","given":"Kim-Anh"}],"issued":{"date-parts":[["2017",11]]}}}],"schema":"https://github.com/citation-style-language/schema/raw/master/csl-citation.json"} </w:instrText>
      </w:r>
      <w:r w:rsidR="001456E2">
        <w:fldChar w:fldCharType="separate"/>
      </w:r>
      <w:r w:rsidR="001456E2" w:rsidRPr="001456E2">
        <w:t>[35]</w:t>
      </w:r>
      <w:r w:rsidR="001456E2">
        <w:fldChar w:fldCharType="end"/>
      </w:r>
      <w:r w:rsidR="004B2748">
        <w:t>.</w:t>
      </w:r>
    </w:p>
    <w:p w14:paraId="26FE1DA4" w14:textId="77777777" w:rsidR="00B044A6" w:rsidRDefault="00B044A6" w:rsidP="00B044A6">
      <w:pPr>
        <w:jc w:val="both"/>
      </w:pPr>
    </w:p>
    <w:p w14:paraId="4B2DCC51" w14:textId="47A286FD" w:rsidR="004D0C58" w:rsidRDefault="004D0C58" w:rsidP="00B044A6">
      <w:pPr>
        <w:pStyle w:val="BodyText"/>
        <w:spacing w:after="0" w:line="240" w:lineRule="auto"/>
        <w:ind w:firstLine="0"/>
      </w:pPr>
    </w:p>
    <w:p w14:paraId="4B530268" w14:textId="61B70BF6" w:rsidR="00B044A6" w:rsidRPr="00402841" w:rsidRDefault="00B044A6" w:rsidP="00B044A6">
      <w:pPr>
        <w:pStyle w:val="Heading1"/>
        <w:spacing w:before="0" w:after="0"/>
        <w:ind w:firstLine="0"/>
        <w:rPr>
          <w:rFonts w:eastAsia="MS Mincho"/>
        </w:rPr>
      </w:pPr>
      <w:r>
        <w:rPr>
          <w:rFonts w:ascii="Times New Roman" w:eastAsia="MS Mincho" w:hAnsi="Times New Roman"/>
          <w:sz w:val="20"/>
          <w:szCs w:val="20"/>
        </w:rPr>
        <w:t xml:space="preserve"> ETHICAL CONSIDERATIONS</w:t>
      </w:r>
    </w:p>
    <w:p w14:paraId="4A9031F0" w14:textId="77777777" w:rsidR="00B044A6" w:rsidRPr="00466548" w:rsidRDefault="00B044A6" w:rsidP="00B044A6">
      <w:pPr>
        <w:rPr>
          <w:rFonts w:eastAsia="MS Mincho"/>
        </w:rPr>
      </w:pPr>
    </w:p>
    <w:p w14:paraId="6C4B9CAE" w14:textId="6BE7A344" w:rsidR="004B2748" w:rsidRDefault="00B044A6" w:rsidP="004B2748">
      <w:pPr>
        <w:jc w:val="both"/>
      </w:pPr>
      <w:r>
        <w:tab/>
      </w:r>
      <w:r w:rsidR="004B2748">
        <w:t>As personalized medicine continues to evolve, it brings forth a host of ethical considerations that warrant careful reflection. The integration of advanced analytical techniques into healthcare raises questions about patient privacy, data security, consent, and the equitable distribution of benefits. Addressing these ethical concerns is crucial to ensuring that the promise of personalized medicine is realized while safeguarding patient rights and societal values</w:t>
      </w:r>
      <w:r w:rsidR="001456E2">
        <w:fldChar w:fldCharType="begin"/>
      </w:r>
      <w:r w:rsidR="001456E2">
        <w:instrText xml:space="preserve"> ADDIN ZOTERO_ITEM CSL_CITATION {"citationID":"xCgkNOqX","properties":{"formattedCitation":"[36]","plainCitation":"[36]","noteIndex":0},"citationItems":[{"id":4443,"uris":["http://zotero.org/users/9143596/items/Y4XHNJHZ"],"itemData":{"id":4443,"type":"article-journal","abstract":"Recent advances in high-throughput technologies have enabled the profiling of multiple layers of a biological system, including DNA sequence data (genomics), RNA expression levels (transcriptomics), and metabolite levels (metabolomics). This has led to the generation of vast amounts of biological data that can be integrated in so-called multi-omics studies to examine the complex molecular underpinnings of health and disease. Integrative analysis of such datasets is not straightforward and is particularly complicated by the high dimensionality and heterogeneity of the data and by the lack of universal analysis protocols. Previous reviews have discussed various strategies to address the challenges of data integration, elaborating on specific aspects, such as network inference or feature selection techniques. Thereby, the main focus has been on the integration of two omics layers in their relation to a phenotype of interest. In this review we provide an overview over a typical multi-omics workflow, focusing on integration methods that have the potential to combine metabolomics data with two or more omics. We discuss multiple integration concepts including data-driven, knowledge-based, simultaneous and step-wise approaches. We highlight the application of these methods in recent multi-omics studies, including large-scale integration efforts aiming at a global depiction of the complex relationships within and between different biological layers without focusing on a particular phenotype.","container-title":"Analytica Chimica Acta","DOI":"10.1016/j.aca.2020.10.038","ISSN":"1873-4324","journalAbbreviation":"Anal Chim Acta","language":"eng","note":"PMID: 33248648\nPMCID: PMC7701361","page":"144-162","source":"PubMed","title":"Multi-omics integration in biomedical research - A metabolomics-centric review","volume":"1141","author":[{"family":"Wörheide","given":"Maria A."},{"family":"Krumsiek","given":"Jan"},{"family":"Kastenmüller","given":"Gabi"},{"family":"Arnold","given":"Matthias"}],"issued":{"date-parts":[["2021",1,2]]}}}],"schema":"https://github.com/citation-style-language/schema/raw/master/csl-citation.json"} </w:instrText>
      </w:r>
      <w:r w:rsidR="001456E2">
        <w:fldChar w:fldCharType="separate"/>
      </w:r>
      <w:r w:rsidR="001456E2" w:rsidRPr="001456E2">
        <w:t>[36]</w:t>
      </w:r>
      <w:r w:rsidR="001456E2">
        <w:fldChar w:fldCharType="end"/>
      </w:r>
      <w:r w:rsidR="004B2748">
        <w:t>.</w:t>
      </w:r>
    </w:p>
    <w:p w14:paraId="2BC6A843" w14:textId="470288BF" w:rsidR="004B2748" w:rsidRPr="004B2748" w:rsidRDefault="004B2748" w:rsidP="004B2748">
      <w:pPr>
        <w:pStyle w:val="Heading2"/>
        <w:spacing w:before="0" w:after="0"/>
        <w:rPr>
          <w:b/>
          <w:bCs/>
          <w:i w:val="0"/>
          <w:iCs w:val="0"/>
        </w:rPr>
      </w:pPr>
      <w:r w:rsidRPr="004B2748">
        <w:rPr>
          <w:b/>
          <w:bCs/>
          <w:i w:val="0"/>
          <w:iCs w:val="0"/>
        </w:rPr>
        <w:t>Patient Data Privacy and Security</w:t>
      </w:r>
    </w:p>
    <w:p w14:paraId="375008A1" w14:textId="2B508CDD" w:rsidR="004B2748" w:rsidRDefault="004B2748" w:rsidP="004B2748">
      <w:pPr>
        <w:ind w:firstLine="288"/>
        <w:jc w:val="both"/>
      </w:pPr>
      <w:r>
        <w:t>The use of sensitive patient data, including genetic information and health records, necessitates robust privacy measures. Safeguarding this data against breaches and unauthorized access is paramount. Striking a balance between data sharing for research purposes and protecting patient identities is a delicate ethical challenge</w:t>
      </w:r>
      <w:r w:rsidR="001456E2">
        <w:fldChar w:fldCharType="begin"/>
      </w:r>
      <w:r w:rsidR="001456E2">
        <w:instrText xml:space="preserve"> ADDIN ZOTERO_ITEM CSL_CITATION {"citationID":"6tKY4WKK","properties":{"formattedCitation":"[37]","plainCitation":"[37]","noteIndex":0},"citationItems":[{"id":4461,"uris":["http://zotero.org/users/9143596/items/SGMC2XJF"],"itemData":{"id":4461,"type":"article-journal","abstract":"The development of high-throughput techniques has permitted the accumulation of enormous amounts of genomic information. As increasing numbers of studies aim to utilize individual genomic information for diagnostic, preventive, or therapeutic purposes, Institutional Review Boards (IRBs) have a greater opportunity to review such types of study protocols. An article published in the Journal of Personalized Medicine titled, \"Ethical Considerations Related to Return of Results from Genomic Medicine Projects: The eMERGE Network (Phase III) Experience\" identified the common concerns of IRBs in the process of reviewing such studies, and some concerns included the readability of informed consent materials, potential risks to participants, information sharing with family members, options for withdrawal or receiving limited results, and provisions to clear participant questions. Since there is an increase in the number of genomic medicine implementation studies worldwide, the insights provided by this study would assist future researchers in protocol preparation as well as aid project review by IRB members.","container-title":"Journal of Personalized Medicine","DOI":"10.3390/jpm10040195","ISSN":"2075-4426","issue":"4","journalAbbreviation":"J Pers Med","language":"eng","note":"PMID: 33114528\nPMCID: PMC7712392","page":"195","source":"PubMed","title":"Ethical Considerations about Genomic Medicine Implementation: Lessons Learned from the eMERGE III Study","title-short":"Ethical Considerations about Genomic Medicine Implementation","volume":"10","author":[{"family":"Inamura","given":"Kentaro"}],"issued":{"date-parts":[["2020",10,26]]}}}],"schema":"https://github.com/citation-style-language/schema/raw/master/csl-citation.json"} </w:instrText>
      </w:r>
      <w:r w:rsidR="001456E2">
        <w:fldChar w:fldCharType="separate"/>
      </w:r>
      <w:r w:rsidR="001456E2" w:rsidRPr="001456E2">
        <w:t>[37]</w:t>
      </w:r>
      <w:r w:rsidR="001456E2">
        <w:fldChar w:fldCharType="end"/>
      </w:r>
      <w:r>
        <w:t>.</w:t>
      </w:r>
    </w:p>
    <w:p w14:paraId="1467CDF3" w14:textId="75BD909F" w:rsidR="004B2748" w:rsidRPr="004B2748" w:rsidRDefault="004B2748" w:rsidP="004B2748">
      <w:pPr>
        <w:pStyle w:val="Heading2"/>
        <w:spacing w:before="0" w:after="0"/>
        <w:rPr>
          <w:b/>
          <w:bCs/>
          <w:i w:val="0"/>
          <w:iCs w:val="0"/>
        </w:rPr>
      </w:pPr>
      <w:r w:rsidRPr="004B2748">
        <w:rPr>
          <w:b/>
          <w:bCs/>
          <w:i w:val="0"/>
          <w:iCs w:val="0"/>
        </w:rPr>
        <w:t>Informed Consent in the Genomic Era</w:t>
      </w:r>
    </w:p>
    <w:p w14:paraId="6D54A55D" w14:textId="67C5FF29" w:rsidR="004B2748" w:rsidRDefault="004B2748" w:rsidP="004B2748">
      <w:pPr>
        <w:ind w:firstLine="288"/>
        <w:jc w:val="both"/>
      </w:pPr>
      <w:r>
        <w:t>In personalized medicine, the scope of information gathered goes beyond traditional medical history. Patients must be adequately informed about the implications of sharing their genetic and molecular data. Informed consent must be comprehensive and clear, ensuring that individuals understand the potential risks and benefits of participating in personalized medicine initiatives</w:t>
      </w:r>
      <w:r w:rsidR="001456E2">
        <w:fldChar w:fldCharType="begin"/>
      </w:r>
      <w:r w:rsidR="001456E2">
        <w:instrText xml:space="preserve"> ADDIN ZOTERO_ITEM CSL_CITATION {"citationID":"6Ym7DF1F","properties":{"formattedCitation":"[38]","plainCitation":"[38]","noteIndex":0},"citationItems":[{"id":4462,"uris":["http://zotero.org/users/9143596/items/3LKZTRXT"],"itemData":{"id":4462,"type":"article-journal","abstract":"PURPOSE OF REVIEW: Personalized medicine encompasses the use of biological information such as genomics to provide tailored interventions for patients. The review explores the ethical, legal, and social issues that have emerged with personalized medicine and must be considered because of the complex nature of providing individualized care within a clinical setting.\nRECENT FINDINGS: Recent studies found that the use of personalized medicine presents challenges in multiple areas: biobanking and informed consent, confidentiality, genetic discrimination, return of results, access to treatment, clinical translation, direct-to-consumer genetic testing, emerging duties, and knowledge mobilization.\nSUMMARY: Although personalized medicine provides benefits in treating patients in a manner that is more suited to their genetic profile, there are challenges that must be discussed to ensure the protection and fair treatment of individuals. The issues concerning personalized medicine are widespread, and range from individual privacy to the stratification and discrimination of sub-populations based on ethnicity. These issues have considerable impact on the individual and society. A thorough exploration of these ethical issues may identify novel challenges as well as potential avenues for resolution.","container-title":"Current Opinion in Allergy and Clinical Immunology","DOI":"10.1097/ACI.0000000000000091","ISSN":"1473-6322","issue":"5","journalAbbreviation":"Curr Opin Allergy Clin Immunol","language":"eng","note":"PMID: 25054830","page":"404-408","source":"PubMed","title":"The ethical framing of personalized medicine","volume":"14","author":[{"family":"Joly","given":"Yann"},{"family":"Saulnier","given":"Katie M."},{"family":"Osien","given":"Gladys"},{"family":"Knoppers","given":"Bartha M."}],"issued":{"date-parts":[["2014",10]]}}}],"schema":"https://github.com/citation-style-language/schema/raw/master/csl-citation.json"} </w:instrText>
      </w:r>
      <w:r w:rsidR="001456E2">
        <w:fldChar w:fldCharType="separate"/>
      </w:r>
      <w:r w:rsidR="001456E2" w:rsidRPr="001456E2">
        <w:t>[38]</w:t>
      </w:r>
      <w:r w:rsidR="001456E2">
        <w:fldChar w:fldCharType="end"/>
      </w:r>
      <w:r>
        <w:t>.</w:t>
      </w:r>
    </w:p>
    <w:p w14:paraId="6358C291" w14:textId="64623E68" w:rsidR="004B2748" w:rsidRPr="004B2748" w:rsidRDefault="004B2748" w:rsidP="004B2748">
      <w:pPr>
        <w:pStyle w:val="Heading2"/>
        <w:spacing w:before="0" w:after="0"/>
        <w:rPr>
          <w:b/>
          <w:bCs/>
          <w:i w:val="0"/>
          <w:iCs w:val="0"/>
        </w:rPr>
      </w:pPr>
      <w:r w:rsidRPr="004B2748">
        <w:rPr>
          <w:b/>
          <w:bCs/>
          <w:i w:val="0"/>
          <w:iCs w:val="0"/>
        </w:rPr>
        <w:t>Equity and Accessibility</w:t>
      </w:r>
    </w:p>
    <w:p w14:paraId="5F2D1029" w14:textId="3AB4CFDF" w:rsidR="004B2748" w:rsidRDefault="004B2748" w:rsidP="004B2748">
      <w:pPr>
        <w:ind w:firstLine="288"/>
        <w:jc w:val="both"/>
      </w:pPr>
      <w:r>
        <w:t>As personalized medicine advances, there's a risk of creating health disparities if access to cutting-edge treatments and diagnostics is unevenly distributed. Ensuring equitable access for all segments of the population, regardless of socioeconomic status or geographic location, is an ethical imperative</w:t>
      </w:r>
      <w:r w:rsidR="001456E2">
        <w:fldChar w:fldCharType="begin"/>
      </w:r>
      <w:r w:rsidR="001456E2">
        <w:instrText xml:space="preserve"> ADDIN ZOTERO_ITEM CSL_CITATION {"citationID":"7YQ6bA8h","properties":{"formattedCitation":"[38]","plainCitation":"[38]","noteIndex":0},"citationItems":[{"id":4462,"uris":["http://zotero.org/users/9143596/items/3LKZTRXT"],"itemData":{"id":4462,"type":"article-journal","abstract":"PURPOSE OF REVIEW: Personalized medicine encompasses the use of biological information such as genomics to provide tailored interventions for patients. The review explores the ethical, legal, and social issues that have emerged with personalized medicine and must be considered because of the complex nature of providing individualized care within a clinical setting.\nRECENT FINDINGS: Recent studies found that the use of personalized medicine presents challenges in multiple areas: biobanking and informed consent, confidentiality, genetic discrimination, return of results, access to treatment, clinical translation, direct-to-consumer genetic testing, emerging duties, and knowledge mobilization.\nSUMMARY: Although personalized medicine provides benefits in treating patients in a manner that is more suited to their genetic profile, there are challenges that must be discussed to ensure the protection and fair treatment of individuals. The issues concerning personalized medicine are widespread, and range from individual privacy to the stratification and discrimination of sub-populations based on ethnicity. These issues have considerable impact on the individual and society. A thorough exploration of these ethical issues may identify novel challenges as well as potential avenues for resolution.","container-title":"Current Opinion in Allergy and Clinical Immunology","DOI":"10.1097/ACI.0000000000000091","ISSN":"1473-6322","issue":"5","journalAbbreviation":"Curr Opin Allergy Clin Immunol","language":"eng","note":"PMID: 25054830","page":"404-408","source":"PubMed","title":"The ethical framing of personalized medicine","volume":"14","author":[{"family":"Joly","given":"Yann"},{"family":"Saulnier","given":"Katie M."},{"family":"Osien","given":"Gladys"},{"family":"Knoppers","given":"Bartha M."}],"issued":{"date-parts":[["2014",10]]}}}],"schema":"https://github.com/citation-style-language/schema/raw/master/csl-citation.json"} </w:instrText>
      </w:r>
      <w:r w:rsidR="001456E2">
        <w:fldChar w:fldCharType="separate"/>
      </w:r>
      <w:r w:rsidR="001456E2" w:rsidRPr="001456E2">
        <w:t>[38]</w:t>
      </w:r>
      <w:r w:rsidR="001456E2">
        <w:fldChar w:fldCharType="end"/>
      </w:r>
      <w:r>
        <w:t>.</w:t>
      </w:r>
    </w:p>
    <w:p w14:paraId="5ED1ECC7" w14:textId="2317593A" w:rsidR="004B2748" w:rsidRPr="004B2748" w:rsidRDefault="004B2748" w:rsidP="004B2748">
      <w:pPr>
        <w:pStyle w:val="Heading2"/>
        <w:spacing w:before="0" w:after="0"/>
        <w:rPr>
          <w:b/>
          <w:bCs/>
          <w:i w:val="0"/>
          <w:iCs w:val="0"/>
        </w:rPr>
      </w:pPr>
      <w:r w:rsidRPr="004B2748">
        <w:rPr>
          <w:b/>
          <w:bCs/>
          <w:i w:val="0"/>
          <w:iCs w:val="0"/>
        </w:rPr>
        <w:t>Data Ownership and Sharing</w:t>
      </w:r>
    </w:p>
    <w:p w14:paraId="3675801C" w14:textId="754C6932" w:rsidR="004B2748" w:rsidRDefault="004B2748" w:rsidP="004B2748">
      <w:pPr>
        <w:ind w:firstLine="288"/>
        <w:jc w:val="both"/>
      </w:pPr>
      <w:r>
        <w:t>Deciding who owns the data generated through personalized medicine initiatives is a complex ethical dilemma. Patients, healthcare providers, and researchers all contribute to generating valuable data, and ensuring that data is shared transparently while acknowledging contributors' roles is a challenge</w:t>
      </w:r>
      <w:r w:rsidR="001456E2">
        <w:fldChar w:fldCharType="begin"/>
      </w:r>
      <w:r w:rsidR="001456E2">
        <w:instrText xml:space="preserve"> ADDIN ZOTERO_ITEM CSL_CITATION {"citationID":"xYabN9Vq","properties":{"formattedCitation":"[39]","plainCitation":"[39]","noteIndex":0},"citationItems":[{"id":4460,"uris":["http://zotero.org/users/9143596/items/JQNKJD6I"],"itemData":{"id":4460,"type":"article-journal","abstract":"More than a decade ago, personalized medicine was presented in modern medicine. Personalized medicine means that the right drug should be prescribed for the right patient based on genetic data. No doubt is developing medical sciences, and its shift into personalized medicine complicates ethical challenges more than before. In this review, we categorized all probable ethical considerations of personalized medicine in research and development and service provision. Based on our review, extensive changes in healthcare system including ethical changes are needed to overcome the ethical obstacles including knowledge gap and informed consent, privacy and confidentiality and availability of healthcare services. Furthermore social benefit versus science development and individual benefit should be balanced. Therefore guidelines and regulations should be compiled to represent the ethical framework; also ethical decision making should be day-to-day and individualized.","container-title":"Acta Medica Iranica","ISSN":"1735-9694","issue":"3","journalAbbreviation":"Acta Med Iran","language":"eng","note":"PMID: 28282721","page":"209-217","source":"PubMed","title":"Ethical Issues Surrounding Personalized Medicine: A Literature Review","title-short":"Ethical Issues Surrounding Personalized Medicine","volume":"55","author":[{"family":"Salari","given":"Pooneh"},{"family":"Larijani","given":"Bagher"}],"issued":{"date-parts":[["2017",3]]}}}],"schema":"https://github.com/citation-style-language/schema/raw/master/csl-citation.json"} </w:instrText>
      </w:r>
      <w:r w:rsidR="001456E2">
        <w:fldChar w:fldCharType="separate"/>
      </w:r>
      <w:r w:rsidR="001456E2" w:rsidRPr="001456E2">
        <w:t>[39]</w:t>
      </w:r>
      <w:r w:rsidR="001456E2">
        <w:fldChar w:fldCharType="end"/>
      </w:r>
      <w:r>
        <w:t>.</w:t>
      </w:r>
    </w:p>
    <w:p w14:paraId="54C088A3" w14:textId="636FC451" w:rsidR="004B2748" w:rsidRPr="004B2748" w:rsidRDefault="004B2748" w:rsidP="004B2748">
      <w:pPr>
        <w:pStyle w:val="Heading2"/>
        <w:spacing w:before="0" w:after="0"/>
        <w:rPr>
          <w:b/>
          <w:bCs/>
          <w:i w:val="0"/>
          <w:iCs w:val="0"/>
        </w:rPr>
      </w:pPr>
      <w:r w:rsidRPr="004B2748">
        <w:rPr>
          <w:b/>
          <w:bCs/>
          <w:i w:val="0"/>
          <w:iCs w:val="0"/>
        </w:rPr>
        <w:t>Potential for Genetic Discrimination</w:t>
      </w:r>
    </w:p>
    <w:p w14:paraId="7946C694" w14:textId="11C61A19" w:rsidR="004B2748" w:rsidRDefault="004B2748" w:rsidP="004B2748">
      <w:pPr>
        <w:ind w:firstLine="288"/>
        <w:jc w:val="both"/>
      </w:pPr>
      <w:r>
        <w:t>The wealth of genetic information obtained through personalized medicine could lead to genetic discrimination by insurers, employers, or even within the healthcare system itself. Ethical considerations should address how to prevent such discrimination and protect individuals from potential biases based on their genetic profiles</w:t>
      </w:r>
      <w:r w:rsidR="001456E2">
        <w:fldChar w:fldCharType="begin"/>
      </w:r>
      <w:r w:rsidR="001456E2">
        <w:instrText xml:space="preserve"> ADDIN ZOTERO_ITEM CSL_CITATION {"citationID":"ek7em8sL","properties":{"formattedCitation":"[39]","plainCitation":"[39]","noteIndex":0},"citationItems":[{"id":4460,"uris":["http://zotero.org/users/9143596/items/JQNKJD6I"],"itemData":{"id":4460,"type":"article-journal","abstract":"More than a decade ago, personalized medicine was presented in modern medicine. Personalized medicine means that the right drug should be prescribed for the right patient based on genetic data. No doubt is developing medical sciences, and its shift into personalized medicine complicates ethical challenges more than before. In this review, we categorized all probable ethical considerations of personalized medicine in research and development and service provision. Based on our review, extensive changes in healthcare system including ethical changes are needed to overcome the ethical obstacles including knowledge gap and informed consent, privacy and confidentiality and availability of healthcare services. Furthermore social benefit versus science development and individual benefit should be balanced. Therefore guidelines and regulations should be compiled to represent the ethical framework; also ethical decision making should be day-to-day and individualized.","container-title":"Acta Medica Iranica","ISSN":"1735-9694","issue":"3","journalAbbreviation":"Acta Med Iran","language":"eng","note":"PMID: 28282721","page":"209-217","source":"PubMed","title":"Ethical Issues Surrounding Personalized Medicine: A Literature Review","title-short":"Ethical Issues Surrounding Personalized Medicine","volume":"55","author":[{"family":"Salari","given":"Pooneh"},{"family":"Larijani","given":"Bagher"}],"issued":{"date-parts":[["2017",3]]}}}],"schema":"https://github.com/citation-style-language/schema/raw/master/csl-citation.json"} </w:instrText>
      </w:r>
      <w:r w:rsidR="001456E2">
        <w:fldChar w:fldCharType="separate"/>
      </w:r>
      <w:r w:rsidR="001456E2" w:rsidRPr="001456E2">
        <w:t>[39]</w:t>
      </w:r>
      <w:r w:rsidR="001456E2">
        <w:fldChar w:fldCharType="end"/>
      </w:r>
      <w:r>
        <w:t>.</w:t>
      </w:r>
    </w:p>
    <w:p w14:paraId="2B3D1527" w14:textId="165FEFD1" w:rsidR="004B2748" w:rsidRPr="004B2748" w:rsidRDefault="004B2748" w:rsidP="004B2748">
      <w:pPr>
        <w:pStyle w:val="Heading2"/>
        <w:spacing w:before="0" w:after="0"/>
        <w:rPr>
          <w:b/>
          <w:bCs/>
          <w:i w:val="0"/>
          <w:iCs w:val="0"/>
        </w:rPr>
      </w:pPr>
      <w:r w:rsidRPr="004B2748">
        <w:rPr>
          <w:b/>
          <w:bCs/>
          <w:i w:val="0"/>
          <w:iCs w:val="0"/>
        </w:rPr>
        <w:t>Long-Term Implications and Autonomy</w:t>
      </w:r>
    </w:p>
    <w:p w14:paraId="6975F68A" w14:textId="127280E9" w:rsidR="004B2748" w:rsidRDefault="004B2748" w:rsidP="004B2748">
      <w:pPr>
        <w:ind w:firstLine="288"/>
        <w:jc w:val="both"/>
      </w:pPr>
      <w:r>
        <w:t>Personalized medicine may present long-term implications, especially as new treatments and interventions emerge. Ethical discussions should encompass considerations of how decisions made today might affect a patient's future health and well-being. Preserving patient autonomy in treatment choices and data sharing is essential. As personalized medicine expands its horizons, grappling with these ethical considerations is pivotal. Balancing innovation with patient rights, transparency with data security, and societal benefits with individual consent requires collaborative efforts from healthcare professionals, researchers, policymakers, and society at large. By navigating these ethical challenges, we can ensure that the transformational potential of personalized medicine is harnessed responsibly and ethically</w:t>
      </w:r>
      <w:r w:rsidR="001456E2">
        <w:fldChar w:fldCharType="begin"/>
      </w:r>
      <w:r w:rsidR="001456E2">
        <w:instrText xml:space="preserve"> ADDIN ZOTERO_ITEM CSL_CITATION {"citationID":"YoTW4cAb","properties":{"formattedCitation":"[40]","plainCitation":"[40]","noteIndex":0},"citationItems":[{"id":1314,"uris":["http://zotero.org/users/9143596/items/ENLC7YYX"],"itemData":{"id":1314,"type":"article-journal","container-title":"Metabolomics","DOI":"10.1007/s11306-019-1557-7","note":"publisher: Springer","page":"1–13","source":"Google Scholar","title":"Comprehensive metabolomic and proteomic analyses reveal candidate biomarkers and related metabolic networks in atrial fibrillation","volume":"15","author":[{"family":"Zhou","given":"Juntuo"},{"family":"Sun","given":"Lijie"},{"family":"Chen","given":"Liwen"},{"family":"Liu","given":"Shuwang"},{"family":"Zhong","given":"Lijun"},{"family":"Cui","given":"Ming"}],"issued":{"date-parts":[["2019"]]}}}],"schema":"https://github.com/citation-style-language/schema/raw/master/csl-citation.json"} </w:instrText>
      </w:r>
      <w:r w:rsidR="001456E2">
        <w:fldChar w:fldCharType="separate"/>
      </w:r>
      <w:r w:rsidR="001456E2" w:rsidRPr="001456E2">
        <w:t>[40]</w:t>
      </w:r>
      <w:r w:rsidR="001456E2">
        <w:fldChar w:fldCharType="end"/>
      </w:r>
      <w:r>
        <w:t>.</w:t>
      </w:r>
    </w:p>
    <w:p w14:paraId="26A60D25" w14:textId="6D8004FD" w:rsidR="00B044A6" w:rsidRDefault="00B044A6" w:rsidP="004B2748">
      <w:pPr>
        <w:pStyle w:val="BodyText"/>
        <w:spacing w:after="0" w:line="240" w:lineRule="auto"/>
        <w:ind w:firstLine="0"/>
      </w:pPr>
    </w:p>
    <w:p w14:paraId="4BFB419B" w14:textId="77777777" w:rsidR="007D5EF5" w:rsidRPr="00466548" w:rsidRDefault="007D5EF5" w:rsidP="004D0C58">
      <w:pPr>
        <w:pStyle w:val="bulletlist"/>
        <w:numPr>
          <w:ilvl w:val="0"/>
          <w:numId w:val="0"/>
        </w:numPr>
        <w:spacing w:after="0" w:line="240" w:lineRule="auto"/>
      </w:pPr>
    </w:p>
    <w:p w14:paraId="0110C60F" w14:textId="77777777" w:rsidR="008A55B5" w:rsidRPr="00402841" w:rsidRDefault="005F7348" w:rsidP="00466548">
      <w:pPr>
        <w:pStyle w:val="Heading1"/>
        <w:spacing w:before="0" w:after="0"/>
        <w:ind w:firstLine="0"/>
        <w:rPr>
          <w:rFonts w:eastAsia="MS Mincho"/>
        </w:rPr>
      </w:pPr>
      <w:r>
        <w:rPr>
          <w:rFonts w:ascii="Times New Roman" w:eastAsia="MS Mincho" w:hAnsi="Times New Roman"/>
          <w:sz w:val="20"/>
          <w:szCs w:val="20"/>
        </w:rPr>
        <w:t>CONCLUSION</w:t>
      </w:r>
    </w:p>
    <w:p w14:paraId="7B8ACC64" w14:textId="77777777" w:rsidR="00466548" w:rsidRPr="00466548" w:rsidRDefault="00466548" w:rsidP="00466548">
      <w:pPr>
        <w:rPr>
          <w:rFonts w:eastAsia="MS Mincho"/>
        </w:rPr>
      </w:pPr>
    </w:p>
    <w:p w14:paraId="16D01935" w14:textId="4E1E09E2" w:rsidR="008A55B5" w:rsidRDefault="00D01167" w:rsidP="00466548">
      <w:pPr>
        <w:pStyle w:val="BodyText"/>
        <w:spacing w:after="0" w:line="240" w:lineRule="auto"/>
        <w:ind w:firstLine="0"/>
      </w:pPr>
      <w:r>
        <w:tab/>
      </w:r>
      <w:r>
        <w:tab/>
      </w:r>
      <w:r w:rsidR="00475624" w:rsidRPr="00475624">
        <w:t xml:space="preserve">This chapter has delved into the forefront of healthcare innovation, showcasing how cutting-edge analytical methods are revolutionizing patient care. This exploration underscores the significant shift from a traditional one-size-fits-all approach to a future where healthcare is tailored to the unique genetic, molecular, and clinical characteristics of each individual. The integration of wearable sensors and point-of-care diagnostics has been revealed as a game-changer, allowing patients and healthcare providers to actively engage in managing health. Meanwhile, bioinformatics and data integration have emerged as indispensable allies, facilitating the translation of complex biological data into actionable insights. As we march forward into a new era of healthcare, ethical considerations are essential guideposts. The protection of patient privacy, ensuring equitable </w:t>
      </w:r>
      <w:r w:rsidR="00475624" w:rsidRPr="00475624">
        <w:lastRenderedPageBreak/>
        <w:t>access to benefits, and addressing the consequences of genetic information are moral imperatives that must be addressed hand in hand with technological advancements</w:t>
      </w:r>
      <w:r w:rsidR="005F7348" w:rsidRPr="005F7348">
        <w:t>.</w:t>
      </w:r>
    </w:p>
    <w:p w14:paraId="0AD073E6" w14:textId="77777777" w:rsidR="00402D10" w:rsidRDefault="00402D10" w:rsidP="00466548">
      <w:pPr>
        <w:pStyle w:val="Heading5"/>
        <w:spacing w:before="0" w:after="0"/>
        <w:rPr>
          <w:rFonts w:ascii="Times New Roman" w:eastAsia="MS Mincho" w:hAnsi="Times New Roman"/>
          <w:i w:val="0"/>
          <w:sz w:val="20"/>
          <w:szCs w:val="20"/>
        </w:rPr>
      </w:pPr>
    </w:p>
    <w:p w14:paraId="79FAEE81" w14:textId="77777777" w:rsidR="00402D10" w:rsidRDefault="00402D10" w:rsidP="00466548">
      <w:pPr>
        <w:pStyle w:val="Heading5"/>
        <w:spacing w:before="0" w:after="0"/>
        <w:rPr>
          <w:rFonts w:ascii="Times New Roman" w:eastAsia="MS Mincho" w:hAnsi="Times New Roman"/>
          <w:i w:val="0"/>
          <w:sz w:val="20"/>
          <w:szCs w:val="20"/>
        </w:rPr>
      </w:pPr>
    </w:p>
    <w:p w14:paraId="2A9CD4A8"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D970C5E" w14:textId="77777777" w:rsidR="000B5B2F" w:rsidRDefault="00402C25" w:rsidP="00402D10">
      <w:pPr>
        <w:pStyle w:val="BodyText"/>
        <w:spacing w:after="0" w:line="240" w:lineRule="auto"/>
        <w:ind w:firstLine="0"/>
      </w:pPr>
      <w:r>
        <w:rPr>
          <w:sz w:val="16"/>
          <w:szCs w:val="16"/>
        </w:rPr>
        <w:tab/>
      </w:r>
      <w:r>
        <w:rPr>
          <w:sz w:val="16"/>
          <w:szCs w:val="16"/>
        </w:rPr>
        <w:tab/>
      </w:r>
    </w:p>
    <w:p w14:paraId="4DC8317E" w14:textId="77777777" w:rsidR="001456E2" w:rsidRPr="001456E2" w:rsidRDefault="003B7482" w:rsidP="001456E2">
      <w:pPr>
        <w:pStyle w:val="Bibliography"/>
        <w:jc w:val="both"/>
        <w:rPr>
          <w:sz w:val="16"/>
        </w:rPr>
      </w:pPr>
      <w:r>
        <w:rPr>
          <w:rFonts w:eastAsia="MS Mincho"/>
        </w:rPr>
        <w:fldChar w:fldCharType="begin"/>
      </w:r>
      <w:r w:rsidR="00402D10">
        <w:rPr>
          <w:rFonts w:eastAsia="MS Mincho"/>
        </w:rPr>
        <w:instrText xml:space="preserve"> ADDIN ZOTERO_BIBL {"uncited":[],"omitted":[],"custom":[]} CSL_BIBLIOGRAPHY </w:instrText>
      </w:r>
      <w:r>
        <w:rPr>
          <w:rFonts w:eastAsia="MS Mincho"/>
        </w:rPr>
        <w:fldChar w:fldCharType="separate"/>
      </w:r>
      <w:r w:rsidR="001456E2" w:rsidRPr="001456E2">
        <w:rPr>
          <w:sz w:val="16"/>
        </w:rPr>
        <w:t>[1]</w:t>
      </w:r>
      <w:r w:rsidR="001456E2" w:rsidRPr="001456E2">
        <w:rPr>
          <w:sz w:val="16"/>
        </w:rPr>
        <w:tab/>
        <w:t xml:space="preserve">I. S. Chan and G. S. Ginsburg, “Personalized medicine: progress and promise,” </w:t>
      </w:r>
      <w:r w:rsidR="001456E2" w:rsidRPr="001456E2">
        <w:rPr>
          <w:i/>
          <w:iCs/>
          <w:sz w:val="16"/>
        </w:rPr>
        <w:t>Annual review of genomics and human genetics</w:t>
      </w:r>
      <w:r w:rsidR="001456E2" w:rsidRPr="001456E2">
        <w:rPr>
          <w:sz w:val="16"/>
        </w:rPr>
        <w:t xml:space="preserve">, vol. 12, pp. 217–244, 2011, </w:t>
      </w:r>
      <w:proofErr w:type="spellStart"/>
      <w:r w:rsidR="001456E2" w:rsidRPr="001456E2">
        <w:rPr>
          <w:sz w:val="16"/>
        </w:rPr>
        <w:t>doi</w:t>
      </w:r>
      <w:proofErr w:type="spellEnd"/>
      <w:r w:rsidR="001456E2" w:rsidRPr="001456E2">
        <w:rPr>
          <w:sz w:val="16"/>
        </w:rPr>
        <w:t>: 10.1146/annurev-genom-082410-101446.</w:t>
      </w:r>
    </w:p>
    <w:p w14:paraId="141F8DDC" w14:textId="77777777" w:rsidR="001456E2" w:rsidRPr="001456E2" w:rsidRDefault="001456E2" w:rsidP="001456E2">
      <w:pPr>
        <w:pStyle w:val="Bibliography"/>
        <w:jc w:val="both"/>
        <w:rPr>
          <w:sz w:val="16"/>
        </w:rPr>
      </w:pPr>
      <w:r w:rsidRPr="001456E2">
        <w:rPr>
          <w:sz w:val="16"/>
        </w:rPr>
        <w:t>[2]</w:t>
      </w:r>
      <w:r w:rsidRPr="001456E2">
        <w:rPr>
          <w:sz w:val="16"/>
        </w:rPr>
        <w:tab/>
        <w:t xml:space="preserve">K. K. Jain, “Personalized medicine.,” </w:t>
      </w:r>
      <w:r w:rsidRPr="001456E2">
        <w:rPr>
          <w:i/>
          <w:iCs/>
          <w:sz w:val="16"/>
        </w:rPr>
        <w:t>Current opinion in molecular therapeutics</w:t>
      </w:r>
      <w:r w:rsidRPr="001456E2">
        <w:rPr>
          <w:sz w:val="16"/>
        </w:rPr>
        <w:t>, vol. 4, no. 6, pp. 548–558, 2002.</w:t>
      </w:r>
    </w:p>
    <w:p w14:paraId="1991F7A8" w14:textId="77777777" w:rsidR="001456E2" w:rsidRPr="001456E2" w:rsidRDefault="001456E2" w:rsidP="001456E2">
      <w:pPr>
        <w:pStyle w:val="Bibliography"/>
        <w:jc w:val="both"/>
        <w:rPr>
          <w:sz w:val="16"/>
        </w:rPr>
      </w:pPr>
      <w:r w:rsidRPr="001456E2">
        <w:rPr>
          <w:sz w:val="16"/>
        </w:rPr>
        <w:t>[3]</w:t>
      </w:r>
      <w:r w:rsidRPr="001456E2">
        <w:rPr>
          <w:sz w:val="16"/>
        </w:rPr>
        <w:tab/>
        <w:t xml:space="preserve">S. Mura and P. </w:t>
      </w:r>
      <w:proofErr w:type="spellStart"/>
      <w:r w:rsidRPr="001456E2">
        <w:rPr>
          <w:sz w:val="16"/>
        </w:rPr>
        <w:t>Couvreur</w:t>
      </w:r>
      <w:proofErr w:type="spellEnd"/>
      <w:r w:rsidRPr="001456E2">
        <w:rPr>
          <w:sz w:val="16"/>
        </w:rPr>
        <w:t>, “</w:t>
      </w:r>
      <w:proofErr w:type="spellStart"/>
      <w:r w:rsidRPr="001456E2">
        <w:rPr>
          <w:sz w:val="16"/>
        </w:rPr>
        <w:t>Nanotheranostics</w:t>
      </w:r>
      <w:proofErr w:type="spellEnd"/>
      <w:r w:rsidRPr="001456E2">
        <w:rPr>
          <w:sz w:val="16"/>
        </w:rPr>
        <w:t xml:space="preserve"> for personalized medicine,” </w:t>
      </w:r>
      <w:r w:rsidRPr="001456E2">
        <w:rPr>
          <w:i/>
          <w:iCs/>
          <w:sz w:val="16"/>
        </w:rPr>
        <w:t>Advanced drug delivery reviews</w:t>
      </w:r>
      <w:r w:rsidRPr="001456E2">
        <w:rPr>
          <w:sz w:val="16"/>
        </w:rPr>
        <w:t xml:space="preserve">, vol. 64, no. 13, pp. 1394–1416, 2012, </w:t>
      </w:r>
      <w:proofErr w:type="spellStart"/>
      <w:r w:rsidRPr="001456E2">
        <w:rPr>
          <w:sz w:val="16"/>
        </w:rPr>
        <w:t>doi</w:t>
      </w:r>
      <w:proofErr w:type="spellEnd"/>
      <w:r w:rsidRPr="001456E2">
        <w:rPr>
          <w:sz w:val="16"/>
        </w:rPr>
        <w:t>: 10.1016/j.addr.2012.06.006.</w:t>
      </w:r>
    </w:p>
    <w:p w14:paraId="0FD6AD7E" w14:textId="77777777" w:rsidR="001456E2" w:rsidRPr="001456E2" w:rsidRDefault="001456E2" w:rsidP="001456E2">
      <w:pPr>
        <w:pStyle w:val="Bibliography"/>
        <w:jc w:val="both"/>
        <w:rPr>
          <w:sz w:val="16"/>
        </w:rPr>
      </w:pPr>
      <w:r w:rsidRPr="001456E2">
        <w:rPr>
          <w:sz w:val="16"/>
        </w:rPr>
        <w:t>[4]</w:t>
      </w:r>
      <w:r w:rsidRPr="001456E2">
        <w:rPr>
          <w:sz w:val="16"/>
        </w:rPr>
        <w:tab/>
        <w:t xml:space="preserve">P. C. Ng, S. S. Murray, S. Levy, and J. C. Venter, “An agenda for personalized medicine,” </w:t>
      </w:r>
      <w:r w:rsidRPr="001456E2">
        <w:rPr>
          <w:i/>
          <w:iCs/>
          <w:sz w:val="16"/>
        </w:rPr>
        <w:t>Nature</w:t>
      </w:r>
      <w:r w:rsidRPr="001456E2">
        <w:rPr>
          <w:sz w:val="16"/>
        </w:rPr>
        <w:t xml:space="preserve">, vol. 461, no. 7265, pp. 724–726, 2009, </w:t>
      </w:r>
      <w:proofErr w:type="spellStart"/>
      <w:r w:rsidRPr="001456E2">
        <w:rPr>
          <w:sz w:val="16"/>
        </w:rPr>
        <w:t>doi</w:t>
      </w:r>
      <w:proofErr w:type="spellEnd"/>
      <w:r w:rsidRPr="001456E2">
        <w:rPr>
          <w:sz w:val="16"/>
        </w:rPr>
        <w:t>: 10.1038/461724a.</w:t>
      </w:r>
    </w:p>
    <w:p w14:paraId="39CA7CDC" w14:textId="77777777" w:rsidR="001456E2" w:rsidRPr="001456E2" w:rsidRDefault="001456E2" w:rsidP="001456E2">
      <w:pPr>
        <w:pStyle w:val="Bibliography"/>
        <w:jc w:val="both"/>
        <w:rPr>
          <w:sz w:val="16"/>
        </w:rPr>
      </w:pPr>
      <w:r w:rsidRPr="001456E2">
        <w:rPr>
          <w:sz w:val="16"/>
        </w:rPr>
        <w:t>[5]</w:t>
      </w:r>
      <w:r w:rsidRPr="001456E2">
        <w:rPr>
          <w:sz w:val="16"/>
        </w:rPr>
        <w:tab/>
        <w:t xml:space="preserve">C. D. Collins </w:t>
      </w:r>
      <w:r w:rsidRPr="001456E2">
        <w:rPr>
          <w:i/>
          <w:iCs/>
          <w:sz w:val="16"/>
        </w:rPr>
        <w:t>et al.</w:t>
      </w:r>
      <w:r w:rsidRPr="001456E2">
        <w:rPr>
          <w:sz w:val="16"/>
        </w:rPr>
        <w:t xml:space="preserve">, “The application of genomic and proteomic technologies in predictive, preventive and personalized medicine,” </w:t>
      </w:r>
      <w:r w:rsidRPr="001456E2">
        <w:rPr>
          <w:i/>
          <w:iCs/>
          <w:sz w:val="16"/>
        </w:rPr>
        <w:t>Vascular pharmacology</w:t>
      </w:r>
      <w:r w:rsidRPr="001456E2">
        <w:rPr>
          <w:sz w:val="16"/>
        </w:rPr>
        <w:t xml:space="preserve">, vol. 45, no. 5, pp. 258–267, 2006, </w:t>
      </w:r>
      <w:proofErr w:type="spellStart"/>
      <w:r w:rsidRPr="001456E2">
        <w:rPr>
          <w:sz w:val="16"/>
        </w:rPr>
        <w:t>doi</w:t>
      </w:r>
      <w:proofErr w:type="spellEnd"/>
      <w:r w:rsidRPr="001456E2">
        <w:rPr>
          <w:sz w:val="16"/>
        </w:rPr>
        <w:t>: 10.1016/j.vph.2006.08.003.</w:t>
      </w:r>
    </w:p>
    <w:p w14:paraId="2824E5B4" w14:textId="77777777" w:rsidR="001456E2" w:rsidRPr="001456E2" w:rsidRDefault="001456E2" w:rsidP="001456E2">
      <w:pPr>
        <w:pStyle w:val="Bibliography"/>
        <w:jc w:val="both"/>
        <w:rPr>
          <w:sz w:val="16"/>
        </w:rPr>
      </w:pPr>
      <w:r w:rsidRPr="001456E2">
        <w:rPr>
          <w:sz w:val="16"/>
        </w:rPr>
        <w:t>[6]</w:t>
      </w:r>
      <w:r w:rsidRPr="001456E2">
        <w:rPr>
          <w:sz w:val="16"/>
        </w:rPr>
        <w:tab/>
        <w:t xml:space="preserve">K. K. Jain, “Role of </w:t>
      </w:r>
      <w:proofErr w:type="spellStart"/>
      <w:r w:rsidRPr="001456E2">
        <w:rPr>
          <w:sz w:val="16"/>
        </w:rPr>
        <w:t>pharmacoproteomics</w:t>
      </w:r>
      <w:proofErr w:type="spellEnd"/>
      <w:r w:rsidRPr="001456E2">
        <w:rPr>
          <w:sz w:val="16"/>
        </w:rPr>
        <w:t xml:space="preserve"> in the development of personalized medicine,” </w:t>
      </w:r>
      <w:r w:rsidRPr="001456E2">
        <w:rPr>
          <w:i/>
          <w:iCs/>
          <w:sz w:val="16"/>
        </w:rPr>
        <w:t>Pharmacogenomics</w:t>
      </w:r>
      <w:r w:rsidRPr="001456E2">
        <w:rPr>
          <w:sz w:val="16"/>
        </w:rPr>
        <w:t xml:space="preserve">, vol. 5, no. 3, pp. 331–336, 2004, </w:t>
      </w:r>
      <w:proofErr w:type="spellStart"/>
      <w:r w:rsidRPr="001456E2">
        <w:rPr>
          <w:sz w:val="16"/>
        </w:rPr>
        <w:t>doi</w:t>
      </w:r>
      <w:proofErr w:type="spellEnd"/>
      <w:r w:rsidRPr="001456E2">
        <w:rPr>
          <w:sz w:val="16"/>
        </w:rPr>
        <w:t>: 10.1517/phgs.5.3.331.29830.</w:t>
      </w:r>
    </w:p>
    <w:p w14:paraId="2A8D05CE" w14:textId="77777777" w:rsidR="001456E2" w:rsidRPr="001456E2" w:rsidRDefault="001456E2" w:rsidP="001456E2">
      <w:pPr>
        <w:pStyle w:val="Bibliography"/>
        <w:jc w:val="both"/>
        <w:rPr>
          <w:sz w:val="16"/>
        </w:rPr>
      </w:pPr>
      <w:r w:rsidRPr="001456E2">
        <w:rPr>
          <w:sz w:val="16"/>
        </w:rPr>
        <w:t>[7]</w:t>
      </w:r>
      <w:r w:rsidRPr="001456E2">
        <w:rPr>
          <w:sz w:val="16"/>
        </w:rPr>
        <w:tab/>
        <w:t xml:space="preserve">M. Ouzounian, D. S. Lee, A. O. </w:t>
      </w:r>
      <w:proofErr w:type="spellStart"/>
      <w:r w:rsidRPr="001456E2">
        <w:rPr>
          <w:sz w:val="16"/>
        </w:rPr>
        <w:t>Gramolini</w:t>
      </w:r>
      <w:proofErr w:type="spellEnd"/>
      <w:r w:rsidRPr="001456E2">
        <w:rPr>
          <w:sz w:val="16"/>
        </w:rPr>
        <w:t xml:space="preserve">, A. Emili, M. Fukuoka, and P. P. Liu, “Predict, prevent and personalize: Genomic and proteomic approaches to cardiovascular medicine,” </w:t>
      </w:r>
      <w:r w:rsidRPr="001456E2">
        <w:rPr>
          <w:i/>
          <w:iCs/>
          <w:sz w:val="16"/>
        </w:rPr>
        <w:t>Canadian Journal of Cardiology</w:t>
      </w:r>
      <w:r w:rsidRPr="001456E2">
        <w:rPr>
          <w:sz w:val="16"/>
        </w:rPr>
        <w:t xml:space="preserve">, vol. 23, pp. 28A-33A, 2007, </w:t>
      </w:r>
      <w:proofErr w:type="spellStart"/>
      <w:r w:rsidRPr="001456E2">
        <w:rPr>
          <w:sz w:val="16"/>
        </w:rPr>
        <w:t>doi</w:t>
      </w:r>
      <w:proofErr w:type="spellEnd"/>
      <w:r w:rsidRPr="001456E2">
        <w:rPr>
          <w:sz w:val="16"/>
        </w:rPr>
        <w:t>: 10.1016/S0828-282</w:t>
      </w:r>
      <w:proofErr w:type="gramStart"/>
      <w:r w:rsidRPr="001456E2">
        <w:rPr>
          <w:sz w:val="16"/>
        </w:rPr>
        <w:t>X(</w:t>
      </w:r>
      <w:proofErr w:type="gramEnd"/>
      <w:r w:rsidRPr="001456E2">
        <w:rPr>
          <w:sz w:val="16"/>
        </w:rPr>
        <w:t>07)71003-6.</w:t>
      </w:r>
    </w:p>
    <w:p w14:paraId="7F247A63" w14:textId="77777777" w:rsidR="001456E2" w:rsidRPr="001456E2" w:rsidRDefault="001456E2" w:rsidP="001456E2">
      <w:pPr>
        <w:pStyle w:val="Bibliography"/>
        <w:jc w:val="both"/>
        <w:rPr>
          <w:sz w:val="16"/>
        </w:rPr>
      </w:pPr>
      <w:r w:rsidRPr="001456E2">
        <w:rPr>
          <w:sz w:val="16"/>
        </w:rPr>
        <w:t>[8]</w:t>
      </w:r>
      <w:r w:rsidRPr="001456E2">
        <w:rPr>
          <w:sz w:val="16"/>
        </w:rPr>
        <w:tab/>
        <w:t xml:space="preserve">M. </w:t>
      </w:r>
      <w:proofErr w:type="spellStart"/>
      <w:r w:rsidRPr="001456E2">
        <w:rPr>
          <w:sz w:val="16"/>
        </w:rPr>
        <w:t>Su</w:t>
      </w:r>
      <w:proofErr w:type="spellEnd"/>
      <w:r w:rsidRPr="001456E2">
        <w:rPr>
          <w:sz w:val="16"/>
        </w:rPr>
        <w:t xml:space="preserve">, Z. Zhang, L. Zhou, C. Han, C. Huang, and E. C. Nice, “Proteomics, personalized medicine and cancer,” </w:t>
      </w:r>
      <w:r w:rsidRPr="001456E2">
        <w:rPr>
          <w:i/>
          <w:iCs/>
          <w:sz w:val="16"/>
        </w:rPr>
        <w:t>Cancers</w:t>
      </w:r>
      <w:r w:rsidRPr="001456E2">
        <w:rPr>
          <w:sz w:val="16"/>
        </w:rPr>
        <w:t xml:space="preserve">, vol. 13, no. 11, p. 2512, 2021, </w:t>
      </w:r>
      <w:proofErr w:type="spellStart"/>
      <w:r w:rsidRPr="001456E2">
        <w:rPr>
          <w:sz w:val="16"/>
        </w:rPr>
        <w:t>doi</w:t>
      </w:r>
      <w:proofErr w:type="spellEnd"/>
      <w:r w:rsidRPr="001456E2">
        <w:rPr>
          <w:sz w:val="16"/>
        </w:rPr>
        <w:t>: 10.3390/cancers13112512.</w:t>
      </w:r>
    </w:p>
    <w:p w14:paraId="35781DE7" w14:textId="77777777" w:rsidR="001456E2" w:rsidRPr="001456E2" w:rsidRDefault="001456E2" w:rsidP="001456E2">
      <w:pPr>
        <w:pStyle w:val="Bibliography"/>
        <w:jc w:val="both"/>
        <w:rPr>
          <w:sz w:val="16"/>
        </w:rPr>
      </w:pPr>
      <w:r w:rsidRPr="001456E2">
        <w:rPr>
          <w:sz w:val="16"/>
        </w:rPr>
        <w:t>[9]</w:t>
      </w:r>
      <w:r w:rsidRPr="001456E2">
        <w:rPr>
          <w:sz w:val="16"/>
        </w:rPr>
        <w:tab/>
        <w:t xml:space="preserve">M. Verma, “Personalized medicine and cancer,” </w:t>
      </w:r>
      <w:r w:rsidRPr="001456E2">
        <w:rPr>
          <w:i/>
          <w:iCs/>
          <w:sz w:val="16"/>
        </w:rPr>
        <w:t>Journal of personalized medicine</w:t>
      </w:r>
      <w:r w:rsidRPr="001456E2">
        <w:rPr>
          <w:sz w:val="16"/>
        </w:rPr>
        <w:t xml:space="preserve">, vol. 2, no. 1, pp. 1–14, 2012, </w:t>
      </w:r>
      <w:proofErr w:type="spellStart"/>
      <w:r w:rsidRPr="001456E2">
        <w:rPr>
          <w:sz w:val="16"/>
        </w:rPr>
        <w:t>doi</w:t>
      </w:r>
      <w:proofErr w:type="spellEnd"/>
      <w:r w:rsidRPr="001456E2">
        <w:rPr>
          <w:sz w:val="16"/>
        </w:rPr>
        <w:t>: 10.3390/jpm2010001.</w:t>
      </w:r>
    </w:p>
    <w:p w14:paraId="5C1FFD29" w14:textId="77777777" w:rsidR="001456E2" w:rsidRPr="001456E2" w:rsidRDefault="001456E2" w:rsidP="001456E2">
      <w:pPr>
        <w:pStyle w:val="Bibliography"/>
        <w:jc w:val="both"/>
        <w:rPr>
          <w:sz w:val="16"/>
        </w:rPr>
      </w:pPr>
      <w:r w:rsidRPr="001456E2">
        <w:rPr>
          <w:sz w:val="16"/>
        </w:rPr>
        <w:t>[10]</w:t>
      </w:r>
      <w:r w:rsidRPr="001456E2">
        <w:rPr>
          <w:sz w:val="16"/>
        </w:rPr>
        <w:tab/>
        <w:t xml:space="preserve">T. P. Aneesh, S. Sekhar, A. Jose, L. Chandran, and S. M. Zachariah, “Pharmacogenomics: the right drug to the right person,” </w:t>
      </w:r>
      <w:r w:rsidRPr="001456E2">
        <w:rPr>
          <w:i/>
          <w:iCs/>
          <w:sz w:val="16"/>
        </w:rPr>
        <w:t>Journal of clinical medicine research</w:t>
      </w:r>
      <w:r w:rsidRPr="001456E2">
        <w:rPr>
          <w:sz w:val="16"/>
        </w:rPr>
        <w:t>, vol. 1, no. 4, p. 191, 2009.</w:t>
      </w:r>
    </w:p>
    <w:p w14:paraId="523FEA5B" w14:textId="77777777" w:rsidR="001456E2" w:rsidRPr="001456E2" w:rsidRDefault="001456E2" w:rsidP="001456E2">
      <w:pPr>
        <w:pStyle w:val="Bibliography"/>
        <w:jc w:val="both"/>
        <w:rPr>
          <w:sz w:val="16"/>
        </w:rPr>
      </w:pPr>
      <w:r w:rsidRPr="001456E2">
        <w:rPr>
          <w:sz w:val="16"/>
        </w:rPr>
        <w:t>[11]</w:t>
      </w:r>
      <w:r w:rsidRPr="001456E2">
        <w:rPr>
          <w:sz w:val="16"/>
        </w:rPr>
        <w:tab/>
        <w:t xml:space="preserve">R. </w:t>
      </w:r>
      <w:proofErr w:type="spellStart"/>
      <w:r w:rsidRPr="001456E2">
        <w:rPr>
          <w:sz w:val="16"/>
        </w:rPr>
        <w:t>Cacabelos</w:t>
      </w:r>
      <w:proofErr w:type="spellEnd"/>
      <w:r w:rsidRPr="001456E2">
        <w:rPr>
          <w:sz w:val="16"/>
        </w:rPr>
        <w:t xml:space="preserve">, “Pharmacogenomics, nutrigenomics and therapeutic optimization in Alzheimer’s disease,” 2005, </w:t>
      </w:r>
      <w:proofErr w:type="spellStart"/>
      <w:r w:rsidRPr="001456E2">
        <w:rPr>
          <w:sz w:val="16"/>
        </w:rPr>
        <w:t>doi</w:t>
      </w:r>
      <w:proofErr w:type="spellEnd"/>
      <w:r w:rsidRPr="001456E2">
        <w:rPr>
          <w:sz w:val="16"/>
        </w:rPr>
        <w:t>: 10.2217/1745509X.1.2.303.</w:t>
      </w:r>
    </w:p>
    <w:p w14:paraId="790E8470" w14:textId="77777777" w:rsidR="001456E2" w:rsidRPr="001456E2" w:rsidRDefault="001456E2" w:rsidP="001456E2">
      <w:pPr>
        <w:pStyle w:val="Bibliography"/>
        <w:jc w:val="both"/>
        <w:rPr>
          <w:sz w:val="16"/>
        </w:rPr>
      </w:pPr>
      <w:r w:rsidRPr="001456E2">
        <w:rPr>
          <w:sz w:val="16"/>
        </w:rPr>
        <w:t>[12]</w:t>
      </w:r>
      <w:r w:rsidRPr="001456E2">
        <w:rPr>
          <w:sz w:val="16"/>
        </w:rPr>
        <w:tab/>
        <w:t xml:space="preserve">R. </w:t>
      </w:r>
      <w:proofErr w:type="spellStart"/>
      <w:r w:rsidRPr="001456E2">
        <w:rPr>
          <w:sz w:val="16"/>
        </w:rPr>
        <w:t>Cacabelos</w:t>
      </w:r>
      <w:proofErr w:type="spellEnd"/>
      <w:r w:rsidRPr="001456E2">
        <w:rPr>
          <w:sz w:val="16"/>
        </w:rPr>
        <w:t xml:space="preserve">, “Pharmacogenomics of drugs used to treat brain disorders,” </w:t>
      </w:r>
      <w:r w:rsidRPr="001456E2">
        <w:rPr>
          <w:i/>
          <w:iCs/>
          <w:sz w:val="16"/>
        </w:rPr>
        <w:t>Expert Review of Precision Medicine and Drug Development</w:t>
      </w:r>
      <w:r w:rsidRPr="001456E2">
        <w:rPr>
          <w:sz w:val="16"/>
        </w:rPr>
        <w:t xml:space="preserve">, vol. 5, no. 3, pp. 181–234, 2020, </w:t>
      </w:r>
      <w:proofErr w:type="spellStart"/>
      <w:r w:rsidRPr="001456E2">
        <w:rPr>
          <w:sz w:val="16"/>
        </w:rPr>
        <w:t>doi</w:t>
      </w:r>
      <w:proofErr w:type="spellEnd"/>
      <w:r w:rsidRPr="001456E2">
        <w:rPr>
          <w:sz w:val="16"/>
        </w:rPr>
        <w:t>: 10.1080/23808993.2020.1738217.</w:t>
      </w:r>
    </w:p>
    <w:p w14:paraId="3CFBC5A8" w14:textId="77777777" w:rsidR="001456E2" w:rsidRPr="001456E2" w:rsidRDefault="001456E2" w:rsidP="001456E2">
      <w:pPr>
        <w:pStyle w:val="Bibliography"/>
        <w:jc w:val="both"/>
        <w:rPr>
          <w:sz w:val="16"/>
        </w:rPr>
      </w:pPr>
      <w:r w:rsidRPr="001456E2">
        <w:rPr>
          <w:sz w:val="16"/>
        </w:rPr>
        <w:t>[13]</w:t>
      </w:r>
      <w:r w:rsidRPr="001456E2">
        <w:rPr>
          <w:sz w:val="16"/>
        </w:rPr>
        <w:tab/>
        <w:t xml:space="preserve">W. E. Evans and M. V. </w:t>
      </w:r>
      <w:proofErr w:type="spellStart"/>
      <w:r w:rsidRPr="001456E2">
        <w:rPr>
          <w:sz w:val="16"/>
        </w:rPr>
        <w:t>Relling</w:t>
      </w:r>
      <w:proofErr w:type="spellEnd"/>
      <w:r w:rsidRPr="001456E2">
        <w:rPr>
          <w:sz w:val="16"/>
        </w:rPr>
        <w:t xml:space="preserve">, “Moving towards individualized medicine with pharmacogenomics,” </w:t>
      </w:r>
      <w:r w:rsidRPr="001456E2">
        <w:rPr>
          <w:i/>
          <w:iCs/>
          <w:sz w:val="16"/>
        </w:rPr>
        <w:t>Nature</w:t>
      </w:r>
      <w:r w:rsidRPr="001456E2">
        <w:rPr>
          <w:sz w:val="16"/>
        </w:rPr>
        <w:t xml:space="preserve">, vol. 429, no. 6990, pp. 464–468, 2004, </w:t>
      </w:r>
      <w:proofErr w:type="spellStart"/>
      <w:r w:rsidRPr="001456E2">
        <w:rPr>
          <w:sz w:val="16"/>
        </w:rPr>
        <w:t>doi</w:t>
      </w:r>
      <w:proofErr w:type="spellEnd"/>
      <w:r w:rsidRPr="001456E2">
        <w:rPr>
          <w:sz w:val="16"/>
        </w:rPr>
        <w:t>: 10.1038/nature02626.</w:t>
      </w:r>
    </w:p>
    <w:p w14:paraId="21DA995F" w14:textId="77777777" w:rsidR="001456E2" w:rsidRPr="001456E2" w:rsidRDefault="001456E2" w:rsidP="001456E2">
      <w:pPr>
        <w:pStyle w:val="Bibliography"/>
        <w:jc w:val="both"/>
        <w:rPr>
          <w:sz w:val="16"/>
        </w:rPr>
      </w:pPr>
      <w:r w:rsidRPr="001456E2">
        <w:rPr>
          <w:sz w:val="16"/>
        </w:rPr>
        <w:t>[14]</w:t>
      </w:r>
      <w:r w:rsidRPr="001456E2">
        <w:rPr>
          <w:sz w:val="16"/>
        </w:rPr>
        <w:tab/>
        <w:t xml:space="preserve">Y. Guo, S. Shafer, P. Weller, J. </w:t>
      </w:r>
      <w:proofErr w:type="spellStart"/>
      <w:r w:rsidRPr="001456E2">
        <w:rPr>
          <w:sz w:val="16"/>
        </w:rPr>
        <w:t>Usuka</w:t>
      </w:r>
      <w:proofErr w:type="spellEnd"/>
      <w:r w:rsidRPr="001456E2">
        <w:rPr>
          <w:sz w:val="16"/>
        </w:rPr>
        <w:t xml:space="preserve">, and G. Peltz, “Pharmacogenomics and drug development,” 2005, </w:t>
      </w:r>
      <w:proofErr w:type="spellStart"/>
      <w:r w:rsidRPr="001456E2">
        <w:rPr>
          <w:sz w:val="16"/>
        </w:rPr>
        <w:t>doi</w:t>
      </w:r>
      <w:proofErr w:type="spellEnd"/>
      <w:r w:rsidRPr="001456E2">
        <w:rPr>
          <w:sz w:val="16"/>
        </w:rPr>
        <w:t>: 10.2217/14622416.6.8.857.</w:t>
      </w:r>
    </w:p>
    <w:p w14:paraId="5A3A9519" w14:textId="77777777" w:rsidR="001456E2" w:rsidRPr="001456E2" w:rsidRDefault="001456E2" w:rsidP="001456E2">
      <w:pPr>
        <w:pStyle w:val="Bibliography"/>
        <w:jc w:val="both"/>
        <w:rPr>
          <w:sz w:val="16"/>
        </w:rPr>
      </w:pPr>
      <w:r w:rsidRPr="001456E2">
        <w:rPr>
          <w:sz w:val="16"/>
        </w:rPr>
        <w:t>[15]</w:t>
      </w:r>
      <w:r w:rsidRPr="001456E2">
        <w:rPr>
          <w:sz w:val="16"/>
        </w:rPr>
        <w:tab/>
        <w:t xml:space="preserve">N. </w:t>
      </w:r>
      <w:proofErr w:type="spellStart"/>
      <w:r w:rsidRPr="001456E2">
        <w:rPr>
          <w:sz w:val="16"/>
        </w:rPr>
        <w:t>Cullin</w:t>
      </w:r>
      <w:proofErr w:type="spellEnd"/>
      <w:r w:rsidRPr="001456E2">
        <w:rPr>
          <w:sz w:val="16"/>
        </w:rPr>
        <w:t xml:space="preserve">, C. A. Antunes, R. </w:t>
      </w:r>
      <w:proofErr w:type="spellStart"/>
      <w:r w:rsidRPr="001456E2">
        <w:rPr>
          <w:sz w:val="16"/>
        </w:rPr>
        <w:t>Straussman</w:t>
      </w:r>
      <w:proofErr w:type="spellEnd"/>
      <w:r w:rsidRPr="001456E2">
        <w:rPr>
          <w:sz w:val="16"/>
        </w:rPr>
        <w:t>, C. K. Stein-</w:t>
      </w:r>
      <w:proofErr w:type="spellStart"/>
      <w:r w:rsidRPr="001456E2">
        <w:rPr>
          <w:sz w:val="16"/>
        </w:rPr>
        <w:t>Thoeringer</w:t>
      </w:r>
      <w:proofErr w:type="spellEnd"/>
      <w:r w:rsidRPr="001456E2">
        <w:rPr>
          <w:sz w:val="16"/>
        </w:rPr>
        <w:t xml:space="preserve">, and E. </w:t>
      </w:r>
      <w:proofErr w:type="spellStart"/>
      <w:r w:rsidRPr="001456E2">
        <w:rPr>
          <w:sz w:val="16"/>
        </w:rPr>
        <w:t>Elinav</w:t>
      </w:r>
      <w:proofErr w:type="spellEnd"/>
      <w:r w:rsidRPr="001456E2">
        <w:rPr>
          <w:sz w:val="16"/>
        </w:rPr>
        <w:t xml:space="preserve">, “Microbiome and cancer,” </w:t>
      </w:r>
      <w:r w:rsidRPr="001456E2">
        <w:rPr>
          <w:i/>
          <w:iCs/>
          <w:sz w:val="16"/>
        </w:rPr>
        <w:t>Cancer Cell</w:t>
      </w:r>
      <w:r w:rsidRPr="001456E2">
        <w:rPr>
          <w:sz w:val="16"/>
        </w:rPr>
        <w:t xml:space="preserve">, vol. 39, no. 10, pp. 1317–1341, 2021, </w:t>
      </w:r>
      <w:proofErr w:type="spellStart"/>
      <w:r w:rsidRPr="001456E2">
        <w:rPr>
          <w:sz w:val="16"/>
        </w:rPr>
        <w:t>doi</w:t>
      </w:r>
      <w:proofErr w:type="spellEnd"/>
      <w:r w:rsidRPr="001456E2">
        <w:rPr>
          <w:sz w:val="16"/>
        </w:rPr>
        <w:t>: 10.1016/j.ccell.2021.08.006.</w:t>
      </w:r>
    </w:p>
    <w:p w14:paraId="1476B3C8" w14:textId="77777777" w:rsidR="001456E2" w:rsidRPr="001456E2" w:rsidRDefault="001456E2" w:rsidP="001456E2">
      <w:pPr>
        <w:pStyle w:val="Bibliography"/>
        <w:jc w:val="both"/>
        <w:rPr>
          <w:sz w:val="16"/>
        </w:rPr>
      </w:pPr>
      <w:r w:rsidRPr="001456E2">
        <w:rPr>
          <w:sz w:val="16"/>
        </w:rPr>
        <w:t>[16]</w:t>
      </w:r>
      <w:r w:rsidRPr="001456E2">
        <w:rPr>
          <w:sz w:val="16"/>
        </w:rPr>
        <w:tab/>
        <w:t xml:space="preserve">B. A. </w:t>
      </w:r>
      <w:proofErr w:type="spellStart"/>
      <w:r w:rsidRPr="001456E2">
        <w:rPr>
          <w:sz w:val="16"/>
        </w:rPr>
        <w:t>Helmink</w:t>
      </w:r>
      <w:proofErr w:type="spellEnd"/>
      <w:r w:rsidRPr="001456E2">
        <w:rPr>
          <w:sz w:val="16"/>
        </w:rPr>
        <w:t xml:space="preserve">, M. W. Khan, A. Hermann, V. Gopalakrishnan, and J. A. </w:t>
      </w:r>
      <w:proofErr w:type="spellStart"/>
      <w:r w:rsidRPr="001456E2">
        <w:rPr>
          <w:sz w:val="16"/>
        </w:rPr>
        <w:t>Wargo</w:t>
      </w:r>
      <w:proofErr w:type="spellEnd"/>
      <w:r w:rsidRPr="001456E2">
        <w:rPr>
          <w:sz w:val="16"/>
        </w:rPr>
        <w:t xml:space="preserve">, “The microbiome, cancer, and cancer therapy,” </w:t>
      </w:r>
      <w:r w:rsidRPr="001456E2">
        <w:rPr>
          <w:i/>
          <w:iCs/>
          <w:sz w:val="16"/>
        </w:rPr>
        <w:t>Nature medicine</w:t>
      </w:r>
      <w:r w:rsidRPr="001456E2">
        <w:rPr>
          <w:sz w:val="16"/>
        </w:rPr>
        <w:t xml:space="preserve">, vol. 25, no. 3, pp. 377–388, 2019, </w:t>
      </w:r>
      <w:proofErr w:type="spellStart"/>
      <w:r w:rsidRPr="001456E2">
        <w:rPr>
          <w:sz w:val="16"/>
        </w:rPr>
        <w:t>doi</w:t>
      </w:r>
      <w:proofErr w:type="spellEnd"/>
      <w:r w:rsidRPr="001456E2">
        <w:rPr>
          <w:sz w:val="16"/>
        </w:rPr>
        <w:t>: 10.1038/s41591-019-0377-7.</w:t>
      </w:r>
    </w:p>
    <w:p w14:paraId="28DBAF03" w14:textId="77777777" w:rsidR="001456E2" w:rsidRPr="001456E2" w:rsidRDefault="001456E2" w:rsidP="001456E2">
      <w:pPr>
        <w:pStyle w:val="Bibliography"/>
        <w:jc w:val="both"/>
        <w:rPr>
          <w:sz w:val="16"/>
        </w:rPr>
      </w:pPr>
      <w:r w:rsidRPr="001456E2">
        <w:rPr>
          <w:sz w:val="16"/>
        </w:rPr>
        <w:t>[17]</w:t>
      </w:r>
      <w:r w:rsidRPr="001456E2">
        <w:rPr>
          <w:sz w:val="16"/>
        </w:rPr>
        <w:tab/>
        <w:t xml:space="preserve">S. Khanna </w:t>
      </w:r>
      <w:r w:rsidRPr="001456E2">
        <w:rPr>
          <w:i/>
          <w:iCs/>
          <w:sz w:val="16"/>
        </w:rPr>
        <w:t>et al.</w:t>
      </w:r>
      <w:r w:rsidRPr="001456E2">
        <w:rPr>
          <w:sz w:val="16"/>
        </w:rPr>
        <w:t xml:space="preserve">, “Gut microbiome predictors of treatment response and recurrence in primary Clostridium difficile infection,” </w:t>
      </w:r>
      <w:r w:rsidRPr="001456E2">
        <w:rPr>
          <w:i/>
          <w:iCs/>
          <w:sz w:val="16"/>
        </w:rPr>
        <w:t>Alimentary pharmacology &amp; therapeutics</w:t>
      </w:r>
      <w:r w:rsidRPr="001456E2">
        <w:rPr>
          <w:sz w:val="16"/>
        </w:rPr>
        <w:t xml:space="preserve">, vol. 44, no. 7, pp. 715–727, 2016, </w:t>
      </w:r>
      <w:proofErr w:type="spellStart"/>
      <w:r w:rsidRPr="001456E2">
        <w:rPr>
          <w:sz w:val="16"/>
        </w:rPr>
        <w:t>doi</w:t>
      </w:r>
      <w:proofErr w:type="spellEnd"/>
      <w:r w:rsidRPr="001456E2">
        <w:rPr>
          <w:sz w:val="16"/>
        </w:rPr>
        <w:t>: 10.1111/apt.13750.</w:t>
      </w:r>
    </w:p>
    <w:p w14:paraId="0ED5D824" w14:textId="77777777" w:rsidR="001456E2" w:rsidRPr="001456E2" w:rsidRDefault="001456E2" w:rsidP="001456E2">
      <w:pPr>
        <w:pStyle w:val="Bibliography"/>
        <w:jc w:val="both"/>
        <w:rPr>
          <w:sz w:val="16"/>
        </w:rPr>
      </w:pPr>
      <w:r w:rsidRPr="001456E2">
        <w:rPr>
          <w:sz w:val="16"/>
        </w:rPr>
        <w:t>[18]</w:t>
      </w:r>
      <w:r w:rsidRPr="001456E2">
        <w:rPr>
          <w:sz w:val="16"/>
        </w:rPr>
        <w:tab/>
        <w:t xml:space="preserve">N. C. Knox, J. D. Forbes, G. Van </w:t>
      </w:r>
      <w:proofErr w:type="spellStart"/>
      <w:r w:rsidRPr="001456E2">
        <w:rPr>
          <w:sz w:val="16"/>
        </w:rPr>
        <w:t>Domselaar</w:t>
      </w:r>
      <w:proofErr w:type="spellEnd"/>
      <w:r w:rsidRPr="001456E2">
        <w:rPr>
          <w:sz w:val="16"/>
        </w:rPr>
        <w:t xml:space="preserve">, and C. N. Bernstein, “The gut microbiome as a target for IBD treatment: are we there </w:t>
      </w:r>
      <w:proofErr w:type="gramStart"/>
      <w:r w:rsidRPr="001456E2">
        <w:rPr>
          <w:sz w:val="16"/>
        </w:rPr>
        <w:t>yet?,</w:t>
      </w:r>
      <w:proofErr w:type="gramEnd"/>
      <w:r w:rsidRPr="001456E2">
        <w:rPr>
          <w:sz w:val="16"/>
        </w:rPr>
        <w:t xml:space="preserve">” </w:t>
      </w:r>
      <w:r w:rsidRPr="001456E2">
        <w:rPr>
          <w:i/>
          <w:iCs/>
          <w:sz w:val="16"/>
        </w:rPr>
        <w:t>Current treatment options in gastroenterology</w:t>
      </w:r>
      <w:r w:rsidRPr="001456E2">
        <w:rPr>
          <w:sz w:val="16"/>
        </w:rPr>
        <w:t xml:space="preserve">, vol. 17, pp. 115–126, 2019, </w:t>
      </w:r>
      <w:proofErr w:type="spellStart"/>
      <w:r w:rsidRPr="001456E2">
        <w:rPr>
          <w:sz w:val="16"/>
        </w:rPr>
        <w:t>doi</w:t>
      </w:r>
      <w:proofErr w:type="spellEnd"/>
      <w:r w:rsidRPr="001456E2">
        <w:rPr>
          <w:sz w:val="16"/>
        </w:rPr>
        <w:t>: 10.1007/s11938-019-00221-w.</w:t>
      </w:r>
    </w:p>
    <w:p w14:paraId="3CD18C95" w14:textId="77777777" w:rsidR="001456E2" w:rsidRPr="001456E2" w:rsidRDefault="001456E2" w:rsidP="001456E2">
      <w:pPr>
        <w:pStyle w:val="Bibliography"/>
        <w:jc w:val="both"/>
        <w:rPr>
          <w:sz w:val="16"/>
        </w:rPr>
      </w:pPr>
      <w:r w:rsidRPr="001456E2">
        <w:rPr>
          <w:sz w:val="16"/>
        </w:rPr>
        <w:t>[19]</w:t>
      </w:r>
      <w:r w:rsidRPr="001456E2">
        <w:rPr>
          <w:sz w:val="16"/>
        </w:rPr>
        <w:tab/>
        <w:t xml:space="preserve">J. L. McQuade, C. R. Daniel, B. A. </w:t>
      </w:r>
      <w:proofErr w:type="spellStart"/>
      <w:r w:rsidRPr="001456E2">
        <w:rPr>
          <w:sz w:val="16"/>
        </w:rPr>
        <w:t>Helmink</w:t>
      </w:r>
      <w:proofErr w:type="spellEnd"/>
      <w:r w:rsidRPr="001456E2">
        <w:rPr>
          <w:sz w:val="16"/>
        </w:rPr>
        <w:t xml:space="preserve">, and J. A. </w:t>
      </w:r>
      <w:proofErr w:type="spellStart"/>
      <w:r w:rsidRPr="001456E2">
        <w:rPr>
          <w:sz w:val="16"/>
        </w:rPr>
        <w:t>Wargo</w:t>
      </w:r>
      <w:proofErr w:type="spellEnd"/>
      <w:r w:rsidRPr="001456E2">
        <w:rPr>
          <w:sz w:val="16"/>
        </w:rPr>
        <w:t xml:space="preserve">, “Modulating the microbiome to improve therapeutic response in cancer,” </w:t>
      </w:r>
      <w:r w:rsidRPr="001456E2">
        <w:rPr>
          <w:i/>
          <w:iCs/>
          <w:sz w:val="16"/>
        </w:rPr>
        <w:t>The Lancet Oncology</w:t>
      </w:r>
      <w:r w:rsidRPr="001456E2">
        <w:rPr>
          <w:sz w:val="16"/>
        </w:rPr>
        <w:t xml:space="preserve">, vol. 20, no. 2, pp. e77–e91, 2019, </w:t>
      </w:r>
      <w:proofErr w:type="spellStart"/>
      <w:r w:rsidRPr="001456E2">
        <w:rPr>
          <w:sz w:val="16"/>
        </w:rPr>
        <w:t>doi</w:t>
      </w:r>
      <w:proofErr w:type="spellEnd"/>
      <w:r w:rsidRPr="001456E2">
        <w:rPr>
          <w:sz w:val="16"/>
        </w:rPr>
        <w:t>: 10.1016/S1470-2045(18)30952-5.</w:t>
      </w:r>
    </w:p>
    <w:p w14:paraId="4E0B101D" w14:textId="77777777" w:rsidR="001456E2" w:rsidRPr="001456E2" w:rsidRDefault="001456E2" w:rsidP="001456E2">
      <w:pPr>
        <w:pStyle w:val="Bibliography"/>
        <w:jc w:val="both"/>
        <w:rPr>
          <w:sz w:val="16"/>
        </w:rPr>
      </w:pPr>
      <w:r w:rsidRPr="001456E2">
        <w:rPr>
          <w:sz w:val="16"/>
        </w:rPr>
        <w:t>[20]</w:t>
      </w:r>
      <w:r w:rsidRPr="001456E2">
        <w:rPr>
          <w:sz w:val="16"/>
        </w:rPr>
        <w:tab/>
        <w:t xml:space="preserve">D. A. </w:t>
      </w:r>
      <w:proofErr w:type="spellStart"/>
      <w:r w:rsidRPr="001456E2">
        <w:rPr>
          <w:sz w:val="16"/>
        </w:rPr>
        <w:t>Schupack</w:t>
      </w:r>
      <w:proofErr w:type="spellEnd"/>
      <w:r w:rsidRPr="001456E2">
        <w:rPr>
          <w:sz w:val="16"/>
        </w:rPr>
        <w:t xml:space="preserve">, R. A. Mars, D. H. Voelker, J. P. </w:t>
      </w:r>
      <w:proofErr w:type="spellStart"/>
      <w:r w:rsidRPr="001456E2">
        <w:rPr>
          <w:sz w:val="16"/>
        </w:rPr>
        <w:t>Abeykoon</w:t>
      </w:r>
      <w:proofErr w:type="spellEnd"/>
      <w:r w:rsidRPr="001456E2">
        <w:rPr>
          <w:sz w:val="16"/>
        </w:rPr>
        <w:t xml:space="preserve">, and P. C. Kashyap, “The promise of the gut microbiome as part of individualized treatment strategies,” </w:t>
      </w:r>
      <w:r w:rsidRPr="001456E2">
        <w:rPr>
          <w:i/>
          <w:iCs/>
          <w:sz w:val="16"/>
        </w:rPr>
        <w:t>Nature Reviews Gastroenterology &amp; Hepatology</w:t>
      </w:r>
      <w:r w:rsidRPr="001456E2">
        <w:rPr>
          <w:sz w:val="16"/>
        </w:rPr>
        <w:t xml:space="preserve">, vol. 19, no. 1, pp. 7–25, 2022, </w:t>
      </w:r>
      <w:proofErr w:type="spellStart"/>
      <w:r w:rsidRPr="001456E2">
        <w:rPr>
          <w:sz w:val="16"/>
        </w:rPr>
        <w:t>doi</w:t>
      </w:r>
      <w:proofErr w:type="spellEnd"/>
      <w:r w:rsidRPr="001456E2">
        <w:rPr>
          <w:sz w:val="16"/>
        </w:rPr>
        <w:t>: 10.1038/s41575-021-00499-1.</w:t>
      </w:r>
    </w:p>
    <w:p w14:paraId="1975F62A" w14:textId="77777777" w:rsidR="001456E2" w:rsidRPr="001456E2" w:rsidRDefault="001456E2" w:rsidP="001456E2">
      <w:pPr>
        <w:pStyle w:val="Bibliography"/>
        <w:jc w:val="both"/>
        <w:rPr>
          <w:sz w:val="16"/>
        </w:rPr>
      </w:pPr>
      <w:r w:rsidRPr="001456E2">
        <w:rPr>
          <w:sz w:val="16"/>
        </w:rPr>
        <w:t>[21]</w:t>
      </w:r>
      <w:r w:rsidRPr="001456E2">
        <w:rPr>
          <w:sz w:val="16"/>
        </w:rPr>
        <w:tab/>
        <w:t xml:space="preserve">M. V. Seeman, “The gut microbiome and antipsychotic treatment response,” </w:t>
      </w:r>
      <w:proofErr w:type="spellStart"/>
      <w:r w:rsidRPr="001456E2">
        <w:rPr>
          <w:i/>
          <w:iCs/>
          <w:sz w:val="16"/>
        </w:rPr>
        <w:t>Behavioural</w:t>
      </w:r>
      <w:proofErr w:type="spellEnd"/>
      <w:r w:rsidRPr="001456E2">
        <w:rPr>
          <w:i/>
          <w:iCs/>
          <w:sz w:val="16"/>
        </w:rPr>
        <w:t xml:space="preserve"> Brain Research</w:t>
      </w:r>
      <w:r w:rsidRPr="001456E2">
        <w:rPr>
          <w:sz w:val="16"/>
        </w:rPr>
        <w:t xml:space="preserve">, vol. 396, p. 112886, 2021, </w:t>
      </w:r>
      <w:proofErr w:type="spellStart"/>
      <w:r w:rsidRPr="001456E2">
        <w:rPr>
          <w:sz w:val="16"/>
        </w:rPr>
        <w:t>doi</w:t>
      </w:r>
      <w:proofErr w:type="spellEnd"/>
      <w:r w:rsidRPr="001456E2">
        <w:rPr>
          <w:sz w:val="16"/>
        </w:rPr>
        <w:t>: 10.1016/j.bbr.2020.112886.</w:t>
      </w:r>
    </w:p>
    <w:p w14:paraId="5D7163A0" w14:textId="77777777" w:rsidR="001456E2" w:rsidRPr="001456E2" w:rsidRDefault="001456E2" w:rsidP="001456E2">
      <w:pPr>
        <w:pStyle w:val="Bibliography"/>
        <w:jc w:val="both"/>
        <w:rPr>
          <w:sz w:val="16"/>
        </w:rPr>
      </w:pPr>
      <w:r w:rsidRPr="001456E2">
        <w:rPr>
          <w:sz w:val="16"/>
        </w:rPr>
        <w:t>[22]</w:t>
      </w:r>
      <w:r w:rsidRPr="001456E2">
        <w:rPr>
          <w:sz w:val="16"/>
        </w:rPr>
        <w:tab/>
        <w:t xml:space="preserve">S. K. Kang, A. </w:t>
      </w:r>
      <w:proofErr w:type="spellStart"/>
      <w:r w:rsidRPr="001456E2">
        <w:rPr>
          <w:sz w:val="16"/>
        </w:rPr>
        <w:t>Fagerlin</w:t>
      </w:r>
      <w:proofErr w:type="spellEnd"/>
      <w:r w:rsidRPr="001456E2">
        <w:rPr>
          <w:sz w:val="16"/>
        </w:rPr>
        <w:t xml:space="preserve">, and R. S. Braithwaite, “A roadmap for personalized care in radiology,” </w:t>
      </w:r>
      <w:r w:rsidRPr="001456E2">
        <w:rPr>
          <w:i/>
          <w:iCs/>
          <w:sz w:val="16"/>
        </w:rPr>
        <w:t>Radiology</w:t>
      </w:r>
      <w:r w:rsidRPr="001456E2">
        <w:rPr>
          <w:sz w:val="16"/>
        </w:rPr>
        <w:t xml:space="preserve">, vol. 277, no. 3, pp. 638–643, 2015, </w:t>
      </w:r>
      <w:proofErr w:type="spellStart"/>
      <w:r w:rsidRPr="001456E2">
        <w:rPr>
          <w:sz w:val="16"/>
        </w:rPr>
        <w:t>doi</w:t>
      </w:r>
      <w:proofErr w:type="spellEnd"/>
      <w:r w:rsidRPr="001456E2">
        <w:rPr>
          <w:sz w:val="16"/>
        </w:rPr>
        <w:t>: 10.1148/radiol.2015151187.</w:t>
      </w:r>
    </w:p>
    <w:p w14:paraId="6207DE12" w14:textId="77777777" w:rsidR="001456E2" w:rsidRPr="001456E2" w:rsidRDefault="001456E2" w:rsidP="001456E2">
      <w:pPr>
        <w:pStyle w:val="Bibliography"/>
        <w:jc w:val="both"/>
        <w:rPr>
          <w:sz w:val="16"/>
        </w:rPr>
      </w:pPr>
      <w:r w:rsidRPr="001456E2">
        <w:rPr>
          <w:sz w:val="16"/>
        </w:rPr>
        <w:t>[23]</w:t>
      </w:r>
      <w:r w:rsidRPr="001456E2">
        <w:rPr>
          <w:sz w:val="16"/>
        </w:rPr>
        <w:tab/>
        <w:t xml:space="preserve">M. F. Kircher, H. </w:t>
      </w:r>
      <w:proofErr w:type="spellStart"/>
      <w:r w:rsidRPr="001456E2">
        <w:rPr>
          <w:sz w:val="16"/>
        </w:rPr>
        <w:t>Hricak</w:t>
      </w:r>
      <w:proofErr w:type="spellEnd"/>
      <w:r w:rsidRPr="001456E2">
        <w:rPr>
          <w:sz w:val="16"/>
        </w:rPr>
        <w:t xml:space="preserve">, and S. M. Larson, “Molecular imaging for personalized cancer care,” </w:t>
      </w:r>
      <w:r w:rsidRPr="001456E2">
        <w:rPr>
          <w:i/>
          <w:iCs/>
          <w:sz w:val="16"/>
        </w:rPr>
        <w:t>Molecular oncology</w:t>
      </w:r>
      <w:r w:rsidRPr="001456E2">
        <w:rPr>
          <w:sz w:val="16"/>
        </w:rPr>
        <w:t xml:space="preserve">, vol. 6, no. 2, pp. 182–195, 2012, </w:t>
      </w:r>
      <w:proofErr w:type="spellStart"/>
      <w:r w:rsidRPr="001456E2">
        <w:rPr>
          <w:sz w:val="16"/>
        </w:rPr>
        <w:t>doi</w:t>
      </w:r>
      <w:proofErr w:type="spellEnd"/>
      <w:r w:rsidRPr="001456E2">
        <w:rPr>
          <w:sz w:val="16"/>
        </w:rPr>
        <w:t>: 10.1016/j.molonc.2012.02.005.</w:t>
      </w:r>
    </w:p>
    <w:p w14:paraId="62DF366C" w14:textId="77777777" w:rsidR="001456E2" w:rsidRPr="001456E2" w:rsidRDefault="001456E2" w:rsidP="001456E2">
      <w:pPr>
        <w:pStyle w:val="Bibliography"/>
        <w:jc w:val="both"/>
        <w:rPr>
          <w:sz w:val="16"/>
        </w:rPr>
      </w:pPr>
      <w:r w:rsidRPr="001456E2">
        <w:rPr>
          <w:sz w:val="16"/>
        </w:rPr>
        <w:t>[24]</w:t>
      </w:r>
      <w:r w:rsidRPr="001456E2">
        <w:rPr>
          <w:sz w:val="16"/>
        </w:rPr>
        <w:tab/>
        <w:t xml:space="preserve">P. </w:t>
      </w:r>
      <w:proofErr w:type="spellStart"/>
      <w:r w:rsidRPr="001456E2">
        <w:rPr>
          <w:sz w:val="16"/>
        </w:rPr>
        <w:t>Lambin</w:t>
      </w:r>
      <w:proofErr w:type="spellEnd"/>
      <w:r w:rsidRPr="001456E2">
        <w:rPr>
          <w:sz w:val="16"/>
        </w:rPr>
        <w:t xml:space="preserve"> </w:t>
      </w:r>
      <w:r w:rsidRPr="001456E2">
        <w:rPr>
          <w:i/>
          <w:iCs/>
          <w:sz w:val="16"/>
        </w:rPr>
        <w:t>et al.</w:t>
      </w:r>
      <w:r w:rsidRPr="001456E2">
        <w:rPr>
          <w:sz w:val="16"/>
        </w:rPr>
        <w:t xml:space="preserve">, “Radiomics: the bridge between medical imaging and personalized medicine,” </w:t>
      </w:r>
      <w:r w:rsidRPr="001456E2">
        <w:rPr>
          <w:i/>
          <w:iCs/>
          <w:sz w:val="16"/>
        </w:rPr>
        <w:t>Nature reviews Clinical oncology</w:t>
      </w:r>
      <w:r w:rsidRPr="001456E2">
        <w:rPr>
          <w:sz w:val="16"/>
        </w:rPr>
        <w:t xml:space="preserve">, vol. 14, no. 12, pp. 749–762, 2017, </w:t>
      </w:r>
      <w:proofErr w:type="spellStart"/>
      <w:r w:rsidRPr="001456E2">
        <w:rPr>
          <w:sz w:val="16"/>
        </w:rPr>
        <w:t>doi</w:t>
      </w:r>
      <w:proofErr w:type="spellEnd"/>
      <w:r w:rsidRPr="001456E2">
        <w:rPr>
          <w:sz w:val="16"/>
        </w:rPr>
        <w:t>: 10.1038/nrclinonc.2017.141.</w:t>
      </w:r>
    </w:p>
    <w:p w14:paraId="2837BDEE" w14:textId="77777777" w:rsidR="001456E2" w:rsidRPr="001456E2" w:rsidRDefault="001456E2" w:rsidP="001456E2">
      <w:pPr>
        <w:pStyle w:val="Bibliography"/>
        <w:jc w:val="both"/>
        <w:rPr>
          <w:sz w:val="16"/>
        </w:rPr>
      </w:pPr>
      <w:r w:rsidRPr="001456E2">
        <w:rPr>
          <w:sz w:val="16"/>
        </w:rPr>
        <w:t>[25]</w:t>
      </w:r>
      <w:r w:rsidRPr="001456E2">
        <w:rPr>
          <w:sz w:val="16"/>
        </w:rPr>
        <w:tab/>
        <w:t xml:space="preserve">F. A. McAlister, A. </w:t>
      </w:r>
      <w:proofErr w:type="spellStart"/>
      <w:r w:rsidRPr="001456E2">
        <w:rPr>
          <w:sz w:val="16"/>
        </w:rPr>
        <w:t>Laupacis</w:t>
      </w:r>
      <w:proofErr w:type="spellEnd"/>
      <w:r w:rsidRPr="001456E2">
        <w:rPr>
          <w:sz w:val="16"/>
        </w:rPr>
        <w:t xml:space="preserve">, and P. W. Armstrong, “Finding the right balance between precision medicine and personalized care,” </w:t>
      </w:r>
      <w:proofErr w:type="spellStart"/>
      <w:r w:rsidRPr="001456E2">
        <w:rPr>
          <w:i/>
          <w:iCs/>
          <w:sz w:val="16"/>
        </w:rPr>
        <w:t>Cmaj</w:t>
      </w:r>
      <w:proofErr w:type="spellEnd"/>
      <w:r w:rsidRPr="001456E2">
        <w:rPr>
          <w:sz w:val="16"/>
        </w:rPr>
        <w:t xml:space="preserve">, vol. 189, no. 33, pp. E1065–E1068, 2017, </w:t>
      </w:r>
      <w:proofErr w:type="spellStart"/>
      <w:r w:rsidRPr="001456E2">
        <w:rPr>
          <w:sz w:val="16"/>
        </w:rPr>
        <w:t>doi</w:t>
      </w:r>
      <w:proofErr w:type="spellEnd"/>
      <w:r w:rsidRPr="001456E2">
        <w:rPr>
          <w:sz w:val="16"/>
        </w:rPr>
        <w:t>: 10.1503/cmaj.170107.</w:t>
      </w:r>
    </w:p>
    <w:p w14:paraId="7D7E0E20" w14:textId="77777777" w:rsidR="001456E2" w:rsidRPr="001456E2" w:rsidRDefault="001456E2" w:rsidP="001456E2">
      <w:pPr>
        <w:pStyle w:val="Bibliography"/>
        <w:jc w:val="both"/>
        <w:rPr>
          <w:sz w:val="16"/>
        </w:rPr>
      </w:pPr>
      <w:r w:rsidRPr="001456E2">
        <w:rPr>
          <w:sz w:val="16"/>
        </w:rPr>
        <w:t>[26]</w:t>
      </w:r>
      <w:r w:rsidRPr="001456E2">
        <w:rPr>
          <w:sz w:val="16"/>
        </w:rPr>
        <w:tab/>
        <w:t xml:space="preserve">X. Wang and X. J. Zhou, “Magnetic resonance imaging in personalized medicine,” </w:t>
      </w:r>
      <w:r w:rsidRPr="001456E2">
        <w:rPr>
          <w:i/>
          <w:iCs/>
          <w:sz w:val="16"/>
        </w:rPr>
        <w:t>Science China Life Sciences</w:t>
      </w:r>
      <w:r w:rsidRPr="001456E2">
        <w:rPr>
          <w:sz w:val="16"/>
        </w:rPr>
        <w:t>, vol. 60. Springer, pp. 1–4, 2017.</w:t>
      </w:r>
    </w:p>
    <w:p w14:paraId="67F0EA71" w14:textId="77777777" w:rsidR="001456E2" w:rsidRPr="001456E2" w:rsidRDefault="001456E2" w:rsidP="001456E2">
      <w:pPr>
        <w:pStyle w:val="Bibliography"/>
        <w:jc w:val="both"/>
        <w:rPr>
          <w:sz w:val="16"/>
        </w:rPr>
      </w:pPr>
      <w:r w:rsidRPr="001456E2">
        <w:rPr>
          <w:sz w:val="16"/>
        </w:rPr>
        <w:t>[27]</w:t>
      </w:r>
      <w:r w:rsidRPr="001456E2">
        <w:rPr>
          <w:sz w:val="16"/>
        </w:rPr>
        <w:tab/>
        <w:t xml:space="preserve">V. </w:t>
      </w:r>
      <w:proofErr w:type="spellStart"/>
      <w:r w:rsidRPr="001456E2">
        <w:rPr>
          <w:sz w:val="16"/>
        </w:rPr>
        <w:t>Gubala</w:t>
      </w:r>
      <w:proofErr w:type="spellEnd"/>
      <w:r w:rsidRPr="001456E2">
        <w:rPr>
          <w:sz w:val="16"/>
        </w:rPr>
        <w:t xml:space="preserve">, L. F. Harris, A. J. Ricco, M. X. Tan, and D. E. Williams, “Point of care diagnostics: status and future,” </w:t>
      </w:r>
      <w:r w:rsidRPr="001456E2">
        <w:rPr>
          <w:i/>
          <w:iCs/>
          <w:sz w:val="16"/>
        </w:rPr>
        <w:t>Analytical chemistry</w:t>
      </w:r>
      <w:r w:rsidRPr="001456E2">
        <w:rPr>
          <w:sz w:val="16"/>
        </w:rPr>
        <w:t xml:space="preserve">, vol. 84, no. 2, pp. 487–515, 2012, </w:t>
      </w:r>
      <w:proofErr w:type="spellStart"/>
      <w:r w:rsidRPr="001456E2">
        <w:rPr>
          <w:sz w:val="16"/>
        </w:rPr>
        <w:t>doi</w:t>
      </w:r>
      <w:proofErr w:type="spellEnd"/>
      <w:r w:rsidRPr="001456E2">
        <w:rPr>
          <w:sz w:val="16"/>
        </w:rPr>
        <w:t>: 10.1021/ac2030199.</w:t>
      </w:r>
    </w:p>
    <w:p w14:paraId="205EE4F8" w14:textId="77777777" w:rsidR="001456E2" w:rsidRPr="001456E2" w:rsidRDefault="001456E2" w:rsidP="001456E2">
      <w:pPr>
        <w:pStyle w:val="Bibliography"/>
        <w:jc w:val="both"/>
        <w:rPr>
          <w:sz w:val="16"/>
        </w:rPr>
      </w:pPr>
      <w:r w:rsidRPr="001456E2">
        <w:rPr>
          <w:sz w:val="16"/>
        </w:rPr>
        <w:t>[28]</w:t>
      </w:r>
      <w:r w:rsidRPr="001456E2">
        <w:rPr>
          <w:sz w:val="16"/>
        </w:rPr>
        <w:tab/>
        <w:t xml:space="preserve">S. Nayak, N. R. Blumenfeld, T. </w:t>
      </w:r>
      <w:proofErr w:type="spellStart"/>
      <w:r w:rsidRPr="001456E2">
        <w:rPr>
          <w:sz w:val="16"/>
        </w:rPr>
        <w:t>Laksanasopin</w:t>
      </w:r>
      <w:proofErr w:type="spellEnd"/>
      <w:r w:rsidRPr="001456E2">
        <w:rPr>
          <w:sz w:val="16"/>
        </w:rPr>
        <w:t xml:space="preserve">, and S. K. Sia, “Point-of-care diagnostics: recent developments in a connected age,” </w:t>
      </w:r>
      <w:r w:rsidRPr="001456E2">
        <w:rPr>
          <w:i/>
          <w:iCs/>
          <w:sz w:val="16"/>
        </w:rPr>
        <w:t>Analytical chemistry</w:t>
      </w:r>
      <w:r w:rsidRPr="001456E2">
        <w:rPr>
          <w:sz w:val="16"/>
        </w:rPr>
        <w:t xml:space="preserve">, vol. 89, no. 1, pp. 102–123, 2017, </w:t>
      </w:r>
      <w:proofErr w:type="spellStart"/>
      <w:r w:rsidRPr="001456E2">
        <w:rPr>
          <w:sz w:val="16"/>
        </w:rPr>
        <w:t>doi</w:t>
      </w:r>
      <w:proofErr w:type="spellEnd"/>
      <w:r w:rsidRPr="001456E2">
        <w:rPr>
          <w:sz w:val="16"/>
        </w:rPr>
        <w:t>: 10.1021/acs.analchem.6b04630.</w:t>
      </w:r>
    </w:p>
    <w:p w14:paraId="7382B17E" w14:textId="77777777" w:rsidR="001456E2" w:rsidRPr="001456E2" w:rsidRDefault="001456E2" w:rsidP="001456E2">
      <w:pPr>
        <w:pStyle w:val="Bibliography"/>
        <w:jc w:val="both"/>
        <w:rPr>
          <w:sz w:val="16"/>
        </w:rPr>
      </w:pPr>
      <w:r w:rsidRPr="001456E2">
        <w:rPr>
          <w:sz w:val="16"/>
        </w:rPr>
        <w:t>[29]</w:t>
      </w:r>
      <w:r w:rsidRPr="001456E2">
        <w:rPr>
          <w:sz w:val="16"/>
        </w:rPr>
        <w:tab/>
        <w:t xml:space="preserve">S. K. </w:t>
      </w:r>
      <w:proofErr w:type="spellStart"/>
      <w:r w:rsidRPr="001456E2">
        <w:rPr>
          <w:sz w:val="16"/>
        </w:rPr>
        <w:t>Vashist</w:t>
      </w:r>
      <w:proofErr w:type="spellEnd"/>
      <w:r w:rsidRPr="001456E2">
        <w:rPr>
          <w:sz w:val="16"/>
        </w:rPr>
        <w:t xml:space="preserve">, “Point-of-care diagnostics: Recent advances and trends,” </w:t>
      </w:r>
      <w:r w:rsidRPr="001456E2">
        <w:rPr>
          <w:i/>
          <w:iCs/>
          <w:sz w:val="16"/>
        </w:rPr>
        <w:t>Biosensors</w:t>
      </w:r>
      <w:r w:rsidRPr="001456E2">
        <w:rPr>
          <w:sz w:val="16"/>
        </w:rPr>
        <w:t xml:space="preserve">, vol. 7, no. 4, p. 62, 2017, </w:t>
      </w:r>
      <w:proofErr w:type="spellStart"/>
      <w:r w:rsidRPr="001456E2">
        <w:rPr>
          <w:sz w:val="16"/>
        </w:rPr>
        <w:t>doi</w:t>
      </w:r>
      <w:proofErr w:type="spellEnd"/>
      <w:r w:rsidRPr="001456E2">
        <w:rPr>
          <w:sz w:val="16"/>
        </w:rPr>
        <w:t>: 10.3390/bios7040062.</w:t>
      </w:r>
    </w:p>
    <w:p w14:paraId="77E01FD6" w14:textId="77777777" w:rsidR="001456E2" w:rsidRPr="001456E2" w:rsidRDefault="001456E2" w:rsidP="001456E2">
      <w:pPr>
        <w:pStyle w:val="Bibliography"/>
        <w:jc w:val="both"/>
        <w:rPr>
          <w:sz w:val="16"/>
        </w:rPr>
      </w:pPr>
      <w:r w:rsidRPr="001456E2">
        <w:rPr>
          <w:sz w:val="16"/>
        </w:rPr>
        <w:t>[30]</w:t>
      </w:r>
      <w:r w:rsidRPr="001456E2">
        <w:rPr>
          <w:sz w:val="16"/>
        </w:rPr>
        <w:tab/>
        <w:t xml:space="preserve">P. </w:t>
      </w:r>
      <w:proofErr w:type="spellStart"/>
      <w:r w:rsidRPr="001456E2">
        <w:rPr>
          <w:sz w:val="16"/>
        </w:rPr>
        <w:t>Yager</w:t>
      </w:r>
      <w:proofErr w:type="spellEnd"/>
      <w:r w:rsidRPr="001456E2">
        <w:rPr>
          <w:sz w:val="16"/>
        </w:rPr>
        <w:t xml:space="preserve">, G. J. Domingo, and J. Gerdes, “Point-of-care diagnostics for global health,” </w:t>
      </w:r>
      <w:proofErr w:type="spellStart"/>
      <w:r w:rsidRPr="001456E2">
        <w:rPr>
          <w:i/>
          <w:iCs/>
          <w:sz w:val="16"/>
        </w:rPr>
        <w:t>Annu</w:t>
      </w:r>
      <w:proofErr w:type="spellEnd"/>
      <w:r w:rsidRPr="001456E2">
        <w:rPr>
          <w:i/>
          <w:iCs/>
          <w:sz w:val="16"/>
        </w:rPr>
        <w:t>. Rev. Biomed. Eng.</w:t>
      </w:r>
      <w:r w:rsidRPr="001456E2">
        <w:rPr>
          <w:sz w:val="16"/>
        </w:rPr>
        <w:t xml:space="preserve">, vol. 10, pp. 107–144, 2008, </w:t>
      </w:r>
      <w:proofErr w:type="spellStart"/>
      <w:r w:rsidRPr="001456E2">
        <w:rPr>
          <w:sz w:val="16"/>
        </w:rPr>
        <w:t>doi</w:t>
      </w:r>
      <w:proofErr w:type="spellEnd"/>
      <w:r w:rsidRPr="001456E2">
        <w:rPr>
          <w:sz w:val="16"/>
        </w:rPr>
        <w:t>: 10.1146/annurev.bioeng.10.061807.160524.</w:t>
      </w:r>
    </w:p>
    <w:p w14:paraId="6C3258B0" w14:textId="77777777" w:rsidR="001456E2" w:rsidRPr="001456E2" w:rsidRDefault="001456E2" w:rsidP="001456E2">
      <w:pPr>
        <w:pStyle w:val="Bibliography"/>
        <w:jc w:val="both"/>
        <w:rPr>
          <w:sz w:val="16"/>
        </w:rPr>
      </w:pPr>
      <w:r w:rsidRPr="001456E2">
        <w:rPr>
          <w:sz w:val="16"/>
        </w:rPr>
        <w:t>[31]</w:t>
      </w:r>
      <w:r w:rsidRPr="001456E2">
        <w:rPr>
          <w:sz w:val="16"/>
        </w:rPr>
        <w:tab/>
        <w:t xml:space="preserve">C. Chen, H. Huang, and C. H. Wu, “Protein Bioinformatics Databases and Resources,” </w:t>
      </w:r>
      <w:r w:rsidRPr="001456E2">
        <w:rPr>
          <w:i/>
          <w:iCs/>
          <w:sz w:val="16"/>
        </w:rPr>
        <w:t>Methods Mol Biol</w:t>
      </w:r>
      <w:r w:rsidRPr="001456E2">
        <w:rPr>
          <w:sz w:val="16"/>
        </w:rPr>
        <w:t xml:space="preserve">, vol. 1558, pp. 3–39, 2017, </w:t>
      </w:r>
      <w:proofErr w:type="spellStart"/>
      <w:r w:rsidRPr="001456E2">
        <w:rPr>
          <w:sz w:val="16"/>
        </w:rPr>
        <w:t>doi</w:t>
      </w:r>
      <w:proofErr w:type="spellEnd"/>
      <w:r w:rsidRPr="001456E2">
        <w:rPr>
          <w:sz w:val="16"/>
        </w:rPr>
        <w:t>: 10.1007/978-1-4939-6783-4_1.</w:t>
      </w:r>
    </w:p>
    <w:p w14:paraId="62815331" w14:textId="77777777" w:rsidR="001456E2" w:rsidRPr="001456E2" w:rsidRDefault="001456E2" w:rsidP="001456E2">
      <w:pPr>
        <w:pStyle w:val="Bibliography"/>
        <w:jc w:val="both"/>
        <w:rPr>
          <w:sz w:val="16"/>
        </w:rPr>
      </w:pPr>
      <w:r w:rsidRPr="001456E2">
        <w:rPr>
          <w:sz w:val="16"/>
        </w:rPr>
        <w:t>[32]</w:t>
      </w:r>
      <w:r w:rsidRPr="001456E2">
        <w:rPr>
          <w:sz w:val="16"/>
        </w:rPr>
        <w:tab/>
        <w:t xml:space="preserve">H. Huang, Z.-Z. Hu, C. N. </w:t>
      </w:r>
      <w:proofErr w:type="spellStart"/>
      <w:r w:rsidRPr="001456E2">
        <w:rPr>
          <w:sz w:val="16"/>
        </w:rPr>
        <w:t>Arighi</w:t>
      </w:r>
      <w:proofErr w:type="spellEnd"/>
      <w:r w:rsidRPr="001456E2">
        <w:rPr>
          <w:sz w:val="16"/>
        </w:rPr>
        <w:t xml:space="preserve">, and C. H. Wu, “Integration of bioinformatics resources for functional analysis of gene expression and proteomic data,” </w:t>
      </w:r>
      <w:r w:rsidRPr="001456E2">
        <w:rPr>
          <w:i/>
          <w:iCs/>
          <w:sz w:val="16"/>
        </w:rPr>
        <w:t xml:space="preserve">Front </w:t>
      </w:r>
      <w:proofErr w:type="spellStart"/>
      <w:r w:rsidRPr="001456E2">
        <w:rPr>
          <w:i/>
          <w:iCs/>
          <w:sz w:val="16"/>
        </w:rPr>
        <w:t>Biosci</w:t>
      </w:r>
      <w:proofErr w:type="spellEnd"/>
      <w:r w:rsidRPr="001456E2">
        <w:rPr>
          <w:sz w:val="16"/>
        </w:rPr>
        <w:t xml:space="preserve">, vol. 12, pp. 5071–5088, Sep. 2007, </w:t>
      </w:r>
      <w:proofErr w:type="spellStart"/>
      <w:r w:rsidRPr="001456E2">
        <w:rPr>
          <w:sz w:val="16"/>
        </w:rPr>
        <w:t>doi</w:t>
      </w:r>
      <w:proofErr w:type="spellEnd"/>
      <w:r w:rsidRPr="001456E2">
        <w:rPr>
          <w:sz w:val="16"/>
        </w:rPr>
        <w:t>: 10.2741/2449.</w:t>
      </w:r>
    </w:p>
    <w:p w14:paraId="1661775D" w14:textId="77777777" w:rsidR="001456E2" w:rsidRPr="001456E2" w:rsidRDefault="001456E2" w:rsidP="001456E2">
      <w:pPr>
        <w:pStyle w:val="Bibliography"/>
        <w:jc w:val="both"/>
        <w:rPr>
          <w:sz w:val="16"/>
        </w:rPr>
      </w:pPr>
      <w:r w:rsidRPr="001456E2">
        <w:rPr>
          <w:sz w:val="16"/>
        </w:rPr>
        <w:t>[33]</w:t>
      </w:r>
      <w:r w:rsidRPr="001456E2">
        <w:rPr>
          <w:sz w:val="16"/>
        </w:rPr>
        <w:tab/>
        <w:t xml:space="preserve">A. Kremer, R. Schneider, and G. C. </w:t>
      </w:r>
      <w:proofErr w:type="spellStart"/>
      <w:r w:rsidRPr="001456E2">
        <w:rPr>
          <w:sz w:val="16"/>
        </w:rPr>
        <w:t>Terstappen</w:t>
      </w:r>
      <w:proofErr w:type="spellEnd"/>
      <w:r w:rsidRPr="001456E2">
        <w:rPr>
          <w:sz w:val="16"/>
        </w:rPr>
        <w:t xml:space="preserve">, “A bioinformatics perspective on proteomics: data storage, analysis, and integration,” </w:t>
      </w:r>
      <w:proofErr w:type="spellStart"/>
      <w:r w:rsidRPr="001456E2">
        <w:rPr>
          <w:i/>
          <w:iCs/>
          <w:sz w:val="16"/>
        </w:rPr>
        <w:t>Biosci</w:t>
      </w:r>
      <w:proofErr w:type="spellEnd"/>
      <w:r w:rsidRPr="001456E2">
        <w:rPr>
          <w:i/>
          <w:iCs/>
          <w:sz w:val="16"/>
        </w:rPr>
        <w:t xml:space="preserve"> Rep</w:t>
      </w:r>
      <w:r w:rsidRPr="001456E2">
        <w:rPr>
          <w:sz w:val="16"/>
        </w:rPr>
        <w:t xml:space="preserve">, vol. 25, no. 1–2, pp. 95–106, 2005, </w:t>
      </w:r>
      <w:proofErr w:type="spellStart"/>
      <w:r w:rsidRPr="001456E2">
        <w:rPr>
          <w:sz w:val="16"/>
        </w:rPr>
        <w:t>doi</w:t>
      </w:r>
      <w:proofErr w:type="spellEnd"/>
      <w:r w:rsidRPr="001456E2">
        <w:rPr>
          <w:sz w:val="16"/>
        </w:rPr>
        <w:t>: 10.1007/s10540-005-2850-4.</w:t>
      </w:r>
    </w:p>
    <w:p w14:paraId="342CE83A" w14:textId="77777777" w:rsidR="001456E2" w:rsidRPr="001456E2" w:rsidRDefault="001456E2" w:rsidP="001456E2">
      <w:pPr>
        <w:pStyle w:val="Bibliography"/>
        <w:jc w:val="both"/>
        <w:rPr>
          <w:sz w:val="16"/>
        </w:rPr>
      </w:pPr>
      <w:r w:rsidRPr="001456E2">
        <w:rPr>
          <w:sz w:val="16"/>
        </w:rPr>
        <w:lastRenderedPageBreak/>
        <w:t>[34]</w:t>
      </w:r>
      <w:r w:rsidRPr="001456E2">
        <w:rPr>
          <w:sz w:val="16"/>
        </w:rPr>
        <w:tab/>
        <w:t xml:space="preserve">G. Liu and S. </w:t>
      </w:r>
      <w:proofErr w:type="spellStart"/>
      <w:r w:rsidRPr="001456E2">
        <w:rPr>
          <w:sz w:val="16"/>
        </w:rPr>
        <w:t>Neelamegham</w:t>
      </w:r>
      <w:proofErr w:type="spellEnd"/>
      <w:r w:rsidRPr="001456E2">
        <w:rPr>
          <w:sz w:val="16"/>
        </w:rPr>
        <w:t xml:space="preserve">, “Integration of systems glycobiology with bioinformatics toolboxes, </w:t>
      </w:r>
      <w:proofErr w:type="spellStart"/>
      <w:r w:rsidRPr="001456E2">
        <w:rPr>
          <w:sz w:val="16"/>
        </w:rPr>
        <w:t>glycoinformatics</w:t>
      </w:r>
      <w:proofErr w:type="spellEnd"/>
      <w:r w:rsidRPr="001456E2">
        <w:rPr>
          <w:sz w:val="16"/>
        </w:rPr>
        <w:t xml:space="preserve"> resources, and </w:t>
      </w:r>
      <w:proofErr w:type="spellStart"/>
      <w:r w:rsidRPr="001456E2">
        <w:rPr>
          <w:sz w:val="16"/>
        </w:rPr>
        <w:t>glycoproteomics</w:t>
      </w:r>
      <w:proofErr w:type="spellEnd"/>
      <w:r w:rsidRPr="001456E2">
        <w:rPr>
          <w:sz w:val="16"/>
        </w:rPr>
        <w:t xml:space="preserve"> data,” </w:t>
      </w:r>
      <w:r w:rsidRPr="001456E2">
        <w:rPr>
          <w:i/>
          <w:iCs/>
          <w:sz w:val="16"/>
        </w:rPr>
        <w:t xml:space="preserve">Wiley </w:t>
      </w:r>
      <w:proofErr w:type="spellStart"/>
      <w:r w:rsidRPr="001456E2">
        <w:rPr>
          <w:i/>
          <w:iCs/>
          <w:sz w:val="16"/>
        </w:rPr>
        <w:t>Interdiscip</w:t>
      </w:r>
      <w:proofErr w:type="spellEnd"/>
      <w:r w:rsidRPr="001456E2">
        <w:rPr>
          <w:i/>
          <w:iCs/>
          <w:sz w:val="16"/>
        </w:rPr>
        <w:t xml:space="preserve"> Rev Syst Biol Med</w:t>
      </w:r>
      <w:r w:rsidRPr="001456E2">
        <w:rPr>
          <w:sz w:val="16"/>
        </w:rPr>
        <w:t xml:space="preserve">, vol. 7, no. 4, pp. 163–181, 2015, </w:t>
      </w:r>
      <w:proofErr w:type="spellStart"/>
      <w:r w:rsidRPr="001456E2">
        <w:rPr>
          <w:sz w:val="16"/>
        </w:rPr>
        <w:t>doi</w:t>
      </w:r>
      <w:proofErr w:type="spellEnd"/>
      <w:r w:rsidRPr="001456E2">
        <w:rPr>
          <w:sz w:val="16"/>
        </w:rPr>
        <w:t>: 10.1002/wsbm.1296.</w:t>
      </w:r>
    </w:p>
    <w:p w14:paraId="39D5D0D0" w14:textId="77777777" w:rsidR="001456E2" w:rsidRPr="001456E2" w:rsidRDefault="001456E2" w:rsidP="001456E2">
      <w:pPr>
        <w:pStyle w:val="Bibliography"/>
        <w:jc w:val="both"/>
        <w:rPr>
          <w:sz w:val="16"/>
        </w:rPr>
      </w:pPr>
      <w:r w:rsidRPr="001456E2">
        <w:rPr>
          <w:sz w:val="16"/>
        </w:rPr>
        <w:t>[35]</w:t>
      </w:r>
      <w:r w:rsidRPr="001456E2">
        <w:rPr>
          <w:sz w:val="16"/>
        </w:rPr>
        <w:tab/>
        <w:t xml:space="preserve">F. </w:t>
      </w:r>
      <w:proofErr w:type="spellStart"/>
      <w:r w:rsidRPr="001456E2">
        <w:rPr>
          <w:sz w:val="16"/>
        </w:rPr>
        <w:t>Rohart</w:t>
      </w:r>
      <w:proofErr w:type="spellEnd"/>
      <w:r w:rsidRPr="001456E2">
        <w:rPr>
          <w:sz w:val="16"/>
        </w:rPr>
        <w:t>, B. Gautier, A. Singh, and K.-A. Lê Cao, “</w:t>
      </w:r>
      <w:proofErr w:type="spellStart"/>
      <w:r w:rsidRPr="001456E2">
        <w:rPr>
          <w:sz w:val="16"/>
        </w:rPr>
        <w:t>mixOmics</w:t>
      </w:r>
      <w:proofErr w:type="spellEnd"/>
      <w:r w:rsidRPr="001456E2">
        <w:rPr>
          <w:sz w:val="16"/>
        </w:rPr>
        <w:t xml:space="preserve">: An R package for ’omics feature selection and multiple data integration,” </w:t>
      </w:r>
      <w:proofErr w:type="spellStart"/>
      <w:r w:rsidRPr="001456E2">
        <w:rPr>
          <w:i/>
          <w:iCs/>
          <w:sz w:val="16"/>
        </w:rPr>
        <w:t>PLoS</w:t>
      </w:r>
      <w:proofErr w:type="spellEnd"/>
      <w:r w:rsidRPr="001456E2">
        <w:rPr>
          <w:i/>
          <w:iCs/>
          <w:sz w:val="16"/>
        </w:rPr>
        <w:t xml:space="preserve"> </w:t>
      </w:r>
      <w:proofErr w:type="spellStart"/>
      <w:r w:rsidRPr="001456E2">
        <w:rPr>
          <w:i/>
          <w:iCs/>
          <w:sz w:val="16"/>
        </w:rPr>
        <w:t>Comput</w:t>
      </w:r>
      <w:proofErr w:type="spellEnd"/>
      <w:r w:rsidRPr="001456E2">
        <w:rPr>
          <w:i/>
          <w:iCs/>
          <w:sz w:val="16"/>
        </w:rPr>
        <w:t xml:space="preserve"> Biol</w:t>
      </w:r>
      <w:r w:rsidRPr="001456E2">
        <w:rPr>
          <w:sz w:val="16"/>
        </w:rPr>
        <w:t xml:space="preserve">, vol. 13, no. 11, p. e1005752, Nov. 2017, </w:t>
      </w:r>
      <w:proofErr w:type="spellStart"/>
      <w:r w:rsidRPr="001456E2">
        <w:rPr>
          <w:sz w:val="16"/>
        </w:rPr>
        <w:t>doi</w:t>
      </w:r>
      <w:proofErr w:type="spellEnd"/>
      <w:r w:rsidRPr="001456E2">
        <w:rPr>
          <w:sz w:val="16"/>
        </w:rPr>
        <w:t>: 10.1371/journal.pcbi.1005752.</w:t>
      </w:r>
    </w:p>
    <w:p w14:paraId="5AB889F0" w14:textId="77777777" w:rsidR="001456E2" w:rsidRPr="001456E2" w:rsidRDefault="001456E2" w:rsidP="001456E2">
      <w:pPr>
        <w:pStyle w:val="Bibliography"/>
        <w:jc w:val="both"/>
        <w:rPr>
          <w:sz w:val="16"/>
        </w:rPr>
      </w:pPr>
      <w:r w:rsidRPr="001456E2">
        <w:rPr>
          <w:sz w:val="16"/>
        </w:rPr>
        <w:t>[36]</w:t>
      </w:r>
      <w:r w:rsidRPr="001456E2">
        <w:rPr>
          <w:sz w:val="16"/>
        </w:rPr>
        <w:tab/>
        <w:t xml:space="preserve">M. A. </w:t>
      </w:r>
      <w:proofErr w:type="spellStart"/>
      <w:r w:rsidRPr="001456E2">
        <w:rPr>
          <w:sz w:val="16"/>
        </w:rPr>
        <w:t>Wörheide</w:t>
      </w:r>
      <w:proofErr w:type="spellEnd"/>
      <w:r w:rsidRPr="001456E2">
        <w:rPr>
          <w:sz w:val="16"/>
        </w:rPr>
        <w:t xml:space="preserve">, J. </w:t>
      </w:r>
      <w:proofErr w:type="spellStart"/>
      <w:r w:rsidRPr="001456E2">
        <w:rPr>
          <w:sz w:val="16"/>
        </w:rPr>
        <w:t>Krumsiek</w:t>
      </w:r>
      <w:proofErr w:type="spellEnd"/>
      <w:r w:rsidRPr="001456E2">
        <w:rPr>
          <w:sz w:val="16"/>
        </w:rPr>
        <w:t xml:space="preserve">, G. </w:t>
      </w:r>
      <w:proofErr w:type="spellStart"/>
      <w:r w:rsidRPr="001456E2">
        <w:rPr>
          <w:sz w:val="16"/>
        </w:rPr>
        <w:t>Kastenmüller</w:t>
      </w:r>
      <w:proofErr w:type="spellEnd"/>
      <w:r w:rsidRPr="001456E2">
        <w:rPr>
          <w:sz w:val="16"/>
        </w:rPr>
        <w:t xml:space="preserve">, and M. Arnold, “Multi-omics integration in biomedical research - A metabolomics-centric review,” </w:t>
      </w:r>
      <w:r w:rsidRPr="001456E2">
        <w:rPr>
          <w:i/>
          <w:iCs/>
          <w:sz w:val="16"/>
        </w:rPr>
        <w:t xml:space="preserve">Anal </w:t>
      </w:r>
      <w:proofErr w:type="spellStart"/>
      <w:r w:rsidRPr="001456E2">
        <w:rPr>
          <w:i/>
          <w:iCs/>
          <w:sz w:val="16"/>
        </w:rPr>
        <w:t>Chim</w:t>
      </w:r>
      <w:proofErr w:type="spellEnd"/>
      <w:r w:rsidRPr="001456E2">
        <w:rPr>
          <w:i/>
          <w:iCs/>
          <w:sz w:val="16"/>
        </w:rPr>
        <w:t xml:space="preserve"> Acta</w:t>
      </w:r>
      <w:r w:rsidRPr="001456E2">
        <w:rPr>
          <w:sz w:val="16"/>
        </w:rPr>
        <w:t xml:space="preserve">, vol. 1141, pp. 144–162, Jan. 2021, </w:t>
      </w:r>
      <w:proofErr w:type="spellStart"/>
      <w:r w:rsidRPr="001456E2">
        <w:rPr>
          <w:sz w:val="16"/>
        </w:rPr>
        <w:t>doi</w:t>
      </w:r>
      <w:proofErr w:type="spellEnd"/>
      <w:r w:rsidRPr="001456E2">
        <w:rPr>
          <w:sz w:val="16"/>
        </w:rPr>
        <w:t>: 10.1016/j.aca.2020.10.038.</w:t>
      </w:r>
    </w:p>
    <w:p w14:paraId="749095E0" w14:textId="77777777" w:rsidR="001456E2" w:rsidRPr="001456E2" w:rsidRDefault="001456E2" w:rsidP="001456E2">
      <w:pPr>
        <w:pStyle w:val="Bibliography"/>
        <w:jc w:val="both"/>
        <w:rPr>
          <w:sz w:val="16"/>
        </w:rPr>
      </w:pPr>
      <w:r w:rsidRPr="001456E2">
        <w:rPr>
          <w:sz w:val="16"/>
        </w:rPr>
        <w:t>[37]</w:t>
      </w:r>
      <w:r w:rsidRPr="001456E2">
        <w:rPr>
          <w:sz w:val="16"/>
        </w:rPr>
        <w:tab/>
        <w:t xml:space="preserve">K. Inamura, “Ethical Considerations about Genomic Medicine Implementation: Lessons Learned from the </w:t>
      </w:r>
      <w:proofErr w:type="spellStart"/>
      <w:r w:rsidRPr="001456E2">
        <w:rPr>
          <w:sz w:val="16"/>
        </w:rPr>
        <w:t>eMERGE</w:t>
      </w:r>
      <w:proofErr w:type="spellEnd"/>
      <w:r w:rsidRPr="001456E2">
        <w:rPr>
          <w:sz w:val="16"/>
        </w:rPr>
        <w:t xml:space="preserve"> III Study,” </w:t>
      </w:r>
      <w:r w:rsidRPr="001456E2">
        <w:rPr>
          <w:i/>
          <w:iCs/>
          <w:sz w:val="16"/>
        </w:rPr>
        <w:t>J Pers Med</w:t>
      </w:r>
      <w:r w:rsidRPr="001456E2">
        <w:rPr>
          <w:sz w:val="16"/>
        </w:rPr>
        <w:t xml:space="preserve">, vol. 10, no. 4, p. 195, Oct. 2020, </w:t>
      </w:r>
      <w:proofErr w:type="spellStart"/>
      <w:r w:rsidRPr="001456E2">
        <w:rPr>
          <w:sz w:val="16"/>
        </w:rPr>
        <w:t>doi</w:t>
      </w:r>
      <w:proofErr w:type="spellEnd"/>
      <w:r w:rsidRPr="001456E2">
        <w:rPr>
          <w:sz w:val="16"/>
        </w:rPr>
        <w:t>: 10.3390/jpm10040195.</w:t>
      </w:r>
    </w:p>
    <w:p w14:paraId="69D29C79" w14:textId="77777777" w:rsidR="001456E2" w:rsidRPr="001456E2" w:rsidRDefault="001456E2" w:rsidP="001456E2">
      <w:pPr>
        <w:pStyle w:val="Bibliography"/>
        <w:jc w:val="both"/>
        <w:rPr>
          <w:sz w:val="16"/>
        </w:rPr>
      </w:pPr>
      <w:r w:rsidRPr="001456E2">
        <w:rPr>
          <w:sz w:val="16"/>
        </w:rPr>
        <w:t>[38]</w:t>
      </w:r>
      <w:r w:rsidRPr="001456E2">
        <w:rPr>
          <w:sz w:val="16"/>
        </w:rPr>
        <w:tab/>
        <w:t xml:space="preserve">Y. Joly, K. M. Saulnier, G. </w:t>
      </w:r>
      <w:proofErr w:type="spellStart"/>
      <w:r w:rsidRPr="001456E2">
        <w:rPr>
          <w:sz w:val="16"/>
        </w:rPr>
        <w:t>Osien</w:t>
      </w:r>
      <w:proofErr w:type="spellEnd"/>
      <w:r w:rsidRPr="001456E2">
        <w:rPr>
          <w:sz w:val="16"/>
        </w:rPr>
        <w:t xml:space="preserve">, and B. M. </w:t>
      </w:r>
      <w:proofErr w:type="spellStart"/>
      <w:r w:rsidRPr="001456E2">
        <w:rPr>
          <w:sz w:val="16"/>
        </w:rPr>
        <w:t>Knoppers</w:t>
      </w:r>
      <w:proofErr w:type="spellEnd"/>
      <w:r w:rsidRPr="001456E2">
        <w:rPr>
          <w:sz w:val="16"/>
        </w:rPr>
        <w:t xml:space="preserve">, “The ethical framing of personalized medicine,” </w:t>
      </w:r>
      <w:proofErr w:type="spellStart"/>
      <w:r w:rsidRPr="001456E2">
        <w:rPr>
          <w:i/>
          <w:iCs/>
          <w:sz w:val="16"/>
        </w:rPr>
        <w:t>Curr</w:t>
      </w:r>
      <w:proofErr w:type="spellEnd"/>
      <w:r w:rsidRPr="001456E2">
        <w:rPr>
          <w:i/>
          <w:iCs/>
          <w:sz w:val="16"/>
        </w:rPr>
        <w:t xml:space="preserve"> </w:t>
      </w:r>
      <w:proofErr w:type="spellStart"/>
      <w:r w:rsidRPr="001456E2">
        <w:rPr>
          <w:i/>
          <w:iCs/>
          <w:sz w:val="16"/>
        </w:rPr>
        <w:t>Opin</w:t>
      </w:r>
      <w:proofErr w:type="spellEnd"/>
      <w:r w:rsidRPr="001456E2">
        <w:rPr>
          <w:i/>
          <w:iCs/>
          <w:sz w:val="16"/>
        </w:rPr>
        <w:t xml:space="preserve"> Allergy Clin Immunol</w:t>
      </w:r>
      <w:r w:rsidRPr="001456E2">
        <w:rPr>
          <w:sz w:val="16"/>
        </w:rPr>
        <w:t xml:space="preserve">, vol. 14, no. 5, pp. 404–408, Oct. 2014, </w:t>
      </w:r>
      <w:proofErr w:type="spellStart"/>
      <w:r w:rsidRPr="001456E2">
        <w:rPr>
          <w:sz w:val="16"/>
        </w:rPr>
        <w:t>doi</w:t>
      </w:r>
      <w:proofErr w:type="spellEnd"/>
      <w:r w:rsidRPr="001456E2">
        <w:rPr>
          <w:sz w:val="16"/>
        </w:rPr>
        <w:t>: 10.1097/ACI.0000000000000091.</w:t>
      </w:r>
    </w:p>
    <w:p w14:paraId="4FC9AF97" w14:textId="77777777" w:rsidR="001456E2" w:rsidRPr="001456E2" w:rsidRDefault="001456E2" w:rsidP="001456E2">
      <w:pPr>
        <w:pStyle w:val="Bibliography"/>
        <w:jc w:val="both"/>
        <w:rPr>
          <w:sz w:val="16"/>
        </w:rPr>
      </w:pPr>
      <w:r w:rsidRPr="001456E2">
        <w:rPr>
          <w:sz w:val="16"/>
        </w:rPr>
        <w:t>[39]</w:t>
      </w:r>
      <w:r w:rsidRPr="001456E2">
        <w:rPr>
          <w:sz w:val="16"/>
        </w:rPr>
        <w:tab/>
        <w:t xml:space="preserve">P. </w:t>
      </w:r>
      <w:proofErr w:type="spellStart"/>
      <w:r w:rsidRPr="001456E2">
        <w:rPr>
          <w:sz w:val="16"/>
        </w:rPr>
        <w:t>Salari</w:t>
      </w:r>
      <w:proofErr w:type="spellEnd"/>
      <w:r w:rsidRPr="001456E2">
        <w:rPr>
          <w:sz w:val="16"/>
        </w:rPr>
        <w:t xml:space="preserve"> and B. Larijani, “Ethical Issues Surrounding Personalized Medicine: A Literature Review,” </w:t>
      </w:r>
      <w:r w:rsidRPr="001456E2">
        <w:rPr>
          <w:i/>
          <w:iCs/>
          <w:sz w:val="16"/>
        </w:rPr>
        <w:t>Acta Med Iran</w:t>
      </w:r>
      <w:r w:rsidRPr="001456E2">
        <w:rPr>
          <w:sz w:val="16"/>
        </w:rPr>
        <w:t>, vol. 55, no. 3, pp. 209–217, Mar. 2017.</w:t>
      </w:r>
    </w:p>
    <w:p w14:paraId="07620156" w14:textId="77777777" w:rsidR="001456E2" w:rsidRPr="001456E2" w:rsidRDefault="001456E2" w:rsidP="001456E2">
      <w:pPr>
        <w:pStyle w:val="Bibliography"/>
        <w:jc w:val="both"/>
        <w:rPr>
          <w:sz w:val="16"/>
        </w:rPr>
      </w:pPr>
      <w:r w:rsidRPr="001456E2">
        <w:rPr>
          <w:sz w:val="16"/>
        </w:rPr>
        <w:t>[40]</w:t>
      </w:r>
      <w:r w:rsidRPr="001456E2">
        <w:rPr>
          <w:sz w:val="16"/>
        </w:rPr>
        <w:tab/>
        <w:t xml:space="preserve">J. Zhou, L. Sun, L. Chen, S. Liu, L. Zhong, and M. Cui, “Comprehensive metabolomic and proteomic analyses reveal candidate biomarkers and related metabolic networks in atrial fibrillation,” </w:t>
      </w:r>
      <w:r w:rsidRPr="001456E2">
        <w:rPr>
          <w:i/>
          <w:iCs/>
          <w:sz w:val="16"/>
        </w:rPr>
        <w:t>Metabolomics</w:t>
      </w:r>
      <w:r w:rsidRPr="001456E2">
        <w:rPr>
          <w:sz w:val="16"/>
        </w:rPr>
        <w:t xml:space="preserve">, vol. 15, pp. 1–13, 2019, </w:t>
      </w:r>
      <w:proofErr w:type="spellStart"/>
      <w:r w:rsidRPr="001456E2">
        <w:rPr>
          <w:sz w:val="16"/>
        </w:rPr>
        <w:t>doi</w:t>
      </w:r>
      <w:proofErr w:type="spellEnd"/>
      <w:r w:rsidRPr="001456E2">
        <w:rPr>
          <w:sz w:val="16"/>
        </w:rPr>
        <w:t>: 10.1007/s11306-019-1557-7.</w:t>
      </w:r>
    </w:p>
    <w:p w14:paraId="5F86A582" w14:textId="1750DEA0" w:rsidR="000B5B2F" w:rsidRPr="000B5B2F" w:rsidRDefault="003B7482" w:rsidP="001456E2">
      <w:pPr>
        <w:jc w:val="both"/>
        <w:rPr>
          <w:rFonts w:eastAsia="MS Mincho"/>
        </w:rPr>
      </w:pPr>
      <w:r>
        <w:rPr>
          <w:rFonts w:eastAsia="MS Mincho"/>
        </w:rPr>
        <w:fldChar w:fldCharType="end"/>
      </w:r>
    </w:p>
    <w:p w14:paraId="4B885C52" w14:textId="77777777" w:rsidR="000B5B2F" w:rsidRPr="000B5B2F" w:rsidRDefault="000B5B2F" w:rsidP="000B5B2F">
      <w:pPr>
        <w:rPr>
          <w:rFonts w:eastAsia="MS Mincho"/>
        </w:rPr>
      </w:pPr>
    </w:p>
    <w:p w14:paraId="494A8570" w14:textId="77777777" w:rsidR="000B5B2F" w:rsidRPr="000B5B2F" w:rsidRDefault="000B5B2F" w:rsidP="000B5B2F">
      <w:pPr>
        <w:rPr>
          <w:rFonts w:eastAsia="MS Mincho"/>
        </w:rPr>
      </w:pPr>
    </w:p>
    <w:p w14:paraId="4AEDF6C0" w14:textId="77777777" w:rsidR="000B5B2F" w:rsidRDefault="000B5B2F" w:rsidP="000B5B2F">
      <w:pPr>
        <w:rPr>
          <w:rFonts w:eastAsia="MS Mincho"/>
        </w:rPr>
      </w:pPr>
    </w:p>
    <w:p w14:paraId="261FEE2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7142D" w14:textId="77777777" w:rsidR="003809D3" w:rsidRDefault="003809D3" w:rsidP="001E64C4">
      <w:r>
        <w:separator/>
      </w:r>
    </w:p>
  </w:endnote>
  <w:endnote w:type="continuationSeparator" w:id="0">
    <w:p w14:paraId="3F5C6A74" w14:textId="77777777" w:rsidR="003809D3" w:rsidRDefault="003809D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DD94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DC770" w14:textId="77777777" w:rsidR="003809D3" w:rsidRDefault="003809D3" w:rsidP="001E64C4">
      <w:r>
        <w:separator/>
      </w:r>
    </w:p>
  </w:footnote>
  <w:footnote w:type="continuationSeparator" w:id="0">
    <w:p w14:paraId="45957A9C" w14:textId="77777777" w:rsidR="003809D3" w:rsidRDefault="003809D3"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383BE"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0B7F03"/>
    <w:multiLevelType w:val="hybridMultilevel"/>
    <w:tmpl w:val="B4F8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487D37"/>
    <w:multiLevelType w:val="hybridMultilevel"/>
    <w:tmpl w:val="D2F0E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BF6C41"/>
    <w:multiLevelType w:val="hybridMultilevel"/>
    <w:tmpl w:val="9BA8198E"/>
    <w:lvl w:ilvl="0" w:tplc="BCC8BBB4">
      <w:numFmt w:val="bullet"/>
      <w:lvlText w:val="•"/>
      <w:lvlJc w:val="left"/>
      <w:pPr>
        <w:ind w:left="0" w:hanging="360"/>
      </w:pPr>
      <w:rPr>
        <w:rFonts w:ascii="Times New Roman" w:eastAsia="MS Mincho"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AB0183F"/>
    <w:multiLevelType w:val="hybridMultilevel"/>
    <w:tmpl w:val="E800C8EC"/>
    <w:lvl w:ilvl="0" w:tplc="BCC8BBB4">
      <w:numFmt w:val="bullet"/>
      <w:lvlText w:val="•"/>
      <w:lvlJc w:val="left"/>
      <w:pPr>
        <w:ind w:left="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9F54AE2"/>
    <w:multiLevelType w:val="hybridMultilevel"/>
    <w:tmpl w:val="211CA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9B1343"/>
    <w:multiLevelType w:val="hybridMultilevel"/>
    <w:tmpl w:val="446E8CDA"/>
    <w:lvl w:ilvl="0" w:tplc="006A476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22394A"/>
    <w:multiLevelType w:val="hybridMultilevel"/>
    <w:tmpl w:val="36DE5BCC"/>
    <w:lvl w:ilvl="0" w:tplc="BCC8BBB4">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315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C2673F4"/>
    <w:multiLevelType w:val="hybridMultilevel"/>
    <w:tmpl w:val="3CA6FAB0"/>
    <w:lvl w:ilvl="0" w:tplc="BCC8BBB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7" w15:restartNumberingAfterBreak="0">
    <w:nsid w:val="70635AAE"/>
    <w:multiLevelType w:val="hybridMultilevel"/>
    <w:tmpl w:val="15DC1F9E"/>
    <w:lvl w:ilvl="0" w:tplc="BCC8BBB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15"/>
  </w:num>
  <w:num w:numId="3">
    <w:abstractNumId w:val="6"/>
  </w:num>
  <w:num w:numId="4">
    <w:abstractNumId w:val="12"/>
  </w:num>
  <w:num w:numId="5">
    <w:abstractNumId w:val="12"/>
  </w:num>
  <w:num w:numId="6">
    <w:abstractNumId w:val="12"/>
  </w:num>
  <w:num w:numId="7">
    <w:abstractNumId w:val="12"/>
  </w:num>
  <w:num w:numId="8">
    <w:abstractNumId w:val="13"/>
  </w:num>
  <w:num w:numId="9">
    <w:abstractNumId w:val="16"/>
  </w:num>
  <w:num w:numId="10">
    <w:abstractNumId w:val="11"/>
  </w:num>
  <w:num w:numId="11">
    <w:abstractNumId w:val="5"/>
  </w:num>
  <w:num w:numId="12">
    <w:abstractNumId w:val="18"/>
  </w:num>
  <w:num w:numId="13">
    <w:abstractNumId w:val="0"/>
  </w:num>
  <w:num w:numId="14">
    <w:abstractNumId w:val="7"/>
  </w:num>
  <w:num w:numId="15">
    <w:abstractNumId w:val="8"/>
  </w:num>
  <w:num w:numId="16">
    <w:abstractNumId w:val="2"/>
  </w:num>
  <w:num w:numId="17">
    <w:abstractNumId w:val="1"/>
  </w:num>
  <w:num w:numId="18">
    <w:abstractNumId w:val="3"/>
  </w:num>
  <w:num w:numId="19">
    <w:abstractNumId w:val="14"/>
  </w:num>
  <w:num w:numId="20">
    <w:abstractNumId w:val="17"/>
  </w:num>
  <w:num w:numId="21">
    <w:abstractNumId w:val="9"/>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xNjMzMLYwNzUwMzdQ0lEKTi0uzszPAykwqQUAXsrdvywAAAA="/>
  </w:docVars>
  <w:rsids>
    <w:rsidRoot w:val="003A59A6"/>
    <w:rsid w:val="000026B6"/>
    <w:rsid w:val="00012DED"/>
    <w:rsid w:val="0001787B"/>
    <w:rsid w:val="00036715"/>
    <w:rsid w:val="0004390D"/>
    <w:rsid w:val="00070FAB"/>
    <w:rsid w:val="0008027E"/>
    <w:rsid w:val="000B4641"/>
    <w:rsid w:val="000B5B2F"/>
    <w:rsid w:val="000D5355"/>
    <w:rsid w:val="000F456A"/>
    <w:rsid w:val="0010711E"/>
    <w:rsid w:val="00125E34"/>
    <w:rsid w:val="00127EDD"/>
    <w:rsid w:val="001456E2"/>
    <w:rsid w:val="001576F5"/>
    <w:rsid w:val="0018330F"/>
    <w:rsid w:val="001B617D"/>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809D3"/>
    <w:rsid w:val="00390F41"/>
    <w:rsid w:val="003A47B5"/>
    <w:rsid w:val="003A59A6"/>
    <w:rsid w:val="003B7482"/>
    <w:rsid w:val="00402841"/>
    <w:rsid w:val="00402C25"/>
    <w:rsid w:val="00402D10"/>
    <w:rsid w:val="004059FE"/>
    <w:rsid w:val="004171C7"/>
    <w:rsid w:val="00430355"/>
    <w:rsid w:val="00433686"/>
    <w:rsid w:val="004445B3"/>
    <w:rsid w:val="004562BA"/>
    <w:rsid w:val="0046220E"/>
    <w:rsid w:val="00466548"/>
    <w:rsid w:val="00466EED"/>
    <w:rsid w:val="00475624"/>
    <w:rsid w:val="004A68BE"/>
    <w:rsid w:val="004B2748"/>
    <w:rsid w:val="004B67B5"/>
    <w:rsid w:val="004C04C8"/>
    <w:rsid w:val="004C3DF5"/>
    <w:rsid w:val="004D0C58"/>
    <w:rsid w:val="004E0B04"/>
    <w:rsid w:val="004E7372"/>
    <w:rsid w:val="00523BBF"/>
    <w:rsid w:val="00525FAE"/>
    <w:rsid w:val="00530820"/>
    <w:rsid w:val="005319C6"/>
    <w:rsid w:val="00545B51"/>
    <w:rsid w:val="00552F05"/>
    <w:rsid w:val="0057525D"/>
    <w:rsid w:val="0057602F"/>
    <w:rsid w:val="005818F8"/>
    <w:rsid w:val="005957E3"/>
    <w:rsid w:val="005974A7"/>
    <w:rsid w:val="005A579C"/>
    <w:rsid w:val="005B520E"/>
    <w:rsid w:val="005B535B"/>
    <w:rsid w:val="005C1954"/>
    <w:rsid w:val="005F10BD"/>
    <w:rsid w:val="005F3022"/>
    <w:rsid w:val="005F7348"/>
    <w:rsid w:val="006108A4"/>
    <w:rsid w:val="006122E9"/>
    <w:rsid w:val="00646FA0"/>
    <w:rsid w:val="00655A28"/>
    <w:rsid w:val="0069740E"/>
    <w:rsid w:val="006B3571"/>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D5EF5"/>
    <w:rsid w:val="007F00F0"/>
    <w:rsid w:val="007F7044"/>
    <w:rsid w:val="008014D2"/>
    <w:rsid w:val="008054BC"/>
    <w:rsid w:val="00823839"/>
    <w:rsid w:val="00837386"/>
    <w:rsid w:val="008609CA"/>
    <w:rsid w:val="00875DFE"/>
    <w:rsid w:val="008A55B5"/>
    <w:rsid w:val="008A75C8"/>
    <w:rsid w:val="008B5270"/>
    <w:rsid w:val="00924FB9"/>
    <w:rsid w:val="0092568F"/>
    <w:rsid w:val="0097508D"/>
    <w:rsid w:val="009A7567"/>
    <w:rsid w:val="009C71CF"/>
    <w:rsid w:val="009D170D"/>
    <w:rsid w:val="00A236A0"/>
    <w:rsid w:val="00A510F7"/>
    <w:rsid w:val="00AA0700"/>
    <w:rsid w:val="00AC6519"/>
    <w:rsid w:val="00AD601F"/>
    <w:rsid w:val="00B0160B"/>
    <w:rsid w:val="00B044A6"/>
    <w:rsid w:val="00B20C8E"/>
    <w:rsid w:val="00B62E35"/>
    <w:rsid w:val="00BB433E"/>
    <w:rsid w:val="00C0280F"/>
    <w:rsid w:val="00C05F7C"/>
    <w:rsid w:val="00C44CA6"/>
    <w:rsid w:val="00C703F9"/>
    <w:rsid w:val="00C82F76"/>
    <w:rsid w:val="00CB0271"/>
    <w:rsid w:val="00CB66E6"/>
    <w:rsid w:val="00CE66F1"/>
    <w:rsid w:val="00CF25D6"/>
    <w:rsid w:val="00D01167"/>
    <w:rsid w:val="00D6227A"/>
    <w:rsid w:val="00D72779"/>
    <w:rsid w:val="00D9156D"/>
    <w:rsid w:val="00DB42A0"/>
    <w:rsid w:val="00E11872"/>
    <w:rsid w:val="00E345D6"/>
    <w:rsid w:val="00E64088"/>
    <w:rsid w:val="00E91219"/>
    <w:rsid w:val="00E97E42"/>
    <w:rsid w:val="00EA506F"/>
    <w:rsid w:val="00EA53DF"/>
    <w:rsid w:val="00EC6857"/>
    <w:rsid w:val="00EE4362"/>
    <w:rsid w:val="00EF18D7"/>
    <w:rsid w:val="00EF1E8A"/>
    <w:rsid w:val="00EF3A1A"/>
    <w:rsid w:val="00F00C5D"/>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13651E5"/>
  <w15:docId w15:val="{1FE94177-4D2D-4678-A80B-4741F446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C58"/>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57525D"/>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ibliography">
    <w:name w:val="Bibliography"/>
    <w:basedOn w:val="Normal"/>
    <w:next w:val="Normal"/>
    <w:uiPriority w:val="37"/>
    <w:unhideWhenUsed/>
    <w:rsid w:val="00402D10"/>
    <w:pPr>
      <w:tabs>
        <w:tab w:val="left" w:pos="504"/>
      </w:tabs>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518</TotalTime>
  <Pages>8</Pages>
  <Words>11946</Words>
  <Characters>68097</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79884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kiran smart</cp:lastModifiedBy>
  <cp:revision>18</cp:revision>
  <cp:lastPrinted>2014-07-26T15:11:00Z</cp:lastPrinted>
  <dcterms:created xsi:type="dcterms:W3CDTF">2022-06-17T12:11:00Z</dcterms:created>
  <dcterms:modified xsi:type="dcterms:W3CDTF">2023-08-25T16:07:00Z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id="wLYgQMfb"/&gt;&lt;style id="http://www.zotero.org/styles/ieee" locale="en-US" hasBibliography="1" bibliographyStyleHasBeenSet="1"/&gt;&lt;prefs&gt;&lt;pref name="fieldType" value="Field"/&gt;&lt;/prefs&gt;&lt;/data&gt;</vt:lpwstr>
  </property>
</Properties>
</file>