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5DA" w:rsidRDefault="00FB29CA" w:rsidP="009F2F67">
      <w:pPr>
        <w:spacing w:after="240" w:line="360" w:lineRule="auto"/>
        <w:jc w:val="center"/>
        <w:rPr>
          <w:b/>
          <w:bCs/>
          <w:sz w:val="28"/>
          <w:szCs w:val="28"/>
          <w:u w:val="single"/>
        </w:rPr>
      </w:pPr>
      <w:r w:rsidRPr="009F2F67">
        <w:rPr>
          <w:b/>
          <w:bCs/>
          <w:sz w:val="28"/>
          <w:szCs w:val="28"/>
          <w:u w:val="single"/>
        </w:rPr>
        <w:t>Mycotoxicosis- A systematic review on Mycotoxin induced toxicities and Diseases</w:t>
      </w:r>
    </w:p>
    <w:p w:rsidR="00405865" w:rsidRPr="00C76482" w:rsidRDefault="00405865" w:rsidP="009F2F67">
      <w:pPr>
        <w:spacing w:after="240" w:line="360" w:lineRule="auto"/>
        <w:jc w:val="center"/>
        <w:rPr>
          <w:b/>
          <w:bCs/>
          <w:sz w:val="28"/>
          <w:szCs w:val="28"/>
          <w:u w:val="single"/>
          <w:vertAlign w:val="superscript"/>
        </w:rPr>
      </w:pPr>
      <w:r w:rsidRPr="00911AC8">
        <w:rPr>
          <w:b/>
          <w:bCs/>
        </w:rPr>
        <w:t>Sujatha B</w:t>
      </w:r>
      <w:r w:rsidRPr="00C76482">
        <w:rPr>
          <w:b/>
          <w:bCs/>
        </w:rPr>
        <w:t>*</w:t>
      </w:r>
      <w:r w:rsidRPr="00C76482">
        <w:rPr>
          <w:b/>
          <w:bCs/>
          <w:vertAlign w:val="superscript"/>
        </w:rPr>
        <w:t>a</w:t>
      </w:r>
      <w:r w:rsidRPr="00C76482">
        <w:rPr>
          <w:b/>
          <w:bCs/>
        </w:rPr>
        <w:t>,</w:t>
      </w:r>
      <w:r w:rsidRPr="00911AC8">
        <w:rPr>
          <w:b/>
          <w:bCs/>
        </w:rPr>
        <w:t xml:space="preserve"> Dhanalakshmi G</w:t>
      </w:r>
      <w:r w:rsidR="00FB17B3" w:rsidRPr="00C76482">
        <w:rPr>
          <w:b/>
          <w:bCs/>
          <w:vertAlign w:val="superscript"/>
        </w:rPr>
        <w:t>b</w:t>
      </w:r>
      <w:r w:rsidRPr="00911AC8">
        <w:rPr>
          <w:b/>
          <w:bCs/>
        </w:rPr>
        <w:t xml:space="preserve">, Nethra </w:t>
      </w:r>
      <w:r w:rsidR="00FB17B3" w:rsidRPr="00911AC8">
        <w:rPr>
          <w:b/>
          <w:bCs/>
        </w:rPr>
        <w:t>Subramanyam</w:t>
      </w:r>
      <w:r w:rsidR="00C76482">
        <w:rPr>
          <w:b/>
          <w:bCs/>
          <w:vertAlign w:val="superscript"/>
        </w:rPr>
        <w:t>C</w:t>
      </w:r>
    </w:p>
    <w:p w:rsidR="009C6113" w:rsidRPr="00911AC8" w:rsidRDefault="009C6113" w:rsidP="00FB17B3">
      <w:pPr>
        <w:spacing w:line="360" w:lineRule="auto"/>
        <w:contextualSpacing/>
        <w:mirrorIndents/>
        <w:jc w:val="both"/>
      </w:pPr>
      <w:r w:rsidRPr="00911AC8">
        <w:t>*</w:t>
      </w:r>
      <w:r w:rsidR="00FB17B3">
        <w:rPr>
          <w:vertAlign w:val="superscript"/>
        </w:rPr>
        <w:t>a</w:t>
      </w:r>
      <w:r w:rsidRPr="00911AC8">
        <w:t xml:space="preserve">Department of Microbiology, Padmashree Institute of Management and Sciences, </w:t>
      </w:r>
      <w:r>
        <w:t xml:space="preserve">Kommaghatta, </w:t>
      </w:r>
      <w:r w:rsidRPr="00911AC8">
        <w:t>Bangalore -560069. sujathabachu80@gmail.com</w:t>
      </w:r>
    </w:p>
    <w:p w:rsidR="009C6113" w:rsidRPr="00911AC8" w:rsidRDefault="009C6113" w:rsidP="00FB17B3">
      <w:pPr>
        <w:spacing w:line="360" w:lineRule="auto"/>
        <w:contextualSpacing/>
        <w:mirrorIndents/>
        <w:jc w:val="both"/>
      </w:pPr>
      <w:r w:rsidRPr="00476DF3">
        <w:rPr>
          <w:sz w:val="28"/>
          <w:szCs w:val="28"/>
          <w:vertAlign w:val="superscript"/>
        </w:rPr>
        <w:t>a</w:t>
      </w:r>
      <w:r w:rsidRPr="00911AC8">
        <w:t>Department of Biochemistry,Padmashree Institute of Management and Sciences, Kommaghatta</w:t>
      </w:r>
      <w:r>
        <w:t>,</w:t>
      </w:r>
      <w:r w:rsidRPr="00911AC8">
        <w:t xml:space="preserve"> Bangalore-560069</w:t>
      </w:r>
      <w:r w:rsidR="00592AD9">
        <w:t>.</w:t>
      </w:r>
    </w:p>
    <w:p w:rsidR="009F2F67" w:rsidRPr="00A64DB3" w:rsidRDefault="009D2B23" w:rsidP="009D2B23">
      <w:pPr>
        <w:spacing w:after="240" w:line="360" w:lineRule="auto"/>
        <w:jc w:val="both"/>
      </w:pPr>
      <w:r>
        <w:rPr>
          <w:sz w:val="28"/>
          <w:szCs w:val="28"/>
          <w:vertAlign w:val="superscript"/>
        </w:rPr>
        <w:t>c</w:t>
      </w:r>
      <w:r w:rsidR="009C6113" w:rsidRPr="00911AC8">
        <w:t>Department of Biotechnology, Padmashree Institute of Management and Sciences,</w:t>
      </w:r>
      <w:r w:rsidR="00FB17B3" w:rsidRPr="00911AC8">
        <w:t>Kommaghatta</w:t>
      </w:r>
      <w:r w:rsidR="00FB17B3">
        <w:t>,</w:t>
      </w:r>
      <w:r w:rsidR="00FB17B3" w:rsidRPr="00911AC8">
        <w:t xml:space="preserve"> Bangalore-560069</w:t>
      </w:r>
      <w:r w:rsidR="00592AD9">
        <w:t>.</w:t>
      </w:r>
    </w:p>
    <w:p w:rsidR="009E15DA" w:rsidRPr="009D2B23" w:rsidRDefault="00FB29CA" w:rsidP="009F2F67">
      <w:pPr>
        <w:spacing w:before="240" w:after="240" w:line="360" w:lineRule="auto"/>
        <w:jc w:val="center"/>
        <w:rPr>
          <w:sz w:val="28"/>
          <w:szCs w:val="28"/>
        </w:rPr>
      </w:pPr>
      <w:r w:rsidRPr="009D2B23">
        <w:rPr>
          <w:b/>
          <w:bCs/>
          <w:sz w:val="28"/>
          <w:szCs w:val="28"/>
          <w:u w:val="single"/>
        </w:rPr>
        <w:t>Abstract</w:t>
      </w:r>
    </w:p>
    <w:p w:rsidR="009E15DA" w:rsidRPr="00A64DB3" w:rsidRDefault="00FB29CA" w:rsidP="0026558A">
      <w:pPr>
        <w:spacing w:before="240" w:after="240" w:line="360" w:lineRule="auto"/>
        <w:jc w:val="both"/>
      </w:pPr>
      <w:r w:rsidRPr="00A64DB3">
        <w:t>Mycotoxins are one of the most commonly found toxins distributed in the environment everywhere. Recent investigations reveal that nearly 300 to 400 types of mycotoxins exist today. Mycotoxicosis is a severe pathological condition caused by Mycotoxins. There are several types of mycotoxins released by various fungi, and different fungi can release the same kind of Mycotoxins. Some of the best examples are aflatoxins, trichothecenes, citrinin, patulin, ergot alkaloids, fumonisins, patulin, and ochratoxins. Mycotoxins are capable of causing severe diseases ranging from allergies to acute infection in a wide variety of hosts, including humans and animals. They enter into the food chain by infecting the crops. Many intrinsic and extrinsic factors easily aid the organism in infecting the crops. The reason behind releasing the toxin is unknown, but it helps the organism to increase inside the host and compromises the host's immune system. They often colonize cereals, legumes, oilseeds, nuts, animal products, poultry, and dairy products. The main route of entry is through contaminated food products. Once they gain access to the living system, they will establish themselves in the target organ like the liver and the central nervous system through blood and lymph, exerting systemic and local toxicity. The present emphasizes the importance of mycotoxin-induced toxicity and its prevention.</w:t>
      </w:r>
    </w:p>
    <w:p w:rsidR="009E15DA" w:rsidRPr="00A64DB3" w:rsidRDefault="00FB29CA" w:rsidP="001355F8">
      <w:pPr>
        <w:spacing w:before="240" w:after="240" w:line="360" w:lineRule="auto"/>
        <w:jc w:val="both"/>
      </w:pPr>
      <w:r w:rsidRPr="00A64DB3">
        <w:t xml:space="preserve">Keywords: Aflatoxins, ochratoxins, mycotoxicosis, </w:t>
      </w:r>
      <w:r w:rsidR="001355F8">
        <w:t xml:space="preserve">oil </w:t>
      </w:r>
      <w:r w:rsidR="00290FE2">
        <w:t>seed</w:t>
      </w:r>
    </w:p>
    <w:p w:rsidR="009E15DA" w:rsidRPr="00A64DB3" w:rsidRDefault="009E15DA" w:rsidP="00A64DB3">
      <w:pPr>
        <w:spacing w:before="240" w:after="240" w:line="360" w:lineRule="auto"/>
      </w:pPr>
    </w:p>
    <w:p w:rsidR="009E15DA" w:rsidRPr="00A64DB3" w:rsidRDefault="00FB29CA" w:rsidP="001355F8">
      <w:pPr>
        <w:spacing w:before="240" w:after="240" w:line="360" w:lineRule="auto"/>
        <w:jc w:val="both"/>
      </w:pPr>
      <w:r w:rsidRPr="00A64DB3">
        <w:rPr>
          <w:b/>
          <w:bCs/>
        </w:rPr>
        <w:lastRenderedPageBreak/>
        <w:t>Introduction:</w:t>
      </w:r>
    </w:p>
    <w:p w:rsidR="009E15DA" w:rsidRPr="00A64DB3" w:rsidRDefault="00FB29CA" w:rsidP="001355F8">
      <w:pPr>
        <w:spacing w:before="240" w:after="240" w:line="360" w:lineRule="auto"/>
        <w:jc w:val="both"/>
      </w:pPr>
      <w:r w:rsidRPr="00A64DB3">
        <w:t>Microorganisms are present here and there everywhere surrounding us. Fungi are eukaryotic organisms whose growth can be seen on suitable substrates like food, wood, walls, clothes, etc., wherever moisture is available. All the bakery foods, vegetables, and fruits show a considerable amount of this fungi. Generally, we remove and use the infected part whenever we see any contaminated food item with fungi. However, one should be careful in consuming contaminated foods, as the toxins might have also spread to the healthy part.</w:t>
      </w:r>
    </w:p>
    <w:p w:rsidR="009E15DA" w:rsidRPr="00A64DB3" w:rsidRDefault="00FB29CA" w:rsidP="001355F8">
      <w:pPr>
        <w:spacing w:before="240" w:after="240" w:line="360" w:lineRule="auto"/>
        <w:jc w:val="both"/>
      </w:pPr>
      <w:r w:rsidRPr="00A64DB3">
        <w:t>Mycotoxins are one of the secondary metabolites produced by the fungus. Secondary metabolites are those compounds that will not participate in the growth and metabolism of the organisms. Mycotoxins make the environment favorable for the fungi to grow. In other words, they help the fungi to increase in the target sites.</w:t>
      </w:r>
    </w:p>
    <w:p w:rsidR="009E15DA" w:rsidRPr="00A64DB3" w:rsidRDefault="00FB29CA" w:rsidP="001355F8">
      <w:pPr>
        <w:spacing w:before="240" w:after="240" w:line="360" w:lineRule="auto"/>
        <w:jc w:val="both"/>
      </w:pPr>
      <w:r w:rsidRPr="00A64DB3">
        <w:t>An important question arises what makes the molds infect? Their association with food substrates is considered an indication of the pathogenesis of the organisms</w:t>
      </w:r>
      <w:r w:rsidR="001E3B65">
        <w:t>[1]</w:t>
      </w:r>
      <w:r w:rsidRPr="00A64DB3">
        <w:t>. Many of our foods act as excellent growth media for the growth of fungi.</w:t>
      </w:r>
    </w:p>
    <w:p w:rsidR="009E15DA" w:rsidRPr="00A64DB3" w:rsidRDefault="00FB29CA" w:rsidP="001355F8">
      <w:pPr>
        <w:spacing w:before="240" w:after="240" w:line="360" w:lineRule="auto"/>
        <w:jc w:val="both"/>
      </w:pPr>
      <w:r w:rsidRPr="00A64DB3">
        <w:t>The association of these organisms with foods is beneficial, resulting in various fermented foods.</w:t>
      </w:r>
    </w:p>
    <w:p w:rsidR="009E15DA" w:rsidRPr="00A64DB3" w:rsidRDefault="00FB29CA" w:rsidP="001355F8">
      <w:pPr>
        <w:spacing w:before="240" w:after="240" w:line="360" w:lineRule="auto"/>
        <w:jc w:val="both"/>
      </w:pPr>
      <w:r w:rsidRPr="00A64DB3">
        <w:t>The factors which favor the growth of fungi include:</w:t>
      </w:r>
    </w:p>
    <w:p w:rsidR="009E15DA" w:rsidRPr="00A64DB3" w:rsidRDefault="00FB29CA" w:rsidP="001355F8">
      <w:pPr>
        <w:numPr>
          <w:ilvl w:val="0"/>
          <w:numId w:val="1"/>
        </w:numPr>
        <w:spacing w:before="240" w:line="360" w:lineRule="auto"/>
        <w:ind w:hanging="204"/>
        <w:jc w:val="both"/>
      </w:pPr>
      <w:r w:rsidRPr="00A64DB3">
        <w:t>Hydrogen ion concentration.</w:t>
      </w:r>
    </w:p>
    <w:p w:rsidR="009E15DA" w:rsidRPr="00A64DB3" w:rsidRDefault="00FB29CA" w:rsidP="001355F8">
      <w:pPr>
        <w:numPr>
          <w:ilvl w:val="0"/>
          <w:numId w:val="1"/>
        </w:numPr>
        <w:spacing w:line="360" w:lineRule="auto"/>
        <w:ind w:hanging="204"/>
        <w:jc w:val="both"/>
      </w:pPr>
      <w:r w:rsidRPr="00A64DB3">
        <w:t>Oxidation-reduction potential.</w:t>
      </w:r>
    </w:p>
    <w:p w:rsidR="009E15DA" w:rsidRPr="00A64DB3" w:rsidRDefault="00FB29CA" w:rsidP="001355F8">
      <w:pPr>
        <w:numPr>
          <w:ilvl w:val="0"/>
          <w:numId w:val="1"/>
        </w:numPr>
        <w:spacing w:line="360" w:lineRule="auto"/>
        <w:ind w:hanging="204"/>
        <w:jc w:val="both"/>
      </w:pPr>
      <w:r w:rsidRPr="00A64DB3">
        <w:t>Nutrient composition.</w:t>
      </w:r>
    </w:p>
    <w:p w:rsidR="009E15DA" w:rsidRPr="00A64DB3" w:rsidRDefault="00FB29CA" w:rsidP="001355F8">
      <w:pPr>
        <w:numPr>
          <w:ilvl w:val="0"/>
          <w:numId w:val="1"/>
        </w:numPr>
        <w:spacing w:after="240" w:line="360" w:lineRule="auto"/>
        <w:ind w:hanging="204"/>
        <w:jc w:val="both"/>
      </w:pPr>
      <w:r w:rsidRPr="00A64DB3">
        <w:t>The presence of barriers like growth inhibitory substances.</w:t>
      </w:r>
    </w:p>
    <w:p w:rsidR="009E15DA" w:rsidRPr="00A64DB3" w:rsidRDefault="00FB29CA" w:rsidP="001355F8">
      <w:pPr>
        <w:spacing w:before="240" w:after="240" w:line="360" w:lineRule="auto"/>
        <w:jc w:val="both"/>
      </w:pPr>
      <w:r w:rsidRPr="00A64DB3">
        <w:t>A combined effect of the above factors can successfully inhibit the growth of a particular group of organisms.</w:t>
      </w:r>
    </w:p>
    <w:p w:rsidR="009E15DA" w:rsidRPr="00A64DB3" w:rsidRDefault="00FB29CA" w:rsidP="001355F8">
      <w:pPr>
        <w:spacing w:before="240" w:after="240" w:line="360" w:lineRule="auto"/>
        <w:jc w:val="both"/>
      </w:pPr>
      <w:r w:rsidRPr="00A64DB3">
        <w:t>The present study emphasizes the pathological condition of these mycotoxins. Mycotoxins are potentially toxic to human beings and animals. The growth of fungus in a host is termed mycoses</w:t>
      </w:r>
      <w:r w:rsidR="001E3B65">
        <w:t xml:space="preserve"> [2]</w:t>
      </w:r>
      <w:r w:rsidRPr="00A64DB3">
        <w:t>. On the other hand, the disease caused because of exposure to fungi toxins is called mycotoxicosis.</w:t>
      </w:r>
    </w:p>
    <w:p w:rsidR="009E15DA" w:rsidRPr="00A64DB3" w:rsidRDefault="00FB29CA" w:rsidP="001355F8">
      <w:pPr>
        <w:spacing w:before="240" w:after="240" w:line="360" w:lineRule="auto"/>
        <w:jc w:val="both"/>
      </w:pPr>
      <w:r w:rsidRPr="00A64DB3">
        <w:lastRenderedPageBreak/>
        <w:t xml:space="preserve">Production of Mycotoxins occurs in warm and humid conditions. Fungi that produce mycotoxins are mycotoxin fungi </w:t>
      </w:r>
      <w:r w:rsidR="005B0B35">
        <w:t>[3]</w:t>
      </w:r>
      <w:r w:rsidRPr="00A64DB3">
        <w:t>.</w:t>
      </w:r>
    </w:p>
    <w:p w:rsidR="009E15DA" w:rsidRPr="00A64DB3" w:rsidRDefault="00FB29CA" w:rsidP="001355F8">
      <w:pPr>
        <w:spacing w:before="240" w:after="240" w:line="360" w:lineRule="auto"/>
        <w:jc w:val="both"/>
      </w:pPr>
      <w:r w:rsidRPr="00A64DB3">
        <w:t>Mycotoxins occupy a wide variety of food like nuts, cereals, milk, meat, etc. They enter the food chain through contaminated foods</w:t>
      </w:r>
      <w:r w:rsidR="00592AD9">
        <w:t xml:space="preserve"> [5]</w:t>
      </w:r>
      <w:r w:rsidRPr="00A64DB3">
        <w:t>.</w:t>
      </w:r>
    </w:p>
    <w:p w:rsidR="00592AD9" w:rsidRDefault="00FB29CA" w:rsidP="001355F8">
      <w:pPr>
        <w:spacing w:before="240" w:after="240" w:line="360" w:lineRule="auto"/>
        <w:jc w:val="both"/>
      </w:pPr>
      <w:r w:rsidRPr="00A64DB3">
        <w:rPr>
          <w:b/>
          <w:bCs/>
        </w:rPr>
        <w:t>History of Mycotoxins:</w:t>
      </w:r>
    </w:p>
    <w:p w:rsidR="009E15DA" w:rsidRPr="00A64DB3" w:rsidRDefault="00FB29CA" w:rsidP="001355F8">
      <w:pPr>
        <w:spacing w:before="240" w:after="240" w:line="360" w:lineRule="auto"/>
        <w:jc w:val="both"/>
      </w:pPr>
      <w:r w:rsidRPr="00A64DB3">
        <w:t>In 1992 a mysterious outbreak of a disease called Turkey X disease</w:t>
      </w:r>
      <w:r w:rsidR="00592AD9">
        <w:t xml:space="preserve"> [6]</w:t>
      </w:r>
      <w:r w:rsidRPr="00A64DB3">
        <w:t xml:space="preserve"> resulted in the death of 100,000 poultry animals. It was because of the consumption of peanut meal. by turkey, infested with </w:t>
      </w:r>
      <w:r w:rsidRPr="00A64DB3">
        <w:rPr>
          <w:i/>
          <w:iCs/>
        </w:rPr>
        <w:t>Aspergillus flavus</w:t>
      </w:r>
      <w:r w:rsidRPr="00A64DB3">
        <w:t xml:space="preserve">. </w:t>
      </w:r>
    </w:p>
    <w:p w:rsidR="009E15DA" w:rsidRPr="00A64DB3" w:rsidRDefault="00FB29CA" w:rsidP="001355F8">
      <w:pPr>
        <w:spacing w:before="240" w:after="240" w:line="360" w:lineRule="auto"/>
        <w:jc w:val="both"/>
      </w:pPr>
      <w:r w:rsidRPr="00A64DB3">
        <w:rPr>
          <w:b/>
          <w:bCs/>
        </w:rPr>
        <w:t>Aflatoxins:</w:t>
      </w:r>
    </w:p>
    <w:p w:rsidR="009E15DA" w:rsidRDefault="00FB29CA" w:rsidP="001355F8">
      <w:pPr>
        <w:spacing w:before="240" w:after="240" w:line="360" w:lineRule="auto"/>
        <w:jc w:val="both"/>
      </w:pPr>
      <w:r w:rsidRPr="00A64DB3">
        <w:t xml:space="preserve">These are a group of toxins produced by </w:t>
      </w:r>
      <w:r w:rsidRPr="00A64DB3">
        <w:rPr>
          <w:i/>
          <w:iCs/>
        </w:rPr>
        <w:t>A. flavus</w:t>
      </w:r>
      <w:r w:rsidRPr="00A64DB3">
        <w:t xml:space="preserve"> and </w:t>
      </w:r>
      <w:r w:rsidRPr="00A64DB3">
        <w:rPr>
          <w:i/>
          <w:iCs/>
        </w:rPr>
        <w:t>A.parasiticus</w:t>
      </w:r>
      <w:r w:rsidRPr="00A64DB3">
        <w:t xml:space="preserve">. It is one of the most investigated mycotoxins because it infects all most all staple food grains like rice, wheat sorghum, maize, groundnut, etc. Environmental factors favor or influence </w:t>
      </w:r>
      <w:proofErr w:type="gramStart"/>
      <w:r w:rsidRPr="00A64DB3">
        <w:t>The</w:t>
      </w:r>
      <w:proofErr w:type="gramEnd"/>
      <w:r w:rsidRPr="00A64DB3">
        <w:t xml:space="preserve"> organism's growth, especially temperature and humidity</w:t>
      </w:r>
      <w:r w:rsidR="008730B9">
        <w:t xml:space="preserve"> [7]</w:t>
      </w:r>
      <w:r w:rsidRPr="00A64DB3">
        <w:t xml:space="preserve">. Major aflatoxins that impact the individual's health status are B1, B2, G1, and </w:t>
      </w:r>
      <w:proofErr w:type="gramStart"/>
      <w:r w:rsidRPr="00A64DB3">
        <w:t>G2</w:t>
      </w:r>
      <w:r w:rsidR="00A1618E">
        <w:t>Fig :</w:t>
      </w:r>
      <w:proofErr w:type="gramEnd"/>
      <w:r w:rsidR="00A1618E">
        <w:t xml:space="preserve"> 1</w:t>
      </w:r>
      <w:r w:rsidRPr="00A64DB3">
        <w:t>. These aflatoxins are identified better on the kind of fluorescence they emit under ultraviolet rays. Among these, B1 is considered the most potent toxin. These aflatoxins are present in various foods in different proportions. When animals consume this aflatoxin-contaminated food, they enter into their products like milk. The toxins found in milk are called M1 and M2.</w:t>
      </w:r>
    </w:p>
    <w:p w:rsidR="00F718E2" w:rsidRDefault="00A1618E" w:rsidP="001355F8">
      <w:pPr>
        <w:spacing w:before="240" w:after="240" w:line="360" w:lineRule="auto"/>
        <w:jc w:val="both"/>
      </w:pPr>
      <w:r>
        <w:rPr>
          <w:noProof/>
        </w:rPr>
        <w:lastRenderedPageBreak/>
        <w:drawing>
          <wp:inline distT="0" distB="0" distL="0" distR="0">
            <wp:extent cx="5458265" cy="3253966"/>
            <wp:effectExtent l="0" t="0" r="0" b="0"/>
            <wp:docPr id="985953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58265" cy="3253966"/>
                    </a:xfrm>
                    <a:prstGeom prst="rect">
                      <a:avLst/>
                    </a:prstGeom>
                    <a:noFill/>
                    <a:ln>
                      <a:noFill/>
                    </a:ln>
                  </pic:spPr>
                </pic:pic>
              </a:graphicData>
            </a:graphic>
          </wp:inline>
        </w:drawing>
      </w:r>
    </w:p>
    <w:p w:rsidR="00FA3C85" w:rsidRDefault="00A1618E" w:rsidP="00A1618E">
      <w:pPr>
        <w:spacing w:before="240" w:after="240" w:line="360" w:lineRule="auto"/>
        <w:jc w:val="center"/>
      </w:pPr>
      <w:r>
        <w:t>Fig: 1: Types of Aflatoxins</w:t>
      </w:r>
    </w:p>
    <w:p w:rsidR="00A1618E" w:rsidRDefault="00CD6AC4" w:rsidP="00A1618E">
      <w:pPr>
        <w:spacing w:before="240" w:after="240" w:line="360" w:lineRule="auto"/>
        <w:jc w:val="center"/>
      </w:pPr>
      <w:r>
        <w:t>Source: www. Research gate.net</w:t>
      </w:r>
    </w:p>
    <w:p w:rsidR="00FA3C85" w:rsidRDefault="00FA3C85" w:rsidP="001355F8">
      <w:pPr>
        <w:spacing w:before="240" w:after="240" w:line="360" w:lineRule="auto"/>
        <w:jc w:val="both"/>
      </w:pPr>
    </w:p>
    <w:p w:rsidR="00FA3C85" w:rsidRPr="00A64DB3" w:rsidRDefault="00FA3C85" w:rsidP="001355F8">
      <w:pPr>
        <w:spacing w:before="240" w:after="240" w:line="360" w:lineRule="auto"/>
        <w:jc w:val="both"/>
      </w:pPr>
    </w:p>
    <w:p w:rsidR="009E15DA" w:rsidRPr="00A64DB3" w:rsidRDefault="00FB29CA" w:rsidP="001355F8">
      <w:pPr>
        <w:spacing w:before="240" w:after="240" w:line="360" w:lineRule="auto"/>
        <w:jc w:val="both"/>
      </w:pPr>
      <w:r w:rsidRPr="00A64DB3">
        <w:rPr>
          <w:b/>
          <w:bCs/>
        </w:rPr>
        <w:t>Ergot:</w:t>
      </w:r>
    </w:p>
    <w:p w:rsidR="009E15DA" w:rsidRPr="00A64DB3" w:rsidRDefault="00FB29CA" w:rsidP="001355F8">
      <w:pPr>
        <w:spacing w:before="240" w:after="240" w:line="360" w:lineRule="auto"/>
        <w:jc w:val="both"/>
      </w:pPr>
      <w:r w:rsidRPr="00A64DB3">
        <w:t>It is a kind of plant disease caused by the fungus Claviceps purpurea. It infects crops like pearl millet, wheat, sorghum, rye, etc. The fungus mainly infects the flowering stage of the crop. The infected flower turns into a dark black mass, often called Ergot. Later it fails to develop into grains. Ergot contains the alkaloids</w:t>
      </w:r>
      <w:r w:rsidR="007A07C5">
        <w:t xml:space="preserve"> Table</w:t>
      </w:r>
      <w:r w:rsidR="00437D9C">
        <w:t>:</w:t>
      </w:r>
      <w:r w:rsidR="007A07C5">
        <w:t xml:space="preserve"> 1</w:t>
      </w:r>
      <w:r w:rsidR="00437D9C">
        <w:t xml:space="preserve">,Fig: </w:t>
      </w:r>
      <w:r w:rsidR="005F1234">
        <w:t xml:space="preserve">2 </w:t>
      </w:r>
      <w:r w:rsidRPr="00A64DB3">
        <w:t xml:space="preserve">released by the fungus. </w:t>
      </w:r>
    </w:p>
    <w:p w:rsidR="009E15DA" w:rsidRPr="00A64DB3" w:rsidRDefault="00FB29CA" w:rsidP="001355F8">
      <w:pPr>
        <w:spacing w:before="240" w:after="240" w:line="360" w:lineRule="auto"/>
        <w:jc w:val="both"/>
      </w:pPr>
      <w:r w:rsidRPr="00A64DB3">
        <w:t>The route of infection starts from the field itself during transportation. Also, the preservation technique followed could be more promising</w:t>
      </w:r>
      <w:r w:rsidR="008730B9">
        <w:t xml:space="preserve"> [8]</w:t>
      </w:r>
      <w:r w:rsidRPr="00A64DB3">
        <w:t>. Many studies suggest that the disease starts from pre-harvest and persists in storage because of poor storage conditions</w:t>
      </w:r>
      <w:r w:rsidR="0086589F">
        <w:t xml:space="preserve"> Table 2</w:t>
      </w:r>
      <w:r w:rsidRPr="00A64DB3">
        <w:t>.</w:t>
      </w:r>
    </w:p>
    <w:p w:rsidR="000228CA" w:rsidRDefault="000228CA" w:rsidP="00A64DB3">
      <w:pPr>
        <w:spacing w:before="240" w:after="240" w:line="360" w:lineRule="auto"/>
        <w:rPr>
          <w:noProof/>
        </w:rPr>
      </w:pPr>
    </w:p>
    <w:tbl>
      <w:tblPr>
        <w:tblStyle w:val="TableGrid"/>
        <w:tblpPr w:leftFromText="180" w:rightFromText="180" w:vertAnchor="text" w:horzAnchor="page" w:tblpX="3936" w:tblpY="533"/>
        <w:tblW w:w="0" w:type="auto"/>
        <w:tblLook w:val="04A0"/>
      </w:tblPr>
      <w:tblGrid>
        <w:gridCol w:w="2551"/>
        <w:gridCol w:w="3256"/>
      </w:tblGrid>
      <w:tr w:rsidR="0099408C" w:rsidTr="0099408C">
        <w:tc>
          <w:tcPr>
            <w:tcW w:w="2551" w:type="dxa"/>
          </w:tcPr>
          <w:p w:rsidR="0099408C" w:rsidRPr="000F64CC" w:rsidRDefault="0099408C" w:rsidP="0099408C">
            <w:pPr>
              <w:spacing w:line="360" w:lineRule="auto"/>
              <w:jc w:val="both"/>
              <w:rPr>
                <w:rFonts w:ascii="Times New Roman" w:hAnsi="Times New Roman" w:cs="Times New Roman"/>
                <w:b/>
                <w:bCs/>
                <w:sz w:val="24"/>
                <w:szCs w:val="24"/>
              </w:rPr>
            </w:pPr>
            <w:r w:rsidRPr="000F64CC">
              <w:rPr>
                <w:rFonts w:ascii="Times New Roman" w:hAnsi="Times New Roman" w:cs="Times New Roman"/>
                <w:b/>
                <w:bCs/>
                <w:sz w:val="24"/>
                <w:szCs w:val="24"/>
              </w:rPr>
              <w:lastRenderedPageBreak/>
              <w:t>Name of the organism</w:t>
            </w:r>
          </w:p>
        </w:tc>
        <w:tc>
          <w:tcPr>
            <w:tcW w:w="3256" w:type="dxa"/>
          </w:tcPr>
          <w:p w:rsidR="0099408C" w:rsidRPr="000F64CC" w:rsidRDefault="0099408C" w:rsidP="0099408C">
            <w:pPr>
              <w:spacing w:line="360" w:lineRule="auto"/>
              <w:jc w:val="both"/>
              <w:rPr>
                <w:rFonts w:ascii="Times New Roman" w:hAnsi="Times New Roman" w:cs="Times New Roman"/>
                <w:b/>
                <w:bCs/>
                <w:sz w:val="24"/>
                <w:szCs w:val="24"/>
              </w:rPr>
            </w:pPr>
            <w:r w:rsidRPr="000F64CC">
              <w:rPr>
                <w:rFonts w:ascii="Times New Roman" w:hAnsi="Times New Roman" w:cs="Times New Roman"/>
                <w:b/>
                <w:bCs/>
                <w:sz w:val="24"/>
                <w:szCs w:val="24"/>
              </w:rPr>
              <w:t>Stage of infection</w:t>
            </w:r>
          </w:p>
        </w:tc>
      </w:tr>
      <w:tr w:rsidR="0099408C" w:rsidTr="0099408C">
        <w:tc>
          <w:tcPr>
            <w:tcW w:w="2551" w:type="dxa"/>
          </w:tcPr>
          <w:p w:rsidR="0099408C" w:rsidRPr="000F64CC" w:rsidRDefault="0099408C" w:rsidP="0099408C">
            <w:pPr>
              <w:spacing w:line="360" w:lineRule="auto"/>
              <w:jc w:val="both"/>
              <w:rPr>
                <w:rFonts w:ascii="Times New Roman" w:hAnsi="Times New Roman" w:cs="Times New Roman"/>
                <w:i/>
                <w:iCs/>
                <w:sz w:val="24"/>
                <w:szCs w:val="24"/>
              </w:rPr>
            </w:pPr>
            <w:r w:rsidRPr="000F64CC">
              <w:rPr>
                <w:rFonts w:ascii="Times New Roman" w:hAnsi="Times New Roman" w:cs="Times New Roman"/>
                <w:i/>
                <w:iCs/>
                <w:sz w:val="24"/>
                <w:szCs w:val="24"/>
              </w:rPr>
              <w:t>Claviceps purpurea</w:t>
            </w:r>
          </w:p>
        </w:tc>
        <w:tc>
          <w:tcPr>
            <w:tcW w:w="3256" w:type="dxa"/>
          </w:tcPr>
          <w:p w:rsidR="0099408C" w:rsidRDefault="0099408C" w:rsidP="0099408C">
            <w:pPr>
              <w:spacing w:line="360" w:lineRule="auto"/>
              <w:jc w:val="both"/>
              <w:rPr>
                <w:rFonts w:ascii="Times New Roman" w:hAnsi="Times New Roman" w:cs="Times New Roman"/>
                <w:sz w:val="24"/>
                <w:szCs w:val="24"/>
              </w:rPr>
            </w:pPr>
            <w:r>
              <w:rPr>
                <w:rFonts w:ascii="Times New Roman" w:hAnsi="Times New Roman" w:cs="Times New Roman"/>
                <w:sz w:val="24"/>
                <w:szCs w:val="24"/>
              </w:rPr>
              <w:t>Pre-harvest and early storage</w:t>
            </w:r>
          </w:p>
        </w:tc>
      </w:tr>
      <w:tr w:rsidR="0099408C" w:rsidTr="0099408C">
        <w:tc>
          <w:tcPr>
            <w:tcW w:w="2551" w:type="dxa"/>
          </w:tcPr>
          <w:p w:rsidR="0099408C" w:rsidRPr="000F64CC" w:rsidRDefault="0099408C" w:rsidP="0099408C">
            <w:pPr>
              <w:spacing w:line="360" w:lineRule="auto"/>
              <w:jc w:val="both"/>
              <w:rPr>
                <w:rFonts w:ascii="Times New Roman" w:hAnsi="Times New Roman" w:cs="Times New Roman"/>
                <w:i/>
                <w:iCs/>
                <w:sz w:val="24"/>
                <w:szCs w:val="24"/>
              </w:rPr>
            </w:pPr>
            <w:r w:rsidRPr="000F64CC">
              <w:rPr>
                <w:rFonts w:ascii="Times New Roman" w:hAnsi="Times New Roman" w:cs="Times New Roman"/>
                <w:i/>
                <w:iCs/>
                <w:sz w:val="24"/>
                <w:szCs w:val="24"/>
              </w:rPr>
              <w:t>Aspergillus sp</w:t>
            </w:r>
            <w:r>
              <w:rPr>
                <w:rFonts w:ascii="Times New Roman" w:hAnsi="Times New Roman" w:cs="Times New Roman"/>
                <w:i/>
                <w:iCs/>
                <w:sz w:val="24"/>
                <w:szCs w:val="24"/>
              </w:rPr>
              <w:t>.</w:t>
            </w:r>
            <w:r w:rsidRPr="000F64CC">
              <w:rPr>
                <w:rFonts w:ascii="Times New Roman" w:hAnsi="Times New Roman" w:cs="Times New Roman"/>
                <w:i/>
                <w:iCs/>
                <w:sz w:val="24"/>
                <w:szCs w:val="24"/>
              </w:rPr>
              <w:t xml:space="preserve"> and Penicillium sp</w:t>
            </w:r>
            <w:r>
              <w:rPr>
                <w:rFonts w:ascii="Times New Roman" w:hAnsi="Times New Roman" w:cs="Times New Roman"/>
                <w:i/>
                <w:iCs/>
                <w:sz w:val="24"/>
                <w:szCs w:val="24"/>
              </w:rPr>
              <w:t>.</w:t>
            </w:r>
          </w:p>
        </w:tc>
        <w:tc>
          <w:tcPr>
            <w:tcW w:w="3256" w:type="dxa"/>
          </w:tcPr>
          <w:p w:rsidR="0099408C" w:rsidRDefault="0099408C" w:rsidP="0099408C">
            <w:pPr>
              <w:spacing w:line="360" w:lineRule="auto"/>
              <w:jc w:val="both"/>
              <w:rPr>
                <w:rFonts w:ascii="Times New Roman" w:hAnsi="Times New Roman" w:cs="Times New Roman"/>
                <w:sz w:val="24"/>
                <w:szCs w:val="24"/>
              </w:rPr>
            </w:pPr>
            <w:r>
              <w:rPr>
                <w:rFonts w:ascii="Times New Roman" w:hAnsi="Times New Roman" w:cs="Times New Roman"/>
                <w:sz w:val="24"/>
                <w:szCs w:val="24"/>
              </w:rPr>
              <w:t>Storage</w:t>
            </w:r>
          </w:p>
        </w:tc>
      </w:tr>
      <w:tr w:rsidR="0099408C" w:rsidTr="0099408C">
        <w:tc>
          <w:tcPr>
            <w:tcW w:w="2551" w:type="dxa"/>
          </w:tcPr>
          <w:p w:rsidR="0099408C" w:rsidRPr="000F64CC" w:rsidRDefault="0099408C" w:rsidP="0099408C">
            <w:pPr>
              <w:spacing w:line="360" w:lineRule="auto"/>
              <w:jc w:val="both"/>
              <w:rPr>
                <w:rFonts w:ascii="Times New Roman" w:hAnsi="Times New Roman" w:cs="Times New Roman"/>
                <w:i/>
                <w:iCs/>
                <w:sz w:val="24"/>
                <w:szCs w:val="24"/>
              </w:rPr>
            </w:pPr>
            <w:r w:rsidRPr="000F64CC">
              <w:rPr>
                <w:rFonts w:ascii="Times New Roman" w:hAnsi="Times New Roman" w:cs="Times New Roman"/>
                <w:i/>
                <w:iCs/>
                <w:sz w:val="24"/>
                <w:szCs w:val="24"/>
              </w:rPr>
              <w:t>Aspergillus flavus</w:t>
            </w:r>
          </w:p>
        </w:tc>
        <w:tc>
          <w:tcPr>
            <w:tcW w:w="3256" w:type="dxa"/>
          </w:tcPr>
          <w:p w:rsidR="0099408C" w:rsidRDefault="0099408C" w:rsidP="0099408C">
            <w:pPr>
              <w:spacing w:line="360" w:lineRule="auto"/>
              <w:jc w:val="both"/>
              <w:rPr>
                <w:rFonts w:ascii="Times New Roman" w:hAnsi="Times New Roman" w:cs="Times New Roman"/>
                <w:sz w:val="24"/>
                <w:szCs w:val="24"/>
              </w:rPr>
            </w:pPr>
            <w:r>
              <w:rPr>
                <w:rFonts w:ascii="Times New Roman" w:hAnsi="Times New Roman" w:cs="Times New Roman"/>
                <w:sz w:val="24"/>
                <w:szCs w:val="24"/>
              </w:rPr>
              <w:t>Field</w:t>
            </w:r>
          </w:p>
        </w:tc>
      </w:tr>
    </w:tbl>
    <w:p w:rsidR="005D283E" w:rsidRDefault="005D283E" w:rsidP="00A64DB3">
      <w:pPr>
        <w:spacing w:before="240" w:after="240" w:line="360" w:lineRule="auto"/>
        <w:rPr>
          <w:noProof/>
        </w:rPr>
      </w:pPr>
    </w:p>
    <w:p w:rsidR="0099408C" w:rsidRDefault="0099408C" w:rsidP="0099408C">
      <w:pPr>
        <w:spacing w:line="360" w:lineRule="auto"/>
        <w:jc w:val="both"/>
      </w:pPr>
    </w:p>
    <w:p w:rsidR="0099408C" w:rsidRDefault="0099408C" w:rsidP="0099408C">
      <w:pPr>
        <w:spacing w:line="360" w:lineRule="auto"/>
        <w:jc w:val="both"/>
      </w:pPr>
    </w:p>
    <w:p w:rsidR="0099408C" w:rsidRDefault="0099408C" w:rsidP="0099408C">
      <w:pPr>
        <w:spacing w:before="240" w:after="240" w:line="360" w:lineRule="auto"/>
      </w:pPr>
    </w:p>
    <w:p w:rsidR="0099408C" w:rsidRDefault="0099408C" w:rsidP="0099408C">
      <w:pPr>
        <w:spacing w:before="240" w:after="240" w:line="360" w:lineRule="auto"/>
      </w:pPr>
    </w:p>
    <w:p w:rsidR="005D283E" w:rsidRPr="00A64DB3" w:rsidRDefault="005D283E" w:rsidP="0099408C">
      <w:pPr>
        <w:spacing w:before="240" w:after="240" w:line="360" w:lineRule="auto"/>
        <w:rPr>
          <w:noProof/>
        </w:rPr>
      </w:pPr>
      <w:r>
        <w:t xml:space="preserve">Table 1: List of toxins produced by </w:t>
      </w:r>
      <w:r w:rsidRPr="00C152E6">
        <w:rPr>
          <w:b/>
          <w:bCs/>
          <w:i/>
          <w:iCs/>
        </w:rPr>
        <w:t>Clavicepspurpurea</w:t>
      </w:r>
      <w:r>
        <w:t>.</w:t>
      </w:r>
    </w:p>
    <w:p w:rsidR="005D283E" w:rsidRDefault="005D283E" w:rsidP="00A64DB3">
      <w:pPr>
        <w:spacing w:before="240" w:after="240" w:line="360" w:lineRule="auto"/>
        <w:rPr>
          <w:noProof/>
        </w:rPr>
      </w:pPr>
    </w:p>
    <w:p w:rsidR="005D283E" w:rsidRDefault="005D283E" w:rsidP="00A64DB3">
      <w:pPr>
        <w:spacing w:before="240" w:after="240" w:line="360" w:lineRule="auto"/>
        <w:rPr>
          <w:noProof/>
        </w:rPr>
      </w:pPr>
    </w:p>
    <w:p w:rsidR="00437D9C" w:rsidRDefault="00DB4145" w:rsidP="00A64DB3">
      <w:pPr>
        <w:spacing w:before="240" w:after="240" w:line="360" w:lineRule="auto"/>
        <w:rPr>
          <w:noProof/>
        </w:rPr>
      </w:pPr>
      <w:r w:rsidRPr="0001178F">
        <w:rPr>
          <w:noProof/>
        </w:rPr>
        <w:drawing>
          <wp:inline distT="0" distB="0" distL="0" distR="0">
            <wp:extent cx="1600200" cy="2495939"/>
            <wp:effectExtent l="0" t="0" r="0" b="0"/>
            <wp:docPr id="1935655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55214" name=""/>
                    <pic:cNvPicPr/>
                  </pic:nvPicPr>
                  <pic:blipFill>
                    <a:blip r:embed="rId6"/>
                    <a:stretch>
                      <a:fillRect/>
                    </a:stretch>
                  </pic:blipFill>
                  <pic:spPr>
                    <a:xfrm>
                      <a:off x="0" y="0"/>
                      <a:ext cx="1603119" cy="2500492"/>
                    </a:xfrm>
                    <a:prstGeom prst="rect">
                      <a:avLst/>
                    </a:prstGeom>
                  </pic:spPr>
                </pic:pic>
              </a:graphicData>
            </a:graphic>
          </wp:inline>
        </w:drawing>
      </w:r>
    </w:p>
    <w:p w:rsidR="000842DE" w:rsidRDefault="00437D9C" w:rsidP="000842DE">
      <w:pPr>
        <w:spacing w:before="240" w:after="240" w:line="360" w:lineRule="auto"/>
        <w:jc w:val="center"/>
        <w:rPr>
          <w:noProof/>
        </w:rPr>
      </w:pPr>
      <w:r>
        <w:rPr>
          <w:noProof/>
        </w:rPr>
        <w:t xml:space="preserve">Fig </w:t>
      </w:r>
      <w:r w:rsidR="005D283E">
        <w:rPr>
          <w:noProof/>
        </w:rPr>
        <w:t>2</w:t>
      </w:r>
      <w:r>
        <w:rPr>
          <w:noProof/>
        </w:rPr>
        <w:t>:  Structure of Ergot alkaloids</w:t>
      </w:r>
      <w:r w:rsidR="000842DE">
        <w:rPr>
          <w:noProof/>
        </w:rPr>
        <w:t>.</w:t>
      </w:r>
    </w:p>
    <w:p w:rsidR="00437D9C" w:rsidRDefault="00437D9C" w:rsidP="000842DE">
      <w:pPr>
        <w:spacing w:before="240" w:after="240" w:line="360" w:lineRule="auto"/>
        <w:jc w:val="center"/>
        <w:rPr>
          <w:noProof/>
        </w:rPr>
      </w:pPr>
      <w:r>
        <w:rPr>
          <w:noProof/>
        </w:rPr>
        <w:t>Source: www.wikip</w:t>
      </w:r>
      <w:r w:rsidR="00FA3C85">
        <w:rPr>
          <w:noProof/>
        </w:rPr>
        <w:t>e</w:t>
      </w:r>
      <w:r>
        <w:rPr>
          <w:noProof/>
        </w:rPr>
        <w:t>dia.com</w:t>
      </w:r>
    </w:p>
    <w:p w:rsidR="00C013F4" w:rsidRDefault="00C013F4" w:rsidP="00A64DB3">
      <w:pPr>
        <w:spacing w:before="240" w:after="240" w:line="360" w:lineRule="auto"/>
        <w:rPr>
          <w:noProof/>
        </w:rPr>
      </w:pPr>
    </w:p>
    <w:p w:rsidR="005D283E" w:rsidRDefault="005D283E" w:rsidP="00A64DB3">
      <w:pPr>
        <w:spacing w:before="240" w:after="240" w:line="360" w:lineRule="auto"/>
        <w:rPr>
          <w:noProof/>
        </w:rPr>
      </w:pPr>
    </w:p>
    <w:p w:rsidR="0099408C" w:rsidRDefault="0099408C" w:rsidP="00A64DB3">
      <w:pPr>
        <w:spacing w:before="240" w:after="240" w:line="360" w:lineRule="auto"/>
        <w:rPr>
          <w:noProof/>
        </w:rPr>
      </w:pPr>
    </w:p>
    <w:tbl>
      <w:tblPr>
        <w:tblStyle w:val="TableGrid"/>
        <w:tblW w:w="0" w:type="auto"/>
        <w:tblInd w:w="1775" w:type="dxa"/>
        <w:tblLook w:val="04A0"/>
      </w:tblPr>
      <w:tblGrid>
        <w:gridCol w:w="2551"/>
        <w:gridCol w:w="3256"/>
      </w:tblGrid>
      <w:tr w:rsidR="00C013F4" w:rsidRPr="000F64CC" w:rsidTr="00C013F4">
        <w:tc>
          <w:tcPr>
            <w:tcW w:w="2551" w:type="dxa"/>
          </w:tcPr>
          <w:p w:rsidR="00C013F4" w:rsidRPr="000F64CC" w:rsidRDefault="00C013F4" w:rsidP="008E41E8">
            <w:pPr>
              <w:spacing w:line="360" w:lineRule="auto"/>
              <w:jc w:val="both"/>
              <w:rPr>
                <w:rFonts w:ascii="Times New Roman" w:hAnsi="Times New Roman" w:cs="Times New Roman"/>
                <w:b/>
                <w:bCs/>
                <w:sz w:val="24"/>
                <w:szCs w:val="24"/>
              </w:rPr>
            </w:pPr>
            <w:r w:rsidRPr="000F64CC">
              <w:rPr>
                <w:rFonts w:ascii="Times New Roman" w:hAnsi="Times New Roman" w:cs="Times New Roman"/>
                <w:b/>
                <w:bCs/>
                <w:sz w:val="24"/>
                <w:szCs w:val="24"/>
              </w:rPr>
              <w:lastRenderedPageBreak/>
              <w:t>Name of the organism</w:t>
            </w:r>
          </w:p>
        </w:tc>
        <w:tc>
          <w:tcPr>
            <w:tcW w:w="3256" w:type="dxa"/>
          </w:tcPr>
          <w:p w:rsidR="00C013F4" w:rsidRPr="000F64CC" w:rsidRDefault="00C013F4" w:rsidP="008E41E8">
            <w:pPr>
              <w:spacing w:line="360" w:lineRule="auto"/>
              <w:jc w:val="both"/>
              <w:rPr>
                <w:rFonts w:ascii="Times New Roman" w:hAnsi="Times New Roman" w:cs="Times New Roman"/>
                <w:b/>
                <w:bCs/>
                <w:sz w:val="24"/>
                <w:szCs w:val="24"/>
              </w:rPr>
            </w:pPr>
            <w:r w:rsidRPr="000F64CC">
              <w:rPr>
                <w:rFonts w:ascii="Times New Roman" w:hAnsi="Times New Roman" w:cs="Times New Roman"/>
                <w:b/>
                <w:bCs/>
                <w:sz w:val="24"/>
                <w:szCs w:val="24"/>
              </w:rPr>
              <w:t>Stage of infection</w:t>
            </w:r>
          </w:p>
        </w:tc>
      </w:tr>
      <w:tr w:rsidR="00C013F4" w:rsidTr="00C013F4">
        <w:tc>
          <w:tcPr>
            <w:tcW w:w="2551" w:type="dxa"/>
          </w:tcPr>
          <w:p w:rsidR="00C013F4" w:rsidRPr="000F64CC" w:rsidRDefault="00C013F4" w:rsidP="008E41E8">
            <w:pPr>
              <w:spacing w:line="360" w:lineRule="auto"/>
              <w:jc w:val="both"/>
              <w:rPr>
                <w:rFonts w:ascii="Times New Roman" w:hAnsi="Times New Roman" w:cs="Times New Roman"/>
                <w:i/>
                <w:iCs/>
                <w:sz w:val="24"/>
                <w:szCs w:val="24"/>
              </w:rPr>
            </w:pPr>
            <w:r w:rsidRPr="000F64CC">
              <w:rPr>
                <w:rFonts w:ascii="Times New Roman" w:hAnsi="Times New Roman" w:cs="Times New Roman"/>
                <w:i/>
                <w:iCs/>
                <w:sz w:val="24"/>
                <w:szCs w:val="24"/>
              </w:rPr>
              <w:t>Claviceps purpurea</w:t>
            </w:r>
          </w:p>
        </w:tc>
        <w:tc>
          <w:tcPr>
            <w:tcW w:w="3256" w:type="dxa"/>
          </w:tcPr>
          <w:p w:rsidR="00C013F4" w:rsidRDefault="00C013F4" w:rsidP="008E41E8">
            <w:pPr>
              <w:spacing w:line="360" w:lineRule="auto"/>
              <w:jc w:val="both"/>
              <w:rPr>
                <w:rFonts w:ascii="Times New Roman" w:hAnsi="Times New Roman" w:cs="Times New Roman"/>
                <w:sz w:val="24"/>
                <w:szCs w:val="24"/>
              </w:rPr>
            </w:pPr>
            <w:r>
              <w:rPr>
                <w:rFonts w:ascii="Times New Roman" w:hAnsi="Times New Roman" w:cs="Times New Roman"/>
                <w:sz w:val="24"/>
                <w:szCs w:val="24"/>
              </w:rPr>
              <w:t>Pre-harvest and early storage</w:t>
            </w:r>
          </w:p>
        </w:tc>
      </w:tr>
      <w:tr w:rsidR="00C013F4" w:rsidTr="00C013F4">
        <w:tc>
          <w:tcPr>
            <w:tcW w:w="2551" w:type="dxa"/>
          </w:tcPr>
          <w:p w:rsidR="00C013F4" w:rsidRPr="000F64CC" w:rsidRDefault="00C013F4" w:rsidP="008E41E8">
            <w:pPr>
              <w:spacing w:line="360" w:lineRule="auto"/>
              <w:jc w:val="both"/>
              <w:rPr>
                <w:rFonts w:ascii="Times New Roman" w:hAnsi="Times New Roman" w:cs="Times New Roman"/>
                <w:i/>
                <w:iCs/>
                <w:sz w:val="24"/>
                <w:szCs w:val="24"/>
              </w:rPr>
            </w:pPr>
            <w:r w:rsidRPr="000F64CC">
              <w:rPr>
                <w:rFonts w:ascii="Times New Roman" w:hAnsi="Times New Roman" w:cs="Times New Roman"/>
                <w:i/>
                <w:iCs/>
                <w:sz w:val="24"/>
                <w:szCs w:val="24"/>
              </w:rPr>
              <w:t>Aspergillus sp</w:t>
            </w:r>
            <w:r>
              <w:rPr>
                <w:rFonts w:ascii="Times New Roman" w:hAnsi="Times New Roman" w:cs="Times New Roman"/>
                <w:i/>
                <w:iCs/>
                <w:sz w:val="24"/>
                <w:szCs w:val="24"/>
              </w:rPr>
              <w:t>.</w:t>
            </w:r>
            <w:r w:rsidRPr="000F64CC">
              <w:rPr>
                <w:rFonts w:ascii="Times New Roman" w:hAnsi="Times New Roman" w:cs="Times New Roman"/>
                <w:i/>
                <w:iCs/>
                <w:sz w:val="24"/>
                <w:szCs w:val="24"/>
              </w:rPr>
              <w:t xml:space="preserve"> and Penicillium sp</w:t>
            </w:r>
            <w:r>
              <w:rPr>
                <w:rFonts w:ascii="Times New Roman" w:hAnsi="Times New Roman" w:cs="Times New Roman"/>
                <w:i/>
                <w:iCs/>
                <w:sz w:val="24"/>
                <w:szCs w:val="24"/>
              </w:rPr>
              <w:t>.</w:t>
            </w:r>
          </w:p>
        </w:tc>
        <w:tc>
          <w:tcPr>
            <w:tcW w:w="3256" w:type="dxa"/>
          </w:tcPr>
          <w:p w:rsidR="00C013F4" w:rsidRDefault="00C013F4" w:rsidP="008E41E8">
            <w:pPr>
              <w:spacing w:line="360" w:lineRule="auto"/>
              <w:jc w:val="both"/>
              <w:rPr>
                <w:rFonts w:ascii="Times New Roman" w:hAnsi="Times New Roman" w:cs="Times New Roman"/>
                <w:sz w:val="24"/>
                <w:szCs w:val="24"/>
              </w:rPr>
            </w:pPr>
            <w:r>
              <w:rPr>
                <w:rFonts w:ascii="Times New Roman" w:hAnsi="Times New Roman" w:cs="Times New Roman"/>
                <w:sz w:val="24"/>
                <w:szCs w:val="24"/>
              </w:rPr>
              <w:t>Storage</w:t>
            </w:r>
          </w:p>
        </w:tc>
      </w:tr>
      <w:tr w:rsidR="00C013F4" w:rsidTr="00C013F4">
        <w:tc>
          <w:tcPr>
            <w:tcW w:w="2551" w:type="dxa"/>
          </w:tcPr>
          <w:p w:rsidR="00C013F4" w:rsidRPr="000F64CC" w:rsidRDefault="00C013F4" w:rsidP="008E41E8">
            <w:pPr>
              <w:spacing w:line="360" w:lineRule="auto"/>
              <w:jc w:val="both"/>
              <w:rPr>
                <w:rFonts w:ascii="Times New Roman" w:hAnsi="Times New Roman" w:cs="Times New Roman"/>
                <w:i/>
                <w:iCs/>
                <w:sz w:val="24"/>
                <w:szCs w:val="24"/>
              </w:rPr>
            </w:pPr>
            <w:r w:rsidRPr="000F64CC">
              <w:rPr>
                <w:rFonts w:ascii="Times New Roman" w:hAnsi="Times New Roman" w:cs="Times New Roman"/>
                <w:i/>
                <w:iCs/>
                <w:sz w:val="24"/>
                <w:szCs w:val="24"/>
              </w:rPr>
              <w:t>Aspergillus flavus</w:t>
            </w:r>
          </w:p>
        </w:tc>
        <w:tc>
          <w:tcPr>
            <w:tcW w:w="3256" w:type="dxa"/>
          </w:tcPr>
          <w:p w:rsidR="00C013F4" w:rsidRDefault="00C013F4" w:rsidP="008E41E8">
            <w:pPr>
              <w:spacing w:line="360" w:lineRule="auto"/>
              <w:jc w:val="both"/>
              <w:rPr>
                <w:rFonts w:ascii="Times New Roman" w:hAnsi="Times New Roman" w:cs="Times New Roman"/>
                <w:sz w:val="24"/>
                <w:szCs w:val="24"/>
              </w:rPr>
            </w:pPr>
            <w:r>
              <w:rPr>
                <w:rFonts w:ascii="Times New Roman" w:hAnsi="Times New Roman" w:cs="Times New Roman"/>
                <w:sz w:val="24"/>
                <w:szCs w:val="24"/>
              </w:rPr>
              <w:t>Field</w:t>
            </w:r>
          </w:p>
        </w:tc>
      </w:tr>
    </w:tbl>
    <w:p w:rsidR="00B502A7" w:rsidRDefault="00641F24" w:rsidP="000842DE">
      <w:pPr>
        <w:spacing w:before="240" w:after="240" w:line="360" w:lineRule="auto"/>
        <w:jc w:val="center"/>
      </w:pPr>
      <w:r>
        <w:t xml:space="preserve">Table: </w:t>
      </w:r>
      <w:r w:rsidR="00C152E6">
        <w:t>2</w:t>
      </w:r>
      <w:r>
        <w:t>:</w:t>
      </w:r>
      <w:r w:rsidR="00C152E6">
        <w:t>L</w:t>
      </w:r>
      <w:r>
        <w:t>ist oftoxin-producing</w:t>
      </w:r>
      <w:r w:rsidR="00E65E42">
        <w:t xml:space="preserve"> fungi infecting the different stages of the crop.</w:t>
      </w:r>
    </w:p>
    <w:p w:rsidR="009E15DA" w:rsidRPr="000842DE" w:rsidRDefault="00FB29CA" w:rsidP="00A64DB3">
      <w:pPr>
        <w:spacing w:before="240" w:after="240" w:line="360" w:lineRule="auto"/>
        <w:rPr>
          <w:b/>
          <w:bCs/>
        </w:rPr>
      </w:pPr>
      <w:r w:rsidRPr="000842DE">
        <w:rPr>
          <w:b/>
          <w:bCs/>
        </w:rPr>
        <w:t>Ochratoxin A:</w:t>
      </w:r>
    </w:p>
    <w:p w:rsidR="009E15DA" w:rsidRPr="00A64DB3" w:rsidRDefault="00FB29CA" w:rsidP="00A64DB3">
      <w:pPr>
        <w:spacing w:before="240" w:after="240" w:line="360" w:lineRule="auto"/>
      </w:pPr>
      <w:r w:rsidRPr="00A64DB3">
        <w:t>It is considered one of the significant toxins causing toxic effects in the kidney</w:t>
      </w:r>
      <w:r w:rsidR="007F7CFB">
        <w:t>[9,10]</w:t>
      </w:r>
      <w:r w:rsidRPr="00A64DB3">
        <w:t xml:space="preserve">. Members of fungi belonging to </w:t>
      </w:r>
      <w:r w:rsidRPr="00A64DB3">
        <w:rPr>
          <w:i/>
          <w:iCs/>
        </w:rPr>
        <w:t>Aspergillus</w:t>
      </w:r>
      <w:r w:rsidRPr="00A64DB3">
        <w:t xml:space="preserve"> and </w:t>
      </w:r>
      <w:r w:rsidRPr="00A64DB3">
        <w:rPr>
          <w:i/>
          <w:iCs/>
        </w:rPr>
        <w:t xml:space="preserve">Penicillium </w:t>
      </w:r>
      <w:r w:rsidRPr="00A64DB3">
        <w:t xml:space="preserve">sp. release Ochratoxin </w:t>
      </w:r>
      <w:proofErr w:type="gramStart"/>
      <w:r w:rsidRPr="00A64DB3">
        <w:t>A</w:t>
      </w:r>
      <w:proofErr w:type="gramEnd"/>
      <w:r w:rsidR="00EB579F">
        <w:t xml:space="preserve"> Fig 3.</w:t>
      </w:r>
    </w:p>
    <w:p w:rsidR="009E15DA" w:rsidRPr="00A64DB3" w:rsidRDefault="00EB579F" w:rsidP="00A64DB3">
      <w:pPr>
        <w:spacing w:before="240" w:after="240" w:line="360" w:lineRule="auto"/>
      </w:pPr>
      <w:r w:rsidRPr="00EB579F">
        <w:rPr>
          <w:noProof/>
        </w:rPr>
        <w:drawing>
          <wp:inline distT="0" distB="0" distL="0" distR="0">
            <wp:extent cx="3810196" cy="3562533"/>
            <wp:effectExtent l="0" t="0" r="0" b="0"/>
            <wp:docPr id="166719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9459" name=""/>
                    <pic:cNvPicPr/>
                  </pic:nvPicPr>
                  <pic:blipFill>
                    <a:blip r:embed="rId7"/>
                    <a:stretch>
                      <a:fillRect/>
                    </a:stretch>
                  </pic:blipFill>
                  <pic:spPr>
                    <a:xfrm>
                      <a:off x="0" y="0"/>
                      <a:ext cx="3810196" cy="3562533"/>
                    </a:xfrm>
                    <a:prstGeom prst="rect">
                      <a:avLst/>
                    </a:prstGeom>
                  </pic:spPr>
                </pic:pic>
              </a:graphicData>
            </a:graphic>
          </wp:inline>
        </w:drawing>
      </w:r>
    </w:p>
    <w:p w:rsidR="009E15DA" w:rsidRPr="00A64DB3" w:rsidRDefault="00EB579F" w:rsidP="00A64DB3">
      <w:pPr>
        <w:spacing w:before="240" w:after="240" w:line="360" w:lineRule="auto"/>
      </w:pPr>
      <w:r>
        <w:t xml:space="preserve">                             Fig </w:t>
      </w:r>
      <w:r w:rsidR="0099408C">
        <w:t>3</w:t>
      </w:r>
      <w:r w:rsidR="004D201A">
        <w:t xml:space="preserve">: </w:t>
      </w:r>
      <w:r w:rsidR="00A5218A">
        <w:t>Different types of fungi producing Ochratoxin A</w:t>
      </w:r>
    </w:p>
    <w:p w:rsidR="009E15DA" w:rsidRPr="00A64DB3" w:rsidRDefault="009E15DA" w:rsidP="00A64DB3">
      <w:pPr>
        <w:spacing w:before="240" w:after="240" w:line="360" w:lineRule="auto"/>
      </w:pPr>
    </w:p>
    <w:p w:rsidR="00FB29CA" w:rsidRDefault="00FB29CA" w:rsidP="00A64DB3">
      <w:pPr>
        <w:spacing w:before="240" w:after="240" w:line="360" w:lineRule="auto"/>
        <w:rPr>
          <w:b/>
          <w:bCs/>
        </w:rPr>
      </w:pPr>
    </w:p>
    <w:p w:rsidR="009E15DA" w:rsidRPr="00A64DB3" w:rsidRDefault="00FB29CA" w:rsidP="00A64DB3">
      <w:pPr>
        <w:spacing w:before="240" w:after="240" w:line="360" w:lineRule="auto"/>
      </w:pPr>
      <w:r w:rsidRPr="00A64DB3">
        <w:rPr>
          <w:b/>
          <w:bCs/>
        </w:rPr>
        <w:lastRenderedPageBreak/>
        <w:t xml:space="preserve">Trichothecene: </w:t>
      </w:r>
    </w:p>
    <w:p w:rsidR="009E15DA" w:rsidRDefault="00FB29CA" w:rsidP="00A64DB3">
      <w:pPr>
        <w:spacing w:before="240" w:after="240" w:line="360" w:lineRule="auto"/>
      </w:pPr>
      <w:r w:rsidRPr="00A64DB3">
        <w:rPr>
          <w:b/>
          <w:bCs/>
        </w:rPr>
        <w:t>Trichothecenes are also called</w:t>
      </w:r>
      <w:r w:rsidRPr="00A64DB3">
        <w:t xml:space="preserve"> TCT, in short, produced by fusarium sp. They are named types A and B according to their structure. Other fungal metabolites resemble the chemical structure of the TCT. </w:t>
      </w:r>
      <w:r w:rsidR="00AC6924">
        <w:t xml:space="preserve">There are two types of trichothecenes, Type A and Type B. Fig </w:t>
      </w:r>
      <w:r w:rsidR="0099408C">
        <w:t>4</w:t>
      </w:r>
      <w:r w:rsidR="00AC6924">
        <w:t xml:space="preserve">A and Fig </w:t>
      </w:r>
      <w:r w:rsidR="0099408C">
        <w:t>4</w:t>
      </w:r>
      <w:r w:rsidR="00AC6924">
        <w:t>B.</w:t>
      </w:r>
      <w:r w:rsidRPr="00A64DB3">
        <w:t>Consumption of Trichothecene contaminated cereals has led to severe outbreaks in many countries like Asia, Africa, Europe, North America, etc</w:t>
      </w:r>
      <w:r w:rsidR="007F7CFB">
        <w:t xml:space="preserve"> [11]</w:t>
      </w:r>
      <w:r w:rsidRPr="00A64DB3">
        <w:t>.</w:t>
      </w:r>
    </w:p>
    <w:p w:rsidR="00DB5F27" w:rsidRPr="00A64DB3" w:rsidRDefault="00DB5F27" w:rsidP="00A64DB3">
      <w:pPr>
        <w:spacing w:before="240" w:after="240" w:line="360" w:lineRule="auto"/>
      </w:pPr>
      <w:r w:rsidRPr="00DB5F27">
        <w:rPr>
          <w:noProof/>
        </w:rPr>
        <w:drawing>
          <wp:inline distT="0" distB="0" distL="0" distR="0">
            <wp:extent cx="2921150" cy="2349621"/>
            <wp:effectExtent l="0" t="0" r="0" b="0"/>
            <wp:docPr id="912578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578575" name=""/>
                    <pic:cNvPicPr/>
                  </pic:nvPicPr>
                  <pic:blipFill>
                    <a:blip r:embed="rId8"/>
                    <a:stretch>
                      <a:fillRect/>
                    </a:stretch>
                  </pic:blipFill>
                  <pic:spPr>
                    <a:xfrm>
                      <a:off x="0" y="0"/>
                      <a:ext cx="2921150" cy="2349621"/>
                    </a:xfrm>
                    <a:prstGeom prst="rect">
                      <a:avLst/>
                    </a:prstGeom>
                  </pic:spPr>
                </pic:pic>
              </a:graphicData>
            </a:graphic>
          </wp:inline>
        </w:drawing>
      </w:r>
    </w:p>
    <w:p w:rsidR="00DB5F27" w:rsidRDefault="00DB5F27" w:rsidP="00A64DB3">
      <w:pPr>
        <w:spacing w:before="240" w:after="240" w:line="360" w:lineRule="auto"/>
      </w:pPr>
      <w:r>
        <w:t xml:space="preserve">                                       Fig: </w:t>
      </w:r>
      <w:r w:rsidR="00FB29CA">
        <w:t>4</w:t>
      </w:r>
      <w:r>
        <w:t xml:space="preserve">A. </w:t>
      </w:r>
      <w:r w:rsidR="00AC6924">
        <w:t>Type A-t</w:t>
      </w:r>
      <w:r>
        <w:t>richothecenes</w:t>
      </w:r>
    </w:p>
    <w:p w:rsidR="00DB5F27" w:rsidRDefault="00AC6924" w:rsidP="00A64DB3">
      <w:pPr>
        <w:spacing w:before="240" w:after="240" w:line="360" w:lineRule="auto"/>
      </w:pPr>
      <w:r w:rsidRPr="00AC6924">
        <w:rPr>
          <w:noProof/>
        </w:rPr>
        <w:drawing>
          <wp:inline distT="0" distB="0" distL="0" distR="0">
            <wp:extent cx="3223260" cy="2731399"/>
            <wp:effectExtent l="0" t="0" r="0" b="0"/>
            <wp:docPr id="306098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98310" name=""/>
                    <pic:cNvPicPr/>
                  </pic:nvPicPr>
                  <pic:blipFill>
                    <a:blip r:embed="rId9"/>
                    <a:stretch>
                      <a:fillRect/>
                    </a:stretch>
                  </pic:blipFill>
                  <pic:spPr>
                    <a:xfrm>
                      <a:off x="0" y="0"/>
                      <a:ext cx="3229622" cy="2736791"/>
                    </a:xfrm>
                    <a:prstGeom prst="rect">
                      <a:avLst/>
                    </a:prstGeom>
                  </pic:spPr>
                </pic:pic>
              </a:graphicData>
            </a:graphic>
          </wp:inline>
        </w:drawing>
      </w:r>
    </w:p>
    <w:p w:rsidR="00AC6924" w:rsidRPr="00FB29CA" w:rsidRDefault="00AC6924" w:rsidP="00A64DB3">
      <w:pPr>
        <w:spacing w:before="240" w:after="240" w:line="360" w:lineRule="auto"/>
      </w:pPr>
      <w:r>
        <w:t xml:space="preserve">                                          Fig: </w:t>
      </w:r>
      <w:r w:rsidR="00FB29CA">
        <w:t>4</w:t>
      </w:r>
      <w:r>
        <w:t>B. Type B- trichothecenes</w:t>
      </w:r>
    </w:p>
    <w:p w:rsidR="009E15DA" w:rsidRPr="00A64DB3" w:rsidRDefault="00FB29CA" w:rsidP="00A64DB3">
      <w:pPr>
        <w:spacing w:before="240" w:after="240" w:line="360" w:lineRule="auto"/>
      </w:pPr>
      <w:r w:rsidRPr="00A64DB3">
        <w:rPr>
          <w:b/>
          <w:bCs/>
        </w:rPr>
        <w:lastRenderedPageBreak/>
        <w:t>Deoxynivalenol</w:t>
      </w:r>
      <w:r w:rsidR="00017995">
        <w:rPr>
          <w:b/>
          <w:bCs/>
        </w:rPr>
        <w:t xml:space="preserve"> (DON)</w:t>
      </w:r>
      <w:r w:rsidRPr="00A64DB3">
        <w:rPr>
          <w:b/>
          <w:bCs/>
        </w:rPr>
        <w:t xml:space="preserve">: </w:t>
      </w:r>
    </w:p>
    <w:p w:rsidR="009725FC" w:rsidRDefault="00FB29CA" w:rsidP="00A64DB3">
      <w:pPr>
        <w:spacing w:before="240" w:after="240" w:line="360" w:lineRule="auto"/>
      </w:pPr>
      <w:r w:rsidRPr="00A64DB3">
        <w:t>It is also named Vomitoxin or DON</w:t>
      </w:r>
      <w:r w:rsidR="008F577B">
        <w:t xml:space="preserve"> fig: </w:t>
      </w:r>
      <w:r>
        <w:t>5</w:t>
      </w:r>
      <w:r w:rsidRPr="00A64DB3">
        <w:t xml:space="preserve">. </w:t>
      </w:r>
      <w:proofErr w:type="spellStart"/>
      <w:r w:rsidRPr="00AC6924">
        <w:rPr>
          <w:i/>
          <w:iCs/>
        </w:rPr>
        <w:t>Fusarium</w:t>
      </w:r>
      <w:proofErr w:type="spellEnd"/>
      <w:r w:rsidRPr="00AC6924">
        <w:rPr>
          <w:i/>
          <w:iCs/>
        </w:rPr>
        <w:t xml:space="preserve"> </w:t>
      </w:r>
      <w:proofErr w:type="spellStart"/>
      <w:r w:rsidRPr="00AC6924">
        <w:rPr>
          <w:i/>
          <w:iCs/>
        </w:rPr>
        <w:t>graminearum</w:t>
      </w:r>
      <w:proofErr w:type="spellEnd"/>
      <w:r w:rsidRPr="00A64DB3">
        <w:t xml:space="preserve"> and </w:t>
      </w:r>
      <w:proofErr w:type="spellStart"/>
      <w:r w:rsidRPr="00AC6924">
        <w:rPr>
          <w:i/>
          <w:iCs/>
        </w:rPr>
        <w:t>Fusarium</w:t>
      </w:r>
      <w:proofErr w:type="spellEnd"/>
      <w:r w:rsidRPr="00AC6924">
        <w:rPr>
          <w:i/>
          <w:iCs/>
        </w:rPr>
        <w:t xml:space="preserve"> </w:t>
      </w:r>
      <w:proofErr w:type="spellStart"/>
      <w:r w:rsidRPr="00AC6924">
        <w:rPr>
          <w:i/>
          <w:iCs/>
        </w:rPr>
        <w:t>culmorum</w:t>
      </w:r>
      <w:proofErr w:type="spellEnd"/>
      <w:r w:rsidRPr="00A64DB3">
        <w:t xml:space="preserve"> release DON when they infect cereals and grains. Environmental conditions like high humidity and temperature favor the production of the toxin</w:t>
      </w:r>
      <w:r w:rsidR="008F577B">
        <w:t xml:space="preserve"> [12]</w:t>
      </w:r>
      <w:r w:rsidRPr="00A64DB3">
        <w:t>.</w:t>
      </w:r>
    </w:p>
    <w:p w:rsidR="009725FC" w:rsidRDefault="009725FC" w:rsidP="00A64DB3">
      <w:pPr>
        <w:spacing w:before="240" w:after="240" w:line="360" w:lineRule="auto"/>
      </w:pPr>
      <w:r w:rsidRPr="009725FC">
        <w:rPr>
          <w:noProof/>
        </w:rPr>
        <w:drawing>
          <wp:inline distT="0" distB="0" distL="0" distR="0">
            <wp:extent cx="2044805" cy="1549480"/>
            <wp:effectExtent l="0" t="0" r="0" b="0"/>
            <wp:docPr id="302357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57253" name=""/>
                    <pic:cNvPicPr/>
                  </pic:nvPicPr>
                  <pic:blipFill>
                    <a:blip r:embed="rId10"/>
                    <a:stretch>
                      <a:fillRect/>
                    </a:stretch>
                  </pic:blipFill>
                  <pic:spPr>
                    <a:xfrm>
                      <a:off x="0" y="0"/>
                      <a:ext cx="2044805" cy="1549480"/>
                    </a:xfrm>
                    <a:prstGeom prst="rect">
                      <a:avLst/>
                    </a:prstGeom>
                  </pic:spPr>
                </pic:pic>
              </a:graphicData>
            </a:graphic>
          </wp:inline>
        </w:drawing>
      </w:r>
    </w:p>
    <w:p w:rsidR="009725FC" w:rsidRDefault="00017995" w:rsidP="00FA3C85">
      <w:pPr>
        <w:spacing w:before="240" w:after="240" w:line="360" w:lineRule="auto"/>
        <w:jc w:val="center"/>
      </w:pPr>
      <w:r>
        <w:t xml:space="preserve">Fig: </w:t>
      </w:r>
      <w:r w:rsidR="00FB29CA">
        <w:t>5</w:t>
      </w:r>
      <w:r>
        <w:t>: Structure of DON</w:t>
      </w:r>
    </w:p>
    <w:p w:rsidR="00FA3C85" w:rsidRPr="00A64DB3" w:rsidRDefault="00FA3C85" w:rsidP="00FA3C85">
      <w:pPr>
        <w:spacing w:before="240" w:after="240" w:line="360" w:lineRule="auto"/>
        <w:jc w:val="center"/>
      </w:pPr>
      <w:r>
        <w:t>Source: www. Wikipedia.com</w:t>
      </w:r>
    </w:p>
    <w:p w:rsidR="00D93287" w:rsidRDefault="00D93287" w:rsidP="00A64DB3">
      <w:pPr>
        <w:spacing w:before="240" w:after="240" w:line="360" w:lineRule="auto"/>
        <w:rPr>
          <w:b/>
          <w:bCs/>
        </w:rPr>
      </w:pPr>
    </w:p>
    <w:p w:rsidR="009E15DA" w:rsidRPr="00A64DB3" w:rsidRDefault="00FB29CA" w:rsidP="00A64DB3">
      <w:pPr>
        <w:spacing w:before="240" w:after="240" w:line="360" w:lineRule="auto"/>
      </w:pPr>
      <w:r w:rsidRPr="00A64DB3">
        <w:rPr>
          <w:b/>
          <w:bCs/>
        </w:rPr>
        <w:t>Fumonisins:</w:t>
      </w:r>
    </w:p>
    <w:p w:rsidR="009E15DA" w:rsidRDefault="00FB29CA" w:rsidP="00A64DB3">
      <w:pPr>
        <w:spacing w:before="240" w:after="240" w:line="360" w:lineRule="auto"/>
      </w:pPr>
      <w:r w:rsidRPr="00A64DB3">
        <w:t>The presence of the fungus merely on the cereals and grains need not necessarily demonstrate the presence of the toxin</w:t>
      </w:r>
      <w:r w:rsidR="00250536">
        <w:t xml:space="preserve"> [</w:t>
      </w:r>
      <w:r w:rsidR="008F577B">
        <w:t>13,14</w:t>
      </w:r>
      <w:r w:rsidR="00250536">
        <w:t>]</w:t>
      </w:r>
      <w:r w:rsidRPr="00A64DB3">
        <w:t xml:space="preserve">. Similarly, </w:t>
      </w:r>
      <w:r w:rsidRPr="00A64DB3">
        <w:rPr>
          <w:i/>
          <w:iCs/>
        </w:rPr>
        <w:t>Fusarium verticillioides</w:t>
      </w:r>
      <w:r w:rsidRPr="00A64DB3">
        <w:t xml:space="preserve"> is a common inhabitant of corn.Among fumonisins B</w:t>
      </w:r>
      <w:r w:rsidRPr="00A64DB3">
        <w:rPr>
          <w:b/>
          <w:bCs/>
        </w:rPr>
        <w:t xml:space="preserve">1 </w:t>
      </w:r>
      <w:r w:rsidRPr="00A64DB3">
        <w:t>and B2, B</w:t>
      </w:r>
      <w:r w:rsidRPr="00A64DB3">
        <w:rPr>
          <w:b/>
          <w:bCs/>
        </w:rPr>
        <w:t>1</w:t>
      </w:r>
      <w:r w:rsidR="002C79DE" w:rsidRPr="002C79DE">
        <w:t>Fig:</w:t>
      </w:r>
      <w:r>
        <w:t>6</w:t>
      </w:r>
      <w:r w:rsidRPr="00A64DB3">
        <w:t xml:space="preserve">is considered the most potent toxin. </w:t>
      </w:r>
    </w:p>
    <w:p w:rsidR="00D1182B" w:rsidRDefault="00D1182B" w:rsidP="00D1182B">
      <w:pPr>
        <w:spacing w:before="240" w:after="240" w:line="360" w:lineRule="auto"/>
        <w:jc w:val="center"/>
      </w:pPr>
      <w:r w:rsidRPr="00D1182B">
        <w:rPr>
          <w:noProof/>
        </w:rPr>
        <w:drawing>
          <wp:inline distT="0" distB="0" distL="0" distR="0">
            <wp:extent cx="4164449" cy="1765300"/>
            <wp:effectExtent l="0" t="0" r="0" b="0"/>
            <wp:docPr id="1217984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84968" name=""/>
                    <pic:cNvPicPr/>
                  </pic:nvPicPr>
                  <pic:blipFill>
                    <a:blip r:embed="rId11"/>
                    <a:stretch>
                      <a:fillRect/>
                    </a:stretch>
                  </pic:blipFill>
                  <pic:spPr>
                    <a:xfrm>
                      <a:off x="0" y="0"/>
                      <a:ext cx="4169798" cy="1767567"/>
                    </a:xfrm>
                    <a:prstGeom prst="rect">
                      <a:avLst/>
                    </a:prstGeom>
                  </pic:spPr>
                </pic:pic>
              </a:graphicData>
            </a:graphic>
          </wp:inline>
        </w:drawing>
      </w:r>
    </w:p>
    <w:p w:rsidR="00FC0EA5" w:rsidRPr="00FB29CA" w:rsidRDefault="00D1182B" w:rsidP="00FB29CA">
      <w:pPr>
        <w:spacing w:before="240" w:after="240" w:line="360" w:lineRule="auto"/>
        <w:jc w:val="center"/>
      </w:pPr>
      <w:r>
        <w:t>Fi</w:t>
      </w:r>
      <w:r w:rsidR="00D3312E">
        <w:t xml:space="preserve">g: </w:t>
      </w:r>
      <w:r w:rsidR="00FB29CA">
        <w:t>6</w:t>
      </w:r>
      <w:r w:rsidR="00D3312E">
        <w:t xml:space="preserve"> Types of Fumonisins</w:t>
      </w:r>
    </w:p>
    <w:p w:rsidR="009E15DA" w:rsidRPr="00A64DB3" w:rsidRDefault="00FB29CA" w:rsidP="00A64DB3">
      <w:pPr>
        <w:spacing w:before="240" w:after="240" w:line="360" w:lineRule="auto"/>
      </w:pPr>
      <w:r w:rsidRPr="00A64DB3">
        <w:rPr>
          <w:b/>
          <w:bCs/>
        </w:rPr>
        <w:lastRenderedPageBreak/>
        <w:t>Patulin:</w:t>
      </w:r>
    </w:p>
    <w:p w:rsidR="009E15DA" w:rsidRPr="00A64DB3" w:rsidRDefault="00FB29CA" w:rsidP="00A64DB3">
      <w:pPr>
        <w:spacing w:before="240" w:after="240" w:line="360" w:lineRule="auto"/>
      </w:pPr>
      <w:r w:rsidRPr="00A64DB3">
        <w:rPr>
          <w:i/>
          <w:iCs/>
        </w:rPr>
        <w:t>Penicillium, Aspergillus</w:t>
      </w:r>
      <w:r w:rsidRPr="00A64DB3">
        <w:t xml:space="preserve">, and </w:t>
      </w:r>
      <w:r w:rsidRPr="00A64DB3">
        <w:rPr>
          <w:i/>
          <w:iCs/>
        </w:rPr>
        <w:t>Byssochlamys</w:t>
      </w:r>
      <w:r w:rsidRPr="00A64DB3">
        <w:t xml:space="preserve"> produce patulin when infested on apples, grapes, and pears. </w:t>
      </w:r>
      <w:r w:rsidRPr="00A64DB3">
        <w:rPr>
          <w:i/>
          <w:iCs/>
        </w:rPr>
        <w:t>Penicillium expansum</w:t>
      </w:r>
      <w:r w:rsidRPr="00A64DB3">
        <w:t>, a blue mold, makes patulin in apple juice</w:t>
      </w:r>
      <w:r w:rsidR="00250536">
        <w:t xml:space="preserve"> [15]</w:t>
      </w:r>
      <w:r w:rsidRPr="00A64DB3">
        <w:t>. Initially, it is considered an antibiotic; later, several investigations proved the toxic effects of the metabolite in animals.</w:t>
      </w:r>
    </w:p>
    <w:p w:rsidR="009E15DA" w:rsidRPr="00A64DB3" w:rsidRDefault="00FB29CA" w:rsidP="00A64DB3">
      <w:pPr>
        <w:spacing w:before="240" w:after="240" w:line="360" w:lineRule="auto"/>
      </w:pPr>
      <w:r w:rsidRPr="00A64DB3">
        <w:rPr>
          <w:b/>
          <w:bCs/>
        </w:rPr>
        <w:t>Zearalenone:</w:t>
      </w:r>
    </w:p>
    <w:p w:rsidR="009E15DA" w:rsidRPr="00A64DB3" w:rsidRDefault="00FB29CA" w:rsidP="00A64DB3">
      <w:pPr>
        <w:spacing w:before="240" w:after="240" w:line="360" w:lineRule="auto"/>
      </w:pPr>
      <w:r w:rsidRPr="00A64DB3">
        <w:t>It is another kind of mycotoxin produced by Fusarium sp</w:t>
      </w:r>
      <w:r w:rsidR="0024166C">
        <w:t>.[</w:t>
      </w:r>
      <w:r w:rsidR="00250536">
        <w:t>16</w:t>
      </w:r>
      <w:r w:rsidR="0024166C">
        <w:t>]</w:t>
      </w:r>
      <w:r w:rsidRPr="00A64DB3">
        <w:t>. It is a non-steroidal compound that shows estrogen-like activity in certain farm animals like cattle, sheep, and pigs. The organism prefers wet and cool climates to proliferate in cereals.</w:t>
      </w:r>
    </w:p>
    <w:p w:rsidR="009E15DA" w:rsidRPr="00A64DB3" w:rsidRDefault="00FB29CA" w:rsidP="00A64DB3">
      <w:pPr>
        <w:spacing w:before="240" w:after="240" w:line="360" w:lineRule="auto"/>
      </w:pPr>
      <w:r w:rsidRPr="00A64DB3">
        <w:rPr>
          <w:b/>
          <w:bCs/>
        </w:rPr>
        <w:t>Moniliformin:</w:t>
      </w:r>
    </w:p>
    <w:p w:rsidR="009E15DA" w:rsidRPr="00A64DB3" w:rsidRDefault="00FB29CA" w:rsidP="00A64DB3">
      <w:pPr>
        <w:spacing w:before="240" w:after="240" w:line="360" w:lineRule="auto"/>
      </w:pPr>
      <w:r w:rsidRPr="00A64DB3">
        <w:t xml:space="preserve">It is another kind of fumonisin produced by </w:t>
      </w:r>
      <w:r w:rsidRPr="00A64DB3">
        <w:rPr>
          <w:i/>
          <w:iCs/>
        </w:rPr>
        <w:t>Fusarium proliferatum</w:t>
      </w:r>
      <w:r w:rsidRPr="00A64DB3">
        <w:t xml:space="preserve"> found in the corn kernel. It is a reservoir pathogen found in soil and passes from one crop generation to another. </w:t>
      </w:r>
    </w:p>
    <w:p w:rsidR="009E15DA" w:rsidRPr="00A64DB3" w:rsidRDefault="00FB29CA" w:rsidP="00A64DB3">
      <w:pPr>
        <w:spacing w:before="240" w:after="240" w:line="360" w:lineRule="auto"/>
      </w:pPr>
      <w:r w:rsidRPr="00A64DB3">
        <w:rPr>
          <w:b/>
          <w:bCs/>
        </w:rPr>
        <w:t>Roquefortine:</w:t>
      </w:r>
    </w:p>
    <w:p w:rsidR="009E15DA" w:rsidRPr="00A64DB3" w:rsidRDefault="00FB29CA" w:rsidP="00A64DB3">
      <w:pPr>
        <w:spacing w:before="240" w:after="240" w:line="360" w:lineRule="auto"/>
      </w:pPr>
      <w:r w:rsidRPr="00A64DB3">
        <w:t>Penicillium roqueforti produces roquefortin</w:t>
      </w:r>
      <w:r w:rsidR="0024166C">
        <w:t xml:space="preserve"> [17]</w:t>
      </w:r>
      <w:r w:rsidRPr="00A64DB3">
        <w:t xml:space="preserve"> toxin in blue, Roquefort, and Stilton cheese. It is potentially toxic to mice.</w:t>
      </w:r>
    </w:p>
    <w:p w:rsidR="009E15DA" w:rsidRPr="00A64DB3" w:rsidRDefault="00FB29CA" w:rsidP="00A64DB3">
      <w:pPr>
        <w:spacing w:before="240" w:after="240" w:line="360" w:lineRule="auto"/>
      </w:pPr>
      <w:r w:rsidRPr="00A64DB3">
        <w:rPr>
          <w:b/>
          <w:bCs/>
        </w:rPr>
        <w:t>Luteoskyrin:</w:t>
      </w:r>
    </w:p>
    <w:p w:rsidR="009E15DA" w:rsidRPr="00A64DB3" w:rsidRDefault="00FB29CA" w:rsidP="00A64DB3">
      <w:pPr>
        <w:spacing w:before="240" w:after="240" w:line="360" w:lineRule="auto"/>
      </w:pPr>
      <w:r w:rsidRPr="00A64DB3">
        <w:t>Penicillium islandicum produces two metabolites, luteoskyrin, and cyclochlorotine. They are considered hepatotoxic to rodents.</w:t>
      </w:r>
    </w:p>
    <w:p w:rsidR="001E1063" w:rsidRDefault="001E1063" w:rsidP="001E1063">
      <w:pPr>
        <w:pStyle w:val="NormalWeb"/>
        <w:spacing w:before="0" w:beforeAutospacing="0" w:after="0" w:afterAutospacing="0" w:line="360" w:lineRule="auto"/>
        <w:jc w:val="both"/>
        <w:rPr>
          <w:color w:val="0E101A"/>
        </w:rPr>
      </w:pPr>
      <w:r>
        <w:rPr>
          <w:rStyle w:val="Strong"/>
          <w:color w:val="0E101A"/>
        </w:rPr>
        <w:t>Effect of Mycotoxins on Health </w:t>
      </w:r>
    </w:p>
    <w:p w:rsidR="001E1063" w:rsidRDefault="001E1063" w:rsidP="001E1063">
      <w:pPr>
        <w:pStyle w:val="NormalWeb"/>
        <w:spacing w:before="0" w:beforeAutospacing="0" w:after="0" w:afterAutospacing="0" w:line="360" w:lineRule="auto"/>
        <w:jc w:val="both"/>
        <w:rPr>
          <w:color w:val="0E101A"/>
        </w:rPr>
      </w:pPr>
      <w:r>
        <w:rPr>
          <w:color w:val="0E101A"/>
        </w:rPr>
        <w:t>Several factors will contribute to the release of mycotoxins on several food substances. The factors are as follows</w:t>
      </w:r>
    </w:p>
    <w:p w:rsidR="001E1063" w:rsidRDefault="001E1063" w:rsidP="001E1063">
      <w:pPr>
        <w:pStyle w:val="NormalWeb"/>
        <w:spacing w:before="0" w:beforeAutospacing="0" w:after="0" w:afterAutospacing="0" w:line="360" w:lineRule="auto"/>
        <w:jc w:val="both"/>
        <w:rPr>
          <w:color w:val="0E101A"/>
        </w:rPr>
      </w:pPr>
      <w:r>
        <w:rPr>
          <w:color w:val="0E101A"/>
        </w:rPr>
        <w:t>1. Physical factors: Includes temperature, relative humidity and insect infestation</w:t>
      </w:r>
    </w:p>
    <w:p w:rsidR="001E1063" w:rsidRDefault="001E1063" w:rsidP="001E1063">
      <w:pPr>
        <w:pStyle w:val="NormalWeb"/>
        <w:spacing w:before="0" w:beforeAutospacing="0" w:after="0" w:afterAutospacing="0" w:line="360" w:lineRule="auto"/>
        <w:jc w:val="both"/>
        <w:rPr>
          <w:color w:val="0E101A"/>
        </w:rPr>
      </w:pPr>
      <w:r>
        <w:rPr>
          <w:color w:val="0E101A"/>
        </w:rPr>
        <w:t>2. Chemical factors: Ex: fungicides/fertilizers</w:t>
      </w:r>
    </w:p>
    <w:p w:rsidR="001E1063" w:rsidRDefault="001E1063" w:rsidP="001E1063">
      <w:pPr>
        <w:pStyle w:val="NormalWeb"/>
        <w:spacing w:before="0" w:beforeAutospacing="0" w:after="0" w:afterAutospacing="0" w:line="360" w:lineRule="auto"/>
        <w:jc w:val="both"/>
        <w:rPr>
          <w:color w:val="0E101A"/>
        </w:rPr>
      </w:pPr>
      <w:r>
        <w:rPr>
          <w:color w:val="0E101A"/>
        </w:rPr>
        <w:t>3. Biological factors: Completion between the toxigenic fungi and others</w:t>
      </w:r>
    </w:p>
    <w:p w:rsidR="001E1063" w:rsidRDefault="001E1063" w:rsidP="001E1063">
      <w:pPr>
        <w:pStyle w:val="NormalWeb"/>
        <w:spacing w:before="0" w:beforeAutospacing="0" w:after="0" w:afterAutospacing="0" w:line="360" w:lineRule="auto"/>
        <w:jc w:val="both"/>
        <w:rPr>
          <w:color w:val="0E101A"/>
        </w:rPr>
      </w:pPr>
      <w:r>
        <w:rPr>
          <w:color w:val="0E101A"/>
        </w:rPr>
        <w:lastRenderedPageBreak/>
        <w:t>Animals with single-chambered stomachs, like dogs, rats, and also humans, are more prone to the toxicity caused by fungal toxins. Animals having a complex organization of stomach-like chambers are less affected because they are microbes that may degrade the toxin.</w:t>
      </w:r>
    </w:p>
    <w:p w:rsidR="001E1063" w:rsidRDefault="001E1063" w:rsidP="001E1063">
      <w:pPr>
        <w:pStyle w:val="NormalWeb"/>
        <w:spacing w:before="0" w:beforeAutospacing="0" w:after="0" w:afterAutospacing="0" w:line="360" w:lineRule="auto"/>
        <w:jc w:val="both"/>
        <w:rPr>
          <w:color w:val="0E101A"/>
        </w:rPr>
      </w:pPr>
      <w:r>
        <w:rPr>
          <w:color w:val="0E101A"/>
        </w:rPr>
        <w:t>Mycotoxins are known to cause cancer in human beings. Another toxin called citrinin released by penicillin and aspergillus species causes yellow rise disease</w:t>
      </w:r>
      <w:r w:rsidR="00DF5AE6">
        <w:rPr>
          <w:color w:val="0E101A"/>
        </w:rPr>
        <w:t xml:space="preserve"> [18]</w:t>
      </w:r>
      <w:r>
        <w:rPr>
          <w:color w:val="0E101A"/>
        </w:rPr>
        <w:t>. Aflatoxicosis is a condition that results from the ingestion of aflatoxins. It causes acute liver toxicity and may lead to cancer.</w:t>
      </w:r>
    </w:p>
    <w:p w:rsidR="001E1063" w:rsidRDefault="001E1063" w:rsidP="001E1063">
      <w:pPr>
        <w:pStyle w:val="NormalWeb"/>
        <w:spacing w:before="0" w:beforeAutospacing="0" w:after="0" w:afterAutospacing="0" w:line="360" w:lineRule="auto"/>
        <w:jc w:val="both"/>
        <w:rPr>
          <w:color w:val="0E101A"/>
        </w:rPr>
      </w:pPr>
      <w:r>
        <w:rPr>
          <w:color w:val="0E101A"/>
        </w:rPr>
        <w:t>Chronic toxicity develops by exposure to the toxin from low to moderate levels of toxin now, and their ergotism involves patients suffering from convulsions. It is called "St Anthony's Fire."</w:t>
      </w:r>
    </w:p>
    <w:p w:rsidR="001E1063" w:rsidRDefault="001E1063" w:rsidP="001E1063">
      <w:pPr>
        <w:pStyle w:val="NormalWeb"/>
        <w:spacing w:before="0" w:beforeAutospacing="0" w:after="0" w:afterAutospacing="0" w:line="360" w:lineRule="auto"/>
        <w:jc w:val="both"/>
        <w:rPr>
          <w:color w:val="0E101A"/>
        </w:rPr>
      </w:pPr>
      <w:r>
        <w:rPr>
          <w:color w:val="0E101A"/>
        </w:rPr>
        <w:t>Symptoms of ergotism include Convulsions and Gangrene. General symptoms like nausea, vomiting, and diarrhea are associated with them. Spasms, seizures, confusion, delusions and hallucinations, itching, and paresthesia accompany convulsions</w:t>
      </w:r>
      <w:r w:rsidR="00DF5AE6">
        <w:rPr>
          <w:color w:val="0E101A"/>
        </w:rPr>
        <w:t xml:space="preserve"> [19]</w:t>
      </w:r>
      <w:r>
        <w:rPr>
          <w:color w:val="0E101A"/>
        </w:rPr>
        <w:t>.</w:t>
      </w:r>
    </w:p>
    <w:p w:rsidR="001E1063" w:rsidRDefault="001E1063" w:rsidP="001E1063">
      <w:pPr>
        <w:pStyle w:val="NormalWeb"/>
        <w:spacing w:before="0" w:beforeAutospacing="0" w:after="0" w:afterAutospacing="0" w:line="360" w:lineRule="auto"/>
        <w:jc w:val="both"/>
        <w:rPr>
          <w:color w:val="0E101A"/>
        </w:rPr>
      </w:pPr>
      <w:r>
        <w:rPr>
          <w:color w:val="0E101A"/>
        </w:rPr>
        <w:t>Patients may lose parts of their extremities, such as toes and fingers, due to the constriction of blood vessels in gangrene conditions. Acute human mycotoxicosis includes nausea, vomiting, gastrointestinal upset, dizziness, etc.</w:t>
      </w:r>
    </w:p>
    <w:p w:rsidR="001E1063" w:rsidRDefault="001E1063" w:rsidP="001E1063">
      <w:pPr>
        <w:pStyle w:val="NormalWeb"/>
        <w:spacing w:before="0" w:beforeAutospacing="0" w:after="0" w:afterAutospacing="0" w:line="360" w:lineRule="auto"/>
        <w:jc w:val="both"/>
        <w:rPr>
          <w:color w:val="0E101A"/>
        </w:rPr>
      </w:pPr>
      <w:r>
        <w:rPr>
          <w:color w:val="0E101A"/>
        </w:rPr>
        <w:t>Fumonisins are responsible for oesophageal cancer in Asia, Africa, and American maize-eating populations. Fumonisin B results in the poor update of folic acid, causing neural tube defects in human babies.</w:t>
      </w:r>
    </w:p>
    <w:p w:rsidR="001E1063" w:rsidRDefault="001E1063" w:rsidP="001E1063">
      <w:pPr>
        <w:pStyle w:val="NormalWeb"/>
        <w:spacing w:before="0" w:beforeAutospacing="0" w:after="0" w:afterAutospacing="0" w:line="360" w:lineRule="auto"/>
        <w:jc w:val="both"/>
        <w:rPr>
          <w:color w:val="0E101A"/>
        </w:rPr>
      </w:pPr>
      <w:r>
        <w:rPr>
          <w:color w:val="0E101A"/>
        </w:rPr>
        <w:t>Alimentary toxic Aleukia leads to a decrease in leukocytes caused by the T2 toxin produced by Fusarium sp.</w:t>
      </w:r>
    </w:p>
    <w:p w:rsidR="00F9001F" w:rsidRDefault="001E1063" w:rsidP="001E1063">
      <w:pPr>
        <w:pStyle w:val="NormalWeb"/>
        <w:spacing w:before="0" w:beforeAutospacing="0" w:after="0" w:afterAutospacing="0" w:line="360" w:lineRule="auto"/>
        <w:jc w:val="both"/>
        <w:rPr>
          <w:rStyle w:val="Strong"/>
          <w:color w:val="0E101A"/>
        </w:rPr>
      </w:pPr>
      <w:r>
        <w:rPr>
          <w:color w:val="0E101A"/>
        </w:rPr>
        <w:t>Ochratoxin A causes kidney disease. D</w:t>
      </w:r>
      <w:r w:rsidR="00F9001F">
        <w:rPr>
          <w:color w:val="0E101A"/>
        </w:rPr>
        <w:t>ON</w:t>
      </w:r>
      <w:r>
        <w:rPr>
          <w:color w:val="0E101A"/>
        </w:rPr>
        <w:t xml:space="preserve"> causes nausea, vomiting, and diarrhea in animals. Severe weight loss and reluctance to feed are observed. Because of this, it is called the food refusal factor</w:t>
      </w:r>
      <w:r w:rsidR="00DF5AE6">
        <w:rPr>
          <w:color w:val="0E101A"/>
        </w:rPr>
        <w:t xml:space="preserve"> [20]</w:t>
      </w:r>
      <w:r>
        <w:rPr>
          <w:color w:val="0E101A"/>
        </w:rPr>
        <w:t>.</w:t>
      </w:r>
    </w:p>
    <w:p w:rsidR="001E1063" w:rsidRDefault="001E1063" w:rsidP="001E1063">
      <w:pPr>
        <w:pStyle w:val="NormalWeb"/>
        <w:spacing w:before="0" w:beforeAutospacing="0" w:after="0" w:afterAutospacing="0" w:line="360" w:lineRule="auto"/>
        <w:jc w:val="both"/>
        <w:rPr>
          <w:rStyle w:val="Strong"/>
          <w:color w:val="0E101A"/>
        </w:rPr>
      </w:pPr>
      <w:r>
        <w:rPr>
          <w:rStyle w:val="Strong"/>
          <w:color w:val="0E101A"/>
        </w:rPr>
        <w:t>Measures for prevention:</w:t>
      </w:r>
    </w:p>
    <w:p w:rsidR="001E1063" w:rsidRDefault="005E36D5" w:rsidP="001E1063">
      <w:pPr>
        <w:pStyle w:val="NormalWeb"/>
        <w:spacing w:before="0" w:beforeAutospacing="0" w:after="0" w:afterAutospacing="0" w:line="360" w:lineRule="auto"/>
        <w:jc w:val="both"/>
        <w:rPr>
          <w:color w:val="0E101A"/>
        </w:rPr>
      </w:pPr>
      <w:r>
        <w:rPr>
          <w:color w:val="0E101A"/>
        </w:rPr>
        <w:t xml:space="preserve">Mycotoxins pose adverse health effects, which may lead to cancer. </w:t>
      </w:r>
      <w:r w:rsidR="001E1063">
        <w:rPr>
          <w:color w:val="0E101A"/>
        </w:rPr>
        <w:t>Mycotoxin-contaminated food and feed have severely damaged animal livestock (farm animals). Indirectly it affected the livelihood of the farmer, who occupy the primary claim of the population, especially in India. Also, it has negatively impacted the country's economic status because of the rejection of contaminated foods that are either imported or exported.</w:t>
      </w:r>
    </w:p>
    <w:p w:rsidR="001E1063" w:rsidRDefault="001E1063" w:rsidP="001E1063">
      <w:pPr>
        <w:pStyle w:val="NormalWeb"/>
        <w:spacing w:before="0" w:beforeAutospacing="0" w:after="0" w:afterAutospacing="0" w:line="360" w:lineRule="auto"/>
        <w:jc w:val="both"/>
        <w:rPr>
          <w:color w:val="0E101A"/>
        </w:rPr>
      </w:pPr>
      <w:r>
        <w:rPr>
          <w:color w:val="0E101A"/>
        </w:rPr>
        <w:t xml:space="preserve">On the other hand, it has created life-threatening conditions for human beings leading to several diseases. National and international regulatory authorities like FDA and FSSAI have issued specific guidelines for exporting and importing food materials with the threat of mycotoxin </w:t>
      </w:r>
      <w:r>
        <w:rPr>
          <w:color w:val="0E101A"/>
        </w:rPr>
        <w:lastRenderedPageBreak/>
        <w:t xml:space="preserve">contamination. The levels of these mycotoxins need to be monitored at regular intervals to ensure the safety of the foods. According to FSSAI, the limit of aflatoxin in various foods should be between 10-15 ppb for human consumption; ochratoxin has a limit of 20 </w:t>
      </w:r>
      <w:r w:rsidR="005E36D5">
        <w:rPr>
          <w:color w:val="0E101A"/>
        </w:rPr>
        <w:t>pp</w:t>
      </w:r>
      <w:r>
        <w:rPr>
          <w:color w:val="0E101A"/>
        </w:rPr>
        <w:t>b in wheat, rye, and barley, etc. for patulin, it is 50 ppb in apple juice, and for DON it is 1,000 ppb in grain</w:t>
      </w:r>
      <w:r w:rsidR="00DF5AE6">
        <w:rPr>
          <w:color w:val="0E101A"/>
        </w:rPr>
        <w:t xml:space="preserve"> [21]</w:t>
      </w:r>
      <w:r>
        <w:rPr>
          <w:color w:val="0E101A"/>
        </w:rPr>
        <w:t>.</w:t>
      </w:r>
    </w:p>
    <w:p w:rsidR="001E1063" w:rsidRDefault="001E1063" w:rsidP="001E1063">
      <w:pPr>
        <w:pStyle w:val="NormalWeb"/>
        <w:spacing w:before="0" w:beforeAutospacing="0" w:after="0" w:afterAutospacing="0" w:line="360" w:lineRule="auto"/>
        <w:jc w:val="both"/>
        <w:rPr>
          <w:color w:val="0E101A"/>
        </w:rPr>
      </w:pPr>
      <w:r>
        <w:rPr>
          <w:rStyle w:val="Strong"/>
          <w:color w:val="0E101A"/>
        </w:rPr>
        <w:t>Processing of Foods can minimize the risk of aflatoxins:</w:t>
      </w:r>
    </w:p>
    <w:p w:rsidR="001E1063" w:rsidRDefault="001E1063" w:rsidP="001E1063">
      <w:pPr>
        <w:pStyle w:val="NormalWeb"/>
        <w:spacing w:before="0" w:beforeAutospacing="0" w:after="0" w:afterAutospacing="0" w:line="360" w:lineRule="auto"/>
        <w:jc w:val="both"/>
        <w:rPr>
          <w:color w:val="0E101A"/>
        </w:rPr>
      </w:pPr>
      <w:r>
        <w:rPr>
          <w:color w:val="0E101A"/>
        </w:rPr>
        <w:t>Milling and cooking processes reduce aflatoxin levels in foods. Binding agents like bentonites andclays are added to the feeds to lessen their bioavailability. </w:t>
      </w:r>
    </w:p>
    <w:p w:rsidR="001E1063" w:rsidRDefault="001E1063" w:rsidP="001E1063">
      <w:pPr>
        <w:pStyle w:val="NormalWeb"/>
        <w:spacing w:before="0" w:beforeAutospacing="0" w:after="0" w:afterAutospacing="0" w:line="360" w:lineRule="auto"/>
        <w:jc w:val="both"/>
        <w:rPr>
          <w:color w:val="0E101A"/>
        </w:rPr>
      </w:pPr>
      <w:r>
        <w:rPr>
          <w:color w:val="0E101A"/>
        </w:rPr>
        <w:t>Separation of visible mold growth in seeds or grains from healthy ones is one of the best ways to minimize risk.</w:t>
      </w:r>
    </w:p>
    <w:p w:rsidR="001E1063" w:rsidRDefault="001E1063" w:rsidP="001E1063">
      <w:pPr>
        <w:pStyle w:val="NormalWeb"/>
        <w:spacing w:before="0" w:beforeAutospacing="0" w:after="0" w:afterAutospacing="0" w:line="360" w:lineRule="auto"/>
        <w:jc w:val="both"/>
        <w:rPr>
          <w:color w:val="0E101A"/>
        </w:rPr>
      </w:pPr>
      <w:r>
        <w:rPr>
          <w:color w:val="0E101A"/>
        </w:rPr>
        <w:t>Refining and filtering the nuts of the oil reduce the risk of contamination.</w:t>
      </w:r>
    </w:p>
    <w:p w:rsidR="001E1063" w:rsidRDefault="001E1063" w:rsidP="001E1063">
      <w:pPr>
        <w:pStyle w:val="NormalWeb"/>
        <w:spacing w:before="0" w:beforeAutospacing="0" w:after="0" w:afterAutospacing="0" w:line="360" w:lineRule="auto"/>
        <w:jc w:val="both"/>
        <w:rPr>
          <w:color w:val="0E101A"/>
        </w:rPr>
      </w:pPr>
      <w:r>
        <w:rPr>
          <w:color w:val="0E101A"/>
        </w:rPr>
        <w:t>Control of mold in the animal feed reduces the fungus's entry into the food chain.</w:t>
      </w:r>
    </w:p>
    <w:p w:rsidR="001E1063" w:rsidRDefault="001E1063" w:rsidP="001E1063">
      <w:pPr>
        <w:pStyle w:val="NormalWeb"/>
        <w:spacing w:before="0" w:beforeAutospacing="0" w:after="0" w:afterAutospacing="0" w:line="360" w:lineRule="auto"/>
        <w:jc w:val="both"/>
        <w:rPr>
          <w:color w:val="0E101A"/>
        </w:rPr>
      </w:pPr>
      <w:r>
        <w:rPr>
          <w:color w:val="0E101A"/>
        </w:rPr>
        <w:t>DON is a heat-stable and water-soluble toxin and can be removed easily by washing the grains.</w:t>
      </w:r>
    </w:p>
    <w:p w:rsidR="001E1063" w:rsidRDefault="001E1063" w:rsidP="001E1063">
      <w:pPr>
        <w:pStyle w:val="NormalWeb"/>
        <w:spacing w:before="0" w:beforeAutospacing="0" w:after="0" w:afterAutospacing="0" w:line="360" w:lineRule="auto"/>
        <w:jc w:val="both"/>
        <w:rPr>
          <w:color w:val="0E101A"/>
        </w:rPr>
      </w:pPr>
      <w:r>
        <w:rPr>
          <w:color w:val="0E101A"/>
        </w:rPr>
        <w:t>Ochratoxins are removed by roasting the coffee beans</w:t>
      </w:r>
    </w:p>
    <w:p w:rsidR="001E1063" w:rsidRDefault="001E1063" w:rsidP="001E1063">
      <w:pPr>
        <w:pStyle w:val="NormalWeb"/>
        <w:spacing w:before="0" w:beforeAutospacing="0" w:after="0" w:afterAutospacing="0" w:line="360" w:lineRule="auto"/>
        <w:jc w:val="both"/>
        <w:rPr>
          <w:color w:val="0E101A"/>
        </w:rPr>
      </w:pPr>
      <w:r>
        <w:rPr>
          <w:color w:val="0E101A"/>
        </w:rPr>
        <w:t>Sorting out fruits and vegetables reduces the risk of contamination. Winnowing, washing, crushing, and dehulling of grains lessen toxins. Floatation method, including salt water, 30 % potassium chloride is poured over the seeds and stirred</w:t>
      </w:r>
      <w:r w:rsidR="00DF5AE6">
        <w:rPr>
          <w:color w:val="0E101A"/>
        </w:rPr>
        <w:t>[22]</w:t>
      </w:r>
      <w:r>
        <w:rPr>
          <w:color w:val="0E101A"/>
        </w:rPr>
        <w:t>.</w:t>
      </w:r>
    </w:p>
    <w:p w:rsidR="001E1063" w:rsidRDefault="001E1063" w:rsidP="001E1063">
      <w:pPr>
        <w:pStyle w:val="NormalWeb"/>
        <w:spacing w:before="0" w:beforeAutospacing="0" w:after="0" w:afterAutospacing="0" w:line="360" w:lineRule="auto"/>
        <w:jc w:val="both"/>
        <w:rPr>
          <w:color w:val="0E101A"/>
        </w:rPr>
      </w:pPr>
      <w:r>
        <w:rPr>
          <w:rStyle w:val="Strong"/>
          <w:color w:val="0E101A"/>
        </w:rPr>
        <w:t>Use of Dietary fibers:</w:t>
      </w:r>
    </w:p>
    <w:p w:rsidR="001E1063" w:rsidRDefault="001E1063" w:rsidP="001E1063">
      <w:pPr>
        <w:pStyle w:val="NormalWeb"/>
        <w:spacing w:before="0" w:beforeAutospacing="0" w:after="0" w:afterAutospacing="0" w:line="360" w:lineRule="auto"/>
        <w:jc w:val="both"/>
        <w:rPr>
          <w:color w:val="0E101A"/>
        </w:rPr>
      </w:pPr>
      <w:r>
        <w:rPr>
          <w:color w:val="0E101A"/>
        </w:rPr>
        <w:t xml:space="preserve">Antioxidants like selenium, Vitamin A, E, and C fructose, phenolic compounds, chlorophyll, and coumarins reduce the toxicity of these toxins. Broccoli, Sprouts, and green tea can be detoxed to remove toxins </w:t>
      </w:r>
      <w:r w:rsidR="00E92B70">
        <w:rPr>
          <w:color w:val="0E101A"/>
        </w:rPr>
        <w:t>[23]</w:t>
      </w:r>
      <w:r>
        <w:rPr>
          <w:color w:val="0E101A"/>
        </w:rPr>
        <w:t>.</w:t>
      </w:r>
    </w:p>
    <w:p w:rsidR="001E1063" w:rsidRDefault="001E1063" w:rsidP="001E1063">
      <w:pPr>
        <w:pStyle w:val="NormalWeb"/>
        <w:spacing w:before="0" w:beforeAutospacing="0" w:after="0" w:afterAutospacing="0" w:line="360" w:lineRule="auto"/>
        <w:jc w:val="both"/>
        <w:rPr>
          <w:color w:val="0E101A"/>
        </w:rPr>
      </w:pPr>
      <w:r>
        <w:rPr>
          <w:color w:val="0E101A"/>
        </w:rPr>
        <w:t> The present study strictly emphasizes maintaining absolute cleanliness and sanitation starting from the harvesting, transportation, and finally, to the end-user, which will lessen the impact of toxins. Following good agricultural practices, preservation methods, and processing methods, all together can reduce contamination. Further selective breeding and genetic engineering offer the selection of resistant varieties of crops, which will help to prevent infestation by fungi</w:t>
      </w:r>
      <w:r w:rsidR="00E92B70">
        <w:rPr>
          <w:color w:val="0E101A"/>
        </w:rPr>
        <w:t xml:space="preserve"> [24]</w:t>
      </w:r>
      <w:r>
        <w:rPr>
          <w:color w:val="0E101A"/>
        </w:rPr>
        <w:t>.</w:t>
      </w:r>
    </w:p>
    <w:p w:rsidR="00F9001F" w:rsidRDefault="001E1063" w:rsidP="00F9001F">
      <w:pPr>
        <w:pStyle w:val="NormalWeb"/>
        <w:spacing w:before="0" w:beforeAutospacing="0" w:after="0" w:afterAutospacing="0" w:line="360" w:lineRule="auto"/>
        <w:jc w:val="both"/>
        <w:rPr>
          <w:color w:val="0E101A"/>
        </w:rPr>
      </w:pPr>
      <w:r>
        <w:rPr>
          <w:color w:val="0E101A"/>
        </w:rPr>
        <w:t>Spread awareness about the importance of fungi, the food grains and cereals they infect, mycotoxins, and mycotoxicosis will help to achieve eradicate the risk caused by fungi.</w:t>
      </w:r>
    </w:p>
    <w:p w:rsidR="006A0AAE" w:rsidRDefault="006A0AAE" w:rsidP="00E92B70">
      <w:pPr>
        <w:pStyle w:val="NormalWeb"/>
        <w:spacing w:before="0" w:beforeAutospacing="0" w:after="0" w:afterAutospacing="0" w:line="360" w:lineRule="auto"/>
        <w:ind w:left="720"/>
        <w:jc w:val="both"/>
        <w:rPr>
          <w:color w:val="0E101A"/>
        </w:rPr>
      </w:pPr>
    </w:p>
    <w:p w:rsidR="00E92B70" w:rsidRDefault="006A0AAE" w:rsidP="00D54AB5">
      <w:pPr>
        <w:pStyle w:val="NormalWeb"/>
        <w:spacing w:before="0" w:beforeAutospacing="0" w:after="0" w:afterAutospacing="0" w:line="360" w:lineRule="auto"/>
        <w:jc w:val="both"/>
        <w:rPr>
          <w:b/>
          <w:bCs/>
        </w:rPr>
      </w:pPr>
      <w:r>
        <w:rPr>
          <w:b/>
          <w:bCs/>
        </w:rPr>
        <w:t>Conclusion:</w:t>
      </w:r>
    </w:p>
    <w:p w:rsidR="006A0AAE" w:rsidRDefault="008E1F60" w:rsidP="00D54AB5">
      <w:pPr>
        <w:pStyle w:val="NormalWeb"/>
        <w:spacing w:before="0" w:beforeAutospacing="0" w:after="0" w:afterAutospacing="0" w:line="360" w:lineRule="auto"/>
        <w:jc w:val="both"/>
        <w:rPr>
          <w:b/>
          <w:bCs/>
        </w:rPr>
      </w:pPr>
      <w:r w:rsidRPr="00D54AB5">
        <w:t>Mycotoxins</w:t>
      </w:r>
      <w:r w:rsidR="00E4322B" w:rsidRPr="00D54AB5">
        <w:t xml:space="preserve">gained the attention of </w:t>
      </w:r>
      <w:r w:rsidR="0064214D" w:rsidRPr="00D54AB5">
        <w:t>healthcare</w:t>
      </w:r>
      <w:r w:rsidR="00864494" w:rsidRPr="00D54AB5">
        <w:t>professionals</w:t>
      </w:r>
      <w:r w:rsidR="00E4322B" w:rsidRPr="00D54AB5">
        <w:t xml:space="preserve"> because of the impact caused by them on animal and human livestock.</w:t>
      </w:r>
      <w:r w:rsidR="002D0C95" w:rsidRPr="00D54AB5">
        <w:t xml:space="preserve"> International and national regulatory standards strictly framed </w:t>
      </w:r>
      <w:r w:rsidR="002D0C95" w:rsidRPr="00D54AB5">
        <w:lastRenderedPageBreak/>
        <w:t>the code of practice</w:t>
      </w:r>
      <w:r w:rsidR="00864494" w:rsidRPr="00D54AB5">
        <w:t>,</w:t>
      </w:r>
      <w:r w:rsidR="00D75804" w:rsidRPr="00D54AB5">
        <w:t xml:space="preserve"> which</w:t>
      </w:r>
      <w:r w:rsidR="00C01908" w:rsidRPr="00D54AB5">
        <w:t xml:space="preserve"> will </w:t>
      </w:r>
      <w:r w:rsidR="00D75804" w:rsidRPr="00D54AB5">
        <w:t>limit exposureto different types of food</w:t>
      </w:r>
      <w:r w:rsidR="0064214D" w:rsidRPr="00D54AB5">
        <w:t xml:space="preserve">s </w:t>
      </w:r>
      <w:r w:rsidR="00D75804" w:rsidRPr="00D54AB5">
        <w:t>with</w:t>
      </w:r>
      <w:r w:rsidR="002D0C95" w:rsidRPr="00D54AB5">
        <w:t xml:space="preserve"> respect to </w:t>
      </w:r>
      <w:r w:rsidR="00C01908" w:rsidRPr="00D54AB5">
        <w:t>mycotoxins</w:t>
      </w:r>
      <w:r w:rsidR="00C01908">
        <w:rPr>
          <w:b/>
          <w:bCs/>
        </w:rPr>
        <w:t>.</w:t>
      </w:r>
    </w:p>
    <w:p w:rsidR="00216CAD" w:rsidRPr="00F9001F" w:rsidRDefault="00216CAD" w:rsidP="00D54AB5">
      <w:pPr>
        <w:pStyle w:val="NormalWeb"/>
        <w:spacing w:before="0" w:beforeAutospacing="0" w:after="0" w:afterAutospacing="0" w:line="360" w:lineRule="auto"/>
        <w:jc w:val="both"/>
        <w:rPr>
          <w:color w:val="0E101A"/>
        </w:rPr>
      </w:pPr>
      <w:r w:rsidRPr="00216CAD">
        <w:rPr>
          <w:b/>
          <w:bCs/>
        </w:rPr>
        <w:t>References:</w:t>
      </w:r>
    </w:p>
    <w:p w:rsidR="000C6FBC" w:rsidRPr="00A272B6" w:rsidRDefault="00216CAD" w:rsidP="003D74F3">
      <w:pPr>
        <w:pStyle w:val="ListParagraph"/>
        <w:numPr>
          <w:ilvl w:val="0"/>
          <w:numId w:val="3"/>
        </w:numPr>
        <w:spacing w:line="360" w:lineRule="auto"/>
        <w:jc w:val="both"/>
        <w:rPr>
          <w:rStyle w:val="docsum-journal-citation"/>
          <w:color w:val="000000" w:themeColor="text1"/>
          <w:shd w:val="clear" w:color="auto" w:fill="FFFFFF"/>
        </w:rPr>
      </w:pPr>
      <w:r w:rsidRPr="003132EC">
        <w:rPr>
          <w:rStyle w:val="docsum-authors"/>
          <w:color w:val="212121"/>
          <w:shd w:val="clear" w:color="auto" w:fill="FFFFFF"/>
        </w:rPr>
        <w:t>Ülger TG., Uçar A., Çakıroğlu FP., Yilmaz S. Genotoxic effects of Mycotoxins.</w:t>
      </w:r>
      <w:r w:rsidRPr="003132EC">
        <w:rPr>
          <w:rStyle w:val="docsum-journal-citation"/>
          <w:color w:val="000000" w:themeColor="text1"/>
          <w:shd w:val="clear" w:color="auto" w:fill="FFFFFF"/>
        </w:rPr>
        <w:t>Toxicon. 2020 Oct 15; 185:104-113. E pub Jul 10. 2020.</w:t>
      </w:r>
    </w:p>
    <w:p w:rsidR="000C6FBC" w:rsidRPr="00496FDF" w:rsidRDefault="00216CAD" w:rsidP="003D74F3">
      <w:pPr>
        <w:pStyle w:val="ListParagraph"/>
        <w:numPr>
          <w:ilvl w:val="0"/>
          <w:numId w:val="3"/>
        </w:numPr>
        <w:spacing w:line="360" w:lineRule="auto"/>
        <w:jc w:val="both"/>
        <w:rPr>
          <w:rStyle w:val="docsum-journal-citation"/>
          <w:color w:val="2E2E2E"/>
        </w:rPr>
      </w:pPr>
      <w:r w:rsidRPr="003132EC">
        <w:rPr>
          <w:color w:val="2E2E2E"/>
        </w:rPr>
        <w:t>Fletcher</w:t>
      </w:r>
      <w:r w:rsidR="00F9001F" w:rsidRPr="003132EC">
        <w:rPr>
          <w:color w:val="2E2E2E"/>
        </w:rPr>
        <w:t xml:space="preserve"> M.T</w:t>
      </w:r>
      <w:r w:rsidRPr="003132EC">
        <w:rPr>
          <w:color w:val="2E2E2E"/>
        </w:rPr>
        <w:t>., Blaney</w:t>
      </w:r>
      <w:r w:rsidR="00F9001F" w:rsidRPr="003132EC">
        <w:rPr>
          <w:color w:val="2E2E2E"/>
        </w:rPr>
        <w:t xml:space="preserve"> B.J</w:t>
      </w:r>
      <w:r w:rsidRPr="003132EC">
        <w:rPr>
          <w:color w:val="2E2E2E"/>
        </w:rPr>
        <w:t>. Mycotoxins in </w:t>
      </w:r>
      <w:hyperlink r:id="rId12" w:history="1">
        <w:r w:rsidRPr="003132EC">
          <w:rPr>
            <w:rStyle w:val="anchor-text"/>
            <w:color w:val="000000" w:themeColor="text1"/>
          </w:rPr>
          <w:t>Reference Module in Food Science</w:t>
        </w:r>
      </w:hyperlink>
      <w:r w:rsidR="00F9001F" w:rsidRPr="003132EC">
        <w:rPr>
          <w:color w:val="2E2E2E"/>
        </w:rPr>
        <w:t>.</w:t>
      </w:r>
      <w:r w:rsidRPr="003132EC">
        <w:rPr>
          <w:color w:val="2E2E2E"/>
        </w:rPr>
        <w:t>2016.</w:t>
      </w:r>
    </w:p>
    <w:p w:rsidR="008A0579" w:rsidRDefault="00216CAD" w:rsidP="008A0579">
      <w:pPr>
        <w:pStyle w:val="ListParagraph"/>
        <w:numPr>
          <w:ilvl w:val="0"/>
          <w:numId w:val="3"/>
        </w:numPr>
        <w:spacing w:line="360" w:lineRule="auto"/>
        <w:jc w:val="both"/>
        <w:rPr>
          <w:color w:val="232323"/>
          <w:shd w:val="clear" w:color="auto" w:fill="FFFFFF"/>
        </w:rPr>
      </w:pPr>
      <w:r w:rsidRPr="003132EC">
        <w:rPr>
          <w:color w:val="232323"/>
          <w:shd w:val="clear" w:color="auto" w:fill="FFFFFF"/>
        </w:rPr>
        <w:t>Bennett, J.W. and Klich M. Mycotoxins. Clinical Microbiology Reviews, 16, 497-516., 2003.</w:t>
      </w:r>
    </w:p>
    <w:p w:rsidR="00216CAD" w:rsidRPr="008A0579" w:rsidRDefault="00B524E4" w:rsidP="008A0579">
      <w:pPr>
        <w:pStyle w:val="ListParagraph"/>
        <w:numPr>
          <w:ilvl w:val="0"/>
          <w:numId w:val="3"/>
        </w:numPr>
        <w:spacing w:line="360" w:lineRule="auto"/>
        <w:jc w:val="both"/>
        <w:rPr>
          <w:color w:val="232323"/>
          <w:shd w:val="clear" w:color="auto" w:fill="FFFFFF"/>
        </w:rPr>
      </w:pPr>
      <w:hyperlink r:id="rId13" w:history="1">
        <w:proofErr w:type="spellStart"/>
        <w:r w:rsidR="00216CAD" w:rsidRPr="008A0579">
          <w:rPr>
            <w:rStyle w:val="cit"/>
            <w:color w:val="000000" w:themeColor="text1"/>
            <w:shd w:val="clear" w:color="auto" w:fill="FFFFFF"/>
          </w:rPr>
          <w:t>Darina</w:t>
        </w:r>
        <w:proofErr w:type="spellEnd"/>
        <w:r w:rsidR="00216CAD" w:rsidRPr="008A0579">
          <w:rPr>
            <w:rStyle w:val="cit"/>
            <w:color w:val="000000" w:themeColor="text1"/>
            <w:shd w:val="clear" w:color="auto" w:fill="FFFFFF"/>
          </w:rPr>
          <w:t xml:space="preserve"> </w:t>
        </w:r>
        <w:proofErr w:type="spellStart"/>
        <w:r w:rsidR="00216CAD" w:rsidRPr="008A0579">
          <w:rPr>
            <w:rStyle w:val="cit"/>
            <w:color w:val="000000" w:themeColor="text1"/>
            <w:shd w:val="clear" w:color="auto" w:fill="FFFFFF"/>
          </w:rPr>
          <w:t>Pickova</w:t>
        </w:r>
        <w:proofErr w:type="spellEnd"/>
      </w:hyperlink>
      <w:r w:rsidR="00216CAD" w:rsidRPr="008A0579">
        <w:rPr>
          <w:rStyle w:val="authors-list-item"/>
          <w:color w:val="000000" w:themeColor="text1"/>
          <w:shd w:val="clear" w:color="auto" w:fill="FFFFFF"/>
        </w:rPr>
        <w:t>.,</w:t>
      </w:r>
      <w:r w:rsidR="00216CAD" w:rsidRPr="008A0579">
        <w:rPr>
          <w:rStyle w:val="author-sup-separator"/>
          <w:color w:val="000000" w:themeColor="text1"/>
          <w:shd w:val="clear" w:color="auto" w:fill="FFFFFF"/>
          <w:vertAlign w:val="superscript"/>
        </w:rPr>
        <w:t> </w:t>
      </w:r>
      <w:hyperlink r:id="rId14" w:history="1">
        <w:r w:rsidR="00216CAD" w:rsidRPr="008A0579">
          <w:rPr>
            <w:rStyle w:val="cit"/>
            <w:color w:val="000000" w:themeColor="text1"/>
            <w:shd w:val="clear" w:color="auto" w:fill="FFFFFF"/>
          </w:rPr>
          <w:t>Vladimir Ostry</w:t>
        </w:r>
      </w:hyperlink>
      <w:r w:rsidR="00216CAD" w:rsidRPr="008A0579">
        <w:rPr>
          <w:rStyle w:val="author-sup-separator"/>
          <w:color w:val="000000" w:themeColor="text1"/>
          <w:shd w:val="clear" w:color="auto" w:fill="FFFFFF"/>
        </w:rPr>
        <w:t>.</w:t>
      </w:r>
      <w:r w:rsidR="00216CAD" w:rsidRPr="008A0579">
        <w:rPr>
          <w:rStyle w:val="comma"/>
          <w:color w:val="000000" w:themeColor="text1"/>
          <w:shd w:val="clear" w:color="auto" w:fill="FFFFFF"/>
        </w:rPr>
        <w:t>, </w:t>
      </w:r>
      <w:hyperlink r:id="rId15" w:history="1">
        <w:r w:rsidR="00216CAD" w:rsidRPr="008A0579">
          <w:rPr>
            <w:rStyle w:val="cit"/>
            <w:color w:val="000000" w:themeColor="text1"/>
            <w:shd w:val="clear" w:color="auto" w:fill="FFFFFF"/>
          </w:rPr>
          <w:t>Jakub Toman</w:t>
        </w:r>
      </w:hyperlink>
      <w:r w:rsidR="00216CAD" w:rsidRPr="008A0579">
        <w:rPr>
          <w:rStyle w:val="author-sup-separator"/>
          <w:color w:val="000000" w:themeColor="text1"/>
          <w:shd w:val="clear" w:color="auto" w:fill="FFFFFF"/>
          <w:vertAlign w:val="superscript"/>
        </w:rPr>
        <w:t> </w:t>
      </w:r>
      <w:r w:rsidR="00216CAD" w:rsidRPr="008A0579">
        <w:rPr>
          <w:rStyle w:val="authors-list-item"/>
          <w:color w:val="000000" w:themeColor="text1"/>
          <w:shd w:val="clear" w:color="auto" w:fill="FFFFFF"/>
        </w:rPr>
        <w:t>.,</w:t>
      </w:r>
      <w:r w:rsidR="00216CAD" w:rsidRPr="008A0579">
        <w:rPr>
          <w:rStyle w:val="comma"/>
          <w:color w:val="000000" w:themeColor="text1"/>
          <w:shd w:val="clear" w:color="auto" w:fill="FFFFFF"/>
        </w:rPr>
        <w:t> </w:t>
      </w:r>
      <w:hyperlink r:id="rId16" w:history="1">
        <w:r w:rsidR="00216CAD" w:rsidRPr="008A0579">
          <w:rPr>
            <w:rStyle w:val="cit"/>
            <w:color w:val="000000" w:themeColor="text1"/>
            <w:shd w:val="clear" w:color="auto" w:fill="FFFFFF"/>
          </w:rPr>
          <w:t>Frantisek Malir</w:t>
        </w:r>
      </w:hyperlink>
      <w:r w:rsidR="00216CAD" w:rsidRPr="008A0579">
        <w:rPr>
          <w:rStyle w:val="authors-list-item"/>
          <w:color w:val="5B616B"/>
          <w:shd w:val="clear" w:color="auto" w:fill="FFFFFF"/>
        </w:rPr>
        <w:t>.</w:t>
      </w:r>
      <w:r w:rsidR="00216CAD" w:rsidRPr="008A0579">
        <w:rPr>
          <w:rStyle w:val="author-sup-separator"/>
          <w:color w:val="5B616B"/>
          <w:shd w:val="clear" w:color="auto" w:fill="FFFFFF"/>
          <w:vertAlign w:val="superscript"/>
        </w:rPr>
        <w:t> </w:t>
      </w:r>
      <w:r w:rsidR="00216CAD" w:rsidRPr="008A0579">
        <w:rPr>
          <w:color w:val="212121"/>
        </w:rPr>
        <w:t xml:space="preserve">Aflatoxins:History, Significant Milestones, Recent Data on Their Toxicity and Ways to Mitigation. </w:t>
      </w:r>
      <w:r w:rsidR="00216CAD" w:rsidRPr="008A0579">
        <w:rPr>
          <w:color w:val="5B616B"/>
        </w:rPr>
        <w:t xml:space="preserve">Toxins (Basel). </w:t>
      </w:r>
      <w:r w:rsidR="00216CAD" w:rsidRPr="008A0579">
        <w:rPr>
          <w:rStyle w:val="cit"/>
          <w:color w:val="5B616B"/>
          <w:shd w:val="clear" w:color="auto" w:fill="FFFFFF"/>
        </w:rPr>
        <w:t>Jun 3;13(6):399, 2021.</w:t>
      </w:r>
    </w:p>
    <w:p w:rsidR="000C6FBC" w:rsidRPr="00496FDF" w:rsidRDefault="00B524E4" w:rsidP="003D74F3">
      <w:pPr>
        <w:pStyle w:val="ListParagraph"/>
        <w:numPr>
          <w:ilvl w:val="0"/>
          <w:numId w:val="3"/>
        </w:numPr>
        <w:shd w:val="clear" w:color="auto" w:fill="FFFFFF"/>
        <w:spacing w:line="360" w:lineRule="auto"/>
        <w:jc w:val="both"/>
        <w:rPr>
          <w:color w:val="333333"/>
          <w:shd w:val="clear" w:color="auto" w:fill="FFFFFF"/>
        </w:rPr>
      </w:pPr>
      <w:hyperlink r:id="rId17" w:tgtFrame="_blank" w:history="1">
        <w:r w:rsidR="00216CAD" w:rsidRPr="003132EC">
          <w:rPr>
            <w:rStyle w:val="Hyperlink"/>
            <w:color w:val="000000" w:themeColor="text1"/>
            <w:u w:val="none"/>
          </w:rPr>
          <w:t>James W., Muthomi</w:t>
        </w:r>
      </w:hyperlink>
      <w:r w:rsidR="00216CAD" w:rsidRPr="003132EC">
        <w:rPr>
          <w:color w:val="000000" w:themeColor="text1"/>
        </w:rPr>
        <w:t>., </w:t>
      </w:r>
      <w:hyperlink r:id="rId18" w:tgtFrame="_blank" w:history="1">
        <w:r w:rsidR="00216CAD" w:rsidRPr="003132EC">
          <w:rPr>
            <w:rStyle w:val="Hyperlink"/>
            <w:color w:val="000000" w:themeColor="text1"/>
            <w:u w:val="none"/>
          </w:rPr>
          <w:t>Scholastica L., Musyimi</w:t>
        </w:r>
      </w:hyperlink>
      <w:r w:rsidR="00216CAD" w:rsidRPr="003132EC">
        <w:rPr>
          <w:color w:val="000000" w:themeColor="text1"/>
        </w:rPr>
        <w:t>., </w:t>
      </w:r>
      <w:hyperlink r:id="rId19" w:tgtFrame="_blank" w:history="1">
        <w:r w:rsidR="00216CAD" w:rsidRPr="003132EC">
          <w:rPr>
            <w:rStyle w:val="Hyperlink"/>
            <w:color w:val="000000" w:themeColor="text1"/>
            <w:u w:val="none"/>
          </w:rPr>
          <w:t>John M., Wagacha</w:t>
        </w:r>
      </w:hyperlink>
      <w:r w:rsidR="00216CAD" w:rsidRPr="003132EC">
        <w:rPr>
          <w:color w:val="000000" w:themeColor="text1"/>
        </w:rPr>
        <w:t>., </w:t>
      </w:r>
      <w:hyperlink r:id="rId20" w:tgtFrame="_blank" w:history="1">
        <w:r w:rsidR="00216CAD" w:rsidRPr="003132EC">
          <w:rPr>
            <w:rStyle w:val="Hyperlink"/>
            <w:color w:val="000000" w:themeColor="text1"/>
            <w:u w:val="none"/>
          </w:rPr>
          <w:t>Rama D. Narla</w:t>
        </w:r>
      </w:hyperlink>
      <w:r w:rsidR="00216CAD" w:rsidRPr="003132EC">
        <w:rPr>
          <w:color w:val="333333"/>
        </w:rPr>
        <w:t>. Occurrence of </w:t>
      </w:r>
      <w:r w:rsidR="00216CAD" w:rsidRPr="003132EC">
        <w:rPr>
          <w:i/>
          <w:iCs/>
          <w:color w:val="333333"/>
        </w:rPr>
        <w:t>Fusarium</w:t>
      </w:r>
      <w:r w:rsidR="00216CAD" w:rsidRPr="003132EC">
        <w:rPr>
          <w:color w:val="333333"/>
        </w:rPr>
        <w:t xml:space="preserve"> species and associated T2-toxin in Kenyan wheat, Agricultural </w:t>
      </w:r>
      <w:r w:rsidR="00685837" w:rsidRPr="003132EC">
        <w:rPr>
          <w:color w:val="333333"/>
        </w:rPr>
        <w:t>Sciences Vol.</w:t>
      </w:r>
      <w:r w:rsidR="00216CAD" w:rsidRPr="003132EC">
        <w:rPr>
          <w:color w:val="333333"/>
        </w:rPr>
        <w:t xml:space="preserve"> 3 No.1 </w:t>
      </w:r>
      <w:r w:rsidR="00216CAD" w:rsidRPr="003132EC">
        <w:rPr>
          <w:color w:val="333333"/>
          <w:shd w:val="clear" w:color="auto" w:fill="FFFFFF"/>
        </w:rPr>
        <w:t>January 5, 2012.</w:t>
      </w:r>
    </w:p>
    <w:p w:rsidR="000C6FBC" w:rsidRPr="00496FDF" w:rsidRDefault="00216CAD" w:rsidP="003D74F3">
      <w:pPr>
        <w:pStyle w:val="ListParagraph"/>
        <w:numPr>
          <w:ilvl w:val="0"/>
          <w:numId w:val="3"/>
        </w:numPr>
        <w:shd w:val="clear" w:color="auto" w:fill="FFFFFF"/>
        <w:spacing w:line="360" w:lineRule="auto"/>
        <w:jc w:val="both"/>
        <w:rPr>
          <w:color w:val="232323"/>
          <w:shd w:val="clear" w:color="auto" w:fill="FFFFFF"/>
        </w:rPr>
      </w:pPr>
      <w:r w:rsidRPr="003132EC">
        <w:rPr>
          <w:color w:val="232323"/>
          <w:shd w:val="clear" w:color="auto" w:fill="FFFFFF"/>
        </w:rPr>
        <w:t>Bennett, J.W. and Klich, M. Mycotoxins. In: Schaechter, M., Ed., Encyclopedia of Microbiology, 3rd Edition, Academic Press, Oxford, 559-565</w:t>
      </w:r>
      <w:r w:rsidR="000C6FBC" w:rsidRPr="003132EC">
        <w:rPr>
          <w:color w:val="232323"/>
          <w:shd w:val="clear" w:color="auto" w:fill="FFFFFF"/>
        </w:rPr>
        <w:t xml:space="preserve">, </w:t>
      </w:r>
      <w:r w:rsidRPr="003132EC">
        <w:rPr>
          <w:color w:val="232323"/>
          <w:shd w:val="clear" w:color="auto" w:fill="FFFFFF"/>
        </w:rPr>
        <w:t>2009.</w:t>
      </w:r>
    </w:p>
    <w:p w:rsidR="000C6FBC" w:rsidRPr="00496FDF" w:rsidRDefault="00216CAD" w:rsidP="003D74F3">
      <w:pPr>
        <w:pStyle w:val="ListParagraph"/>
        <w:numPr>
          <w:ilvl w:val="0"/>
          <w:numId w:val="3"/>
        </w:numPr>
        <w:shd w:val="clear" w:color="auto" w:fill="FFFFFF"/>
        <w:spacing w:line="360" w:lineRule="auto"/>
        <w:jc w:val="both"/>
        <w:rPr>
          <w:color w:val="232323"/>
          <w:shd w:val="clear" w:color="auto" w:fill="FFFFFF"/>
        </w:rPr>
      </w:pPr>
      <w:r w:rsidRPr="003132EC">
        <w:rPr>
          <w:color w:val="232323"/>
          <w:shd w:val="clear" w:color="auto" w:fill="FFFFFF"/>
        </w:rPr>
        <w:t xml:space="preserve">Bhat R. V., Beedu S. R., Ramakrishna Y., and Munshi K. L. “Outbreak of Trichothecene Mycotoxicosis Associated with Consumption of Mould-Damaged Wheat Production in Kashmir Valley, India,” Lancet, Vol. 1, No. 8628, pp. 35-37 1989. </w:t>
      </w:r>
    </w:p>
    <w:p w:rsidR="00714F1C" w:rsidRPr="003132EC" w:rsidRDefault="00216CAD" w:rsidP="003132EC">
      <w:pPr>
        <w:pStyle w:val="ListParagraph"/>
        <w:numPr>
          <w:ilvl w:val="0"/>
          <w:numId w:val="3"/>
        </w:numPr>
        <w:shd w:val="clear" w:color="auto" w:fill="FFFFFF"/>
        <w:spacing w:line="360" w:lineRule="auto"/>
        <w:jc w:val="both"/>
        <w:rPr>
          <w:color w:val="5B616B"/>
          <w:shd w:val="clear" w:color="auto" w:fill="FFFFFF"/>
        </w:rPr>
      </w:pPr>
      <w:r w:rsidRPr="003132EC">
        <w:rPr>
          <w:color w:val="212121"/>
          <w:shd w:val="clear" w:color="auto" w:fill="FFFFFF"/>
        </w:rPr>
        <w:t xml:space="preserve">Kensler T.W., Egner P.A., Wang J.B., Zhu Y.R, Zhang B.C, Lu PX, Chen JG, Qian GS, Kuang SY, Jackson PE, Gange SJ, Jacobson LP, Muñoz A, Groopman JD. </w:t>
      </w:r>
      <w:r w:rsidRPr="003132EC">
        <w:rPr>
          <w:color w:val="212121"/>
        </w:rPr>
        <w:t>Chemoprevention of hepatocellular carcinoma in aflatoxin endemic areas</w:t>
      </w:r>
      <w:r w:rsidRPr="003132EC">
        <w:rPr>
          <w:color w:val="5B616B"/>
          <w:shd w:val="clear" w:color="auto" w:fill="FFFFFF"/>
        </w:rPr>
        <w:t>;127(5 Suppl 1): S310-8, Nov 2004.</w:t>
      </w:r>
    </w:p>
    <w:p w:rsidR="005039D9" w:rsidRDefault="00216CAD" w:rsidP="008A0579">
      <w:pPr>
        <w:pStyle w:val="ListParagraph"/>
        <w:numPr>
          <w:ilvl w:val="0"/>
          <w:numId w:val="3"/>
        </w:numPr>
        <w:shd w:val="clear" w:color="auto" w:fill="FFFFFF"/>
        <w:spacing w:line="360" w:lineRule="auto"/>
        <w:jc w:val="both"/>
        <w:rPr>
          <w:rStyle w:val="docsum-journal-citation"/>
          <w:color w:val="000000" w:themeColor="text1"/>
          <w:shd w:val="clear" w:color="auto" w:fill="FFFFFF"/>
        </w:rPr>
      </w:pPr>
      <w:r w:rsidRPr="003132EC">
        <w:rPr>
          <w:rStyle w:val="docsum-authors"/>
          <w:color w:val="212121"/>
          <w:shd w:val="clear" w:color="auto" w:fill="FFFFFF"/>
        </w:rPr>
        <w:t>PE, Groopman J.D.,</w:t>
      </w:r>
      <w:r w:rsidRPr="003132EC">
        <w:rPr>
          <w:rStyle w:val="docsum-journal-citation"/>
          <w:color w:val="000000" w:themeColor="text1"/>
          <w:shd w:val="clear" w:color="auto" w:fill="FFFFFF"/>
        </w:rPr>
        <w:t>Baillieres. Aflatoxins and liver cancer. Best Pract</w:t>
      </w:r>
      <w:r w:rsidR="00714F1C" w:rsidRPr="003132EC">
        <w:rPr>
          <w:rStyle w:val="docsum-journal-citation"/>
          <w:color w:val="000000" w:themeColor="text1"/>
          <w:shd w:val="clear" w:color="auto" w:fill="FFFFFF"/>
        </w:rPr>
        <w:t>.</w:t>
      </w:r>
      <w:r w:rsidRPr="003132EC">
        <w:rPr>
          <w:rStyle w:val="docsum-journal-citation"/>
          <w:color w:val="000000" w:themeColor="text1"/>
          <w:shd w:val="clear" w:color="auto" w:fill="FFFFFF"/>
        </w:rPr>
        <w:t xml:space="preserve"> Res</w:t>
      </w:r>
      <w:r w:rsidR="00714F1C" w:rsidRPr="003132EC">
        <w:rPr>
          <w:rStyle w:val="docsum-journal-citation"/>
          <w:color w:val="000000" w:themeColor="text1"/>
          <w:shd w:val="clear" w:color="auto" w:fill="FFFFFF"/>
        </w:rPr>
        <w:t>.</w:t>
      </w:r>
      <w:r w:rsidRPr="003132EC">
        <w:rPr>
          <w:rStyle w:val="docsum-journal-citation"/>
          <w:color w:val="000000" w:themeColor="text1"/>
          <w:shd w:val="clear" w:color="auto" w:fill="FFFFFF"/>
        </w:rPr>
        <w:t xml:space="preserve"> Clin</w:t>
      </w:r>
      <w:r w:rsidR="00714F1C" w:rsidRPr="003132EC">
        <w:rPr>
          <w:rStyle w:val="docsum-journal-citation"/>
          <w:color w:val="000000" w:themeColor="text1"/>
          <w:shd w:val="clear" w:color="auto" w:fill="FFFFFF"/>
        </w:rPr>
        <w:t>.</w:t>
      </w:r>
      <w:r w:rsidRPr="003132EC">
        <w:rPr>
          <w:rStyle w:val="docsum-journal-citation"/>
          <w:color w:val="000000" w:themeColor="text1"/>
          <w:shd w:val="clear" w:color="auto" w:fill="FFFFFF"/>
        </w:rPr>
        <w:t xml:space="preserve"> Gastroenterol.;13(4):545-55, Dec1999. </w:t>
      </w:r>
    </w:p>
    <w:p w:rsidR="004F7F49" w:rsidRDefault="008A0579" w:rsidP="00596698">
      <w:pPr>
        <w:pStyle w:val="ListParagraph"/>
        <w:numPr>
          <w:ilvl w:val="0"/>
          <w:numId w:val="3"/>
        </w:numPr>
        <w:shd w:val="clear" w:color="auto" w:fill="FFFFFF"/>
        <w:spacing w:line="360" w:lineRule="auto"/>
        <w:jc w:val="both"/>
        <w:rPr>
          <w:rStyle w:val="docsum-journal-citation"/>
          <w:color w:val="000000" w:themeColor="text1"/>
          <w:shd w:val="clear" w:color="auto" w:fill="FFFFFF"/>
        </w:rPr>
      </w:pPr>
      <w:r w:rsidRPr="005039D9">
        <w:rPr>
          <w:rStyle w:val="docsum-authors"/>
          <w:color w:val="212121"/>
          <w:shd w:val="clear" w:color="auto" w:fill="FFFFFF"/>
        </w:rPr>
        <w:t>Lamichhane A., Webb P., Andrews-Trevino J., Pokharel A, Acharya S., Shrestha R., Davis</w:t>
      </w:r>
      <w:r w:rsidRPr="00583206">
        <w:rPr>
          <w:rStyle w:val="docsum-authors"/>
          <w:color w:val="212121"/>
          <w:shd w:val="clear" w:color="auto" w:fill="FFFFFF"/>
        </w:rPr>
        <w:t xml:space="preserve">D,, Baral K, Wang JS, Xue K, Paudel K, Ghosh S. Dietary determinants of </w:t>
      </w:r>
      <w:proofErr w:type="spellStart"/>
      <w:r w:rsidRPr="00583206">
        <w:rPr>
          <w:rStyle w:val="docsum-authors"/>
          <w:color w:val="212121"/>
          <w:shd w:val="clear" w:color="auto" w:fill="FFFFFF"/>
        </w:rPr>
        <w:t>Aflatoxin</w:t>
      </w:r>
      <w:proofErr w:type="spellEnd"/>
      <w:r w:rsidRPr="00583206">
        <w:rPr>
          <w:rStyle w:val="docsum-authors"/>
          <w:color w:val="212121"/>
          <w:shd w:val="clear" w:color="auto" w:fill="FFFFFF"/>
        </w:rPr>
        <w:t xml:space="preserve"> B</w:t>
      </w:r>
      <w:r w:rsidRPr="00583206">
        <w:rPr>
          <w:rStyle w:val="docsum-authors"/>
          <w:color w:val="212121"/>
          <w:shd w:val="clear" w:color="auto" w:fill="FFFFFF"/>
          <w:vertAlign w:val="subscript"/>
        </w:rPr>
        <w:t xml:space="preserve">1 </w:t>
      </w:r>
      <w:r w:rsidRPr="00583206">
        <w:rPr>
          <w:rStyle w:val="docsum-authors"/>
          <w:color w:val="212121"/>
          <w:shd w:val="clear" w:color="auto" w:fill="FFFFFF"/>
        </w:rPr>
        <w:t>.</w:t>
      </w:r>
      <w:proofErr w:type="spellStart"/>
      <w:r w:rsidRPr="008A0579">
        <w:rPr>
          <w:rStyle w:val="docsum-journal-citation"/>
          <w:color w:val="000000" w:themeColor="text1"/>
          <w:shd w:val="clear" w:color="auto" w:fill="FFFFFF"/>
        </w:rPr>
        <w:t>Eur</w:t>
      </w:r>
      <w:proofErr w:type="spellEnd"/>
      <w:r w:rsidRPr="008A0579">
        <w:rPr>
          <w:rStyle w:val="docsum-journal-citation"/>
          <w:color w:val="000000" w:themeColor="text1"/>
          <w:shd w:val="clear" w:color="auto" w:fill="FFFFFF"/>
        </w:rPr>
        <w:t xml:space="preserve"> J </w:t>
      </w:r>
      <w:proofErr w:type="spellStart"/>
      <w:r w:rsidRPr="008A0579">
        <w:rPr>
          <w:rStyle w:val="docsum-journal-citation"/>
          <w:color w:val="000000" w:themeColor="text1"/>
          <w:shd w:val="clear" w:color="auto" w:fill="FFFFFF"/>
        </w:rPr>
        <w:t>Clin</w:t>
      </w:r>
      <w:proofErr w:type="spellEnd"/>
      <w:r w:rsidRPr="008A0579">
        <w:rPr>
          <w:rStyle w:val="docsum-journal-citation"/>
          <w:color w:val="000000" w:themeColor="text1"/>
          <w:shd w:val="clear" w:color="auto" w:fill="FFFFFF"/>
        </w:rPr>
        <w:t xml:space="preserve"> Nutr.;76(11):1557-1565. Nov 2022.</w:t>
      </w:r>
    </w:p>
    <w:p w:rsidR="004F7F49" w:rsidRPr="00DC28EC" w:rsidRDefault="00216CAD" w:rsidP="00596698">
      <w:pPr>
        <w:pStyle w:val="ListParagraph"/>
        <w:numPr>
          <w:ilvl w:val="0"/>
          <w:numId w:val="3"/>
        </w:numPr>
        <w:shd w:val="clear" w:color="auto" w:fill="FFFFFF"/>
        <w:spacing w:line="360" w:lineRule="auto"/>
        <w:jc w:val="both"/>
        <w:rPr>
          <w:color w:val="000000" w:themeColor="text1"/>
          <w:shd w:val="clear" w:color="auto" w:fill="FFFFFF"/>
        </w:rPr>
      </w:pPr>
      <w:r w:rsidRPr="004F7F49">
        <w:rPr>
          <w:color w:val="212121"/>
          <w:shd w:val="clear" w:color="auto" w:fill="FFFFFF"/>
        </w:rPr>
        <w:t>Phillips TD</w:t>
      </w:r>
      <w:r w:rsidR="00714F1C" w:rsidRPr="004F7F49">
        <w:rPr>
          <w:color w:val="212121"/>
          <w:shd w:val="clear" w:color="auto" w:fill="FFFFFF"/>
        </w:rPr>
        <w:t>.</w:t>
      </w:r>
      <w:r w:rsidRPr="004F7F49">
        <w:rPr>
          <w:color w:val="212121"/>
          <w:shd w:val="clear" w:color="auto" w:fill="FFFFFF"/>
        </w:rPr>
        <w:t>, Wang M</w:t>
      </w:r>
      <w:r w:rsidR="00714F1C" w:rsidRPr="004F7F49">
        <w:rPr>
          <w:color w:val="212121"/>
          <w:shd w:val="clear" w:color="auto" w:fill="FFFFFF"/>
        </w:rPr>
        <w:t>.</w:t>
      </w:r>
      <w:r w:rsidRPr="004F7F49">
        <w:rPr>
          <w:color w:val="212121"/>
          <w:shd w:val="clear" w:color="auto" w:fill="FFFFFF"/>
        </w:rPr>
        <w:t>, Elmore S</w:t>
      </w:r>
      <w:r w:rsidR="00714F1C" w:rsidRPr="004F7F49">
        <w:rPr>
          <w:color w:val="212121"/>
          <w:shd w:val="clear" w:color="auto" w:fill="FFFFFF"/>
        </w:rPr>
        <w:t>.</w:t>
      </w:r>
      <w:r w:rsidRPr="004F7F49">
        <w:rPr>
          <w:color w:val="212121"/>
          <w:shd w:val="clear" w:color="auto" w:fill="FFFFFF"/>
        </w:rPr>
        <w:t>E</w:t>
      </w:r>
      <w:r w:rsidR="00714F1C" w:rsidRPr="004F7F49">
        <w:rPr>
          <w:color w:val="212121"/>
          <w:shd w:val="clear" w:color="auto" w:fill="FFFFFF"/>
        </w:rPr>
        <w:t>.</w:t>
      </w:r>
      <w:r w:rsidRPr="004F7F49">
        <w:rPr>
          <w:color w:val="212121"/>
          <w:shd w:val="clear" w:color="auto" w:fill="FFFFFF"/>
        </w:rPr>
        <w:t>, Hearon S</w:t>
      </w:r>
      <w:r w:rsidR="00714F1C" w:rsidRPr="004F7F49">
        <w:rPr>
          <w:color w:val="212121"/>
          <w:shd w:val="clear" w:color="auto" w:fill="FFFFFF"/>
        </w:rPr>
        <w:t>.</w:t>
      </w:r>
      <w:r w:rsidRPr="004F7F49">
        <w:rPr>
          <w:color w:val="212121"/>
          <w:shd w:val="clear" w:color="auto" w:fill="FFFFFF"/>
        </w:rPr>
        <w:t xml:space="preserve">, Wang </w:t>
      </w:r>
      <w:proofErr w:type="spellStart"/>
      <w:r w:rsidRPr="004F7F49">
        <w:rPr>
          <w:color w:val="212121"/>
          <w:shd w:val="clear" w:color="auto" w:fill="FFFFFF"/>
        </w:rPr>
        <w:t>J</w:t>
      </w:r>
      <w:r w:rsidR="00714F1C" w:rsidRPr="004F7F49">
        <w:rPr>
          <w:color w:val="212121"/>
          <w:shd w:val="clear" w:color="auto" w:fill="FFFFFF"/>
        </w:rPr>
        <w:t>.</w:t>
      </w:r>
      <w:r w:rsidRPr="004F7F49">
        <w:rPr>
          <w:color w:val="212121"/>
          <w:shd w:val="clear" w:color="auto" w:fill="FFFFFF"/>
        </w:rPr>
        <w:t>S.Novosil</w:t>
      </w:r>
      <w:proofErr w:type="spellEnd"/>
      <w:r w:rsidRPr="004F7F49">
        <w:rPr>
          <w:color w:val="212121"/>
          <w:shd w:val="clear" w:color="auto" w:fill="FFFFFF"/>
        </w:rPr>
        <w:t xml:space="preserve"> clay for the protection of human and animals from Aflatoxins and other contaminants, </w:t>
      </w:r>
      <w:r w:rsidRPr="004F7F49">
        <w:rPr>
          <w:color w:val="000000" w:themeColor="text1"/>
          <w:shd w:val="clear" w:color="auto" w:fill="FFFFFF"/>
        </w:rPr>
        <w:t xml:space="preserve">Clays Clay </w:t>
      </w:r>
      <w:r w:rsidRPr="00DC28EC">
        <w:rPr>
          <w:color w:val="000000" w:themeColor="text1"/>
          <w:shd w:val="clear" w:color="auto" w:fill="FFFFFF"/>
        </w:rPr>
        <w:t>Miner. Feb;67(1):99-110. 2019</w:t>
      </w:r>
      <w:r w:rsidR="00596698" w:rsidRPr="00DC28EC">
        <w:rPr>
          <w:color w:val="000000" w:themeColor="text1"/>
          <w:shd w:val="clear" w:color="auto" w:fill="FFFFFF"/>
        </w:rPr>
        <w:t>.</w:t>
      </w:r>
    </w:p>
    <w:p w:rsidR="004F7F49" w:rsidRPr="00DC28EC" w:rsidRDefault="00DC28EC" w:rsidP="00995BCF">
      <w:pPr>
        <w:pStyle w:val="ListParagraph"/>
        <w:numPr>
          <w:ilvl w:val="0"/>
          <w:numId w:val="3"/>
        </w:numPr>
        <w:shd w:val="clear" w:color="auto" w:fill="FFFFFF"/>
        <w:spacing w:line="360" w:lineRule="auto"/>
        <w:jc w:val="both"/>
        <w:rPr>
          <w:color w:val="000000" w:themeColor="text1"/>
          <w:shd w:val="clear" w:color="auto" w:fill="FFFFFF"/>
        </w:rPr>
      </w:pPr>
      <w:r w:rsidRPr="00DC28EC">
        <w:rPr>
          <w:color w:val="2E2E2E"/>
        </w:rPr>
        <w:lastRenderedPageBreak/>
        <w:t>ArmendárizC.R</w:t>
      </w:r>
      <w:r>
        <w:rPr>
          <w:color w:val="2E2E2E"/>
        </w:rPr>
        <w:t xml:space="preserve">., </w:t>
      </w:r>
      <w:r w:rsidRPr="00DC28EC">
        <w:rPr>
          <w:color w:val="2E2E2E"/>
        </w:rPr>
        <w:t>de la TorreA.H</w:t>
      </w:r>
      <w:r>
        <w:rPr>
          <w:color w:val="2E2E2E"/>
        </w:rPr>
        <w:t xml:space="preserve">. </w:t>
      </w:r>
      <w:hyperlink r:id="rId21" w:history="1">
        <w:r w:rsidRPr="00DC28EC">
          <w:rPr>
            <w:rStyle w:val="anchor-text"/>
            <w:color w:val="000000" w:themeColor="text1"/>
          </w:rPr>
          <w:t>Encyclopedia of Toxicology (Third Edition)</w:t>
        </w:r>
      </w:hyperlink>
      <w:r w:rsidRPr="00DC28EC">
        <w:rPr>
          <w:color w:val="2E2E2E"/>
        </w:rPr>
        <w:t>, 2014</w:t>
      </w:r>
      <w:r w:rsidR="00216CAD" w:rsidRPr="00DC28EC">
        <w:rPr>
          <w:color w:val="232323"/>
          <w:shd w:val="clear" w:color="auto" w:fill="FFFFFF"/>
        </w:rPr>
        <w:t>.</w:t>
      </w:r>
    </w:p>
    <w:p w:rsidR="004F7F49" w:rsidRPr="004F7F49" w:rsidRDefault="00596698" w:rsidP="00995BCF">
      <w:pPr>
        <w:pStyle w:val="ListParagraph"/>
        <w:numPr>
          <w:ilvl w:val="0"/>
          <w:numId w:val="3"/>
        </w:numPr>
        <w:shd w:val="clear" w:color="auto" w:fill="FFFFFF"/>
        <w:spacing w:line="360" w:lineRule="auto"/>
        <w:jc w:val="both"/>
        <w:rPr>
          <w:color w:val="000000" w:themeColor="text1"/>
          <w:shd w:val="clear" w:color="auto" w:fill="FFFFFF"/>
        </w:rPr>
      </w:pPr>
      <w:r w:rsidRPr="004F7F49">
        <w:rPr>
          <w:color w:val="202122"/>
          <w:shd w:val="clear" w:color="auto" w:fill="FFFFFF"/>
        </w:rPr>
        <w:t>Turner N.W., Subrahmanyam S., Piletsky S.A., "Analytical methods for determination of mycotoxins: a review." </w:t>
      </w:r>
      <w:r w:rsidRPr="004F7F49">
        <w:rPr>
          <w:i/>
          <w:iCs/>
          <w:color w:val="202122"/>
          <w:shd w:val="clear" w:color="auto" w:fill="FFFFFF"/>
        </w:rPr>
        <w:t>Anal. Chim. Acta</w:t>
      </w:r>
      <w:r w:rsidRPr="004F7F49">
        <w:rPr>
          <w:color w:val="202122"/>
          <w:shd w:val="clear" w:color="auto" w:fill="FFFFFF"/>
        </w:rPr>
        <w:t>. 632 (2): 168–80 2009.</w:t>
      </w:r>
    </w:p>
    <w:p w:rsidR="004F7F49" w:rsidRPr="004F7F49" w:rsidRDefault="00875A2A" w:rsidP="005039D9">
      <w:pPr>
        <w:pStyle w:val="ListParagraph"/>
        <w:numPr>
          <w:ilvl w:val="0"/>
          <w:numId w:val="3"/>
        </w:numPr>
        <w:shd w:val="clear" w:color="auto" w:fill="FFFFFF"/>
        <w:spacing w:line="360" w:lineRule="auto"/>
        <w:jc w:val="both"/>
        <w:rPr>
          <w:color w:val="000000" w:themeColor="text1"/>
          <w:shd w:val="clear" w:color="auto" w:fill="FFFFFF"/>
        </w:rPr>
      </w:pPr>
      <w:r w:rsidRPr="004F7F49">
        <w:rPr>
          <w:color w:val="202122"/>
          <w:shd w:val="clear" w:color="auto" w:fill="FFFFFF"/>
        </w:rPr>
        <w:t>Jeswal P., Kumar D. </w:t>
      </w:r>
      <w:hyperlink r:id="rId22" w:history="1">
        <w:r w:rsidRPr="004F7F49">
          <w:rPr>
            <w:rStyle w:val="Hyperlink"/>
            <w:color w:val="000000" w:themeColor="text1"/>
            <w:u w:val="none"/>
          </w:rPr>
          <w:t>"Mycobiota and Natural Incidence of Aflatoxins, Ochratoxin A, and Citrinin in Indian Spices Confirmed by LC-MS/MS"</w:t>
        </w:r>
      </w:hyperlink>
      <w:r w:rsidRPr="004F7F49">
        <w:rPr>
          <w:color w:val="000000" w:themeColor="text1"/>
          <w:shd w:val="clear" w:color="auto" w:fill="FFFFFF"/>
        </w:rPr>
        <w:t>. </w:t>
      </w:r>
      <w:r w:rsidRPr="004F7F49">
        <w:rPr>
          <w:i/>
          <w:iCs/>
          <w:color w:val="202122"/>
          <w:shd w:val="clear" w:color="auto" w:fill="FFFFFF"/>
        </w:rPr>
        <w:t>International Journal of Microbiology</w:t>
      </w:r>
      <w:r w:rsidRPr="004F7F49">
        <w:rPr>
          <w:color w:val="202122"/>
          <w:shd w:val="clear" w:color="auto" w:fill="FFFFFF"/>
        </w:rPr>
        <w:t>: 1–8. 2015.</w:t>
      </w:r>
    </w:p>
    <w:p w:rsidR="004F7F49" w:rsidRPr="004F7F49" w:rsidRDefault="00875A2A" w:rsidP="00995BCF">
      <w:pPr>
        <w:pStyle w:val="ListParagraph"/>
        <w:numPr>
          <w:ilvl w:val="0"/>
          <w:numId w:val="3"/>
        </w:numPr>
        <w:shd w:val="clear" w:color="auto" w:fill="FFFFFF"/>
        <w:spacing w:line="360" w:lineRule="auto"/>
        <w:jc w:val="both"/>
        <w:rPr>
          <w:color w:val="000000" w:themeColor="text1"/>
          <w:shd w:val="clear" w:color="auto" w:fill="FFFFFF"/>
        </w:rPr>
      </w:pPr>
      <w:r w:rsidRPr="004F7F49">
        <w:rPr>
          <w:color w:val="202122"/>
          <w:shd w:val="clear" w:color="auto" w:fill="FFFFFF"/>
        </w:rPr>
        <w:t xml:space="preserve">Yousefi., Mohammad., Mohammadi Masoud Aman., Khajavi., Maryam Zabihzadeh., Ehsani Ali., Scholtz., Vladimír. </w:t>
      </w:r>
      <w:hyperlink r:id="rId23" w:history="1">
        <w:r w:rsidRPr="004F7F49">
          <w:rPr>
            <w:rStyle w:val="Hyperlink"/>
            <w:color w:val="000000" w:themeColor="text1"/>
            <w:u w:val="none"/>
          </w:rPr>
          <w:t>"Application of Novel Non-Thermal Physical Technologies to Degrade Mycotoxins"</w:t>
        </w:r>
      </w:hyperlink>
      <w:r w:rsidRPr="004F7F49">
        <w:rPr>
          <w:color w:val="202122"/>
          <w:shd w:val="clear" w:color="auto" w:fill="FFFFFF"/>
        </w:rPr>
        <w:t>. </w:t>
      </w:r>
      <w:r w:rsidRPr="004F7F49">
        <w:rPr>
          <w:i/>
          <w:iCs/>
          <w:color w:val="202122"/>
          <w:shd w:val="clear" w:color="auto" w:fill="FFFFFF"/>
        </w:rPr>
        <w:t>Journal of Fungi</w:t>
      </w:r>
      <w:r w:rsidRPr="004F7F49">
        <w:rPr>
          <w:color w:val="202122"/>
          <w:shd w:val="clear" w:color="auto" w:fill="FFFFFF"/>
        </w:rPr>
        <w:t>. 7 (5): 395 2021 2021. </w:t>
      </w:r>
    </w:p>
    <w:p w:rsidR="004F7F49" w:rsidRPr="004F7F49" w:rsidRDefault="00B30C8F" w:rsidP="004F7F49">
      <w:pPr>
        <w:pStyle w:val="ListParagraph"/>
        <w:numPr>
          <w:ilvl w:val="0"/>
          <w:numId w:val="3"/>
        </w:numPr>
        <w:shd w:val="clear" w:color="auto" w:fill="FFFFFF"/>
        <w:spacing w:line="360" w:lineRule="auto"/>
        <w:jc w:val="both"/>
        <w:rPr>
          <w:color w:val="000000" w:themeColor="text1"/>
          <w:shd w:val="clear" w:color="auto" w:fill="FFFFFF"/>
        </w:rPr>
      </w:pPr>
      <w:r w:rsidRPr="004F7F49">
        <w:rPr>
          <w:color w:val="202122"/>
          <w:shd w:val="clear" w:color="auto" w:fill="FFFFFF"/>
        </w:rPr>
        <w:t>Boonen J., Malysheva S., Taevernier L., Diana Di Mavungu J., De Saeger S., De Spiegeleer B., "Human skin penetration of selected model mycotoxins". </w:t>
      </w:r>
      <w:r w:rsidRPr="004F7F49">
        <w:rPr>
          <w:i/>
          <w:iCs/>
          <w:color w:val="202122"/>
          <w:shd w:val="clear" w:color="auto" w:fill="FFFFFF"/>
        </w:rPr>
        <w:t>Toxicology</w:t>
      </w:r>
      <w:r w:rsidRPr="004F7F49">
        <w:rPr>
          <w:color w:val="202122"/>
          <w:shd w:val="clear" w:color="auto" w:fill="FFFFFF"/>
        </w:rPr>
        <w:t>. 301 (1–3): 21–32 2012.</w:t>
      </w:r>
    </w:p>
    <w:p w:rsidR="007C6A07" w:rsidRPr="007C6A07" w:rsidRDefault="00B30C8F" w:rsidP="007C6A07">
      <w:pPr>
        <w:pStyle w:val="ListParagraph"/>
        <w:numPr>
          <w:ilvl w:val="0"/>
          <w:numId w:val="3"/>
        </w:numPr>
        <w:shd w:val="clear" w:color="auto" w:fill="FFFFFF"/>
        <w:spacing w:line="360" w:lineRule="auto"/>
        <w:jc w:val="both"/>
        <w:rPr>
          <w:color w:val="000000" w:themeColor="text1"/>
          <w:shd w:val="clear" w:color="auto" w:fill="FFFFFF"/>
        </w:rPr>
      </w:pPr>
      <w:r w:rsidRPr="004F7F49">
        <w:rPr>
          <w:color w:val="202122"/>
          <w:shd w:val="clear" w:color="auto" w:fill="FFFFFF"/>
        </w:rPr>
        <w:t>Hardin BD, Robbins CA, Fallah P, Kelman BJ (2009). "The concentration of no toxicologic concern (CONTC) and airborne mycotoxins". </w:t>
      </w:r>
      <w:r w:rsidRPr="004F7F49">
        <w:rPr>
          <w:i/>
          <w:iCs/>
          <w:color w:val="202122"/>
          <w:shd w:val="clear" w:color="auto" w:fill="FFFFFF"/>
        </w:rPr>
        <w:t>J. Toxicol. Environ. Health A</w:t>
      </w:r>
      <w:r w:rsidRPr="004F7F49">
        <w:rPr>
          <w:color w:val="202122"/>
          <w:shd w:val="clear" w:color="auto" w:fill="FFFFFF"/>
        </w:rPr>
        <w:t>. 72 (9): 585–98.</w:t>
      </w:r>
    </w:p>
    <w:p w:rsidR="007C6A07" w:rsidRPr="007C6A07" w:rsidRDefault="00061114" w:rsidP="007C6A07">
      <w:pPr>
        <w:pStyle w:val="ListParagraph"/>
        <w:numPr>
          <w:ilvl w:val="0"/>
          <w:numId w:val="3"/>
        </w:numPr>
        <w:shd w:val="clear" w:color="auto" w:fill="FFFFFF"/>
        <w:spacing w:line="360" w:lineRule="auto"/>
        <w:jc w:val="both"/>
        <w:rPr>
          <w:color w:val="000000" w:themeColor="text1"/>
          <w:shd w:val="clear" w:color="auto" w:fill="FFFFFF"/>
        </w:rPr>
      </w:pPr>
      <w:r w:rsidRPr="007C6A07">
        <w:rPr>
          <w:color w:val="232323"/>
          <w:shd w:val="clear" w:color="auto" w:fill="FFFFFF"/>
        </w:rPr>
        <w:t>Zain, M.E. (2011) Impact of Mycotoxins on Humans and Animals. Journal of Saudi Chemical Society, 15, 129-144 jscs.2010.06.006.</w:t>
      </w:r>
    </w:p>
    <w:p w:rsidR="007C6A07" w:rsidRPr="007C6A07" w:rsidRDefault="00596698" w:rsidP="007C6A07">
      <w:pPr>
        <w:pStyle w:val="ListParagraph"/>
        <w:numPr>
          <w:ilvl w:val="0"/>
          <w:numId w:val="3"/>
        </w:numPr>
        <w:shd w:val="clear" w:color="auto" w:fill="FFFFFF"/>
        <w:spacing w:line="360" w:lineRule="auto"/>
        <w:jc w:val="both"/>
        <w:rPr>
          <w:color w:val="000000" w:themeColor="text1"/>
          <w:shd w:val="clear" w:color="auto" w:fill="FFFFFF"/>
        </w:rPr>
      </w:pPr>
      <w:r w:rsidRPr="007C6A07">
        <w:rPr>
          <w:color w:val="202122"/>
          <w:shd w:val="clear" w:color="auto" w:fill="FFFFFF"/>
        </w:rPr>
        <w:t xml:space="preserve">Liu Yue., Yamdeu., Joseph Hubert Galani., Gong, </w:t>
      </w:r>
      <w:proofErr w:type="spellStart"/>
      <w:r w:rsidRPr="007C6A07">
        <w:rPr>
          <w:color w:val="202122"/>
          <w:shd w:val="clear" w:color="auto" w:fill="FFFFFF"/>
        </w:rPr>
        <w:t>Yun</w:t>
      </w:r>
      <w:proofErr w:type="spellEnd"/>
      <w:r w:rsidRPr="007C6A07">
        <w:rPr>
          <w:color w:val="202122"/>
          <w:shd w:val="clear" w:color="auto" w:fill="FFFFFF"/>
        </w:rPr>
        <w:t xml:space="preserve"> </w:t>
      </w:r>
      <w:proofErr w:type="spellStart"/>
      <w:r w:rsidRPr="007C6A07">
        <w:rPr>
          <w:color w:val="202122"/>
          <w:shd w:val="clear" w:color="auto" w:fill="FFFFFF"/>
        </w:rPr>
        <w:t>Yun</w:t>
      </w:r>
      <w:proofErr w:type="spellEnd"/>
      <w:r w:rsidRPr="007C6A07">
        <w:rPr>
          <w:color w:val="202122"/>
          <w:shd w:val="clear" w:color="auto" w:fill="FFFFFF"/>
        </w:rPr>
        <w:t>., Orfila Caroline. (2020). </w:t>
      </w:r>
      <w:hyperlink r:id="rId24" w:history="1">
        <w:r w:rsidRPr="007C6A07">
          <w:rPr>
            <w:rStyle w:val="Hyperlink"/>
            <w:color w:val="000000" w:themeColor="text1"/>
          </w:rPr>
          <w:t>"</w:t>
        </w:r>
        <w:r w:rsidRPr="007C6A07">
          <w:rPr>
            <w:rStyle w:val="Hyperlink"/>
            <w:color w:val="000000" w:themeColor="text1"/>
            <w:u w:val="none"/>
          </w:rPr>
          <w:t>A review of postharvest approaches to reduce fungal and mycotoxin contamination of foods</w:t>
        </w:r>
        <w:r w:rsidRPr="007C6A07">
          <w:rPr>
            <w:rStyle w:val="Hyperlink"/>
            <w:color w:val="000000" w:themeColor="text1"/>
          </w:rPr>
          <w:t>"</w:t>
        </w:r>
      </w:hyperlink>
      <w:r w:rsidRPr="007C6A07">
        <w:rPr>
          <w:color w:val="202122"/>
          <w:shd w:val="clear" w:color="auto" w:fill="FFFFFF"/>
        </w:rPr>
        <w:t>. </w:t>
      </w:r>
      <w:r w:rsidRPr="007C6A07">
        <w:rPr>
          <w:i/>
          <w:iCs/>
          <w:color w:val="202122"/>
          <w:shd w:val="clear" w:color="auto" w:fill="FFFFFF"/>
        </w:rPr>
        <w:t>Comprehensive Reviews in Food Science and Food Safety</w:t>
      </w:r>
      <w:r w:rsidRPr="007C6A07">
        <w:rPr>
          <w:color w:val="202122"/>
          <w:shd w:val="clear" w:color="auto" w:fill="FFFFFF"/>
        </w:rPr>
        <w:t>. 19 (4): 1521–1560.</w:t>
      </w:r>
    </w:p>
    <w:p w:rsidR="000F6D5D" w:rsidRPr="000F6D5D" w:rsidRDefault="00596698" w:rsidP="000F6D5D">
      <w:pPr>
        <w:pStyle w:val="ListParagraph"/>
        <w:numPr>
          <w:ilvl w:val="0"/>
          <w:numId w:val="3"/>
        </w:numPr>
        <w:shd w:val="clear" w:color="auto" w:fill="FFFFFF"/>
        <w:spacing w:line="360" w:lineRule="auto"/>
        <w:jc w:val="both"/>
        <w:rPr>
          <w:color w:val="000000" w:themeColor="text1"/>
          <w:shd w:val="clear" w:color="auto" w:fill="FFFFFF"/>
        </w:rPr>
      </w:pPr>
      <w:r w:rsidRPr="007C6A07">
        <w:rPr>
          <w:color w:val="202122"/>
          <w:shd w:val="clear" w:color="auto" w:fill="FFFFFF"/>
        </w:rPr>
        <w:t>Jeswal P., Kumar D</w:t>
      </w:r>
      <w:r w:rsidRPr="007C6A07">
        <w:rPr>
          <w:color w:val="000000" w:themeColor="text1"/>
        </w:rPr>
        <w:t>."</w:t>
      </w:r>
      <w:r w:rsidRPr="007C6A07">
        <w:rPr>
          <w:color w:val="000000" w:themeColor="text1"/>
          <w:shd w:val="clear" w:color="auto" w:fill="FFFFFF"/>
        </w:rPr>
        <w:t> </w:t>
      </w:r>
      <w:r w:rsidRPr="007C6A07">
        <w:rPr>
          <w:color w:val="202122"/>
          <w:shd w:val="clear" w:color="auto" w:fill="FFFFFF"/>
        </w:rPr>
        <w:t>International Journal of Microbiology: 1–8, 2015.</w:t>
      </w:r>
    </w:p>
    <w:p w:rsidR="000F6D5D" w:rsidRPr="000F6D5D" w:rsidRDefault="00596698" w:rsidP="000F6D5D">
      <w:pPr>
        <w:pStyle w:val="ListParagraph"/>
        <w:numPr>
          <w:ilvl w:val="0"/>
          <w:numId w:val="3"/>
        </w:numPr>
        <w:shd w:val="clear" w:color="auto" w:fill="FFFFFF"/>
        <w:spacing w:line="360" w:lineRule="auto"/>
        <w:jc w:val="both"/>
        <w:rPr>
          <w:rStyle w:val="HTMLCite"/>
          <w:i w:val="0"/>
          <w:iCs w:val="0"/>
          <w:color w:val="000000" w:themeColor="text1"/>
          <w:shd w:val="clear" w:color="auto" w:fill="FFFFFF"/>
        </w:rPr>
      </w:pPr>
      <w:r w:rsidRPr="000F6D5D">
        <w:rPr>
          <w:rStyle w:val="HTMLCite"/>
          <w:i w:val="0"/>
          <w:iCs w:val="0"/>
          <w:color w:val="202122"/>
          <w:shd w:val="clear" w:color="auto" w:fill="FFFFFF"/>
        </w:rPr>
        <w:t>Çimen., Duygu., Bereli., Nilay., Denizli Adil. (2022-06-01).</w:t>
      </w:r>
      <w:r w:rsidRPr="000F6D5D">
        <w:rPr>
          <w:rStyle w:val="HTMLCite"/>
          <w:color w:val="202122"/>
          <w:shd w:val="clear" w:color="auto" w:fill="FFFFFF"/>
        </w:rPr>
        <w:t> </w:t>
      </w:r>
      <w:hyperlink r:id="rId25" w:history="1">
        <w:r w:rsidRPr="000F6D5D">
          <w:rPr>
            <w:rStyle w:val="Hyperlink"/>
            <w:color w:val="000000" w:themeColor="text1"/>
            <w:u w:val="none"/>
            <w:shd w:val="clear" w:color="auto" w:fill="FFFFFF"/>
          </w:rPr>
          <w:t>"Patulin Imprinted Nanoparticles Decorated Surface Plasmon Resonance Chips for Patulin Detection"</w:t>
        </w:r>
      </w:hyperlink>
      <w:r w:rsidRPr="000F6D5D">
        <w:rPr>
          <w:rStyle w:val="HTMLCite"/>
          <w:color w:val="202122"/>
          <w:shd w:val="clear" w:color="auto" w:fill="FFFFFF"/>
        </w:rPr>
        <w:t xml:space="preserve">. Photonic Sensors. 12 (2): 117–129 </w:t>
      </w:r>
      <w:r w:rsidRPr="000F6D5D">
        <w:rPr>
          <w:rStyle w:val="HTMLCite"/>
          <w:i w:val="0"/>
          <w:iCs w:val="0"/>
          <w:color w:val="202122"/>
          <w:shd w:val="clear" w:color="auto" w:fill="FFFFFF"/>
        </w:rPr>
        <w:t>2022</w:t>
      </w:r>
      <w:r w:rsidRPr="000F6D5D">
        <w:rPr>
          <w:rStyle w:val="HTMLCite"/>
          <w:color w:val="202122"/>
          <w:shd w:val="clear" w:color="auto" w:fill="FFFFFF"/>
        </w:rPr>
        <w:t>.</w:t>
      </w:r>
    </w:p>
    <w:p w:rsidR="000F6D5D" w:rsidRPr="000F6D5D" w:rsidRDefault="00596698" w:rsidP="000F6D5D">
      <w:pPr>
        <w:pStyle w:val="ListParagraph"/>
        <w:numPr>
          <w:ilvl w:val="0"/>
          <w:numId w:val="3"/>
        </w:numPr>
        <w:shd w:val="clear" w:color="auto" w:fill="FFFFFF"/>
        <w:spacing w:line="360" w:lineRule="auto"/>
        <w:jc w:val="both"/>
        <w:rPr>
          <w:rStyle w:val="HTMLCite"/>
          <w:i w:val="0"/>
          <w:iCs w:val="0"/>
          <w:color w:val="000000" w:themeColor="text1"/>
          <w:shd w:val="clear" w:color="auto" w:fill="FFFFFF"/>
        </w:rPr>
      </w:pPr>
      <w:r w:rsidRPr="000F6D5D">
        <w:rPr>
          <w:rStyle w:val="HTMLCite"/>
          <w:i w:val="0"/>
          <w:iCs w:val="0"/>
          <w:color w:val="202122"/>
          <w:shd w:val="clear" w:color="auto" w:fill="FFFFFF"/>
        </w:rPr>
        <w:t>A Text book on Food Safety and Quality Control by Pulkit Mathur Orient Black Swan Publications Private Ltd, Pp88-101, 2018.</w:t>
      </w:r>
    </w:p>
    <w:p w:rsidR="000F6D5D" w:rsidRPr="000F6D5D" w:rsidRDefault="00596698" w:rsidP="000F6D5D">
      <w:pPr>
        <w:pStyle w:val="ListParagraph"/>
        <w:numPr>
          <w:ilvl w:val="0"/>
          <w:numId w:val="3"/>
        </w:numPr>
        <w:shd w:val="clear" w:color="auto" w:fill="FFFFFF"/>
        <w:spacing w:line="360" w:lineRule="auto"/>
        <w:jc w:val="both"/>
        <w:rPr>
          <w:rStyle w:val="cit"/>
          <w:color w:val="000000" w:themeColor="text1"/>
          <w:shd w:val="clear" w:color="auto" w:fill="FFFFFF"/>
        </w:rPr>
      </w:pPr>
      <w:r w:rsidRPr="000F6D5D">
        <w:rPr>
          <w:color w:val="212121"/>
          <w:shd w:val="clear" w:color="auto" w:fill="FFFFFF"/>
        </w:rPr>
        <w:t xml:space="preserve">Mohammed A., Chala A., Dejene M., Fininsa C., Hoisington D.A., Sobolev V.S., Arias R.S. </w:t>
      </w:r>
      <w:r w:rsidRPr="000F6D5D">
        <w:rPr>
          <w:color w:val="212121"/>
        </w:rPr>
        <w:t xml:space="preserve">Aspergillus and aflatoxin in groundnut (Arachis hypogaea L.) and groundnut cake in Eastern Ethiopia, </w:t>
      </w:r>
      <w:r w:rsidRPr="000F6D5D">
        <w:rPr>
          <w:color w:val="5B616B"/>
        </w:rPr>
        <w:t>Food Addit Contam. Part B Surveil,</w:t>
      </w:r>
      <w:r w:rsidRPr="000F6D5D">
        <w:rPr>
          <w:rStyle w:val="cit"/>
          <w:color w:val="5B616B"/>
          <w:shd w:val="clear" w:color="auto" w:fill="FFFFFF"/>
        </w:rPr>
        <w:t xml:space="preserve"> 9(4):290-298, Dec 2016.</w:t>
      </w:r>
    </w:p>
    <w:p w:rsidR="009E15DA" w:rsidRPr="00036FD7" w:rsidRDefault="00596698" w:rsidP="00C542B7">
      <w:pPr>
        <w:pStyle w:val="ListParagraph"/>
        <w:numPr>
          <w:ilvl w:val="0"/>
          <w:numId w:val="3"/>
        </w:numPr>
        <w:shd w:val="clear" w:color="auto" w:fill="FFFFFF"/>
        <w:spacing w:line="360" w:lineRule="auto"/>
        <w:jc w:val="both"/>
        <w:rPr>
          <w:color w:val="000000" w:themeColor="text1"/>
          <w:shd w:val="clear" w:color="auto" w:fill="FFFFFF"/>
        </w:rPr>
      </w:pPr>
      <w:r w:rsidRPr="000F6D5D">
        <w:rPr>
          <w:color w:val="000000" w:themeColor="text1"/>
        </w:rPr>
        <w:lastRenderedPageBreak/>
        <w:t>Runxian Li., Yang Wen., Fenglai Wang and Pingli He. Recent advances in immunoassays and biosensors for mycotoxins detection in feedstuffs and foods Journal of Animal Science and Biotechnology 12:108, 2021</w:t>
      </w:r>
      <w:r w:rsidRPr="008E1287">
        <w:t>.</w:t>
      </w:r>
    </w:p>
    <w:p w:rsidR="00036FD7" w:rsidRPr="00FB29CA" w:rsidRDefault="00B524E4" w:rsidP="00C542B7">
      <w:pPr>
        <w:pStyle w:val="ListParagraph"/>
        <w:numPr>
          <w:ilvl w:val="0"/>
          <w:numId w:val="3"/>
        </w:numPr>
        <w:shd w:val="clear" w:color="auto" w:fill="FFFFFF"/>
        <w:spacing w:line="360" w:lineRule="auto"/>
        <w:jc w:val="both"/>
        <w:rPr>
          <w:color w:val="000000" w:themeColor="text1"/>
          <w:shd w:val="clear" w:color="auto" w:fill="FFFFFF"/>
        </w:rPr>
      </w:pPr>
      <w:hyperlink r:id="rId26" w:history="1">
        <w:r w:rsidR="00D93287" w:rsidRPr="0035587F">
          <w:rPr>
            <w:rStyle w:val="Hyperlink"/>
          </w:rPr>
          <w:t>www.wikipedia</w:t>
        </w:r>
      </w:hyperlink>
      <w:r w:rsidR="00D93287">
        <w:t xml:space="preserve"> .com</w:t>
      </w:r>
    </w:p>
    <w:p w:rsidR="00FB29CA" w:rsidRPr="00C542B7" w:rsidRDefault="00FB29CA" w:rsidP="00C542B7">
      <w:pPr>
        <w:pStyle w:val="ListParagraph"/>
        <w:numPr>
          <w:ilvl w:val="0"/>
          <w:numId w:val="3"/>
        </w:numPr>
        <w:shd w:val="clear" w:color="auto" w:fill="FFFFFF"/>
        <w:spacing w:line="360" w:lineRule="auto"/>
        <w:jc w:val="both"/>
        <w:rPr>
          <w:color w:val="000000" w:themeColor="text1"/>
          <w:shd w:val="clear" w:color="auto" w:fill="FFFFFF"/>
        </w:rPr>
      </w:pPr>
      <w:r>
        <w:t>WWW.Researchgate.com</w:t>
      </w:r>
    </w:p>
    <w:sectPr w:rsidR="00FB29CA" w:rsidRPr="00C542B7" w:rsidSect="00B524E4">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BD7A801E">
      <w:start w:val="1"/>
      <w:numFmt w:val="bullet"/>
      <w:lvlText w:val=""/>
      <w:lvlJc w:val="left"/>
      <w:pPr>
        <w:ind w:left="720" w:hanging="360"/>
      </w:pPr>
      <w:rPr>
        <w:rFonts w:ascii="Symbol" w:hAnsi="Symbol"/>
      </w:rPr>
    </w:lvl>
    <w:lvl w:ilvl="1" w:tplc="9A8457F4">
      <w:start w:val="1"/>
      <w:numFmt w:val="bullet"/>
      <w:lvlText w:val="o"/>
      <w:lvlJc w:val="left"/>
      <w:pPr>
        <w:tabs>
          <w:tab w:val="num" w:pos="1440"/>
        </w:tabs>
        <w:ind w:left="1440" w:hanging="360"/>
      </w:pPr>
      <w:rPr>
        <w:rFonts w:ascii="Courier New" w:hAnsi="Courier New"/>
      </w:rPr>
    </w:lvl>
    <w:lvl w:ilvl="2" w:tplc="8D461C3C">
      <w:start w:val="1"/>
      <w:numFmt w:val="bullet"/>
      <w:lvlText w:val=""/>
      <w:lvlJc w:val="left"/>
      <w:pPr>
        <w:tabs>
          <w:tab w:val="num" w:pos="2160"/>
        </w:tabs>
        <w:ind w:left="2160" w:hanging="360"/>
      </w:pPr>
      <w:rPr>
        <w:rFonts w:ascii="Wingdings" w:hAnsi="Wingdings"/>
      </w:rPr>
    </w:lvl>
    <w:lvl w:ilvl="3" w:tplc="A66274E6">
      <w:start w:val="1"/>
      <w:numFmt w:val="bullet"/>
      <w:lvlText w:val=""/>
      <w:lvlJc w:val="left"/>
      <w:pPr>
        <w:tabs>
          <w:tab w:val="num" w:pos="2880"/>
        </w:tabs>
        <w:ind w:left="2880" w:hanging="360"/>
      </w:pPr>
      <w:rPr>
        <w:rFonts w:ascii="Symbol" w:hAnsi="Symbol"/>
      </w:rPr>
    </w:lvl>
    <w:lvl w:ilvl="4" w:tplc="FF063EBA">
      <w:start w:val="1"/>
      <w:numFmt w:val="bullet"/>
      <w:lvlText w:val="o"/>
      <w:lvlJc w:val="left"/>
      <w:pPr>
        <w:tabs>
          <w:tab w:val="num" w:pos="3600"/>
        </w:tabs>
        <w:ind w:left="3600" w:hanging="360"/>
      </w:pPr>
      <w:rPr>
        <w:rFonts w:ascii="Courier New" w:hAnsi="Courier New"/>
      </w:rPr>
    </w:lvl>
    <w:lvl w:ilvl="5" w:tplc="E99ED13A">
      <w:start w:val="1"/>
      <w:numFmt w:val="bullet"/>
      <w:lvlText w:val=""/>
      <w:lvlJc w:val="left"/>
      <w:pPr>
        <w:tabs>
          <w:tab w:val="num" w:pos="4320"/>
        </w:tabs>
        <w:ind w:left="4320" w:hanging="360"/>
      </w:pPr>
      <w:rPr>
        <w:rFonts w:ascii="Wingdings" w:hAnsi="Wingdings"/>
      </w:rPr>
    </w:lvl>
    <w:lvl w:ilvl="6" w:tplc="450EB906">
      <w:start w:val="1"/>
      <w:numFmt w:val="bullet"/>
      <w:lvlText w:val=""/>
      <w:lvlJc w:val="left"/>
      <w:pPr>
        <w:tabs>
          <w:tab w:val="num" w:pos="5040"/>
        </w:tabs>
        <w:ind w:left="5040" w:hanging="360"/>
      </w:pPr>
      <w:rPr>
        <w:rFonts w:ascii="Symbol" w:hAnsi="Symbol"/>
      </w:rPr>
    </w:lvl>
    <w:lvl w:ilvl="7" w:tplc="ADF4081A">
      <w:start w:val="1"/>
      <w:numFmt w:val="bullet"/>
      <w:lvlText w:val="o"/>
      <w:lvlJc w:val="left"/>
      <w:pPr>
        <w:tabs>
          <w:tab w:val="num" w:pos="5760"/>
        </w:tabs>
        <w:ind w:left="5760" w:hanging="360"/>
      </w:pPr>
      <w:rPr>
        <w:rFonts w:ascii="Courier New" w:hAnsi="Courier New"/>
      </w:rPr>
    </w:lvl>
    <w:lvl w:ilvl="8" w:tplc="3DC28B1E">
      <w:start w:val="1"/>
      <w:numFmt w:val="bullet"/>
      <w:lvlText w:val=""/>
      <w:lvlJc w:val="left"/>
      <w:pPr>
        <w:tabs>
          <w:tab w:val="num" w:pos="6480"/>
        </w:tabs>
        <w:ind w:left="6480" w:hanging="360"/>
      </w:pPr>
      <w:rPr>
        <w:rFonts w:ascii="Wingdings" w:hAnsi="Wingdings"/>
      </w:rPr>
    </w:lvl>
  </w:abstractNum>
  <w:abstractNum w:abstractNumId="1">
    <w:nsid w:val="382931EA"/>
    <w:multiLevelType w:val="hybridMultilevel"/>
    <w:tmpl w:val="3B0499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9DF17D8"/>
    <w:multiLevelType w:val="hybridMultilevel"/>
    <w:tmpl w:val="D1A8D3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noPunctuationKerning/>
  <w:characterSpacingControl w:val="doNotCompress"/>
  <w:compat/>
  <w:rsids>
    <w:rsidRoot w:val="009E15DA"/>
    <w:rsid w:val="00017995"/>
    <w:rsid w:val="000228CA"/>
    <w:rsid w:val="00036FD7"/>
    <w:rsid w:val="00061114"/>
    <w:rsid w:val="00077BF9"/>
    <w:rsid w:val="000842DE"/>
    <w:rsid w:val="000A3653"/>
    <w:rsid w:val="000C6FBC"/>
    <w:rsid w:val="000F6D5D"/>
    <w:rsid w:val="001355F8"/>
    <w:rsid w:val="0014443E"/>
    <w:rsid w:val="00157F68"/>
    <w:rsid w:val="001E1063"/>
    <w:rsid w:val="001E3B65"/>
    <w:rsid w:val="001E75CD"/>
    <w:rsid w:val="00216CAD"/>
    <w:rsid w:val="0024166C"/>
    <w:rsid w:val="00250536"/>
    <w:rsid w:val="0026558A"/>
    <w:rsid w:val="00290FE2"/>
    <w:rsid w:val="002B65E6"/>
    <w:rsid w:val="002C79DE"/>
    <w:rsid w:val="002D0C95"/>
    <w:rsid w:val="003132EC"/>
    <w:rsid w:val="003D74F3"/>
    <w:rsid w:val="00405865"/>
    <w:rsid w:val="00437D9C"/>
    <w:rsid w:val="0049011D"/>
    <w:rsid w:val="00496FDF"/>
    <w:rsid w:val="004D201A"/>
    <w:rsid w:val="004F5336"/>
    <w:rsid w:val="004F7F49"/>
    <w:rsid w:val="005039D9"/>
    <w:rsid w:val="00534541"/>
    <w:rsid w:val="00583206"/>
    <w:rsid w:val="00592AD9"/>
    <w:rsid w:val="00596698"/>
    <w:rsid w:val="005B0B35"/>
    <w:rsid w:val="005C1596"/>
    <w:rsid w:val="005D283E"/>
    <w:rsid w:val="005E36D5"/>
    <w:rsid w:val="005F1234"/>
    <w:rsid w:val="00610021"/>
    <w:rsid w:val="00641F24"/>
    <w:rsid w:val="0064214D"/>
    <w:rsid w:val="00683076"/>
    <w:rsid w:val="00685837"/>
    <w:rsid w:val="00693A84"/>
    <w:rsid w:val="006A0AAE"/>
    <w:rsid w:val="006A5142"/>
    <w:rsid w:val="00714F1C"/>
    <w:rsid w:val="00720D1B"/>
    <w:rsid w:val="007533FB"/>
    <w:rsid w:val="007A07C5"/>
    <w:rsid w:val="007C6A07"/>
    <w:rsid w:val="007F7CFB"/>
    <w:rsid w:val="00817919"/>
    <w:rsid w:val="00864494"/>
    <w:rsid w:val="0086589F"/>
    <w:rsid w:val="008730B9"/>
    <w:rsid w:val="00875A2A"/>
    <w:rsid w:val="008A0579"/>
    <w:rsid w:val="008B1836"/>
    <w:rsid w:val="008D66E9"/>
    <w:rsid w:val="008E1287"/>
    <w:rsid w:val="008E1F60"/>
    <w:rsid w:val="008E3166"/>
    <w:rsid w:val="008F577B"/>
    <w:rsid w:val="009725FC"/>
    <w:rsid w:val="0099408C"/>
    <w:rsid w:val="00995BCF"/>
    <w:rsid w:val="009C6113"/>
    <w:rsid w:val="009D2B23"/>
    <w:rsid w:val="009E15DA"/>
    <w:rsid w:val="009F2F67"/>
    <w:rsid w:val="00A1618E"/>
    <w:rsid w:val="00A247DB"/>
    <w:rsid w:val="00A272B6"/>
    <w:rsid w:val="00A27CC9"/>
    <w:rsid w:val="00A5218A"/>
    <w:rsid w:val="00A64DB3"/>
    <w:rsid w:val="00A76F53"/>
    <w:rsid w:val="00AC6924"/>
    <w:rsid w:val="00AD3195"/>
    <w:rsid w:val="00B267BD"/>
    <w:rsid w:val="00B279ED"/>
    <w:rsid w:val="00B30C8F"/>
    <w:rsid w:val="00B43A3D"/>
    <w:rsid w:val="00B502A7"/>
    <w:rsid w:val="00B524E4"/>
    <w:rsid w:val="00B610DD"/>
    <w:rsid w:val="00C013F4"/>
    <w:rsid w:val="00C01908"/>
    <w:rsid w:val="00C152E6"/>
    <w:rsid w:val="00C542B7"/>
    <w:rsid w:val="00C76482"/>
    <w:rsid w:val="00CA4042"/>
    <w:rsid w:val="00CD6AC4"/>
    <w:rsid w:val="00CE61E7"/>
    <w:rsid w:val="00D1182B"/>
    <w:rsid w:val="00D3312E"/>
    <w:rsid w:val="00D54AB5"/>
    <w:rsid w:val="00D7382A"/>
    <w:rsid w:val="00D75804"/>
    <w:rsid w:val="00D93287"/>
    <w:rsid w:val="00DB4145"/>
    <w:rsid w:val="00DB5F27"/>
    <w:rsid w:val="00DC28EC"/>
    <w:rsid w:val="00DF5AE6"/>
    <w:rsid w:val="00E4322B"/>
    <w:rsid w:val="00E65E42"/>
    <w:rsid w:val="00E92B70"/>
    <w:rsid w:val="00E97964"/>
    <w:rsid w:val="00EB579F"/>
    <w:rsid w:val="00F35D3E"/>
    <w:rsid w:val="00F555D0"/>
    <w:rsid w:val="00F718E2"/>
    <w:rsid w:val="00F9001F"/>
    <w:rsid w:val="00FA3C85"/>
    <w:rsid w:val="00FA6B1A"/>
    <w:rsid w:val="00FB17B3"/>
    <w:rsid w:val="00FB29CA"/>
    <w:rsid w:val="00FC0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NormalWeb">
    <w:name w:val="Normal (Web)"/>
    <w:basedOn w:val="Normal"/>
    <w:uiPriority w:val="99"/>
    <w:unhideWhenUsed/>
    <w:rsid w:val="001E1063"/>
    <w:pPr>
      <w:spacing w:before="100" w:beforeAutospacing="1" w:after="100" w:afterAutospacing="1"/>
    </w:pPr>
    <w:rPr>
      <w:lang w:val="en-IN" w:eastAsia="en-IN"/>
    </w:rPr>
  </w:style>
  <w:style w:type="character" w:styleId="Strong">
    <w:name w:val="Strong"/>
    <w:basedOn w:val="DefaultParagraphFont"/>
    <w:uiPriority w:val="22"/>
    <w:qFormat/>
    <w:rsid w:val="001E1063"/>
    <w:rPr>
      <w:b/>
      <w:bCs/>
    </w:rPr>
  </w:style>
  <w:style w:type="character" w:styleId="Hyperlink">
    <w:name w:val="Hyperlink"/>
    <w:basedOn w:val="DefaultParagraphFont"/>
    <w:uiPriority w:val="99"/>
    <w:unhideWhenUsed/>
    <w:rsid w:val="00216CAD"/>
    <w:rPr>
      <w:color w:val="0000FF" w:themeColor="hyperlink"/>
      <w:u w:val="single"/>
    </w:rPr>
  </w:style>
  <w:style w:type="character" w:customStyle="1" w:styleId="docsum-authors">
    <w:name w:val="docsum-authors"/>
    <w:basedOn w:val="DefaultParagraphFont"/>
    <w:rsid w:val="00216CAD"/>
  </w:style>
  <w:style w:type="character" w:customStyle="1" w:styleId="docsum-journal-citation">
    <w:name w:val="docsum-journal-citation"/>
    <w:basedOn w:val="DefaultParagraphFont"/>
    <w:rsid w:val="00216CAD"/>
  </w:style>
  <w:style w:type="character" w:styleId="HTMLCite">
    <w:name w:val="HTML Cite"/>
    <w:basedOn w:val="DefaultParagraphFont"/>
    <w:uiPriority w:val="99"/>
    <w:semiHidden/>
    <w:unhideWhenUsed/>
    <w:rsid w:val="00216CAD"/>
    <w:rPr>
      <w:i/>
      <w:iCs/>
    </w:rPr>
  </w:style>
  <w:style w:type="character" w:customStyle="1" w:styleId="anchor-text">
    <w:name w:val="anchor-text"/>
    <w:basedOn w:val="DefaultParagraphFont"/>
    <w:rsid w:val="00216CAD"/>
  </w:style>
  <w:style w:type="character" w:customStyle="1" w:styleId="authors-list-item">
    <w:name w:val="authors-list-item"/>
    <w:basedOn w:val="DefaultParagraphFont"/>
    <w:rsid w:val="00216CAD"/>
  </w:style>
  <w:style w:type="character" w:customStyle="1" w:styleId="author-sup-separator">
    <w:name w:val="author-sup-separator"/>
    <w:basedOn w:val="DefaultParagraphFont"/>
    <w:rsid w:val="00216CAD"/>
  </w:style>
  <w:style w:type="character" w:customStyle="1" w:styleId="comma">
    <w:name w:val="comma"/>
    <w:basedOn w:val="DefaultParagraphFont"/>
    <w:rsid w:val="00216CAD"/>
  </w:style>
  <w:style w:type="character" w:customStyle="1" w:styleId="cit">
    <w:name w:val="cit"/>
    <w:basedOn w:val="DefaultParagraphFont"/>
    <w:rsid w:val="00216CAD"/>
  </w:style>
  <w:style w:type="paragraph" w:styleId="ListParagraph">
    <w:name w:val="List Paragraph"/>
    <w:basedOn w:val="Normal"/>
    <w:uiPriority w:val="34"/>
    <w:qFormat/>
    <w:rsid w:val="003132EC"/>
    <w:pPr>
      <w:ind w:left="720"/>
      <w:contextualSpacing/>
    </w:pPr>
  </w:style>
  <w:style w:type="table" w:styleId="TableGrid">
    <w:name w:val="Table Grid"/>
    <w:basedOn w:val="TableNormal"/>
    <w:uiPriority w:val="39"/>
    <w:rsid w:val="00C013F4"/>
    <w:rPr>
      <w:rFonts w:asciiTheme="minorHAnsi" w:eastAsiaTheme="minorHAnsi" w:hAnsiTheme="minorHAnsi" w:cstheme="minorBidi"/>
      <w:kern w:val="2"/>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9328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5591301">
      <w:bodyDiv w:val="1"/>
      <w:marLeft w:val="0"/>
      <w:marRight w:val="0"/>
      <w:marTop w:val="0"/>
      <w:marBottom w:val="0"/>
      <w:divBdr>
        <w:top w:val="none" w:sz="0" w:space="0" w:color="auto"/>
        <w:left w:val="none" w:sz="0" w:space="0" w:color="auto"/>
        <w:bottom w:val="none" w:sz="0" w:space="0" w:color="auto"/>
        <w:right w:val="none" w:sz="0" w:space="0" w:color="auto"/>
      </w:divBdr>
    </w:div>
    <w:div w:id="1017392467">
      <w:bodyDiv w:val="1"/>
      <w:marLeft w:val="0"/>
      <w:marRight w:val="0"/>
      <w:marTop w:val="0"/>
      <w:marBottom w:val="0"/>
      <w:divBdr>
        <w:top w:val="none" w:sz="0" w:space="0" w:color="auto"/>
        <w:left w:val="none" w:sz="0" w:space="0" w:color="auto"/>
        <w:bottom w:val="none" w:sz="0" w:space="0" w:color="auto"/>
        <w:right w:val="none" w:sz="0" w:space="0" w:color="auto"/>
      </w:divBdr>
      <w:divsChild>
        <w:div w:id="136598553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pubmed.ncbi.nlm.nih.gov/?term=Pickova+D&amp;cauthor_id=34205163" TargetMode="External"/><Relationship Id="rId18" Type="http://schemas.openxmlformats.org/officeDocument/2006/relationships/hyperlink" Target="https://www.scirp.org/(S(351jmbntvnsjt1aadkposzje))/journal/articles.aspx?searchcode=Scholastica+L.++Musyimi&amp;searchfield=authors&amp;page=1" TargetMode="External"/><Relationship Id="rId26" Type="http://schemas.openxmlformats.org/officeDocument/2006/relationships/hyperlink" Target="http://www.wikipedia" TargetMode="External"/><Relationship Id="rId3" Type="http://schemas.openxmlformats.org/officeDocument/2006/relationships/settings" Target="settings.xml"/><Relationship Id="rId21" Type="http://schemas.openxmlformats.org/officeDocument/2006/relationships/hyperlink" Target="https://www.sciencedirect.com/referencework/9780123864550/encyclopedia-of-toxicology" TargetMode="External"/><Relationship Id="rId7" Type="http://schemas.openxmlformats.org/officeDocument/2006/relationships/image" Target="media/image3.png"/><Relationship Id="rId12" Type="http://schemas.openxmlformats.org/officeDocument/2006/relationships/hyperlink" Target="https://www.sciencedirect.com/referencework/9780081005965/reference-module-in-food-science" TargetMode="External"/><Relationship Id="rId17" Type="http://schemas.openxmlformats.org/officeDocument/2006/relationships/hyperlink" Target="https://www.scirp.org/(S(351jmbntvnsjt1aadkposzje))/journal/articles.aspx?searchcode=James+W.++Muthomi&amp;searchfield=authors&amp;page=1" TargetMode="External"/><Relationship Id="rId25" Type="http://schemas.openxmlformats.org/officeDocument/2006/relationships/hyperlink" Target="https://doi.org/10.1007%2Fs13320-021-0638-1" TargetMode="External"/><Relationship Id="rId2" Type="http://schemas.openxmlformats.org/officeDocument/2006/relationships/styles" Target="styles.xml"/><Relationship Id="rId16" Type="http://schemas.openxmlformats.org/officeDocument/2006/relationships/hyperlink" Target="https://pubmed.ncbi.nlm.nih.gov/?term=Malir+F&amp;cauthor_id=34205163" TargetMode="External"/><Relationship Id="rId20" Type="http://schemas.openxmlformats.org/officeDocument/2006/relationships/hyperlink" Target="https://www.scirp.org/(S(351jmbntvnsjt1aadkposzje))/journal/articles.aspx?searchcode=Rama+D.++Narla&amp;searchfield=authors&amp;page=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doi.org/10.1111%2F1541-4337.12562" TargetMode="External"/><Relationship Id="rId5" Type="http://schemas.openxmlformats.org/officeDocument/2006/relationships/image" Target="media/image1.png"/><Relationship Id="rId15" Type="http://schemas.openxmlformats.org/officeDocument/2006/relationships/hyperlink" Target="https://pubmed.ncbi.nlm.nih.gov/?term=Toman+J&amp;cauthor_id=34205163" TargetMode="External"/><Relationship Id="rId23" Type="http://schemas.openxmlformats.org/officeDocument/2006/relationships/hyperlink" Target="https://www.ncbi.nlm.nih.gov/pmc/articles/PMC8159112" TargetMode="External"/><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www.scirp.org/(S(351jmbntvnsjt1aadkposzje))/journal/articles.aspx?searchcode=John+M.++Wagacha&amp;searchfield=authors&amp;page=1"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pubmed.ncbi.nlm.nih.gov/?term=Ostry+V&amp;cauthor_id=34205163" TargetMode="External"/><Relationship Id="rId22" Type="http://schemas.openxmlformats.org/officeDocument/2006/relationships/hyperlink" Target="https://www.ncbi.nlm.nih.gov/pmc/articles/PMC450355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2944</Words>
  <Characters>16782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abhinav</dc:creator>
  <cp:lastModifiedBy>Windows User</cp:lastModifiedBy>
  <cp:revision>2</cp:revision>
  <dcterms:created xsi:type="dcterms:W3CDTF">2023-08-14T07:55:00Z</dcterms:created>
  <dcterms:modified xsi:type="dcterms:W3CDTF">2023-08-14T07:55:00Z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79252d9d8542d5fedeb0805907996b61bdda4a55399813206395b7ee103ab95f</vt:lpwstr>
  </property>
</Properties>
</file>