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01341" w14:textId="77777777" w:rsidR="00474351" w:rsidRPr="00E4153C" w:rsidRDefault="00474351" w:rsidP="00474351">
      <w:pPr>
        <w:pStyle w:val="papertitle"/>
        <w:spacing w:after="0"/>
        <w:rPr>
          <w:rFonts w:eastAsia="MS Mincho"/>
        </w:rPr>
      </w:pPr>
      <w:r w:rsidRPr="00E4153C">
        <w:rPr>
          <w:rFonts w:eastAsia="MS Mincho"/>
        </w:rPr>
        <w:t>Pyrazole &amp; It’s Derivatives</w:t>
      </w:r>
    </w:p>
    <w:p w14:paraId="69FF6BA5" w14:textId="77777777" w:rsidR="00474351" w:rsidRPr="00466548" w:rsidRDefault="00474351" w:rsidP="00474351">
      <w:pPr>
        <w:pStyle w:val="papertitle"/>
        <w:spacing w:after="0"/>
        <w:rPr>
          <w:rFonts w:eastAsia="MS Mincho"/>
        </w:rPr>
      </w:pPr>
    </w:p>
    <w:p w14:paraId="06D17A47" w14:textId="77777777" w:rsidR="00474351" w:rsidRPr="00466548" w:rsidRDefault="00474351" w:rsidP="00474351">
      <w:pPr>
        <w:rPr>
          <w:rFonts w:eastAsia="MS Mincho"/>
        </w:rPr>
      </w:pPr>
    </w:p>
    <w:p w14:paraId="2D4CA766" w14:textId="77777777" w:rsidR="00474351" w:rsidRPr="00466548" w:rsidRDefault="00474351" w:rsidP="00474351">
      <w:pPr>
        <w:pStyle w:val="Author"/>
        <w:spacing w:before="0" w:after="0"/>
        <w:rPr>
          <w:rFonts w:eastAsia="MS Mincho"/>
          <w:sz w:val="20"/>
          <w:szCs w:val="20"/>
        </w:rPr>
        <w:sectPr w:rsidR="00474351" w:rsidRPr="00466548" w:rsidSect="00AA0700">
          <w:footerReference w:type="default" r:id="rId4"/>
          <w:pgSz w:w="11909" w:h="16834" w:code="9"/>
          <w:pgMar w:top="1440" w:right="1440" w:bottom="1440" w:left="1440" w:header="720" w:footer="720" w:gutter="0"/>
          <w:pgNumType w:start="1"/>
          <w:cols w:space="720"/>
          <w:docGrid w:linePitch="360"/>
        </w:sectPr>
      </w:pPr>
    </w:p>
    <w:p w14:paraId="70BEB0F8" w14:textId="77777777" w:rsidR="00474351" w:rsidRPr="00466548" w:rsidRDefault="00474351" w:rsidP="00474351">
      <w:pPr>
        <w:pStyle w:val="Author"/>
        <w:spacing w:before="0" w:after="0"/>
        <w:jc w:val="both"/>
        <w:rPr>
          <w:rFonts w:eastAsia="MS Mincho"/>
          <w:sz w:val="20"/>
          <w:szCs w:val="20"/>
        </w:rPr>
      </w:pPr>
      <w:r>
        <w:rPr>
          <w:rFonts w:eastAsia="MS Mincho"/>
          <w:sz w:val="20"/>
          <w:szCs w:val="20"/>
        </w:rPr>
        <w:t>Swapnil Dahat</w:t>
      </w:r>
    </w:p>
    <w:p w14:paraId="5E980DC8" w14:textId="77777777" w:rsidR="00474351" w:rsidRPr="00466548" w:rsidRDefault="00474351" w:rsidP="00474351">
      <w:pPr>
        <w:pStyle w:val="Affiliation"/>
        <w:jc w:val="both"/>
        <w:rPr>
          <w:rFonts w:eastAsia="MS Mincho"/>
        </w:rPr>
      </w:pPr>
      <w:r>
        <w:rPr>
          <w:rFonts w:eastAsia="MS Mincho"/>
        </w:rPr>
        <w:t>Department of Chemistry</w:t>
      </w:r>
    </w:p>
    <w:p w14:paraId="0A559CE2" w14:textId="77777777" w:rsidR="00474351" w:rsidRPr="00466548" w:rsidRDefault="00474351" w:rsidP="00474351">
      <w:pPr>
        <w:pStyle w:val="Affiliation"/>
        <w:jc w:val="both"/>
        <w:rPr>
          <w:rFonts w:eastAsia="MS Mincho"/>
        </w:rPr>
      </w:pPr>
      <w:r>
        <w:rPr>
          <w:rFonts w:eastAsia="MS Mincho"/>
        </w:rPr>
        <w:t>Nagpur University</w:t>
      </w:r>
    </w:p>
    <w:p w14:paraId="11703ACF" w14:textId="77777777" w:rsidR="00474351" w:rsidRPr="00466548" w:rsidRDefault="00474351" w:rsidP="00474351">
      <w:pPr>
        <w:pStyle w:val="Affiliation"/>
        <w:jc w:val="both"/>
        <w:rPr>
          <w:rFonts w:eastAsia="MS Mincho"/>
        </w:rPr>
      </w:pPr>
      <w:r>
        <w:rPr>
          <w:rFonts w:eastAsia="MS Mincho"/>
        </w:rPr>
        <w:t>Nagpur</w:t>
      </w:r>
      <w:r w:rsidRPr="00466548">
        <w:rPr>
          <w:rFonts w:eastAsia="MS Mincho"/>
        </w:rPr>
        <w:t xml:space="preserve">, </w:t>
      </w:r>
      <w:r>
        <w:rPr>
          <w:rFonts w:eastAsia="MS Mincho"/>
        </w:rPr>
        <w:t>India</w:t>
      </w:r>
    </w:p>
    <w:p w14:paraId="198CCD3A" w14:textId="77777777" w:rsidR="00474351" w:rsidRDefault="00474351" w:rsidP="00474351">
      <w:pPr>
        <w:pStyle w:val="Affiliation"/>
        <w:jc w:val="both"/>
        <w:rPr>
          <w:rFonts w:eastAsia="MS Mincho"/>
        </w:rPr>
      </w:pPr>
      <w:r>
        <w:rPr>
          <w:rFonts w:eastAsia="MS Mincho"/>
        </w:rPr>
        <w:t>swapnildahatresearcher@gmail.com</w:t>
      </w:r>
    </w:p>
    <w:p w14:paraId="49A9DC1F" w14:textId="77777777" w:rsidR="00474351" w:rsidRPr="00466548" w:rsidRDefault="00474351" w:rsidP="00474351">
      <w:pPr>
        <w:pStyle w:val="Affiliation"/>
        <w:ind w:left="720" w:firstLine="720"/>
        <w:jc w:val="both"/>
        <w:rPr>
          <w:rFonts w:eastAsia="MS Mincho"/>
        </w:rPr>
      </w:pPr>
      <w:r>
        <w:rPr>
          <w:rFonts w:eastAsia="MS Mincho"/>
        </w:rPr>
        <w:t>Dr. Ajmal Bhat</w:t>
      </w:r>
    </w:p>
    <w:p w14:paraId="146E77FE" w14:textId="77777777" w:rsidR="00474351" w:rsidRDefault="00474351" w:rsidP="00474351">
      <w:pPr>
        <w:pStyle w:val="Affiliation"/>
        <w:rPr>
          <w:rFonts w:eastAsia="MS Mincho"/>
        </w:rPr>
      </w:pPr>
      <w:r>
        <w:rPr>
          <w:rFonts w:eastAsia="MS Mincho"/>
        </w:rPr>
        <w:t>Department of Chemistry Nagpur University</w:t>
      </w:r>
      <w:r w:rsidRPr="00466548">
        <w:rPr>
          <w:rFonts w:eastAsia="MS Mincho"/>
        </w:rPr>
        <w:t xml:space="preserve"> </w:t>
      </w:r>
    </w:p>
    <w:p w14:paraId="6CFDFFDF" w14:textId="77777777" w:rsidR="00474351" w:rsidRPr="00466548" w:rsidRDefault="00474351" w:rsidP="00474351">
      <w:pPr>
        <w:pStyle w:val="Affiliation"/>
        <w:jc w:val="both"/>
        <w:rPr>
          <w:rFonts w:eastAsia="MS Mincho"/>
        </w:rPr>
      </w:pPr>
      <w:r>
        <w:rPr>
          <w:rFonts w:eastAsia="MS Mincho"/>
        </w:rPr>
        <w:t xml:space="preserve">      Nagpur, India</w:t>
      </w:r>
    </w:p>
    <w:p w14:paraId="674DFB7B" w14:textId="77777777" w:rsidR="00474351" w:rsidRDefault="00474351" w:rsidP="00474351">
      <w:pPr>
        <w:pStyle w:val="Affiliation"/>
        <w:jc w:val="both"/>
        <w:rPr>
          <w:rFonts w:eastAsia="MS Mincho"/>
        </w:rPr>
      </w:pPr>
      <w:r>
        <w:rPr>
          <w:rFonts w:eastAsia="MS Mincho"/>
        </w:rPr>
        <w:t xml:space="preserve">      bhatajmal@gmail.com</w:t>
      </w:r>
    </w:p>
    <w:p w14:paraId="35B5860F" w14:textId="77777777" w:rsidR="00474351" w:rsidRDefault="00474351" w:rsidP="00474351">
      <w:pPr>
        <w:pStyle w:val="Affiliation"/>
        <w:rPr>
          <w:rFonts w:eastAsia="MS Mincho"/>
        </w:rPr>
        <w:sectPr w:rsidR="00474351" w:rsidSect="00466548">
          <w:type w:val="continuous"/>
          <w:pgSz w:w="11909" w:h="16834" w:code="9"/>
          <w:pgMar w:top="1440" w:right="1440" w:bottom="1440" w:left="1440" w:header="720" w:footer="720" w:gutter="0"/>
          <w:cols w:num="2" w:space="720"/>
          <w:docGrid w:linePitch="360"/>
        </w:sectPr>
      </w:pPr>
    </w:p>
    <w:p w14:paraId="0FE4C844" w14:textId="77777777" w:rsidR="00474351" w:rsidRDefault="00474351" w:rsidP="00474351">
      <w:pPr>
        <w:pStyle w:val="Author"/>
        <w:spacing w:before="0" w:after="0"/>
        <w:jc w:val="both"/>
        <w:rPr>
          <w:rFonts w:eastAsia="MS Mincho"/>
          <w:sz w:val="20"/>
          <w:szCs w:val="20"/>
        </w:rPr>
      </w:pPr>
    </w:p>
    <w:p w14:paraId="56E391DF" w14:textId="77777777" w:rsidR="00474351" w:rsidRDefault="00474351" w:rsidP="00474351">
      <w:pPr>
        <w:pStyle w:val="Author"/>
        <w:spacing w:before="0" w:after="0"/>
        <w:jc w:val="both"/>
        <w:rPr>
          <w:rFonts w:eastAsia="MS Mincho"/>
          <w:sz w:val="20"/>
          <w:szCs w:val="20"/>
        </w:rPr>
      </w:pPr>
      <w:r>
        <w:rPr>
          <w:rFonts w:eastAsia="MS Mincho"/>
          <w:sz w:val="20"/>
          <w:szCs w:val="20"/>
        </w:rPr>
        <w:t>Tahir Nasir Shiekh</w:t>
      </w:r>
    </w:p>
    <w:p w14:paraId="7360088D" w14:textId="77777777" w:rsidR="00474351" w:rsidRDefault="00474351" w:rsidP="00474351">
      <w:pPr>
        <w:pStyle w:val="Affiliation"/>
        <w:jc w:val="both"/>
        <w:rPr>
          <w:rFonts w:eastAsia="MS Mincho"/>
        </w:rPr>
      </w:pPr>
      <w:r>
        <w:rPr>
          <w:rFonts w:eastAsia="MS Mincho"/>
        </w:rPr>
        <w:t>Department of Chemistry Nagpur University</w:t>
      </w:r>
      <w:r w:rsidRPr="00466548">
        <w:rPr>
          <w:rFonts w:eastAsia="MS Mincho"/>
        </w:rPr>
        <w:t xml:space="preserve"> </w:t>
      </w:r>
    </w:p>
    <w:p w14:paraId="463502AE" w14:textId="77777777" w:rsidR="00474351" w:rsidRDefault="00474351" w:rsidP="00474351">
      <w:pPr>
        <w:pStyle w:val="Affiliation"/>
        <w:jc w:val="both"/>
        <w:rPr>
          <w:rFonts w:eastAsia="MS Mincho"/>
        </w:rPr>
      </w:pPr>
      <w:r>
        <w:rPr>
          <w:rFonts w:eastAsia="MS Mincho"/>
        </w:rPr>
        <w:t>Nagpur, India</w:t>
      </w:r>
    </w:p>
    <w:p w14:paraId="38A5AFB5" w14:textId="77777777" w:rsidR="00474351" w:rsidRDefault="00474351" w:rsidP="00474351">
      <w:pPr>
        <w:pStyle w:val="Affiliation"/>
        <w:jc w:val="both"/>
        <w:rPr>
          <w:rFonts w:eastAsia="MS Mincho"/>
        </w:rPr>
      </w:pPr>
      <w:r>
        <w:rPr>
          <w:rFonts w:eastAsia="MS Mincho"/>
        </w:rPr>
        <w:t>Shiekhtahir878@gmail.com</w:t>
      </w:r>
    </w:p>
    <w:p w14:paraId="42A0EF25" w14:textId="77777777" w:rsidR="00474351" w:rsidRDefault="00474351" w:rsidP="00474351">
      <w:pPr>
        <w:pStyle w:val="Affiliation"/>
        <w:jc w:val="both"/>
        <w:rPr>
          <w:rFonts w:eastAsia="MS Mincho"/>
        </w:rPr>
      </w:pPr>
    </w:p>
    <w:p w14:paraId="1C652169" w14:textId="77777777" w:rsidR="00474351" w:rsidRDefault="00474351" w:rsidP="00474351">
      <w:pPr>
        <w:pStyle w:val="Affiliation"/>
        <w:jc w:val="both"/>
        <w:rPr>
          <w:rFonts w:eastAsia="MS Mincho"/>
        </w:rPr>
      </w:pPr>
    </w:p>
    <w:p w14:paraId="4E2BB87D" w14:textId="77777777" w:rsidR="00474351" w:rsidRDefault="00474351" w:rsidP="00474351">
      <w:pPr>
        <w:pStyle w:val="Abstract"/>
        <w:spacing w:after="0"/>
        <w:ind w:firstLine="0"/>
        <w:jc w:val="center"/>
        <w:rPr>
          <w:rFonts w:eastAsia="MS Mincho"/>
          <w:iCs/>
          <w:sz w:val="20"/>
          <w:szCs w:val="20"/>
        </w:rPr>
      </w:pPr>
      <w:r w:rsidRPr="00402841">
        <w:rPr>
          <w:rFonts w:eastAsia="MS Mincho"/>
          <w:iCs/>
          <w:sz w:val="20"/>
          <w:szCs w:val="20"/>
        </w:rPr>
        <w:t>ABSTRACT</w:t>
      </w:r>
    </w:p>
    <w:p w14:paraId="7E516095" w14:textId="77777777" w:rsidR="00474351" w:rsidRPr="00402841" w:rsidRDefault="00474351" w:rsidP="00474351">
      <w:pPr>
        <w:pStyle w:val="Abstract"/>
        <w:spacing w:after="0"/>
        <w:ind w:firstLine="0"/>
        <w:rPr>
          <w:rFonts w:eastAsia="MS Mincho"/>
          <w:iCs/>
          <w:sz w:val="20"/>
          <w:szCs w:val="20"/>
        </w:rPr>
      </w:pPr>
    </w:p>
    <w:p w14:paraId="12F337C8" w14:textId="77777777" w:rsidR="00474351" w:rsidRPr="00E4153C" w:rsidRDefault="00474351" w:rsidP="00474351">
      <w:pPr>
        <w:pStyle w:val="Abstract"/>
        <w:spacing w:after="0"/>
        <w:ind w:firstLine="0"/>
        <w:rPr>
          <w:rFonts w:eastAsiaTheme="minorHAnsi"/>
          <w:b w:val="0"/>
          <w:bCs w:val="0"/>
          <w:color w:val="000000" w:themeColor="text1"/>
          <w:sz w:val="20"/>
          <w:szCs w:val="20"/>
          <w:lang w:val="en-IN"/>
          <w14:ligatures w14:val="standardContextual"/>
        </w:rPr>
      </w:pPr>
      <w:r w:rsidRPr="00E4153C">
        <w:rPr>
          <w:rFonts w:eastAsiaTheme="minorHAnsi"/>
          <w:b w:val="0"/>
          <w:bCs w:val="0"/>
          <w:color w:val="000000" w:themeColor="text1"/>
          <w:sz w:val="20"/>
          <w:szCs w:val="20"/>
          <w:lang w:val="en-IN"/>
          <w14:ligatures w14:val="standardContextual"/>
        </w:rPr>
        <w:t xml:space="preserve">Pyrazoles are five-membered heterocyclic compounds and have played an important portion in the development of theory in heterocyclic chemistry. These compounds broadly found as the main structure in a great variety of compounds that have an essential pharmaceutical and agrochemical activities in addition to biological activity like antifungal, antitumor, antiviral, antibacterial, anti-tubercular and antiphrastic. The pyrazole moiety has significant role in some drugs construction such as some pyrazole-3-carbox- amide moiety has anti-CB1 cannabinoid ability and some aryl pyrazole derivatives have anti-HIV-1 activity. </w:t>
      </w:r>
      <w:r w:rsidRPr="00E4153C">
        <w:rPr>
          <w:b w:val="0"/>
          <w:bCs w:val="0"/>
          <w:color w:val="000000" w:themeColor="text1"/>
          <w:sz w:val="20"/>
          <w:szCs w:val="20"/>
        </w:rPr>
        <w:t>The structures of the new pyrazoles were confirmed by spectral studies and elemental analysis. Results of the antimicrobial activity reveal that some of the compounds particularly with substituents act as potential antimicrobial agents against different fungal and bacterial organisms.</w:t>
      </w:r>
    </w:p>
    <w:p w14:paraId="17AFACAE" w14:textId="77777777" w:rsidR="00474351" w:rsidRPr="00466548" w:rsidRDefault="00474351" w:rsidP="00474351">
      <w:pPr>
        <w:pStyle w:val="Abstract"/>
        <w:spacing w:after="0"/>
        <w:ind w:firstLine="0"/>
        <w:rPr>
          <w:rFonts w:eastAsia="MS Mincho"/>
          <w:b w:val="0"/>
          <w:sz w:val="20"/>
          <w:szCs w:val="20"/>
        </w:rPr>
      </w:pPr>
    </w:p>
    <w:p w14:paraId="59DB7C7A" w14:textId="4D395598" w:rsidR="00474351" w:rsidRPr="00466548" w:rsidRDefault="00474351" w:rsidP="00474351">
      <w:pPr>
        <w:pStyle w:val="keywords"/>
        <w:spacing w:after="0"/>
        <w:ind w:firstLine="0"/>
        <w:rPr>
          <w:rFonts w:eastAsia="MS Mincho"/>
          <w:b w:val="0"/>
          <w:i w:val="0"/>
          <w:sz w:val="20"/>
          <w:szCs w:val="20"/>
        </w:rPr>
      </w:pPr>
      <w:r w:rsidRPr="00E4153C">
        <w:rPr>
          <w:rFonts w:eastAsia="MS Mincho"/>
          <w:i w:val="0"/>
          <w:sz w:val="20"/>
          <w:szCs w:val="20"/>
        </w:rPr>
        <w:t xml:space="preserve">Keywords </w:t>
      </w:r>
      <w:r w:rsidRPr="00E4153C">
        <w:rPr>
          <w:rFonts w:eastAsia="MS Mincho"/>
          <w:b w:val="0"/>
          <w:i w:val="0"/>
          <w:sz w:val="20"/>
          <w:szCs w:val="20"/>
        </w:rPr>
        <w:t>—</w:t>
      </w:r>
      <w:r w:rsidRPr="00E4153C">
        <w:rPr>
          <w:sz w:val="20"/>
          <w:szCs w:val="20"/>
        </w:rPr>
        <w:t xml:space="preserve"> </w:t>
      </w:r>
      <w:r w:rsidRPr="00E4153C">
        <w:rPr>
          <w:b w:val="0"/>
          <w:bCs w:val="0"/>
          <w:i w:val="0"/>
          <w:iCs w:val="0"/>
          <w:sz w:val="20"/>
          <w:szCs w:val="20"/>
        </w:rPr>
        <w:t>Antibacterial, Antifungal, Cycloaddition, Dipolar, Inhibition.</w:t>
      </w:r>
    </w:p>
    <w:p w14:paraId="54433E45" w14:textId="77777777" w:rsidR="00474351" w:rsidRPr="009F204B" w:rsidRDefault="00474351" w:rsidP="00474351">
      <w:pPr>
        <w:pStyle w:val="Heading1"/>
        <w:spacing w:before="0" w:after="0"/>
        <w:rPr>
          <w:rFonts w:eastAsia="MS Mincho"/>
        </w:rPr>
      </w:pPr>
      <w:r w:rsidRPr="00402841">
        <w:rPr>
          <w:rFonts w:eastAsia="MS Mincho"/>
          <w:sz w:val="20"/>
          <w:szCs w:val="20"/>
        </w:rPr>
        <w:t xml:space="preserve"> INTRODUCTION </w:t>
      </w:r>
    </w:p>
    <w:p w14:paraId="32B8B0C3" w14:textId="77777777" w:rsidR="00474351" w:rsidRPr="00E4153C" w:rsidRDefault="00474351" w:rsidP="00474351">
      <w:pPr>
        <w:pStyle w:val="BodyText"/>
        <w:spacing w:after="0" w:line="240" w:lineRule="auto"/>
        <w:ind w:firstLine="0"/>
      </w:pPr>
      <w:r w:rsidRPr="00E4153C">
        <w:tab/>
      </w:r>
      <w:r w:rsidRPr="00E4153C">
        <w:tab/>
      </w:r>
      <w:r w:rsidRPr="00E4153C">
        <w:rPr>
          <w:rFonts w:eastAsiaTheme="minorHAnsi"/>
          <w:lang w:val="en-IN"/>
          <w14:ligatures w14:val="standardContextual"/>
        </w:rPr>
        <w:t xml:space="preserve">Pyrazoles are chemical compounds that contain a five membered heterocyclic with two nitrogen atoms and three head-to-head carbons. Pyrazole derivatives, some members of the pyrazoles class, have presented excellent pharmacological effectiveness and biological </w:t>
      </w:r>
      <w:proofErr w:type="gramStart"/>
      <w:r w:rsidRPr="00E4153C">
        <w:rPr>
          <w:rFonts w:eastAsiaTheme="minorHAnsi"/>
          <w:lang w:val="en-IN"/>
          <w14:ligatures w14:val="standardContextual"/>
        </w:rPr>
        <w:t>antimicrobial(</w:t>
      </w:r>
      <w:proofErr w:type="gramEnd"/>
      <w:r w:rsidRPr="00E4153C">
        <w:rPr>
          <w:rFonts w:eastAsiaTheme="minorHAnsi"/>
          <w:lang w:val="en-IN"/>
          <w14:ligatures w14:val="standardContextual"/>
        </w:rPr>
        <w:t xml:space="preserve">1) , anti-inflammatory(2), antihistaminic(3), antiviral(4), anticonvulsant(5)and fungicidal activities(6,7).In 1883 Knorr(8,9) leading synthesized compounds containing this system via the reaction of ethyl acetoacetate with phenyl hydrazine, which produced 1-phenyl-3-methyl-5-pyrazolone. </w:t>
      </w:r>
      <w:proofErr w:type="gramStart"/>
      <w:r w:rsidRPr="00E4153C">
        <w:rPr>
          <w:rFonts w:eastAsiaTheme="minorHAnsi"/>
          <w:lang w:val="en-IN"/>
          <w14:ligatures w14:val="standardContextual"/>
        </w:rPr>
        <w:t>Knorr(</w:t>
      </w:r>
      <w:proofErr w:type="gramEnd"/>
      <w:r w:rsidRPr="00E4153C">
        <w:rPr>
          <w:rFonts w:eastAsiaTheme="minorHAnsi"/>
          <w:lang w:val="en-IN"/>
          <w14:ligatures w14:val="standardContextual"/>
        </w:rPr>
        <w:t>10)introduced the name pyrazole for these compounds to indicate that the centre was derived from pyrrole through the replacement of a carbon by nitrogen. They prepared various members of this part and systematically tested their properties</w:t>
      </w:r>
      <w:r>
        <w:rPr>
          <w:rFonts w:eastAsiaTheme="minorHAnsi"/>
          <w:lang w:val="en-IN"/>
          <w14:ligatures w14:val="standardContextual"/>
        </w:rPr>
        <w:t xml:space="preserve"> </w:t>
      </w:r>
      <w:r w:rsidRPr="00E4153C">
        <w:rPr>
          <w:rFonts w:eastAsiaTheme="minorHAnsi"/>
          <w:lang w:val="en-IN"/>
          <w14:ligatures w14:val="standardContextual"/>
        </w:rPr>
        <w:t>(11,12</w:t>
      </w:r>
      <w:proofErr w:type="gramStart"/>
      <w:r w:rsidRPr="00E4153C">
        <w:rPr>
          <w:rFonts w:eastAsiaTheme="minorHAnsi"/>
          <w:lang w:val="en-IN"/>
          <w14:ligatures w14:val="standardContextual"/>
        </w:rPr>
        <w:t>).Pyrazoles</w:t>
      </w:r>
      <w:proofErr w:type="gramEnd"/>
      <w:r w:rsidRPr="00E4153C">
        <w:rPr>
          <w:rFonts w:eastAsiaTheme="minorHAnsi"/>
          <w:lang w:val="en-IN"/>
          <w14:ligatures w14:val="standardContextual"/>
        </w:rPr>
        <w:t xml:space="preserve"> are aromatic molecules because of their planar conjugated ring </w:t>
      </w:r>
      <w:r w:rsidRPr="00E4153C">
        <w:rPr>
          <w:rFonts w:eastAsia="TimesNewRomanPSMT"/>
          <w:lang w:val="en-IN"/>
          <w14:ligatures w14:val="standardContextual"/>
        </w:rPr>
        <w:t>configurations with six delocalized π</w:t>
      </w:r>
      <w:r w:rsidRPr="00E4153C">
        <w:rPr>
          <w:rFonts w:eastAsiaTheme="minorHAnsi"/>
          <w:lang w:val="en-IN"/>
          <w14:ligatures w14:val="standardContextual"/>
        </w:rPr>
        <w:t xml:space="preserve">-electrons(13). For that reason, many essential properties of these molecules were studied by comparing with the properties of benzene </w:t>
      </w:r>
      <w:proofErr w:type="gramStart"/>
      <w:r w:rsidRPr="00E4153C">
        <w:rPr>
          <w:rFonts w:eastAsiaTheme="minorHAnsi"/>
          <w:lang w:val="en-IN"/>
          <w14:ligatures w14:val="standardContextual"/>
        </w:rPr>
        <w:t>derivatives(</w:t>
      </w:r>
      <w:proofErr w:type="gramEnd"/>
      <w:r w:rsidRPr="00E4153C">
        <w:rPr>
          <w:rFonts w:eastAsiaTheme="minorHAnsi"/>
          <w:lang w:val="en-IN"/>
          <w14:ligatures w14:val="standardContextual"/>
        </w:rPr>
        <w:t>14).</w:t>
      </w:r>
      <w:r w:rsidRPr="00E4153C">
        <w:t xml:space="preserve"> Five membered nitrogen heterocycles, particularly pyrazoles and their derivatives are regarded as important molecules in organic synthesis; they serve as building blocks for the construction of biologically potent molecules.</w:t>
      </w:r>
    </w:p>
    <w:p w14:paraId="7261FE8E" w14:textId="77777777" w:rsidR="00474351" w:rsidRPr="00E4153C" w:rsidRDefault="00474351" w:rsidP="00474351">
      <w:pPr>
        <w:pStyle w:val="BodyText"/>
        <w:spacing w:after="0" w:line="240" w:lineRule="auto"/>
        <w:ind w:firstLine="0"/>
      </w:pPr>
      <w:r w:rsidRPr="00E4153C">
        <w:t>A series of structurally related 1H-pyrazolyl derivatives synthesized compounds were tested for their anti-inflammatory and antimicrobial activities. The enormous pharmacological applications associated with pyrazoles prompted us to work in this area. In continuation of our work on pyrazoles and in search of new potential antifungal and antibacterial agents, we herein report the synthesis of a series of new novel pyrazoles and in vitro evaluation of their antibacterial and antifungal activities against different organisms.</w:t>
      </w:r>
    </w:p>
    <w:p w14:paraId="346F85FF" w14:textId="77777777" w:rsidR="00474351" w:rsidRDefault="00474351" w:rsidP="00474351">
      <w:pPr>
        <w:pStyle w:val="BodyText"/>
        <w:spacing w:after="0" w:line="240" w:lineRule="auto"/>
        <w:ind w:firstLine="0"/>
      </w:pPr>
    </w:p>
    <w:p w14:paraId="35745D95" w14:textId="77777777" w:rsidR="00474351" w:rsidRPr="00486547" w:rsidRDefault="00474351" w:rsidP="00474351">
      <w:pPr>
        <w:pStyle w:val="BodyText"/>
        <w:spacing w:after="0" w:line="240" w:lineRule="auto"/>
        <w:ind w:firstLine="0"/>
        <w:jc w:val="center"/>
        <w:rPr>
          <w:rFonts w:eastAsiaTheme="minorHAnsi"/>
          <w:b/>
          <w:bCs/>
          <w:lang w:val="en-IN"/>
          <w14:ligatures w14:val="standardContextual"/>
        </w:rPr>
      </w:pPr>
      <w:r>
        <w:rPr>
          <w:rFonts w:eastAsiaTheme="minorHAnsi"/>
          <w:b/>
          <w:bCs/>
          <w:lang w:val="en-IN"/>
          <w14:ligatures w14:val="standardContextual"/>
        </w:rPr>
        <w:t>Reactions of Derivatives of Pyrazole</w:t>
      </w:r>
    </w:p>
    <w:p w14:paraId="4C36DDB7" w14:textId="77777777" w:rsidR="00474351" w:rsidRDefault="00474351" w:rsidP="00474351">
      <w:pPr>
        <w:pStyle w:val="BodyText"/>
        <w:spacing w:after="0" w:line="240" w:lineRule="auto"/>
        <w:ind w:firstLine="0"/>
        <w:rPr>
          <w:rFonts w:eastAsiaTheme="minorHAnsi"/>
          <w:lang w:val="en-IN"/>
          <w14:ligatures w14:val="standardContextual"/>
        </w:rPr>
      </w:pPr>
    </w:p>
    <w:p w14:paraId="6FE4A559" w14:textId="77777777" w:rsidR="00474351" w:rsidRDefault="00474351" w:rsidP="00474351">
      <w:pPr>
        <w:pStyle w:val="BodyText"/>
        <w:spacing w:after="0" w:line="240" w:lineRule="auto"/>
        <w:ind w:firstLine="0"/>
        <w:rPr>
          <w:rFonts w:eastAsiaTheme="minorHAnsi"/>
          <w:lang w:val="en-IN"/>
          <w14:ligatures w14:val="standardContextual"/>
        </w:rPr>
      </w:pPr>
      <w:r>
        <w:rPr>
          <w:rFonts w:eastAsiaTheme="minorHAnsi"/>
          <w:lang w:val="en-IN"/>
          <w14:ligatures w14:val="standardContextual"/>
        </w:rPr>
        <w:t xml:space="preserve">Pyrazoles and their new derivatives have been prepared by 2'-cinnamoyl- </w:t>
      </w:r>
      <w:proofErr w:type="spellStart"/>
      <w:r>
        <w:rPr>
          <w:rFonts w:eastAsiaTheme="minorHAnsi"/>
          <w:lang w:val="en-IN"/>
          <w14:ligatures w14:val="standardContextual"/>
        </w:rPr>
        <w:t>oxyacetophenones</w:t>
      </w:r>
      <w:proofErr w:type="spellEnd"/>
      <w:r>
        <w:rPr>
          <w:rFonts w:eastAsiaTheme="minorHAnsi"/>
          <w:lang w:val="en-IN"/>
          <w14:ligatures w14:val="standardContextual"/>
        </w:rPr>
        <w:t xml:space="preserve"> from obtainable 2-hydroxyacetophenone. Antibacterial activities and antifungal were also performed as in-vitro antimicrobial screening against fungal strains and bacterial strain respectively.</w:t>
      </w:r>
    </w:p>
    <w:p w14:paraId="31A82871" w14:textId="77777777" w:rsidR="00474351" w:rsidRDefault="00474351" w:rsidP="00474351">
      <w:pPr>
        <w:pStyle w:val="BodyText"/>
        <w:spacing w:after="0" w:line="240" w:lineRule="auto"/>
        <w:ind w:firstLine="0"/>
        <w:rPr>
          <w:rFonts w:eastAsiaTheme="minorHAnsi"/>
          <w:lang w:val="en-IN"/>
          <w14:ligatures w14:val="standardContextual"/>
        </w:rPr>
      </w:pPr>
    </w:p>
    <w:p w14:paraId="1B243A1D" w14:textId="77777777" w:rsidR="00474351" w:rsidRDefault="00474351" w:rsidP="00474351">
      <w:pPr>
        <w:pStyle w:val="BodyText"/>
        <w:spacing w:after="0" w:line="240" w:lineRule="auto"/>
        <w:ind w:firstLine="0"/>
        <w:rPr>
          <w:rFonts w:eastAsiaTheme="minorHAnsi"/>
          <w:lang w:val="en-IN"/>
          <w14:ligatures w14:val="standardContextual"/>
        </w:rPr>
      </w:pPr>
      <w:r w:rsidRPr="005A42BA">
        <w:rPr>
          <w:rFonts w:eastAsiaTheme="minorHAnsi"/>
          <w:noProof/>
          <w:lang w:val="en-IN"/>
          <w14:ligatures w14:val="standardContextual"/>
        </w:rPr>
        <w:lastRenderedPageBreak/>
        <w:drawing>
          <wp:inline distT="0" distB="0" distL="0" distR="0" wp14:anchorId="5C79E0A4" wp14:editId="4AABCC98">
            <wp:extent cx="5591514" cy="1043940"/>
            <wp:effectExtent l="0" t="0" r="9525" b="3810"/>
            <wp:docPr id="1596020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9900" cy="1045506"/>
                    </a:xfrm>
                    <a:prstGeom prst="rect">
                      <a:avLst/>
                    </a:prstGeom>
                    <a:noFill/>
                    <a:ln>
                      <a:noFill/>
                    </a:ln>
                  </pic:spPr>
                </pic:pic>
              </a:graphicData>
            </a:graphic>
          </wp:inline>
        </w:drawing>
      </w:r>
    </w:p>
    <w:p w14:paraId="57D633D0" w14:textId="77777777" w:rsidR="00474351" w:rsidRDefault="00474351" w:rsidP="00474351">
      <w:pPr>
        <w:pStyle w:val="BodyText"/>
        <w:spacing w:after="0" w:line="240" w:lineRule="auto"/>
        <w:ind w:firstLine="0"/>
        <w:rPr>
          <w:rFonts w:eastAsiaTheme="minorHAnsi"/>
          <w:lang w:val="en-IN"/>
          <w14:ligatures w14:val="standardContextual"/>
        </w:rPr>
      </w:pPr>
    </w:p>
    <w:p w14:paraId="4F8EA521" w14:textId="77777777" w:rsidR="00474351" w:rsidRDefault="00474351" w:rsidP="00474351">
      <w:pPr>
        <w:pStyle w:val="BodyText"/>
        <w:spacing w:after="0" w:line="240" w:lineRule="auto"/>
        <w:ind w:firstLine="0"/>
        <w:rPr>
          <w:rFonts w:eastAsiaTheme="minorHAnsi"/>
          <w:lang w:val="en-IN"/>
          <w14:ligatures w14:val="standardContextual"/>
        </w:rPr>
      </w:pPr>
      <w:proofErr w:type="spellStart"/>
      <w:r>
        <w:rPr>
          <w:rFonts w:eastAsiaTheme="minorHAnsi"/>
          <w:lang w:val="en-IN"/>
          <w14:ligatures w14:val="standardContextual"/>
        </w:rPr>
        <w:t>Bavatenko</w:t>
      </w:r>
      <w:proofErr w:type="spellEnd"/>
      <w:r>
        <w:rPr>
          <w:rFonts w:eastAsiaTheme="minorHAnsi"/>
          <w:lang w:val="en-IN"/>
          <w14:ligatures w14:val="standardContextual"/>
        </w:rPr>
        <w:t xml:space="preserve"> et al. described replaced pyrazoles (</w:t>
      </w:r>
      <w:r>
        <w:rPr>
          <w:rFonts w:eastAsiaTheme="minorHAnsi"/>
          <w:b/>
          <w:bCs/>
          <w:lang w:val="en-IN"/>
          <w14:ligatures w14:val="standardContextual"/>
        </w:rPr>
        <w:t>9a-d</w:t>
      </w:r>
      <w:r>
        <w:rPr>
          <w:rFonts w:eastAsiaTheme="minorHAnsi"/>
          <w:lang w:val="en-IN"/>
          <w14:ligatures w14:val="standardContextual"/>
        </w:rPr>
        <w:t>) by cyclizing aryl hydrazones (</w:t>
      </w:r>
      <w:r>
        <w:rPr>
          <w:rFonts w:eastAsiaTheme="minorHAnsi"/>
          <w:b/>
          <w:bCs/>
          <w:lang w:val="en-IN"/>
          <w14:ligatures w14:val="standardContextual"/>
        </w:rPr>
        <w:t>8a-d</w:t>
      </w:r>
      <w:r>
        <w:rPr>
          <w:rFonts w:eastAsiaTheme="minorHAnsi"/>
          <w:lang w:val="en-IN"/>
          <w14:ligatures w14:val="standardContextual"/>
        </w:rPr>
        <w:t xml:space="preserve">) in </w:t>
      </w:r>
      <w:proofErr w:type="spellStart"/>
      <w:r>
        <w:rPr>
          <w:rFonts w:eastAsiaTheme="minorHAnsi"/>
          <w:lang w:val="en-IN"/>
          <w14:ligatures w14:val="standardContextual"/>
        </w:rPr>
        <w:t>Vilsmeier</w:t>
      </w:r>
      <w:proofErr w:type="spellEnd"/>
      <w:r>
        <w:rPr>
          <w:rFonts w:eastAsiaTheme="minorHAnsi"/>
          <w:lang w:val="en-IN"/>
          <w14:ligatures w14:val="standardContextual"/>
        </w:rPr>
        <w:t xml:space="preserve"> conditions.</w:t>
      </w:r>
    </w:p>
    <w:p w14:paraId="2E61B26A" w14:textId="77777777" w:rsidR="00474351" w:rsidRDefault="00474351" w:rsidP="00474351">
      <w:pPr>
        <w:pStyle w:val="BodyText"/>
        <w:spacing w:after="0" w:line="240" w:lineRule="auto"/>
        <w:ind w:firstLine="0"/>
      </w:pPr>
      <w:r w:rsidRPr="005A42BA">
        <w:rPr>
          <w:noProof/>
        </w:rPr>
        <w:drawing>
          <wp:inline distT="0" distB="0" distL="0" distR="0" wp14:anchorId="3BD4B4F7" wp14:editId="6A2F4816">
            <wp:extent cx="5692140" cy="2926080"/>
            <wp:effectExtent l="0" t="0" r="3810" b="7620"/>
            <wp:docPr id="11410580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2140" cy="2926080"/>
                    </a:xfrm>
                    <a:prstGeom prst="rect">
                      <a:avLst/>
                    </a:prstGeom>
                    <a:noFill/>
                    <a:ln>
                      <a:noFill/>
                    </a:ln>
                  </pic:spPr>
                </pic:pic>
              </a:graphicData>
            </a:graphic>
          </wp:inline>
        </w:drawing>
      </w:r>
    </w:p>
    <w:p w14:paraId="750654A9" w14:textId="77777777" w:rsidR="00474351" w:rsidRDefault="00474351" w:rsidP="00474351">
      <w:pPr>
        <w:pStyle w:val="BodyText"/>
        <w:spacing w:after="0" w:line="240" w:lineRule="auto"/>
        <w:ind w:firstLine="0"/>
      </w:pPr>
    </w:p>
    <w:p w14:paraId="0EEAD487" w14:textId="77777777" w:rsidR="00474351" w:rsidRDefault="00474351" w:rsidP="00474351">
      <w:pPr>
        <w:pStyle w:val="BodyText"/>
        <w:spacing w:after="0" w:line="240" w:lineRule="auto"/>
        <w:ind w:firstLine="0"/>
        <w:rPr>
          <w:rFonts w:eastAsiaTheme="minorHAnsi"/>
          <w:lang w:val="en-IN"/>
          <w14:ligatures w14:val="standardContextual"/>
        </w:rPr>
      </w:pPr>
      <w:r>
        <w:rPr>
          <w:rFonts w:eastAsiaTheme="minorHAnsi"/>
          <w:lang w:val="en-IN"/>
          <w14:ligatures w14:val="standardContextual"/>
        </w:rPr>
        <w:t>Borrell et al.</w:t>
      </w:r>
      <w:r>
        <w:rPr>
          <w:rFonts w:eastAsiaTheme="minorHAnsi"/>
          <w:sz w:val="13"/>
          <w:szCs w:val="13"/>
          <w:lang w:val="en-IN"/>
          <w14:ligatures w14:val="standardContextual"/>
        </w:rPr>
        <w:t xml:space="preserve"> </w:t>
      </w:r>
      <w:r>
        <w:rPr>
          <w:rFonts w:eastAsiaTheme="minorHAnsi"/>
          <w:lang w:val="en-IN"/>
          <w14:ligatures w14:val="standardContextual"/>
        </w:rPr>
        <w:t xml:space="preserve">synthesized pyrazole library via using Merrifield resin as a solid-phase support to a </w:t>
      </w:r>
      <w:proofErr w:type="spellStart"/>
      <w:r>
        <w:rPr>
          <w:rFonts w:eastAsiaTheme="minorHAnsi"/>
          <w:lang w:val="en-IN"/>
          <w14:ligatures w14:val="standardContextual"/>
        </w:rPr>
        <w:t>hydroxyacetophenone</w:t>
      </w:r>
      <w:proofErr w:type="spellEnd"/>
      <w:r>
        <w:rPr>
          <w:rFonts w:eastAsiaTheme="minorHAnsi"/>
          <w:lang w:val="en-IN"/>
          <w14:ligatures w14:val="standardContextual"/>
        </w:rPr>
        <w:t xml:space="preserve"> (</w:t>
      </w:r>
      <w:r>
        <w:rPr>
          <w:rFonts w:eastAsiaTheme="minorHAnsi"/>
          <w:b/>
          <w:bCs/>
          <w:lang w:val="en-IN"/>
          <w14:ligatures w14:val="standardContextual"/>
        </w:rPr>
        <w:t>18</w:t>
      </w:r>
      <w:r>
        <w:rPr>
          <w:rFonts w:eastAsiaTheme="minorHAnsi"/>
          <w:lang w:val="en-IN"/>
          <w14:ligatures w14:val="standardContextual"/>
        </w:rPr>
        <w:t xml:space="preserve">), </w:t>
      </w:r>
      <w:proofErr w:type="spellStart"/>
      <w:r>
        <w:rPr>
          <w:rFonts w:eastAsiaTheme="minorHAnsi"/>
          <w:lang w:val="en-IN"/>
          <w14:ligatures w14:val="standardContextual"/>
        </w:rPr>
        <w:t>Vilsmeier-Haackformylation</w:t>
      </w:r>
      <w:proofErr w:type="spellEnd"/>
      <w:r>
        <w:rPr>
          <w:rFonts w:eastAsiaTheme="minorHAnsi"/>
          <w:lang w:val="en-IN"/>
          <w14:ligatures w14:val="standardContextual"/>
        </w:rPr>
        <w:t xml:space="preserve"> on methyl group and cyclization with replaced hydrazine to afford 4-hydroxybenzoyl-1-substituted pyrazoles (</w:t>
      </w:r>
      <w:r>
        <w:rPr>
          <w:rFonts w:eastAsiaTheme="minorHAnsi"/>
          <w:b/>
          <w:bCs/>
          <w:lang w:val="en-IN"/>
          <w14:ligatures w14:val="standardContextual"/>
        </w:rPr>
        <w:t>20a-e</w:t>
      </w:r>
      <w:r>
        <w:rPr>
          <w:rFonts w:eastAsiaTheme="minorHAnsi"/>
          <w:lang w:val="en-IN"/>
          <w14:ligatures w14:val="standardContextual"/>
        </w:rPr>
        <w:t>).</w:t>
      </w:r>
    </w:p>
    <w:p w14:paraId="61E7FFB4" w14:textId="77777777" w:rsidR="00474351" w:rsidRDefault="00474351" w:rsidP="00474351">
      <w:pPr>
        <w:pStyle w:val="BodyText"/>
        <w:spacing w:after="0" w:line="240" w:lineRule="auto"/>
        <w:ind w:firstLine="0"/>
      </w:pPr>
      <w:r w:rsidRPr="005A42BA">
        <w:rPr>
          <w:noProof/>
        </w:rPr>
        <w:drawing>
          <wp:inline distT="0" distB="0" distL="0" distR="0" wp14:anchorId="32ED6476" wp14:editId="5833CEFE">
            <wp:extent cx="5731510" cy="2846705"/>
            <wp:effectExtent l="0" t="0" r="2540" b="0"/>
            <wp:docPr id="1447349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846705"/>
                    </a:xfrm>
                    <a:prstGeom prst="rect">
                      <a:avLst/>
                    </a:prstGeom>
                    <a:noFill/>
                    <a:ln>
                      <a:noFill/>
                    </a:ln>
                  </pic:spPr>
                </pic:pic>
              </a:graphicData>
            </a:graphic>
          </wp:inline>
        </w:drawing>
      </w:r>
    </w:p>
    <w:p w14:paraId="1C49933B" w14:textId="77777777" w:rsidR="00474351" w:rsidRDefault="00474351" w:rsidP="00474351">
      <w:pPr>
        <w:pStyle w:val="BodyText"/>
        <w:spacing w:after="0" w:line="240" w:lineRule="auto"/>
        <w:ind w:firstLine="0"/>
        <w:rPr>
          <w:rFonts w:eastAsiaTheme="minorHAnsi"/>
          <w:lang w:val="en-IN"/>
          <w14:ligatures w14:val="standardContextual"/>
        </w:rPr>
      </w:pPr>
      <w:proofErr w:type="spellStart"/>
      <w:r>
        <w:rPr>
          <w:rFonts w:eastAsiaTheme="minorHAnsi"/>
          <w:lang w:val="en-IN"/>
          <w14:ligatures w14:val="standardContextual"/>
        </w:rPr>
        <w:t>Shamsuzzaman</w:t>
      </w:r>
      <w:proofErr w:type="spellEnd"/>
      <w:r>
        <w:rPr>
          <w:rFonts w:eastAsiaTheme="minorHAnsi"/>
          <w:lang w:val="en-IN"/>
          <w14:ligatures w14:val="standardContextual"/>
        </w:rPr>
        <w:t xml:space="preserve"> et al</w:t>
      </w:r>
      <w:r>
        <w:rPr>
          <w:rFonts w:eastAsiaTheme="minorHAnsi"/>
          <w:sz w:val="13"/>
          <w:szCs w:val="13"/>
          <w:lang w:val="en-IN"/>
          <w14:ligatures w14:val="standardContextual"/>
        </w:rPr>
        <w:t xml:space="preserve">.  </w:t>
      </w:r>
      <w:r>
        <w:rPr>
          <w:rFonts w:eastAsiaTheme="minorHAnsi"/>
          <w:lang w:val="en-IN"/>
          <w14:ligatures w14:val="standardContextual"/>
        </w:rPr>
        <w:t>described that the treatment of 5</w:t>
      </w:r>
      <w:r>
        <w:rPr>
          <w:rFonts w:ascii="TimesNewRomanPS-ItalicMT" w:eastAsiaTheme="minorHAnsi" w:hAnsi="TimesNewRomanPS-ItalicMT" w:cs="TimesNewRomanPS-ItalicMT"/>
          <w:i/>
          <w:iCs/>
          <w:lang w:val="en-IN"/>
          <w14:ligatures w14:val="standardContextual"/>
        </w:rPr>
        <w:t>α</w:t>
      </w:r>
      <w:r>
        <w:rPr>
          <w:rFonts w:eastAsiaTheme="minorHAnsi"/>
          <w:lang w:val="en-IN"/>
          <w14:ligatures w14:val="standardContextual"/>
        </w:rPr>
        <w:t xml:space="preserve">-cholestan-6-one </w:t>
      </w:r>
      <w:proofErr w:type="spellStart"/>
      <w:r>
        <w:rPr>
          <w:rFonts w:eastAsiaTheme="minorHAnsi"/>
          <w:lang w:val="en-IN"/>
          <w14:ligatures w14:val="standardContextual"/>
        </w:rPr>
        <w:t>tosylhydrazones</w:t>
      </w:r>
      <w:proofErr w:type="spellEnd"/>
      <w:r>
        <w:rPr>
          <w:rFonts w:eastAsiaTheme="minorHAnsi"/>
          <w:lang w:val="en-IN"/>
          <w14:ligatures w14:val="standardContextual"/>
        </w:rPr>
        <w:t xml:space="preserve"> (</w:t>
      </w:r>
      <w:r>
        <w:rPr>
          <w:rFonts w:eastAsiaTheme="minorHAnsi"/>
          <w:b/>
          <w:bCs/>
          <w:lang w:val="en-IN"/>
          <w14:ligatures w14:val="standardContextual"/>
        </w:rPr>
        <w:t>50a-c</w:t>
      </w:r>
      <w:r>
        <w:rPr>
          <w:rFonts w:eastAsiaTheme="minorHAnsi"/>
          <w:lang w:val="en-IN"/>
          <w14:ligatures w14:val="standardContextual"/>
        </w:rPr>
        <w:t xml:space="preserve">) with </w:t>
      </w:r>
      <w:proofErr w:type="spellStart"/>
      <w:r>
        <w:rPr>
          <w:rFonts w:ascii="TimesNewRomanPSMT" w:eastAsia="TimesNewRomanPSMT" w:cs="TimesNewRomanPSMT"/>
          <w:lang w:val="en-IN"/>
          <w14:ligatures w14:val="standardContextual"/>
        </w:rPr>
        <w:t>Vilsmeier</w:t>
      </w:r>
      <w:proofErr w:type="spellEnd"/>
      <w:r>
        <w:rPr>
          <w:rFonts w:ascii="TimesNewRomanPSMT" w:eastAsia="TimesNewRomanPSMT" w:cs="TimesNewRomanPSMT"/>
          <w:lang w:val="en-IN"/>
          <w14:ligatures w14:val="standardContextual"/>
        </w:rPr>
        <w:t xml:space="preserve"> reagent obtain 5</w:t>
      </w:r>
      <w:r>
        <w:rPr>
          <w:rFonts w:ascii="Arial" w:eastAsia="TimesNewRomanPSMT" w:hAnsi="Arial" w:cs="Arial"/>
          <w:lang w:val="en-IN"/>
          <w14:ligatures w14:val="standardContextual"/>
        </w:rPr>
        <w:t>ʹ</w:t>
      </w:r>
      <w:r>
        <w:rPr>
          <w:rFonts w:eastAsiaTheme="minorHAnsi"/>
          <w:lang w:val="en-IN"/>
          <w14:ligatures w14:val="standardContextual"/>
        </w:rPr>
        <w:t>-formyl-5</w:t>
      </w:r>
      <w:r>
        <w:rPr>
          <w:rFonts w:ascii="TimesNewRomanPS-ItalicMT" w:eastAsiaTheme="minorHAnsi" w:hAnsi="TimesNewRomanPS-ItalicMT" w:cs="TimesNewRomanPS-ItalicMT"/>
          <w:i/>
          <w:iCs/>
          <w:lang w:val="en-IN"/>
          <w14:ligatures w14:val="standardContextual"/>
        </w:rPr>
        <w:t>α</w:t>
      </w:r>
      <w:r>
        <w:rPr>
          <w:rFonts w:eastAsiaTheme="minorHAnsi"/>
          <w:lang w:val="en-IN"/>
          <w14:ligatures w14:val="standardContextual"/>
        </w:rPr>
        <w:t>-</w:t>
      </w:r>
      <w:proofErr w:type="spellStart"/>
      <w:r>
        <w:rPr>
          <w:rFonts w:eastAsiaTheme="minorHAnsi"/>
          <w:lang w:val="en-IN"/>
          <w14:ligatures w14:val="standardContextual"/>
        </w:rPr>
        <w:t>cholestan</w:t>
      </w:r>
      <w:proofErr w:type="spellEnd"/>
      <w:r>
        <w:rPr>
          <w:rFonts w:eastAsiaTheme="minorHAnsi"/>
          <w:lang w:val="en-IN"/>
          <w14:ligatures w14:val="standardContextual"/>
        </w:rPr>
        <w:t xml:space="preserve"> [6,7-</w:t>
      </w:r>
      <w:r>
        <w:rPr>
          <w:rFonts w:eastAsiaTheme="minorHAnsi"/>
          <w:i/>
          <w:iCs/>
          <w:lang w:val="en-IN"/>
          <w14:ligatures w14:val="standardContextual"/>
        </w:rPr>
        <w:t>c</w:t>
      </w:r>
      <w:r>
        <w:rPr>
          <w:rFonts w:eastAsiaTheme="minorHAnsi"/>
          <w:lang w:val="en-IN"/>
          <w14:ligatures w14:val="standardContextual"/>
        </w:rPr>
        <w:t>] pyrazole compounds (</w:t>
      </w:r>
      <w:r>
        <w:rPr>
          <w:rFonts w:eastAsiaTheme="minorHAnsi"/>
          <w:b/>
          <w:bCs/>
          <w:lang w:val="en-IN"/>
          <w14:ligatures w14:val="standardContextual"/>
        </w:rPr>
        <w:t>51a-c</w:t>
      </w:r>
      <w:r>
        <w:rPr>
          <w:rFonts w:eastAsiaTheme="minorHAnsi"/>
          <w:lang w:val="en-IN"/>
          <w14:ligatures w14:val="standardContextual"/>
        </w:rPr>
        <w:t>) in 60-65% yields.</w:t>
      </w:r>
    </w:p>
    <w:p w14:paraId="4DA1F50E" w14:textId="77777777" w:rsidR="00474351" w:rsidRDefault="00474351" w:rsidP="00474351">
      <w:pPr>
        <w:pStyle w:val="BodyText"/>
        <w:spacing w:after="0" w:line="240" w:lineRule="auto"/>
        <w:ind w:firstLine="0"/>
      </w:pPr>
      <w:r w:rsidRPr="005A42BA">
        <w:rPr>
          <w:noProof/>
        </w:rPr>
        <w:lastRenderedPageBreak/>
        <w:drawing>
          <wp:inline distT="0" distB="0" distL="0" distR="0" wp14:anchorId="5698D517" wp14:editId="4033C5FF">
            <wp:extent cx="4899660" cy="2651760"/>
            <wp:effectExtent l="0" t="0" r="0" b="0"/>
            <wp:docPr id="1399267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99660" cy="2651760"/>
                    </a:xfrm>
                    <a:prstGeom prst="rect">
                      <a:avLst/>
                    </a:prstGeom>
                    <a:noFill/>
                    <a:ln>
                      <a:noFill/>
                    </a:ln>
                  </pic:spPr>
                </pic:pic>
              </a:graphicData>
            </a:graphic>
          </wp:inline>
        </w:drawing>
      </w:r>
    </w:p>
    <w:p w14:paraId="594303E2" w14:textId="77777777" w:rsidR="00474351" w:rsidRDefault="00474351" w:rsidP="00474351">
      <w:pPr>
        <w:pStyle w:val="BodyText"/>
        <w:spacing w:after="0" w:line="240" w:lineRule="auto"/>
        <w:ind w:firstLine="0"/>
        <w:rPr>
          <w:rFonts w:eastAsiaTheme="minorHAnsi"/>
          <w:lang w:val="en-IN"/>
          <w14:ligatures w14:val="standardContextual"/>
        </w:rPr>
      </w:pPr>
      <w:r>
        <w:rPr>
          <w:rFonts w:eastAsiaTheme="minorHAnsi"/>
          <w:lang w:val="en-IN"/>
          <w14:ligatures w14:val="standardContextual"/>
        </w:rPr>
        <w:t xml:space="preserve">Ayaz M Dar and </w:t>
      </w:r>
      <w:proofErr w:type="spellStart"/>
      <w:proofErr w:type="gramStart"/>
      <w:r>
        <w:rPr>
          <w:rFonts w:eastAsiaTheme="minorHAnsi"/>
          <w:lang w:val="en-IN"/>
          <w14:ligatures w14:val="standardContextual"/>
        </w:rPr>
        <w:t>Shamsuzzaman</w:t>
      </w:r>
      <w:proofErr w:type="spellEnd"/>
      <w:r>
        <w:rPr>
          <w:rFonts w:eastAsiaTheme="minorHAnsi"/>
          <w:sz w:val="13"/>
          <w:szCs w:val="13"/>
          <w:lang w:val="en-IN"/>
          <w14:ligatures w14:val="standardContextual"/>
        </w:rPr>
        <w:t>(</w:t>
      </w:r>
      <w:proofErr w:type="gramEnd"/>
      <w:r>
        <w:rPr>
          <w:rFonts w:eastAsiaTheme="minorHAnsi"/>
          <w:sz w:val="13"/>
          <w:szCs w:val="13"/>
          <w:lang w:val="en-IN"/>
          <w14:ligatures w14:val="standardContextual"/>
        </w:rPr>
        <w:t xml:space="preserve">20) </w:t>
      </w:r>
      <w:r>
        <w:rPr>
          <w:rFonts w:eastAsiaTheme="minorHAnsi"/>
          <w:lang w:val="en-IN"/>
          <w14:ligatures w14:val="standardContextual"/>
        </w:rPr>
        <w:t xml:space="preserve">reported the quick and suitable synthesis of novel </w:t>
      </w:r>
      <w:r>
        <w:rPr>
          <w:rFonts w:ascii="TimesNewRomanPSMT" w:eastAsia="TimesNewRomanPSMT" w:cs="TimesNewRomanPSMT"/>
          <w:lang w:val="en-IN"/>
          <w14:ligatures w14:val="standardContextual"/>
        </w:rPr>
        <w:t>5</w:t>
      </w:r>
      <w:r>
        <w:rPr>
          <w:rFonts w:ascii="TimesNewRomanPSMT" w:eastAsia="TimesNewRomanPSMT" w:cs="TimesNewRomanPSMT" w:hint="eastAsia"/>
          <w:lang w:val="en-IN"/>
          <w14:ligatures w14:val="standardContextual"/>
        </w:rPr>
        <w:t>α</w:t>
      </w:r>
      <w:r>
        <w:rPr>
          <w:rFonts w:eastAsiaTheme="minorHAnsi"/>
          <w:lang w:val="en-IN"/>
          <w14:ligatures w14:val="standardContextual"/>
        </w:rPr>
        <w:t>-</w:t>
      </w:r>
      <w:proofErr w:type="spellStart"/>
      <w:r>
        <w:rPr>
          <w:rFonts w:eastAsiaTheme="minorHAnsi"/>
          <w:lang w:val="en-IN"/>
          <w14:ligatures w14:val="standardContextual"/>
        </w:rPr>
        <w:t>cholestano</w:t>
      </w:r>
      <w:proofErr w:type="spellEnd"/>
      <w:r>
        <w:rPr>
          <w:rFonts w:eastAsiaTheme="minorHAnsi"/>
          <w:lang w:val="en-IN"/>
          <w14:ligatures w14:val="standardContextual"/>
        </w:rPr>
        <w:t xml:space="preserve"> [6,7-c]-5’-methyl-1’-carbothioic acid amide pyrazoles (</w:t>
      </w:r>
      <w:r>
        <w:rPr>
          <w:rFonts w:eastAsiaTheme="minorHAnsi"/>
          <w:b/>
          <w:bCs/>
          <w:lang w:val="en-IN"/>
          <w14:ligatures w14:val="standardContextual"/>
        </w:rPr>
        <w:t>65d-f</w:t>
      </w:r>
      <w:r>
        <w:rPr>
          <w:rFonts w:ascii="TimesNewRomanPSMT" w:eastAsia="TimesNewRomanPSMT" w:cs="TimesNewRomanPSMT"/>
          <w:lang w:val="en-IN"/>
          <w14:ligatures w14:val="standardContextual"/>
        </w:rPr>
        <w:t>) based on the reaction of 5</w:t>
      </w:r>
      <w:r>
        <w:rPr>
          <w:rFonts w:ascii="TimesNewRomanPSMT" w:eastAsia="TimesNewRomanPSMT" w:cs="TimesNewRomanPSMT" w:hint="eastAsia"/>
          <w:lang w:val="en-IN"/>
          <w14:ligatures w14:val="standardContextual"/>
        </w:rPr>
        <w:t>α</w:t>
      </w:r>
      <w:r>
        <w:rPr>
          <w:rFonts w:eastAsiaTheme="minorHAnsi"/>
          <w:lang w:val="en-IN"/>
          <w14:ligatures w14:val="standardContextual"/>
        </w:rPr>
        <w:t>-cholestan-6-one thiosemicarbazones (</w:t>
      </w:r>
      <w:r>
        <w:rPr>
          <w:rFonts w:eastAsiaTheme="minorHAnsi"/>
          <w:b/>
          <w:bCs/>
          <w:lang w:val="en-IN"/>
          <w14:ligatures w14:val="standardContextual"/>
        </w:rPr>
        <w:t>64a-c</w:t>
      </w:r>
      <w:r>
        <w:rPr>
          <w:rFonts w:eastAsiaTheme="minorHAnsi"/>
          <w:lang w:val="en-IN"/>
          <w14:ligatures w14:val="standardContextual"/>
        </w:rPr>
        <w:t xml:space="preserve">) with improved </w:t>
      </w:r>
      <w:proofErr w:type="spellStart"/>
      <w:r>
        <w:rPr>
          <w:rFonts w:eastAsiaTheme="minorHAnsi"/>
          <w:lang w:val="en-IN"/>
          <w14:ligatures w14:val="standardContextual"/>
        </w:rPr>
        <w:t>Vilsmeier</w:t>
      </w:r>
      <w:proofErr w:type="spellEnd"/>
      <w:r>
        <w:rPr>
          <w:rFonts w:eastAsiaTheme="minorHAnsi"/>
          <w:lang w:val="en-IN"/>
          <w14:ligatures w14:val="standardContextual"/>
        </w:rPr>
        <w:t>-Haack reagent (H3C-CO-NH2/POCl3).</w:t>
      </w:r>
    </w:p>
    <w:p w14:paraId="7AF8E138" w14:textId="77777777" w:rsidR="00474351" w:rsidRDefault="00474351" w:rsidP="00474351">
      <w:pPr>
        <w:pStyle w:val="BodyText"/>
        <w:spacing w:after="0" w:line="240" w:lineRule="auto"/>
        <w:ind w:firstLine="0"/>
      </w:pPr>
      <w:r w:rsidRPr="005A42BA">
        <w:rPr>
          <w:noProof/>
        </w:rPr>
        <w:drawing>
          <wp:inline distT="0" distB="0" distL="0" distR="0" wp14:anchorId="1D3F9E08" wp14:editId="2C9E5CF1">
            <wp:extent cx="4960620" cy="2819400"/>
            <wp:effectExtent l="0" t="0" r="0" b="0"/>
            <wp:docPr id="17676816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60620" cy="2819400"/>
                    </a:xfrm>
                    <a:prstGeom prst="rect">
                      <a:avLst/>
                    </a:prstGeom>
                    <a:noFill/>
                    <a:ln>
                      <a:noFill/>
                    </a:ln>
                  </pic:spPr>
                </pic:pic>
              </a:graphicData>
            </a:graphic>
          </wp:inline>
        </w:drawing>
      </w:r>
    </w:p>
    <w:p w14:paraId="38E525AB" w14:textId="77777777" w:rsidR="00474351" w:rsidRDefault="00474351" w:rsidP="00474351">
      <w:pPr>
        <w:pStyle w:val="BodyText"/>
        <w:spacing w:after="0" w:line="240" w:lineRule="auto"/>
        <w:ind w:firstLine="0"/>
        <w:jc w:val="center"/>
        <w:rPr>
          <w:b/>
          <w:bCs/>
        </w:rPr>
      </w:pPr>
      <w:r w:rsidRPr="00EE7816">
        <w:rPr>
          <w:b/>
          <w:bCs/>
        </w:rPr>
        <w:t xml:space="preserve">Synthesis of Sodium </w:t>
      </w:r>
      <w:proofErr w:type="spellStart"/>
      <w:r w:rsidRPr="00EE7816">
        <w:rPr>
          <w:b/>
          <w:bCs/>
        </w:rPr>
        <w:t>Citerate</w:t>
      </w:r>
      <w:proofErr w:type="spellEnd"/>
    </w:p>
    <w:p w14:paraId="205B8986" w14:textId="77777777" w:rsidR="006A3BAD" w:rsidRDefault="006A3BAD" w:rsidP="00474351">
      <w:pPr>
        <w:pStyle w:val="BodyText"/>
        <w:spacing w:after="0" w:line="240" w:lineRule="auto"/>
        <w:ind w:firstLine="0"/>
        <w:jc w:val="center"/>
        <w:rPr>
          <w:b/>
          <w:bCs/>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9"/>
      </w:tblGrid>
      <w:tr w:rsidR="00474351" w:rsidRPr="00EE7816" w14:paraId="4E8AEBB2" w14:textId="77777777" w:rsidTr="00723EF6">
        <w:trPr>
          <w:tblCellSpacing w:w="1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39"/>
            </w:tblGrid>
            <w:tr w:rsidR="00474351" w:rsidRPr="00EE7816" w14:paraId="201ABF87" w14:textId="77777777" w:rsidTr="00723EF6">
              <w:trPr>
                <w:tblCellSpacing w:w="15" w:type="dxa"/>
              </w:trPr>
              <w:tc>
                <w:tcPr>
                  <w:tcW w:w="0" w:type="auto"/>
                  <w:vAlign w:val="center"/>
                  <w:hideMark/>
                </w:tcPr>
                <w:p w14:paraId="49E2E291" w14:textId="77777777" w:rsidR="00474351" w:rsidRPr="00EE7816" w:rsidRDefault="00474351" w:rsidP="00723EF6">
                  <w:pPr>
                    <w:jc w:val="left"/>
                    <w:rPr>
                      <w:lang w:val="en-IN" w:eastAsia="en-IN"/>
                    </w:rPr>
                  </w:pPr>
                  <w:bookmarkStart w:id="0" w:name="topsynthesis"/>
                  <w:r w:rsidRPr="00EE7816">
                    <w:rPr>
                      <w:lang w:val="en-IN" w:eastAsia="en-IN"/>
                    </w:rPr>
                    <w:t>The synthesis of sildenafil citrate was first reported in the </w:t>
                  </w:r>
                  <w:r w:rsidRPr="00EE7816">
                    <w:rPr>
                      <w:i/>
                      <w:iCs/>
                      <w:lang w:val="en-IN" w:eastAsia="en-IN"/>
                    </w:rPr>
                    <w:t>Bioorganic &amp; Medicinal Chemistry Letters</w:t>
                  </w:r>
                  <w:r w:rsidRPr="00EE7816">
                    <w:rPr>
                      <w:lang w:val="en-IN" w:eastAsia="en-IN"/>
                    </w:rPr>
                    <w:t>, Vol 6, pp. 1819, 1824, 1996. The reaction scheme is reproduced below. Sildenafil was reported in this journal as "a potent and selective inhibitor of type 5 PDE with utility for the treatment of male erectile dysfunction".</w:t>
                  </w:r>
                </w:p>
              </w:tc>
            </w:tr>
          </w:tbl>
          <w:p w14:paraId="3D325245" w14:textId="77777777" w:rsidR="00474351" w:rsidRPr="00EE7816" w:rsidRDefault="00474351" w:rsidP="00723EF6">
            <w:pPr>
              <w:jc w:val="left"/>
              <w:rPr>
                <w:sz w:val="24"/>
                <w:szCs w:val="24"/>
                <w:lang w:val="en-IN" w:eastAsia="en-IN"/>
              </w:rPr>
            </w:pPr>
          </w:p>
        </w:tc>
      </w:tr>
    </w:tbl>
    <w:bookmarkEnd w:id="0"/>
    <w:p w14:paraId="4280E235" w14:textId="77777777" w:rsidR="00474351" w:rsidRDefault="00474351" w:rsidP="00474351">
      <w:pPr>
        <w:pStyle w:val="BodyText"/>
        <w:spacing w:after="0" w:line="240" w:lineRule="auto"/>
        <w:ind w:firstLine="0"/>
        <w:jc w:val="right"/>
        <w:rPr>
          <w:noProof/>
          <w14:ligatures w14:val="standardContextual"/>
        </w:rPr>
      </w:pPr>
      <w:r>
        <w:rPr>
          <w:noProof/>
          <w14:ligatures w14:val="standardContextual"/>
        </w:rPr>
        <w:lastRenderedPageBreak/>
        <w:drawing>
          <wp:inline distT="0" distB="0" distL="0" distR="0" wp14:anchorId="526060B1" wp14:editId="566A49A8">
            <wp:extent cx="5554980" cy="4772660"/>
            <wp:effectExtent l="0" t="0" r="7620" b="8890"/>
            <wp:docPr id="1968681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681626" name=""/>
                    <pic:cNvPicPr/>
                  </pic:nvPicPr>
                  <pic:blipFill>
                    <a:blip r:embed="rId10"/>
                    <a:stretch>
                      <a:fillRect/>
                    </a:stretch>
                  </pic:blipFill>
                  <pic:spPr>
                    <a:xfrm>
                      <a:off x="0" y="0"/>
                      <a:ext cx="5562491" cy="4779113"/>
                    </a:xfrm>
                    <a:prstGeom prst="rect">
                      <a:avLst/>
                    </a:prstGeom>
                  </pic:spPr>
                </pic:pic>
              </a:graphicData>
            </a:graphic>
          </wp:inline>
        </w:drawing>
      </w:r>
      <w:r>
        <w:rPr>
          <w:noProof/>
          <w14:ligatures w14:val="standardContextual"/>
        </w:rPr>
        <w:drawing>
          <wp:inline distT="0" distB="0" distL="0" distR="0" wp14:anchorId="46988653" wp14:editId="64660540">
            <wp:extent cx="3025140" cy="2695575"/>
            <wp:effectExtent l="0" t="0" r="3810" b="9525"/>
            <wp:docPr id="1384998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998224" name=""/>
                    <pic:cNvPicPr/>
                  </pic:nvPicPr>
                  <pic:blipFill>
                    <a:blip r:embed="rId11"/>
                    <a:stretch>
                      <a:fillRect/>
                    </a:stretch>
                  </pic:blipFill>
                  <pic:spPr>
                    <a:xfrm>
                      <a:off x="0" y="0"/>
                      <a:ext cx="3025140" cy="2695575"/>
                    </a:xfrm>
                    <a:prstGeom prst="rect">
                      <a:avLst/>
                    </a:prstGeom>
                  </pic:spPr>
                </pic:pic>
              </a:graphicData>
            </a:graphic>
          </wp:inline>
        </w:drawing>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9"/>
      </w:tblGrid>
      <w:tr w:rsidR="00474351" w:rsidRPr="00EE7816" w14:paraId="2EB91E07" w14:textId="77777777" w:rsidTr="00723EF6">
        <w:trPr>
          <w:tblCellSpacing w:w="1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39"/>
            </w:tblGrid>
            <w:tr w:rsidR="00474351" w:rsidRPr="00EE7816" w14:paraId="029DC8F9" w14:textId="77777777" w:rsidTr="00723EF6">
              <w:trPr>
                <w:tblCellSpacing w:w="15" w:type="dxa"/>
              </w:trPr>
              <w:tc>
                <w:tcPr>
                  <w:tcW w:w="0" w:type="auto"/>
                  <w:hideMark/>
                </w:tcPr>
                <w:p w14:paraId="6572DD39" w14:textId="77777777" w:rsidR="00474351" w:rsidRPr="00EE7816" w:rsidRDefault="00474351" w:rsidP="00723EF6">
                  <w:pPr>
                    <w:jc w:val="left"/>
                    <w:rPr>
                      <w:lang w:val="en-IN" w:eastAsia="en-IN"/>
                    </w:rPr>
                  </w:pPr>
                  <w:r w:rsidRPr="00EE7816">
                    <w:rPr>
                      <w:lang w:val="en-IN" w:eastAsia="en-IN"/>
                    </w:rPr>
                    <w:t xml:space="preserve">The first step of the synthesis is the reaction of a </w:t>
                  </w:r>
                  <w:proofErr w:type="spellStart"/>
                  <w:r w:rsidRPr="00EE7816">
                    <w:rPr>
                      <w:lang w:val="en-IN" w:eastAsia="en-IN"/>
                    </w:rPr>
                    <w:t>diketoester</w:t>
                  </w:r>
                  <w:proofErr w:type="spellEnd"/>
                  <w:r w:rsidRPr="00EE7816">
                    <w:rPr>
                      <w:lang w:val="en-IN" w:eastAsia="en-IN"/>
                    </w:rPr>
                    <w:t xml:space="preserve"> (1) and hydrazine to give the pyrazole ring. The regioselective N-methylation of the pyrazole and hydrolysis gives a carboxylic acid (3). Compound (3) is then reacted with HNO</w:t>
                  </w:r>
                  <w:r w:rsidRPr="00EE7816">
                    <w:rPr>
                      <w:vertAlign w:val="subscript"/>
                      <w:lang w:val="en-IN" w:eastAsia="en-IN"/>
                    </w:rPr>
                    <w:t>3</w:t>
                  </w:r>
                  <w:r w:rsidRPr="00EE7816">
                    <w:rPr>
                      <w:lang w:val="en-IN" w:eastAsia="en-IN"/>
                    </w:rPr>
                    <w:t> and H</w:t>
                  </w:r>
                  <w:r w:rsidRPr="00EE7816">
                    <w:rPr>
                      <w:vertAlign w:val="subscript"/>
                      <w:lang w:val="en-IN" w:eastAsia="en-IN"/>
                    </w:rPr>
                    <w:t>2</w:t>
                  </w:r>
                  <w:r w:rsidRPr="00EE7816">
                    <w:rPr>
                      <w:lang w:val="en-IN" w:eastAsia="en-IN"/>
                    </w:rPr>
                    <w:t>SO</w:t>
                  </w:r>
                  <w:r w:rsidRPr="00EE7816">
                    <w:rPr>
                      <w:vertAlign w:val="subscript"/>
                      <w:lang w:val="en-IN" w:eastAsia="en-IN"/>
                    </w:rPr>
                    <w:t>4</w:t>
                  </w:r>
                  <w:r w:rsidRPr="00EE7816">
                    <w:rPr>
                      <w:lang w:val="en-IN" w:eastAsia="en-IN"/>
                    </w:rPr>
                    <w:t> to give a nitrated product.</w:t>
                  </w:r>
                  <w:r w:rsidRPr="00EE7816">
                    <w:rPr>
                      <w:lang w:val="en-IN" w:eastAsia="en-IN"/>
                    </w:rPr>
                    <w:br/>
                    <w:t xml:space="preserve">This is then followed by a carboxamide formation and the reduction of the nitro group. The compound (4) is then acylated under basic conditions and this produces the </w:t>
                  </w:r>
                  <w:proofErr w:type="spellStart"/>
                  <w:r w:rsidRPr="00EE7816">
                    <w:rPr>
                      <w:lang w:val="en-IN" w:eastAsia="en-IN"/>
                    </w:rPr>
                    <w:t>pyrazolopyrimidinone</w:t>
                  </w:r>
                  <w:proofErr w:type="spellEnd"/>
                  <w:r w:rsidRPr="00EE7816">
                    <w:rPr>
                      <w:lang w:val="en-IN" w:eastAsia="en-IN"/>
                    </w:rPr>
                    <w:t xml:space="preserve"> (6). (6) is then </w:t>
                  </w:r>
                  <w:proofErr w:type="spellStart"/>
                  <w:r w:rsidRPr="00EE7816">
                    <w:rPr>
                      <w:lang w:val="en-IN" w:eastAsia="en-IN"/>
                    </w:rPr>
                    <w:t>chlorosulphonylated</w:t>
                  </w:r>
                  <w:proofErr w:type="spellEnd"/>
                  <w:r w:rsidRPr="00EE7816">
                    <w:rPr>
                      <w:lang w:val="en-IN" w:eastAsia="en-IN"/>
                    </w:rPr>
                    <w:t xml:space="preserve"> selectively on the 5'-position of the phenyl ring. This can then couple with an amine to give sildenafil (7).</w:t>
                  </w:r>
                  <w:r w:rsidRPr="00EE7816">
                    <w:rPr>
                      <w:lang w:val="en-IN" w:eastAsia="en-IN"/>
                    </w:rPr>
                    <w:br/>
                    <w:t>The yield of each step is given on the reaction scheme.</w:t>
                  </w:r>
                </w:p>
              </w:tc>
            </w:tr>
            <w:tr w:rsidR="00474351" w:rsidRPr="00EE7816" w14:paraId="569513CE" w14:textId="77777777" w:rsidTr="00723EF6">
              <w:trPr>
                <w:tblCellSpacing w:w="15" w:type="dxa"/>
              </w:trPr>
              <w:tc>
                <w:tcPr>
                  <w:tcW w:w="0" w:type="auto"/>
                  <w:vAlign w:val="center"/>
                  <w:hideMark/>
                </w:tcPr>
                <w:p w14:paraId="7A33B632" w14:textId="77777777" w:rsidR="00474351" w:rsidRDefault="00474351" w:rsidP="00723EF6">
                  <w:pPr>
                    <w:jc w:val="left"/>
                    <w:rPr>
                      <w:lang w:val="en-IN" w:eastAsia="en-IN"/>
                    </w:rPr>
                  </w:pPr>
                  <w:r w:rsidRPr="00EE7816">
                    <w:rPr>
                      <w:lang w:val="en-IN" w:eastAsia="en-IN"/>
                    </w:rPr>
                    <w:lastRenderedPageBreak/>
                    <w:br/>
                  </w:r>
                  <w:r w:rsidRPr="00EE7816">
                    <w:rPr>
                      <w:lang w:val="en-IN" w:eastAsia="en-IN"/>
                    </w:rPr>
                    <w:br/>
                    <w:t>This is the original synthesis which was reported in the literature when the molecule was first synthesised. A variant of the synthesis was published but the changes it involved only consisted in the change of a few reactants, and no major changes were reported. This synthesis appeared in the January 1999 issue of </w:t>
                  </w:r>
                  <w:r w:rsidRPr="00EE7816">
                    <w:rPr>
                      <w:i/>
                      <w:iCs/>
                      <w:lang w:val="en-IN" w:eastAsia="en-IN"/>
                    </w:rPr>
                    <w:t>Chemistry in Britain</w:t>
                  </w:r>
                  <w:r w:rsidRPr="00EE7816">
                    <w:rPr>
                      <w:lang w:val="en-IN" w:eastAsia="en-IN"/>
                    </w:rPr>
                    <w:t>. This journal only reported the original discovery synthesis and said that the synthesis used commercially had not been published.</w:t>
                  </w:r>
                </w:p>
                <w:p w14:paraId="2CE18FC8" w14:textId="77777777" w:rsidR="00474351" w:rsidRDefault="00474351" w:rsidP="00723EF6">
                  <w:pPr>
                    <w:jc w:val="left"/>
                    <w:rPr>
                      <w:lang w:val="en-IN" w:eastAsia="en-IN"/>
                    </w:rPr>
                  </w:pPr>
                </w:p>
                <w:p w14:paraId="6455C08C" w14:textId="77777777" w:rsidR="00474351" w:rsidRDefault="00474351" w:rsidP="00723EF6">
                  <w:pPr>
                    <w:jc w:val="left"/>
                    <w:rPr>
                      <w:lang w:val="en-IN" w:eastAsia="en-IN"/>
                    </w:rPr>
                  </w:pPr>
                  <w:r>
                    <w:rPr>
                      <w:noProof/>
                      <w14:ligatures w14:val="standardContextual"/>
                    </w:rPr>
                    <w:drawing>
                      <wp:inline distT="0" distB="0" distL="0" distR="0" wp14:anchorId="38E4660E" wp14:editId="2D2BFFF4">
                        <wp:extent cx="4686300" cy="3057525"/>
                        <wp:effectExtent l="0" t="0" r="0" b="9525"/>
                        <wp:docPr id="1570687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687101" name=""/>
                                <pic:cNvPicPr/>
                              </pic:nvPicPr>
                              <pic:blipFill>
                                <a:blip r:embed="rId12"/>
                                <a:stretch>
                                  <a:fillRect/>
                                </a:stretch>
                              </pic:blipFill>
                              <pic:spPr>
                                <a:xfrm>
                                  <a:off x="0" y="0"/>
                                  <a:ext cx="4686300" cy="3057525"/>
                                </a:xfrm>
                                <a:prstGeom prst="rect">
                                  <a:avLst/>
                                </a:prstGeom>
                              </pic:spPr>
                            </pic:pic>
                          </a:graphicData>
                        </a:graphic>
                      </wp:inline>
                    </w:drawing>
                  </w:r>
                </w:p>
                <w:p w14:paraId="48C8B358" w14:textId="77777777" w:rsidR="00474351" w:rsidRPr="00EE7816" w:rsidRDefault="00474351" w:rsidP="00723EF6">
                  <w:pPr>
                    <w:jc w:val="left"/>
                    <w:rPr>
                      <w:lang w:val="en-IN" w:eastAsia="en-IN"/>
                    </w:rPr>
                  </w:pPr>
                </w:p>
              </w:tc>
            </w:tr>
          </w:tbl>
          <w:p w14:paraId="3025A1B3" w14:textId="77777777" w:rsidR="00474351" w:rsidRPr="00EE7816" w:rsidRDefault="00474351" w:rsidP="00723EF6">
            <w:pPr>
              <w:jc w:val="left"/>
              <w:rPr>
                <w:sz w:val="24"/>
                <w:szCs w:val="24"/>
                <w:lang w:val="en-IN" w:eastAsia="en-IN"/>
              </w:rPr>
            </w:pPr>
          </w:p>
        </w:tc>
      </w:tr>
    </w:tbl>
    <w:p w14:paraId="0EC1CFC2" w14:textId="77777777" w:rsidR="00474351" w:rsidRPr="008704B6" w:rsidRDefault="00474351" w:rsidP="00474351">
      <w:pPr>
        <w:pStyle w:val="BodyText"/>
        <w:ind w:firstLine="0"/>
        <w:jc w:val="center"/>
        <w:rPr>
          <w:b/>
          <w:bCs/>
          <w:noProof/>
          <w14:ligatures w14:val="standardContextual"/>
        </w:rPr>
      </w:pPr>
      <w:r w:rsidRPr="008704B6">
        <w:rPr>
          <w:b/>
          <w:bCs/>
          <w:noProof/>
          <w14:ligatures w14:val="standardContextual"/>
        </w:rPr>
        <w:lastRenderedPageBreak/>
        <w:t>Future research on pyrazole and it's derivatives</w:t>
      </w:r>
    </w:p>
    <w:p w14:paraId="3C4BF774" w14:textId="77777777" w:rsidR="00474351" w:rsidRDefault="00474351" w:rsidP="00474351">
      <w:pPr>
        <w:pStyle w:val="BodyText"/>
        <w:spacing w:after="0" w:line="240" w:lineRule="auto"/>
        <w:ind w:firstLine="0"/>
        <w:jc w:val="center"/>
        <w:rPr>
          <w:noProof/>
          <w14:ligatures w14:val="standardContextual"/>
        </w:rPr>
      </w:pPr>
      <w:r w:rsidRPr="008704B6">
        <w:rPr>
          <w:b/>
          <w:bCs/>
          <w:noProof/>
          <w14:ligatures w14:val="standardContextual"/>
        </w:rPr>
        <w:t>Some potential areas of future research include</w:t>
      </w:r>
      <w:r w:rsidRPr="008704B6">
        <w:rPr>
          <w:noProof/>
          <w14:ligatures w14:val="standardContextual"/>
        </w:rPr>
        <w:t>:</w:t>
      </w:r>
    </w:p>
    <w:p w14:paraId="4960FCE6" w14:textId="77777777" w:rsidR="00474351" w:rsidRDefault="00474351" w:rsidP="00474351">
      <w:pPr>
        <w:pStyle w:val="BodyText"/>
        <w:spacing w:after="0" w:line="240" w:lineRule="auto"/>
        <w:ind w:firstLine="0"/>
        <w:jc w:val="left"/>
        <w:rPr>
          <w:noProof/>
          <w14:ligatures w14:val="standardContextual"/>
        </w:rPr>
      </w:pPr>
    </w:p>
    <w:p w14:paraId="28D2E2A4" w14:textId="77777777" w:rsidR="00474351" w:rsidRPr="008704B6" w:rsidRDefault="00474351" w:rsidP="00474351">
      <w:pPr>
        <w:pStyle w:val="BodyText"/>
        <w:ind w:firstLine="0"/>
        <w:jc w:val="left"/>
        <w:rPr>
          <w:noProof/>
          <w14:ligatures w14:val="standardContextual"/>
        </w:rPr>
      </w:pPr>
      <w:r w:rsidRPr="008704B6">
        <w:rPr>
          <w:noProof/>
          <w14:ligatures w14:val="standardContextual"/>
        </w:rPr>
        <w:t>Medicinal Chemistry: Further investigation into the pharmacological properties of pyrazole derivatives could lead to the discovery of new drug candidates for various diseases. Researchers may focus on optimizing the structures of these compounds to improve their efficacy, reduce side effects, and enhance their target selectivity.</w:t>
      </w:r>
    </w:p>
    <w:p w14:paraId="3D4D7450" w14:textId="77777777" w:rsidR="00474351" w:rsidRPr="008704B6" w:rsidRDefault="00474351" w:rsidP="00474351">
      <w:pPr>
        <w:pStyle w:val="BodyText"/>
        <w:ind w:firstLine="0"/>
        <w:jc w:val="left"/>
        <w:rPr>
          <w:noProof/>
          <w14:ligatures w14:val="standardContextual"/>
        </w:rPr>
      </w:pPr>
      <w:r w:rsidRPr="008704B6">
        <w:rPr>
          <w:noProof/>
          <w14:ligatures w14:val="standardContextual"/>
        </w:rPr>
        <w:t>Drug Resistance: Studying the potential of pyrazole derivatives in combating drug resistance, especially in the field of antimicrobial agents and anticancer drugs, could be a promising area of research.</w:t>
      </w:r>
    </w:p>
    <w:p w14:paraId="5F73E685" w14:textId="77777777" w:rsidR="00474351" w:rsidRPr="008704B6" w:rsidRDefault="00474351" w:rsidP="00474351">
      <w:pPr>
        <w:pStyle w:val="BodyText"/>
        <w:ind w:firstLine="0"/>
        <w:jc w:val="left"/>
        <w:rPr>
          <w:noProof/>
          <w14:ligatures w14:val="standardContextual"/>
        </w:rPr>
      </w:pPr>
      <w:r w:rsidRPr="008704B6">
        <w:rPr>
          <w:noProof/>
          <w14:ligatures w14:val="standardContextual"/>
        </w:rPr>
        <w:t>Agrochemicals: Researchers might explore novel pyrazole derivatives for crop protection and pest control, with an emphasis on developing environmentally friendly and sustainable solutions for agriculture.</w:t>
      </w:r>
    </w:p>
    <w:p w14:paraId="7C5F64C3" w14:textId="77777777" w:rsidR="00474351" w:rsidRPr="008704B6" w:rsidRDefault="00474351" w:rsidP="00474351">
      <w:pPr>
        <w:pStyle w:val="BodyText"/>
        <w:ind w:firstLine="0"/>
        <w:jc w:val="left"/>
        <w:rPr>
          <w:noProof/>
          <w14:ligatures w14:val="standardContextual"/>
        </w:rPr>
      </w:pPr>
      <w:r w:rsidRPr="008704B6">
        <w:rPr>
          <w:noProof/>
          <w14:ligatures w14:val="standardContextual"/>
        </w:rPr>
        <w:t>Materials Science: The use of pyrazole derivatives as building blocks for innovative materials with specific properties could be an exciting avenue for future research in the field of materials science and nanotechnology.</w:t>
      </w:r>
    </w:p>
    <w:p w14:paraId="72A994FB" w14:textId="77777777" w:rsidR="00474351" w:rsidRPr="008704B6" w:rsidRDefault="00474351" w:rsidP="00474351">
      <w:pPr>
        <w:pStyle w:val="BodyText"/>
        <w:ind w:firstLine="0"/>
        <w:jc w:val="left"/>
        <w:rPr>
          <w:noProof/>
          <w14:ligatures w14:val="standardContextual"/>
        </w:rPr>
      </w:pPr>
      <w:r w:rsidRPr="008704B6">
        <w:rPr>
          <w:noProof/>
          <w14:ligatures w14:val="standardContextual"/>
        </w:rPr>
        <w:t>Computational Approaches: Advances in computational chemistry and molecular modeling techniques will play a vital role in accelerating the discovery and design of new pyrazole derivatives with desired properties.</w:t>
      </w:r>
    </w:p>
    <w:p w14:paraId="6EC56308" w14:textId="77777777" w:rsidR="00474351" w:rsidRPr="008704B6" w:rsidRDefault="00474351" w:rsidP="00474351">
      <w:pPr>
        <w:pStyle w:val="BodyText"/>
        <w:ind w:firstLine="0"/>
        <w:jc w:val="left"/>
        <w:rPr>
          <w:noProof/>
          <w14:ligatures w14:val="standardContextual"/>
        </w:rPr>
      </w:pPr>
      <w:r w:rsidRPr="008704B6">
        <w:rPr>
          <w:noProof/>
          <w14:ligatures w14:val="standardContextual"/>
        </w:rPr>
        <w:t>Bioconjugation and Drug Delivery: Exploring the potential of pyrazole derivatives for bioconjugation and targeted drug delivery strategies could be an important area of research to improve drug delivery efficiency and reduce off-target effects.</w:t>
      </w:r>
    </w:p>
    <w:p w14:paraId="257521DE" w14:textId="77777777" w:rsidR="00474351" w:rsidRPr="008704B6" w:rsidRDefault="00474351" w:rsidP="00474351">
      <w:pPr>
        <w:pStyle w:val="BodyText"/>
        <w:ind w:firstLine="0"/>
        <w:jc w:val="left"/>
        <w:rPr>
          <w:noProof/>
          <w14:ligatures w14:val="standardContextual"/>
        </w:rPr>
      </w:pPr>
      <w:r w:rsidRPr="008704B6">
        <w:rPr>
          <w:noProof/>
          <w14:ligatures w14:val="standardContextual"/>
        </w:rPr>
        <w:t>Mechanism of Action: In-depth studies to elucidate the mechanisms of action of pyrazole derivatives at the molecular level could provide valuable insights for drug design and development.</w:t>
      </w:r>
    </w:p>
    <w:p w14:paraId="19A11426" w14:textId="77777777" w:rsidR="00474351" w:rsidRPr="008704B6" w:rsidRDefault="00474351" w:rsidP="00474351">
      <w:pPr>
        <w:pStyle w:val="BodyText"/>
        <w:ind w:firstLine="0"/>
        <w:jc w:val="left"/>
        <w:rPr>
          <w:noProof/>
          <w14:ligatures w14:val="standardContextual"/>
        </w:rPr>
      </w:pPr>
      <w:r w:rsidRPr="008704B6">
        <w:rPr>
          <w:noProof/>
          <w14:ligatures w14:val="standardContextual"/>
        </w:rPr>
        <w:t>It's essential to keep in mind that the above-mentioned areas of future research are speculative and may not fully encompass all potential directions. As research and scientific advancements progress, new avenues for the exploration of pyrazole and its derivatives may emerge, leading to exciting discoveries and practical applications in various industries.</w:t>
      </w:r>
    </w:p>
    <w:p w14:paraId="538EA8C1" w14:textId="77777777" w:rsidR="00474351" w:rsidRPr="008704B6" w:rsidRDefault="00474351" w:rsidP="00474351">
      <w:pPr>
        <w:pStyle w:val="BodyText"/>
        <w:jc w:val="center"/>
        <w:rPr>
          <w:b/>
          <w:bCs/>
          <w:noProof/>
          <w14:ligatures w14:val="standardContextual"/>
        </w:rPr>
      </w:pPr>
      <w:r w:rsidRPr="008704B6">
        <w:rPr>
          <w:b/>
          <w:bCs/>
          <w:noProof/>
          <w14:ligatures w14:val="standardContextual"/>
        </w:rPr>
        <w:t>State of the art:</w:t>
      </w:r>
    </w:p>
    <w:p w14:paraId="22ECE1BC" w14:textId="77777777" w:rsidR="00474351" w:rsidRPr="008704B6" w:rsidRDefault="00474351" w:rsidP="00474351">
      <w:pPr>
        <w:pStyle w:val="BodyText"/>
        <w:jc w:val="left"/>
        <w:rPr>
          <w:noProof/>
          <w14:ligatures w14:val="standardContextual"/>
        </w:rPr>
      </w:pPr>
      <w:r w:rsidRPr="008704B6">
        <w:rPr>
          <w:noProof/>
          <w14:ligatures w14:val="standardContextual"/>
        </w:rPr>
        <w:t>Pyrazole and its derivatives continue to be of great interest in medicinal chemistry, agrochemicals, materials science, and other areas due to their diverse biological activities and potential applications.</w:t>
      </w:r>
    </w:p>
    <w:p w14:paraId="749CB92B" w14:textId="77777777" w:rsidR="00474351" w:rsidRPr="008704B6" w:rsidRDefault="00474351" w:rsidP="00474351">
      <w:pPr>
        <w:pStyle w:val="BodyText"/>
        <w:jc w:val="left"/>
        <w:rPr>
          <w:noProof/>
          <w14:ligatures w14:val="standardContextual"/>
        </w:rPr>
      </w:pPr>
    </w:p>
    <w:p w14:paraId="3B789896" w14:textId="77777777" w:rsidR="00474351" w:rsidRPr="008704B6" w:rsidRDefault="00474351" w:rsidP="00474351">
      <w:pPr>
        <w:pStyle w:val="BodyText"/>
        <w:jc w:val="left"/>
        <w:rPr>
          <w:noProof/>
          <w14:ligatures w14:val="standardContextual"/>
        </w:rPr>
      </w:pPr>
      <w:r w:rsidRPr="008704B6">
        <w:rPr>
          <w:noProof/>
          <w14:ligatures w14:val="standardContextual"/>
        </w:rPr>
        <w:t>In medicinal chemistry, researchers are exploring the therapeutic potential of pyrazole derivatives as they exhibit a wide range of biological activities, including anti-inflammatory, antiviral, anticancer, and antifungal properties. Scientists are continually designing and synthesizing new pyrazole derivatives to enhance their potency, selectivity, and safety as potential drug candidates.</w:t>
      </w:r>
    </w:p>
    <w:p w14:paraId="1C8296F9" w14:textId="77777777" w:rsidR="00474351" w:rsidRPr="008704B6" w:rsidRDefault="00474351" w:rsidP="00474351">
      <w:pPr>
        <w:pStyle w:val="BodyText"/>
        <w:jc w:val="left"/>
        <w:rPr>
          <w:noProof/>
          <w14:ligatures w14:val="standardContextual"/>
        </w:rPr>
      </w:pPr>
      <w:r w:rsidRPr="008704B6">
        <w:rPr>
          <w:noProof/>
          <w14:ligatures w14:val="standardContextual"/>
        </w:rPr>
        <w:t>In the agrochemical industry, pyrazole derivatives are studied for their insecticidal, fungicidal, and herbicidal activities. These compounds play a crucial role in crop protection and pest management, contributing to sustainable agriculture practices.</w:t>
      </w:r>
    </w:p>
    <w:p w14:paraId="58E6982F" w14:textId="77777777" w:rsidR="00474351" w:rsidRPr="008704B6" w:rsidRDefault="00474351" w:rsidP="00474351">
      <w:pPr>
        <w:pStyle w:val="BodyText"/>
        <w:ind w:firstLine="0"/>
        <w:jc w:val="left"/>
        <w:rPr>
          <w:noProof/>
          <w14:ligatures w14:val="standardContextual"/>
        </w:rPr>
      </w:pPr>
      <w:r w:rsidRPr="008704B6">
        <w:rPr>
          <w:noProof/>
          <w14:ligatures w14:val="standardContextual"/>
        </w:rPr>
        <w:t>In materials science, pyrazole derivatives are being investigated for their potential use in organic electronics, optoelectronics, and as building blocks for the design of novel materials with specific properties.</w:t>
      </w:r>
    </w:p>
    <w:p w14:paraId="21693917" w14:textId="77777777" w:rsidR="00474351" w:rsidRDefault="00474351" w:rsidP="00474351">
      <w:pPr>
        <w:pStyle w:val="BodyText"/>
        <w:spacing w:after="0" w:line="240" w:lineRule="auto"/>
        <w:ind w:firstLine="0"/>
        <w:jc w:val="left"/>
        <w:rPr>
          <w:noProof/>
          <w14:ligatures w14:val="standardContextual"/>
        </w:rPr>
      </w:pPr>
      <w:r w:rsidRPr="008704B6">
        <w:rPr>
          <w:noProof/>
          <w14:ligatures w14:val="standardContextual"/>
        </w:rPr>
        <w:t>It's important to note that research in chemistry and its applications is an ever-evolving field.</w:t>
      </w:r>
    </w:p>
    <w:p w14:paraId="5CBFDE0D" w14:textId="77777777" w:rsidR="00474351" w:rsidRDefault="00474351" w:rsidP="00474351">
      <w:pPr>
        <w:pStyle w:val="BodyText"/>
        <w:spacing w:after="0" w:line="240" w:lineRule="auto"/>
        <w:ind w:firstLine="0"/>
        <w:jc w:val="left"/>
        <w:rPr>
          <w:noProof/>
          <w14:ligatures w14:val="standardContextual"/>
        </w:rPr>
      </w:pPr>
    </w:p>
    <w:p w14:paraId="47B6897D" w14:textId="77777777" w:rsidR="00474351" w:rsidRDefault="00474351" w:rsidP="00474351">
      <w:pPr>
        <w:pStyle w:val="BodyText"/>
        <w:spacing w:after="0" w:line="240" w:lineRule="auto"/>
        <w:ind w:firstLine="0"/>
        <w:jc w:val="center"/>
        <w:rPr>
          <w:b/>
          <w:bCs/>
          <w:noProof/>
          <w14:ligatures w14:val="standardContextual"/>
        </w:rPr>
      </w:pPr>
      <w:r w:rsidRPr="008704B6">
        <w:rPr>
          <w:b/>
          <w:bCs/>
          <w:noProof/>
          <w14:ligatures w14:val="standardContextual"/>
        </w:rPr>
        <w:t>Summary:</w:t>
      </w:r>
    </w:p>
    <w:p w14:paraId="40C56869" w14:textId="77777777" w:rsidR="00474351" w:rsidRDefault="00474351" w:rsidP="00474351">
      <w:pPr>
        <w:pStyle w:val="BodyText"/>
        <w:spacing w:after="0" w:line="240" w:lineRule="auto"/>
        <w:ind w:firstLine="0"/>
        <w:jc w:val="center"/>
        <w:rPr>
          <w:b/>
          <w:bCs/>
          <w:noProof/>
          <w14:ligatures w14:val="standardContextual"/>
        </w:rPr>
      </w:pPr>
    </w:p>
    <w:p w14:paraId="7043627A" w14:textId="77777777" w:rsidR="00474351" w:rsidRPr="003819FF" w:rsidRDefault="00474351" w:rsidP="00474351">
      <w:pPr>
        <w:pStyle w:val="BodyText"/>
        <w:jc w:val="left"/>
        <w:rPr>
          <w:noProof/>
          <w14:ligatures w14:val="standardContextual"/>
        </w:rPr>
      </w:pPr>
      <w:r w:rsidRPr="003819FF">
        <w:rPr>
          <w:noProof/>
          <w14:ligatures w14:val="standardContextual"/>
        </w:rPr>
        <w:t>Pyrazole and its derivatives are a class of organic compounds with diverse applications in pharmaceuticals, agrochemicals, and other industries. They possess a five-membered ring containing two nitrogen atoms at positions 1 and 2. These derivatives are known for their biological activities, which have made them valuable in drug development and crop protection.</w:t>
      </w:r>
    </w:p>
    <w:p w14:paraId="6425D675" w14:textId="77777777" w:rsidR="00474351" w:rsidRDefault="00474351" w:rsidP="00474351">
      <w:pPr>
        <w:pStyle w:val="BodyText"/>
        <w:spacing w:after="0" w:line="240" w:lineRule="auto"/>
        <w:ind w:firstLine="0"/>
        <w:jc w:val="left"/>
        <w:rPr>
          <w:noProof/>
          <w14:ligatures w14:val="standardContextual"/>
        </w:rPr>
      </w:pPr>
      <w:r w:rsidRPr="003819FF">
        <w:rPr>
          <w:noProof/>
          <w14:ligatures w14:val="standardContextual"/>
        </w:rPr>
        <w:t>A pyrazole derivative is a chemical compound that contains a pyrazole ring in its structure. Pyrazole is a five-membered aromatic ring composed of three carbon atoms and two nitrogen atoms in a specific arrangement. Pyrazole derivatives have various applications in medicinal chemistry, particularly as pharmaceutical agents due to their diverse biological activities. They are known for their potential in anti-inflammatory, antiviral, antitumor, and other therapeutic activities. Specific pyrazole derivatives may have unique properties and functions depending on the substituents attached to the pyrazole core. These compounds continue to be of interest in drug discovery and development.</w:t>
      </w:r>
    </w:p>
    <w:p w14:paraId="1AA13553" w14:textId="77777777" w:rsidR="00474351" w:rsidRDefault="00474351" w:rsidP="00474351">
      <w:pPr>
        <w:pStyle w:val="BodyText"/>
        <w:spacing w:after="0" w:line="240" w:lineRule="auto"/>
        <w:ind w:firstLine="0"/>
        <w:jc w:val="left"/>
        <w:rPr>
          <w:noProof/>
          <w14:ligatures w14:val="standardContextual"/>
        </w:rPr>
      </w:pPr>
    </w:p>
    <w:p w14:paraId="35877D6E" w14:textId="77777777" w:rsidR="00474351" w:rsidRDefault="00474351" w:rsidP="00474351">
      <w:pPr>
        <w:pStyle w:val="BodyText"/>
        <w:spacing w:after="0" w:line="240" w:lineRule="auto"/>
        <w:ind w:firstLine="0"/>
        <w:jc w:val="center"/>
        <w:rPr>
          <w:b/>
          <w:bCs/>
          <w:noProof/>
          <w14:ligatures w14:val="standardContextual"/>
        </w:rPr>
      </w:pPr>
      <w:r w:rsidRPr="003819FF">
        <w:rPr>
          <w:b/>
          <w:bCs/>
          <w:noProof/>
          <w14:ligatures w14:val="standardContextual"/>
        </w:rPr>
        <w:t>Acknowledment</w:t>
      </w:r>
    </w:p>
    <w:p w14:paraId="1B207190" w14:textId="77777777" w:rsidR="006A3BAD" w:rsidRDefault="006A3BAD" w:rsidP="00474351">
      <w:pPr>
        <w:pStyle w:val="BodyText"/>
        <w:spacing w:after="0" w:line="240" w:lineRule="auto"/>
        <w:ind w:firstLine="0"/>
        <w:jc w:val="center"/>
        <w:rPr>
          <w:b/>
          <w:bCs/>
          <w:noProof/>
          <w14:ligatures w14:val="standardContextual"/>
        </w:rPr>
      </w:pPr>
    </w:p>
    <w:p w14:paraId="29E3BB5B" w14:textId="5BF4B7A7" w:rsidR="00474351" w:rsidRDefault="00474351" w:rsidP="00474351">
      <w:pPr>
        <w:pStyle w:val="BodyText"/>
        <w:spacing w:after="0" w:line="240" w:lineRule="auto"/>
        <w:ind w:firstLine="0"/>
        <w:jc w:val="left"/>
        <w:rPr>
          <w:noProof/>
          <w14:ligatures w14:val="standardContextual"/>
        </w:rPr>
      </w:pPr>
      <w:r>
        <w:rPr>
          <w:noProof/>
          <w14:ligatures w14:val="standardContextual"/>
        </w:rPr>
        <w:t>We</w:t>
      </w:r>
      <w:r>
        <w:rPr>
          <w:noProof/>
          <w14:ligatures w14:val="standardContextual"/>
        </w:rPr>
        <w:t xml:space="preserve"> </w:t>
      </w:r>
      <w:r>
        <w:rPr>
          <w:noProof/>
          <w14:ligatures w14:val="standardContextual"/>
        </w:rPr>
        <w:t>are</w:t>
      </w:r>
      <w:r>
        <w:rPr>
          <w:noProof/>
          <w14:ligatures w14:val="standardContextual"/>
        </w:rPr>
        <w:t xml:space="preserve"> very thankful to </w:t>
      </w:r>
      <w:r>
        <w:rPr>
          <w:noProof/>
          <w14:ligatures w14:val="standardContextual"/>
        </w:rPr>
        <w:t>our</w:t>
      </w:r>
      <w:r>
        <w:rPr>
          <w:noProof/>
          <w14:ligatures w14:val="standardContextual"/>
        </w:rPr>
        <w:t xml:space="preserve"> guide Prof. Rajendra Dongre for their guidance to </w:t>
      </w:r>
      <w:r>
        <w:rPr>
          <w:noProof/>
          <w14:ligatures w14:val="standardContextual"/>
        </w:rPr>
        <w:t>us</w:t>
      </w:r>
      <w:r>
        <w:rPr>
          <w:noProof/>
          <w14:ligatures w14:val="standardContextual"/>
        </w:rPr>
        <w:t xml:space="preserve"> in writing this chapter.</w:t>
      </w:r>
    </w:p>
    <w:p w14:paraId="20975619" w14:textId="7276556F" w:rsidR="00474351" w:rsidRDefault="00474351" w:rsidP="00474351">
      <w:pPr>
        <w:pStyle w:val="BodyText"/>
        <w:spacing w:after="0" w:line="240" w:lineRule="auto"/>
        <w:ind w:firstLine="0"/>
        <w:jc w:val="left"/>
        <w:rPr>
          <w:noProof/>
          <w14:ligatures w14:val="standardContextual"/>
        </w:rPr>
      </w:pPr>
      <w:r>
        <w:rPr>
          <w:noProof/>
          <w14:ligatures w14:val="standardContextual"/>
        </w:rPr>
        <w:t>We</w:t>
      </w:r>
      <w:r>
        <w:rPr>
          <w:noProof/>
          <w14:ligatures w14:val="standardContextual"/>
        </w:rPr>
        <w:t xml:space="preserve"> </w:t>
      </w:r>
      <w:r>
        <w:rPr>
          <w:noProof/>
          <w14:ligatures w14:val="standardContextual"/>
        </w:rPr>
        <w:t xml:space="preserve">are </w:t>
      </w:r>
      <w:r>
        <w:rPr>
          <w:noProof/>
          <w14:ligatures w14:val="standardContextual"/>
        </w:rPr>
        <w:t>also very thankful to Department of  Chemistry RTM Nagpur University Campus.</w:t>
      </w:r>
    </w:p>
    <w:p w14:paraId="68CEADDC" w14:textId="77777777" w:rsidR="00474351" w:rsidRDefault="00474351" w:rsidP="00474351">
      <w:pPr>
        <w:pStyle w:val="BodyText"/>
        <w:spacing w:after="0" w:line="240" w:lineRule="auto"/>
        <w:ind w:firstLine="0"/>
        <w:jc w:val="left"/>
        <w:rPr>
          <w:noProof/>
          <w14:ligatures w14:val="standardContextual"/>
        </w:rPr>
      </w:pPr>
    </w:p>
    <w:p w14:paraId="5BF0B447" w14:textId="77777777" w:rsidR="00474351" w:rsidRDefault="00474351" w:rsidP="00474351">
      <w:pPr>
        <w:pStyle w:val="BodyText"/>
        <w:spacing w:after="0" w:line="240" w:lineRule="auto"/>
        <w:ind w:firstLine="0"/>
        <w:jc w:val="center"/>
        <w:rPr>
          <w:b/>
          <w:bCs/>
          <w:noProof/>
          <w14:ligatures w14:val="standardContextual"/>
        </w:rPr>
      </w:pPr>
      <w:r w:rsidRPr="003819FF">
        <w:rPr>
          <w:b/>
          <w:bCs/>
          <w:noProof/>
          <w14:ligatures w14:val="standardContextual"/>
        </w:rPr>
        <w:t>References</w:t>
      </w:r>
    </w:p>
    <w:p w14:paraId="3C40DC16" w14:textId="77777777" w:rsidR="00474351" w:rsidRDefault="00474351" w:rsidP="00474351">
      <w:pPr>
        <w:pStyle w:val="Default"/>
      </w:pPr>
    </w:p>
    <w:p w14:paraId="1F481F19" w14:textId="77777777" w:rsidR="00474351" w:rsidRPr="003819FF" w:rsidRDefault="00474351" w:rsidP="00474351">
      <w:pPr>
        <w:pStyle w:val="Default"/>
        <w:ind w:left="720" w:hanging="720"/>
        <w:jc w:val="both"/>
        <w:rPr>
          <w:sz w:val="16"/>
          <w:szCs w:val="16"/>
        </w:rPr>
      </w:pPr>
      <w:r w:rsidRPr="003819FF">
        <w:rPr>
          <w:sz w:val="16"/>
          <w:szCs w:val="16"/>
        </w:rPr>
        <w:t xml:space="preserve">[1] Du, K., Mei, Y. J., Cao, X. T., Zhang, P. F., &amp; Zheng, H. (2013). The synthesis of pyrazole derivatives based on glucose. </w:t>
      </w:r>
      <w:r w:rsidRPr="003819FF">
        <w:rPr>
          <w:i/>
          <w:iCs/>
          <w:sz w:val="16"/>
          <w:szCs w:val="16"/>
        </w:rPr>
        <w:t>International Journal of Chemical Engineering and Applications</w:t>
      </w:r>
      <w:r w:rsidRPr="003819FF">
        <w:rPr>
          <w:sz w:val="16"/>
          <w:szCs w:val="16"/>
        </w:rPr>
        <w:t xml:space="preserve">, </w:t>
      </w:r>
      <w:r w:rsidRPr="003819FF">
        <w:rPr>
          <w:i/>
          <w:iCs/>
          <w:sz w:val="16"/>
          <w:szCs w:val="16"/>
        </w:rPr>
        <w:t>4</w:t>
      </w:r>
      <w:r w:rsidRPr="003819FF">
        <w:rPr>
          <w:sz w:val="16"/>
          <w:szCs w:val="16"/>
        </w:rPr>
        <w:t xml:space="preserve">(4), 238-240. </w:t>
      </w:r>
    </w:p>
    <w:p w14:paraId="2CDDB329" w14:textId="77777777" w:rsidR="00474351" w:rsidRPr="003819FF" w:rsidRDefault="00474351" w:rsidP="00474351">
      <w:pPr>
        <w:pStyle w:val="Default"/>
        <w:ind w:left="720" w:hanging="720"/>
        <w:jc w:val="both"/>
        <w:rPr>
          <w:sz w:val="16"/>
          <w:szCs w:val="16"/>
        </w:rPr>
      </w:pPr>
      <w:r w:rsidRPr="003819FF">
        <w:rPr>
          <w:sz w:val="16"/>
          <w:szCs w:val="16"/>
        </w:rPr>
        <w:t xml:space="preserve">[2] </w:t>
      </w:r>
      <w:proofErr w:type="spellStart"/>
      <w:r w:rsidRPr="003819FF">
        <w:rPr>
          <w:sz w:val="16"/>
          <w:szCs w:val="16"/>
        </w:rPr>
        <w:t>Pimerova</w:t>
      </w:r>
      <w:proofErr w:type="spellEnd"/>
      <w:r w:rsidRPr="003819FF">
        <w:rPr>
          <w:sz w:val="16"/>
          <w:szCs w:val="16"/>
        </w:rPr>
        <w:t xml:space="preserve">, E. V., &amp; Voronina, E. V. (2001). Antimicrobial activity of pyrazoles and pyridazines obtained by interaction of 4-aryl-3-arylhydrazono-2, 4-dioxobutanoic acids and their esters with </w:t>
      </w:r>
      <w:proofErr w:type="spellStart"/>
      <w:r w:rsidRPr="003819FF">
        <w:rPr>
          <w:sz w:val="16"/>
          <w:szCs w:val="16"/>
        </w:rPr>
        <w:t>hydrazines</w:t>
      </w:r>
      <w:proofErr w:type="spellEnd"/>
      <w:r w:rsidRPr="003819FF">
        <w:rPr>
          <w:sz w:val="16"/>
          <w:szCs w:val="16"/>
        </w:rPr>
        <w:t xml:space="preserve">. </w:t>
      </w:r>
      <w:r w:rsidRPr="003819FF">
        <w:rPr>
          <w:i/>
          <w:iCs/>
          <w:sz w:val="16"/>
          <w:szCs w:val="16"/>
        </w:rPr>
        <w:t>Pharm. Chem. J</w:t>
      </w:r>
      <w:r w:rsidRPr="003819FF">
        <w:rPr>
          <w:sz w:val="16"/>
          <w:szCs w:val="16"/>
        </w:rPr>
        <w:t xml:space="preserve">, </w:t>
      </w:r>
      <w:r w:rsidRPr="003819FF">
        <w:rPr>
          <w:i/>
          <w:iCs/>
          <w:sz w:val="16"/>
          <w:szCs w:val="16"/>
        </w:rPr>
        <w:t>35</w:t>
      </w:r>
      <w:r w:rsidRPr="003819FF">
        <w:rPr>
          <w:sz w:val="16"/>
          <w:szCs w:val="16"/>
        </w:rPr>
        <w:t xml:space="preserve">(11), 602-604. </w:t>
      </w:r>
    </w:p>
    <w:p w14:paraId="502F04C2" w14:textId="77777777" w:rsidR="00474351" w:rsidRPr="003819FF" w:rsidRDefault="00474351" w:rsidP="00474351">
      <w:pPr>
        <w:pStyle w:val="Default"/>
        <w:ind w:left="720" w:hanging="720"/>
        <w:jc w:val="both"/>
        <w:rPr>
          <w:sz w:val="16"/>
          <w:szCs w:val="16"/>
        </w:rPr>
      </w:pPr>
      <w:r w:rsidRPr="003819FF">
        <w:rPr>
          <w:sz w:val="16"/>
          <w:szCs w:val="16"/>
        </w:rPr>
        <w:t xml:space="preserve">[3] A. K. </w:t>
      </w:r>
      <w:proofErr w:type="gramStart"/>
      <w:r w:rsidRPr="003819FF">
        <w:rPr>
          <w:sz w:val="16"/>
          <w:szCs w:val="16"/>
        </w:rPr>
        <w:t>Tewari ,</w:t>
      </w:r>
      <w:proofErr w:type="gramEnd"/>
      <w:r w:rsidRPr="003819FF">
        <w:rPr>
          <w:sz w:val="16"/>
          <w:szCs w:val="16"/>
        </w:rPr>
        <w:t xml:space="preserve"> A. Mishra, </w:t>
      </w:r>
      <w:proofErr w:type="spellStart"/>
      <w:r w:rsidRPr="003819FF">
        <w:rPr>
          <w:i/>
          <w:iCs/>
          <w:sz w:val="16"/>
          <w:szCs w:val="16"/>
        </w:rPr>
        <w:t>Monatsh</w:t>
      </w:r>
      <w:proofErr w:type="spellEnd"/>
      <w:r w:rsidRPr="003819FF">
        <w:rPr>
          <w:i/>
          <w:iCs/>
          <w:sz w:val="16"/>
          <w:szCs w:val="16"/>
        </w:rPr>
        <w:t>. Chem</w:t>
      </w:r>
      <w:r w:rsidRPr="003819FF">
        <w:rPr>
          <w:sz w:val="16"/>
          <w:szCs w:val="16"/>
        </w:rPr>
        <w:t xml:space="preserve">., </w:t>
      </w:r>
      <w:proofErr w:type="gramStart"/>
      <w:r w:rsidRPr="003819FF">
        <w:rPr>
          <w:sz w:val="16"/>
          <w:szCs w:val="16"/>
        </w:rPr>
        <w:t>1999 ,</w:t>
      </w:r>
      <w:proofErr w:type="gramEnd"/>
      <w:r w:rsidRPr="003819FF">
        <w:rPr>
          <w:sz w:val="16"/>
          <w:szCs w:val="16"/>
        </w:rPr>
        <w:t xml:space="preserve">vol. 130 , pp. 1167-1174 . </w:t>
      </w:r>
    </w:p>
    <w:p w14:paraId="36D670A7" w14:textId="77777777" w:rsidR="00474351" w:rsidRPr="003819FF" w:rsidRDefault="00474351" w:rsidP="00474351">
      <w:pPr>
        <w:pStyle w:val="Default"/>
        <w:ind w:left="720" w:hanging="720"/>
        <w:jc w:val="both"/>
        <w:rPr>
          <w:sz w:val="16"/>
          <w:szCs w:val="16"/>
        </w:rPr>
      </w:pPr>
      <w:r w:rsidRPr="003819FF">
        <w:rPr>
          <w:sz w:val="16"/>
          <w:szCs w:val="16"/>
        </w:rPr>
        <w:t xml:space="preserve">[4] Michon, V., du </w:t>
      </w:r>
      <w:proofErr w:type="spellStart"/>
      <w:r w:rsidRPr="003819FF">
        <w:rPr>
          <w:sz w:val="16"/>
          <w:szCs w:val="16"/>
        </w:rPr>
        <w:t>Penhoat</w:t>
      </w:r>
      <w:proofErr w:type="spellEnd"/>
      <w:r w:rsidRPr="003819FF">
        <w:rPr>
          <w:sz w:val="16"/>
          <w:szCs w:val="16"/>
        </w:rPr>
        <w:t xml:space="preserve">, C.H., </w:t>
      </w:r>
      <w:proofErr w:type="spellStart"/>
      <w:r w:rsidRPr="003819FF">
        <w:rPr>
          <w:sz w:val="16"/>
          <w:szCs w:val="16"/>
        </w:rPr>
        <w:t>Tombret</w:t>
      </w:r>
      <w:proofErr w:type="spellEnd"/>
      <w:r w:rsidRPr="003819FF">
        <w:rPr>
          <w:sz w:val="16"/>
          <w:szCs w:val="16"/>
        </w:rPr>
        <w:t xml:space="preserve">, F., </w:t>
      </w:r>
      <w:proofErr w:type="spellStart"/>
      <w:r w:rsidRPr="003819FF">
        <w:rPr>
          <w:sz w:val="16"/>
          <w:szCs w:val="16"/>
        </w:rPr>
        <w:t>Gillardin</w:t>
      </w:r>
      <w:proofErr w:type="spellEnd"/>
      <w:r w:rsidRPr="003819FF">
        <w:rPr>
          <w:sz w:val="16"/>
          <w:szCs w:val="16"/>
        </w:rPr>
        <w:t xml:space="preserve">, J.M., Lepage, F. and Berthon, L. Preparation, structural </w:t>
      </w:r>
      <w:proofErr w:type="gramStart"/>
      <w:r w:rsidRPr="003819FF">
        <w:rPr>
          <w:sz w:val="16"/>
          <w:szCs w:val="16"/>
        </w:rPr>
        <w:t>analysis</w:t>
      </w:r>
      <w:proofErr w:type="gramEnd"/>
      <w:r w:rsidRPr="003819FF">
        <w:rPr>
          <w:sz w:val="16"/>
          <w:szCs w:val="16"/>
        </w:rPr>
        <w:t xml:space="preserve"> and anticonvulsant activity of 3-and 5-aminopyrazole N-benzoyl derivatives. </w:t>
      </w:r>
      <w:r w:rsidRPr="003819FF">
        <w:rPr>
          <w:i/>
          <w:iCs/>
          <w:sz w:val="16"/>
          <w:szCs w:val="16"/>
        </w:rPr>
        <w:t xml:space="preserve">European journal of medicinal chemistry </w:t>
      </w:r>
      <w:r w:rsidRPr="003819FF">
        <w:rPr>
          <w:b/>
          <w:bCs/>
          <w:sz w:val="16"/>
          <w:szCs w:val="16"/>
        </w:rPr>
        <w:t xml:space="preserve">30 </w:t>
      </w:r>
      <w:r w:rsidRPr="003819FF">
        <w:rPr>
          <w:sz w:val="16"/>
          <w:szCs w:val="16"/>
        </w:rPr>
        <w:t xml:space="preserve">(2) (1995)147-155. </w:t>
      </w:r>
    </w:p>
    <w:p w14:paraId="5BAC78E7" w14:textId="77777777" w:rsidR="00474351" w:rsidRPr="003819FF" w:rsidRDefault="00474351" w:rsidP="00474351">
      <w:pPr>
        <w:pStyle w:val="Default"/>
        <w:ind w:left="720" w:hanging="720"/>
        <w:jc w:val="both"/>
        <w:rPr>
          <w:sz w:val="16"/>
          <w:szCs w:val="16"/>
        </w:rPr>
      </w:pPr>
      <w:r w:rsidRPr="003819FF">
        <w:rPr>
          <w:sz w:val="16"/>
          <w:szCs w:val="16"/>
        </w:rPr>
        <w:t xml:space="preserve">[5] Janus, S.L., </w:t>
      </w:r>
      <w:proofErr w:type="spellStart"/>
      <w:r w:rsidRPr="003819FF">
        <w:rPr>
          <w:sz w:val="16"/>
          <w:szCs w:val="16"/>
        </w:rPr>
        <w:t>Magdif</w:t>
      </w:r>
      <w:proofErr w:type="spellEnd"/>
      <w:r w:rsidRPr="003819FF">
        <w:rPr>
          <w:sz w:val="16"/>
          <w:szCs w:val="16"/>
        </w:rPr>
        <w:t xml:space="preserve">, AZ Erik, BP and Claus, N. Synthesis of </w:t>
      </w:r>
      <w:proofErr w:type="spellStart"/>
      <w:r w:rsidRPr="003819FF">
        <w:rPr>
          <w:sz w:val="16"/>
          <w:szCs w:val="16"/>
        </w:rPr>
        <w:t>triazenopyrazole</w:t>
      </w:r>
      <w:proofErr w:type="spellEnd"/>
      <w:r w:rsidRPr="003819FF">
        <w:rPr>
          <w:sz w:val="16"/>
          <w:szCs w:val="16"/>
        </w:rPr>
        <w:t xml:space="preserve"> derivatives as potential inhibitors of HIV-1</w:t>
      </w:r>
      <w:r w:rsidRPr="003819FF">
        <w:rPr>
          <w:i/>
          <w:iCs/>
          <w:sz w:val="16"/>
          <w:szCs w:val="16"/>
        </w:rPr>
        <w:t xml:space="preserve">, </w:t>
      </w:r>
      <w:proofErr w:type="spellStart"/>
      <w:r w:rsidRPr="003819FF">
        <w:rPr>
          <w:i/>
          <w:iCs/>
          <w:sz w:val="16"/>
          <w:szCs w:val="16"/>
        </w:rPr>
        <w:t>Monatsh</w:t>
      </w:r>
      <w:proofErr w:type="spellEnd"/>
      <w:r w:rsidRPr="003819FF">
        <w:rPr>
          <w:i/>
          <w:iCs/>
          <w:sz w:val="16"/>
          <w:szCs w:val="16"/>
        </w:rPr>
        <w:t xml:space="preserve"> fur Chem </w:t>
      </w:r>
      <w:r w:rsidRPr="003819FF">
        <w:rPr>
          <w:b/>
          <w:bCs/>
          <w:sz w:val="16"/>
          <w:szCs w:val="16"/>
        </w:rPr>
        <w:t xml:space="preserve">130 </w:t>
      </w:r>
      <w:r w:rsidRPr="003819FF">
        <w:rPr>
          <w:sz w:val="16"/>
          <w:szCs w:val="16"/>
        </w:rPr>
        <w:t xml:space="preserve">(1999) 1167-1171. </w:t>
      </w:r>
    </w:p>
    <w:p w14:paraId="02A725A4" w14:textId="77777777" w:rsidR="00474351" w:rsidRPr="003819FF" w:rsidRDefault="00474351" w:rsidP="00474351">
      <w:pPr>
        <w:pStyle w:val="Default"/>
        <w:ind w:left="720" w:hanging="720"/>
        <w:jc w:val="both"/>
        <w:rPr>
          <w:sz w:val="16"/>
          <w:szCs w:val="16"/>
        </w:rPr>
      </w:pPr>
      <w:r w:rsidRPr="003819FF">
        <w:rPr>
          <w:sz w:val="16"/>
          <w:szCs w:val="16"/>
        </w:rPr>
        <w:t xml:space="preserve">[6] </w:t>
      </w:r>
      <w:proofErr w:type="spellStart"/>
      <w:r w:rsidRPr="003819FF">
        <w:rPr>
          <w:sz w:val="16"/>
          <w:szCs w:val="16"/>
        </w:rPr>
        <w:t>Bouabdallah</w:t>
      </w:r>
      <w:proofErr w:type="spellEnd"/>
      <w:r w:rsidRPr="003819FF">
        <w:rPr>
          <w:sz w:val="16"/>
          <w:szCs w:val="16"/>
        </w:rPr>
        <w:t xml:space="preserve">, I., </w:t>
      </w:r>
      <w:proofErr w:type="spellStart"/>
      <w:r w:rsidRPr="003819FF">
        <w:rPr>
          <w:sz w:val="16"/>
          <w:szCs w:val="16"/>
        </w:rPr>
        <w:t>M’Barek</w:t>
      </w:r>
      <w:proofErr w:type="spellEnd"/>
      <w:r w:rsidRPr="003819FF">
        <w:rPr>
          <w:sz w:val="16"/>
          <w:szCs w:val="16"/>
        </w:rPr>
        <w:t xml:space="preserve">, L.A., </w:t>
      </w:r>
      <w:proofErr w:type="spellStart"/>
      <w:r w:rsidRPr="003819FF">
        <w:rPr>
          <w:sz w:val="16"/>
          <w:szCs w:val="16"/>
        </w:rPr>
        <w:t>Zyad</w:t>
      </w:r>
      <w:proofErr w:type="spellEnd"/>
      <w:r w:rsidRPr="003819FF">
        <w:rPr>
          <w:sz w:val="16"/>
          <w:szCs w:val="16"/>
        </w:rPr>
        <w:t xml:space="preserve">, A., </w:t>
      </w:r>
      <w:proofErr w:type="spellStart"/>
      <w:r w:rsidRPr="003819FF">
        <w:rPr>
          <w:sz w:val="16"/>
          <w:szCs w:val="16"/>
        </w:rPr>
        <w:t>Ramdani</w:t>
      </w:r>
      <w:proofErr w:type="spellEnd"/>
      <w:r w:rsidRPr="003819FF">
        <w:rPr>
          <w:sz w:val="16"/>
          <w:szCs w:val="16"/>
        </w:rPr>
        <w:t xml:space="preserve">, A., Zidane, I. and </w:t>
      </w:r>
      <w:proofErr w:type="spellStart"/>
      <w:r w:rsidRPr="003819FF">
        <w:rPr>
          <w:sz w:val="16"/>
          <w:szCs w:val="16"/>
        </w:rPr>
        <w:t>Melhaoui</w:t>
      </w:r>
      <w:proofErr w:type="spellEnd"/>
      <w:r w:rsidRPr="003819FF">
        <w:rPr>
          <w:sz w:val="16"/>
          <w:szCs w:val="16"/>
        </w:rPr>
        <w:t xml:space="preserve">, A. Anticancer effect of three pyrazole derivatives. </w:t>
      </w:r>
      <w:r w:rsidRPr="003819FF">
        <w:rPr>
          <w:i/>
          <w:iCs/>
          <w:sz w:val="16"/>
          <w:szCs w:val="16"/>
        </w:rPr>
        <w:t xml:space="preserve">Natural product research </w:t>
      </w:r>
      <w:r w:rsidRPr="003819FF">
        <w:rPr>
          <w:b/>
          <w:bCs/>
          <w:sz w:val="16"/>
          <w:szCs w:val="16"/>
        </w:rPr>
        <w:t xml:space="preserve">20 </w:t>
      </w:r>
      <w:r w:rsidRPr="003819FF">
        <w:rPr>
          <w:sz w:val="16"/>
          <w:szCs w:val="16"/>
        </w:rPr>
        <w:t xml:space="preserve">(11) (2006) 1024-1030. </w:t>
      </w:r>
    </w:p>
    <w:p w14:paraId="615BB162" w14:textId="77777777" w:rsidR="00474351" w:rsidRPr="003819FF" w:rsidRDefault="00474351" w:rsidP="00474351">
      <w:pPr>
        <w:pStyle w:val="Default"/>
        <w:ind w:left="720" w:hanging="720"/>
        <w:jc w:val="both"/>
        <w:rPr>
          <w:sz w:val="16"/>
          <w:szCs w:val="16"/>
        </w:rPr>
      </w:pPr>
      <w:r w:rsidRPr="003819FF">
        <w:rPr>
          <w:sz w:val="16"/>
          <w:szCs w:val="16"/>
        </w:rPr>
        <w:t xml:space="preserve">[7] Park, H.J., Lee, K., Park, S.J., Ahn, B., Lee, J.C., Cho, H. and Lee, K.I. Identification of antitumor activity of pyrazole oxime ethers. </w:t>
      </w:r>
      <w:r w:rsidRPr="003819FF">
        <w:rPr>
          <w:i/>
          <w:iCs/>
          <w:sz w:val="16"/>
          <w:szCs w:val="16"/>
        </w:rPr>
        <w:t xml:space="preserve">Bioorganic &amp; medicinal chemistry letters </w:t>
      </w:r>
      <w:r w:rsidRPr="003819FF">
        <w:rPr>
          <w:b/>
          <w:bCs/>
          <w:sz w:val="16"/>
          <w:szCs w:val="16"/>
        </w:rPr>
        <w:t xml:space="preserve">15 </w:t>
      </w:r>
      <w:r w:rsidRPr="003819FF">
        <w:rPr>
          <w:sz w:val="16"/>
          <w:szCs w:val="16"/>
        </w:rPr>
        <w:t xml:space="preserve">(13) (2005) 3307-3312. </w:t>
      </w:r>
    </w:p>
    <w:p w14:paraId="15B0EE46" w14:textId="77777777" w:rsidR="00474351" w:rsidRPr="003819FF" w:rsidRDefault="00474351" w:rsidP="00474351">
      <w:pPr>
        <w:pStyle w:val="Default"/>
        <w:ind w:left="720" w:hanging="720"/>
        <w:jc w:val="both"/>
        <w:rPr>
          <w:sz w:val="16"/>
          <w:szCs w:val="16"/>
        </w:rPr>
      </w:pPr>
      <w:r w:rsidRPr="003819FF">
        <w:rPr>
          <w:sz w:val="16"/>
          <w:szCs w:val="16"/>
        </w:rPr>
        <w:t xml:space="preserve">[8] Chu, C.K. and Cutler, S.J. </w:t>
      </w:r>
      <w:proofErr w:type="gramStart"/>
      <w:r w:rsidRPr="003819FF">
        <w:rPr>
          <w:sz w:val="16"/>
          <w:szCs w:val="16"/>
        </w:rPr>
        <w:t>Chemistry</w:t>
      </w:r>
      <w:proofErr w:type="gramEnd"/>
      <w:r w:rsidRPr="003819FF">
        <w:rPr>
          <w:sz w:val="16"/>
          <w:szCs w:val="16"/>
        </w:rPr>
        <w:t xml:space="preserve"> and antiviral activities of </w:t>
      </w:r>
      <w:proofErr w:type="spellStart"/>
      <w:r w:rsidRPr="003819FF">
        <w:rPr>
          <w:sz w:val="16"/>
          <w:szCs w:val="16"/>
        </w:rPr>
        <w:t>acyclonucleosides</w:t>
      </w:r>
      <w:proofErr w:type="spellEnd"/>
      <w:r w:rsidRPr="003819FF">
        <w:rPr>
          <w:sz w:val="16"/>
          <w:szCs w:val="16"/>
        </w:rPr>
        <w:t xml:space="preserve">. </w:t>
      </w:r>
      <w:r w:rsidRPr="003819FF">
        <w:rPr>
          <w:i/>
          <w:iCs/>
          <w:sz w:val="16"/>
          <w:szCs w:val="16"/>
        </w:rPr>
        <w:t xml:space="preserve">Journal of heterocyclic chemistry </w:t>
      </w:r>
      <w:r w:rsidRPr="003819FF">
        <w:rPr>
          <w:b/>
          <w:bCs/>
          <w:sz w:val="16"/>
          <w:szCs w:val="16"/>
        </w:rPr>
        <w:t xml:space="preserve">23 </w:t>
      </w:r>
      <w:r w:rsidRPr="003819FF">
        <w:rPr>
          <w:sz w:val="16"/>
          <w:szCs w:val="16"/>
        </w:rPr>
        <w:t xml:space="preserve">(2) (1986) 289-319. </w:t>
      </w:r>
    </w:p>
    <w:p w14:paraId="3FB1AC9A" w14:textId="77777777" w:rsidR="00474351" w:rsidRPr="003819FF" w:rsidRDefault="00474351" w:rsidP="00474351">
      <w:pPr>
        <w:pStyle w:val="Default"/>
        <w:ind w:left="720" w:hanging="720"/>
        <w:jc w:val="both"/>
        <w:rPr>
          <w:sz w:val="16"/>
          <w:szCs w:val="16"/>
        </w:rPr>
      </w:pPr>
      <w:r w:rsidRPr="003819FF">
        <w:rPr>
          <w:sz w:val="16"/>
          <w:szCs w:val="16"/>
        </w:rPr>
        <w:t xml:space="preserve">[9] Knorr, L. </w:t>
      </w:r>
      <w:proofErr w:type="spellStart"/>
      <w:r w:rsidRPr="003819FF">
        <w:rPr>
          <w:sz w:val="16"/>
          <w:szCs w:val="16"/>
        </w:rPr>
        <w:t>Einwirkung</w:t>
      </w:r>
      <w:proofErr w:type="spellEnd"/>
      <w:r w:rsidRPr="003819FF">
        <w:rPr>
          <w:sz w:val="16"/>
          <w:szCs w:val="16"/>
        </w:rPr>
        <w:t xml:space="preserve"> von </w:t>
      </w:r>
      <w:proofErr w:type="spellStart"/>
      <w:r w:rsidRPr="003819FF">
        <w:rPr>
          <w:sz w:val="16"/>
          <w:szCs w:val="16"/>
        </w:rPr>
        <w:t>acetessigester</w:t>
      </w:r>
      <w:proofErr w:type="spellEnd"/>
      <w:r w:rsidRPr="003819FF">
        <w:rPr>
          <w:sz w:val="16"/>
          <w:szCs w:val="16"/>
        </w:rPr>
        <w:t xml:space="preserve"> auf </w:t>
      </w:r>
      <w:proofErr w:type="spellStart"/>
      <w:r w:rsidRPr="003819FF">
        <w:rPr>
          <w:sz w:val="16"/>
          <w:szCs w:val="16"/>
        </w:rPr>
        <w:t>phenylhydrazin</w:t>
      </w:r>
      <w:proofErr w:type="spellEnd"/>
      <w:r w:rsidRPr="003819FF">
        <w:rPr>
          <w:sz w:val="16"/>
          <w:szCs w:val="16"/>
        </w:rPr>
        <w:t xml:space="preserve">. </w:t>
      </w:r>
      <w:proofErr w:type="spellStart"/>
      <w:r w:rsidRPr="003819FF">
        <w:rPr>
          <w:i/>
          <w:iCs/>
          <w:sz w:val="16"/>
          <w:szCs w:val="16"/>
        </w:rPr>
        <w:t>Berichte</w:t>
      </w:r>
      <w:proofErr w:type="spellEnd"/>
      <w:r w:rsidRPr="003819FF">
        <w:rPr>
          <w:i/>
          <w:iCs/>
          <w:sz w:val="16"/>
          <w:szCs w:val="16"/>
        </w:rPr>
        <w:t xml:space="preserve"> der </w:t>
      </w:r>
      <w:proofErr w:type="spellStart"/>
      <w:r w:rsidRPr="003819FF">
        <w:rPr>
          <w:i/>
          <w:iCs/>
          <w:sz w:val="16"/>
          <w:szCs w:val="16"/>
        </w:rPr>
        <w:t>deutschen</w:t>
      </w:r>
      <w:proofErr w:type="spellEnd"/>
      <w:r w:rsidRPr="003819FF">
        <w:rPr>
          <w:i/>
          <w:iCs/>
          <w:sz w:val="16"/>
          <w:szCs w:val="16"/>
        </w:rPr>
        <w:t xml:space="preserve"> </w:t>
      </w:r>
      <w:proofErr w:type="spellStart"/>
      <w:r w:rsidRPr="003819FF">
        <w:rPr>
          <w:i/>
          <w:iCs/>
          <w:sz w:val="16"/>
          <w:szCs w:val="16"/>
        </w:rPr>
        <w:t>chemischen</w:t>
      </w:r>
      <w:proofErr w:type="spellEnd"/>
      <w:r w:rsidRPr="003819FF">
        <w:rPr>
          <w:i/>
          <w:iCs/>
          <w:sz w:val="16"/>
          <w:szCs w:val="16"/>
        </w:rPr>
        <w:t xml:space="preserve"> Gesellschaft </w:t>
      </w:r>
      <w:r w:rsidRPr="003819FF">
        <w:rPr>
          <w:b/>
          <w:bCs/>
          <w:sz w:val="16"/>
          <w:szCs w:val="16"/>
        </w:rPr>
        <w:t xml:space="preserve">16 </w:t>
      </w:r>
      <w:r w:rsidRPr="003819FF">
        <w:rPr>
          <w:sz w:val="16"/>
          <w:szCs w:val="16"/>
        </w:rPr>
        <w:t xml:space="preserve">(2) (1883) 2597-2599. </w:t>
      </w:r>
    </w:p>
    <w:p w14:paraId="1E375A20" w14:textId="77777777" w:rsidR="00474351" w:rsidRPr="003819FF" w:rsidRDefault="00474351" w:rsidP="00474351">
      <w:pPr>
        <w:pStyle w:val="Default"/>
        <w:ind w:left="720" w:hanging="720"/>
        <w:jc w:val="both"/>
        <w:rPr>
          <w:sz w:val="16"/>
          <w:szCs w:val="16"/>
        </w:rPr>
      </w:pPr>
      <w:r w:rsidRPr="003819FF">
        <w:rPr>
          <w:sz w:val="16"/>
          <w:szCs w:val="16"/>
        </w:rPr>
        <w:t xml:space="preserve">[10] Dar, A.M., </w:t>
      </w:r>
      <w:proofErr w:type="spellStart"/>
      <w:r w:rsidRPr="003819FF">
        <w:rPr>
          <w:sz w:val="16"/>
          <w:szCs w:val="16"/>
        </w:rPr>
        <w:t>Shamsuzzaman</w:t>
      </w:r>
      <w:proofErr w:type="spellEnd"/>
      <w:r w:rsidRPr="003819FF">
        <w:rPr>
          <w:sz w:val="16"/>
          <w:szCs w:val="16"/>
        </w:rPr>
        <w:t xml:space="preserve">. A Concise Review on the Synthesis of Pyrazole Heterocyclic. </w:t>
      </w:r>
      <w:r w:rsidRPr="003819FF">
        <w:rPr>
          <w:i/>
          <w:iCs/>
          <w:sz w:val="16"/>
          <w:szCs w:val="16"/>
        </w:rPr>
        <w:t xml:space="preserve">J. </w:t>
      </w:r>
      <w:proofErr w:type="spellStart"/>
      <w:r w:rsidRPr="003819FF">
        <w:rPr>
          <w:i/>
          <w:iCs/>
          <w:sz w:val="16"/>
          <w:szCs w:val="16"/>
        </w:rPr>
        <w:t>Nucl</w:t>
      </w:r>
      <w:proofErr w:type="spellEnd"/>
      <w:r w:rsidRPr="003819FF">
        <w:rPr>
          <w:i/>
          <w:iCs/>
          <w:sz w:val="16"/>
          <w:szCs w:val="16"/>
        </w:rPr>
        <w:t xml:space="preserve">. Med. </w:t>
      </w:r>
      <w:proofErr w:type="spellStart"/>
      <w:r w:rsidRPr="003819FF">
        <w:rPr>
          <w:i/>
          <w:iCs/>
          <w:sz w:val="16"/>
          <w:szCs w:val="16"/>
        </w:rPr>
        <w:t>Radiat</w:t>
      </w:r>
      <w:proofErr w:type="spellEnd"/>
      <w:r w:rsidRPr="003819FF">
        <w:rPr>
          <w:i/>
          <w:iCs/>
          <w:sz w:val="16"/>
          <w:szCs w:val="16"/>
        </w:rPr>
        <w:t xml:space="preserve">. </w:t>
      </w:r>
      <w:proofErr w:type="spellStart"/>
      <w:r w:rsidRPr="003819FF">
        <w:rPr>
          <w:i/>
          <w:iCs/>
          <w:sz w:val="16"/>
          <w:szCs w:val="16"/>
        </w:rPr>
        <w:t>Ther</w:t>
      </w:r>
      <w:proofErr w:type="spellEnd"/>
      <w:r w:rsidRPr="003819FF">
        <w:rPr>
          <w:i/>
          <w:iCs/>
          <w:sz w:val="16"/>
          <w:szCs w:val="16"/>
        </w:rPr>
        <w:t xml:space="preserve"> </w:t>
      </w:r>
      <w:r w:rsidRPr="003819FF">
        <w:rPr>
          <w:b/>
          <w:bCs/>
          <w:sz w:val="16"/>
          <w:szCs w:val="16"/>
        </w:rPr>
        <w:t xml:space="preserve">6 (5) </w:t>
      </w:r>
      <w:r w:rsidRPr="003819FF">
        <w:rPr>
          <w:sz w:val="16"/>
          <w:szCs w:val="16"/>
        </w:rPr>
        <w:t xml:space="preserve">(2015) 1-5. </w:t>
      </w:r>
    </w:p>
    <w:p w14:paraId="4C8950B8" w14:textId="77777777" w:rsidR="00474351" w:rsidRPr="003819FF" w:rsidRDefault="00474351" w:rsidP="00474351">
      <w:pPr>
        <w:pStyle w:val="Default"/>
        <w:ind w:left="720" w:hanging="720"/>
        <w:jc w:val="both"/>
        <w:rPr>
          <w:sz w:val="16"/>
          <w:szCs w:val="16"/>
        </w:rPr>
      </w:pPr>
      <w:r w:rsidRPr="003819FF">
        <w:rPr>
          <w:sz w:val="16"/>
          <w:szCs w:val="16"/>
        </w:rPr>
        <w:t xml:space="preserve">[11] Dar, A.M. </w:t>
      </w:r>
      <w:proofErr w:type="spellStart"/>
      <w:r w:rsidRPr="003819FF">
        <w:rPr>
          <w:sz w:val="16"/>
          <w:szCs w:val="16"/>
        </w:rPr>
        <w:t>Shamsuzzaman</w:t>
      </w:r>
      <w:proofErr w:type="spellEnd"/>
      <w:r w:rsidRPr="003819FF">
        <w:rPr>
          <w:sz w:val="16"/>
          <w:szCs w:val="16"/>
        </w:rPr>
        <w:t xml:space="preserve">, </w:t>
      </w:r>
      <w:proofErr w:type="spellStart"/>
      <w:r w:rsidRPr="003819FF">
        <w:rPr>
          <w:i/>
          <w:iCs/>
          <w:sz w:val="16"/>
          <w:szCs w:val="16"/>
        </w:rPr>
        <w:t>EurChem</w:t>
      </w:r>
      <w:proofErr w:type="spellEnd"/>
      <w:r w:rsidRPr="003819FF">
        <w:rPr>
          <w:i/>
          <w:iCs/>
          <w:sz w:val="16"/>
          <w:szCs w:val="16"/>
        </w:rPr>
        <w:t xml:space="preserve"> Bull</w:t>
      </w:r>
      <w:r w:rsidRPr="003819FF">
        <w:rPr>
          <w:sz w:val="16"/>
          <w:szCs w:val="16"/>
        </w:rPr>
        <w:t xml:space="preserve">, 2014, 3, 1104-1106. </w:t>
      </w:r>
    </w:p>
    <w:p w14:paraId="4AEA8D8B" w14:textId="77777777" w:rsidR="00474351" w:rsidRPr="003819FF" w:rsidRDefault="00474351" w:rsidP="00474351">
      <w:pPr>
        <w:pStyle w:val="Default"/>
        <w:ind w:left="720" w:hanging="720"/>
        <w:jc w:val="both"/>
        <w:rPr>
          <w:sz w:val="16"/>
          <w:szCs w:val="16"/>
        </w:rPr>
      </w:pPr>
      <w:r w:rsidRPr="003819FF">
        <w:rPr>
          <w:sz w:val="16"/>
          <w:szCs w:val="16"/>
        </w:rPr>
        <w:t xml:space="preserve">[12] Krygowski, T.M., </w:t>
      </w:r>
      <w:proofErr w:type="spellStart"/>
      <w:r w:rsidRPr="003819FF">
        <w:rPr>
          <w:sz w:val="16"/>
          <w:szCs w:val="16"/>
        </w:rPr>
        <w:t>Anulewicz</w:t>
      </w:r>
      <w:proofErr w:type="spellEnd"/>
      <w:r w:rsidRPr="003819FF">
        <w:rPr>
          <w:sz w:val="16"/>
          <w:szCs w:val="16"/>
        </w:rPr>
        <w:t xml:space="preserve">, R., </w:t>
      </w:r>
      <w:proofErr w:type="spellStart"/>
      <w:r w:rsidRPr="003819FF">
        <w:rPr>
          <w:sz w:val="16"/>
          <w:szCs w:val="16"/>
        </w:rPr>
        <w:t>Cyrański</w:t>
      </w:r>
      <w:proofErr w:type="spellEnd"/>
      <w:r w:rsidRPr="003819FF">
        <w:rPr>
          <w:sz w:val="16"/>
          <w:szCs w:val="16"/>
        </w:rPr>
        <w:t xml:space="preserve">, M.K., </w:t>
      </w:r>
      <w:proofErr w:type="spellStart"/>
      <w:r w:rsidRPr="003819FF">
        <w:rPr>
          <w:sz w:val="16"/>
          <w:szCs w:val="16"/>
        </w:rPr>
        <w:t>Puchala</w:t>
      </w:r>
      <w:proofErr w:type="spellEnd"/>
      <w:r w:rsidRPr="003819FF">
        <w:rPr>
          <w:sz w:val="16"/>
          <w:szCs w:val="16"/>
        </w:rPr>
        <w:t xml:space="preserve">, A. and </w:t>
      </w:r>
      <w:proofErr w:type="spellStart"/>
      <w:r w:rsidRPr="003819FF">
        <w:rPr>
          <w:sz w:val="16"/>
          <w:szCs w:val="16"/>
        </w:rPr>
        <w:t>Rasala</w:t>
      </w:r>
      <w:proofErr w:type="spellEnd"/>
      <w:r w:rsidRPr="003819FF">
        <w:rPr>
          <w:sz w:val="16"/>
          <w:szCs w:val="16"/>
        </w:rPr>
        <w:t xml:space="preserve">, D. Separation of the energetic and geometric contribution to the aromaticity. Part IX. Aromaticity of pyrazoles in dependence on the kind of substitution. </w:t>
      </w:r>
      <w:r w:rsidRPr="003819FF">
        <w:rPr>
          <w:i/>
          <w:iCs/>
          <w:sz w:val="16"/>
          <w:szCs w:val="16"/>
        </w:rPr>
        <w:t xml:space="preserve">Tetrahedron </w:t>
      </w:r>
      <w:r w:rsidRPr="003819FF">
        <w:rPr>
          <w:b/>
          <w:bCs/>
          <w:sz w:val="16"/>
          <w:szCs w:val="16"/>
        </w:rPr>
        <w:t xml:space="preserve">54 </w:t>
      </w:r>
      <w:r w:rsidRPr="003819FF">
        <w:rPr>
          <w:sz w:val="16"/>
          <w:szCs w:val="16"/>
        </w:rPr>
        <w:t xml:space="preserve">(40) (1998) 12295-12300. </w:t>
      </w:r>
    </w:p>
    <w:p w14:paraId="2344DA26" w14:textId="77777777" w:rsidR="00474351" w:rsidRPr="003819FF" w:rsidRDefault="00474351" w:rsidP="00474351">
      <w:pPr>
        <w:pStyle w:val="Default"/>
        <w:ind w:left="720" w:hanging="720"/>
        <w:jc w:val="both"/>
        <w:rPr>
          <w:sz w:val="16"/>
          <w:szCs w:val="16"/>
        </w:rPr>
      </w:pPr>
      <w:r w:rsidRPr="003819FF">
        <w:rPr>
          <w:sz w:val="16"/>
          <w:szCs w:val="16"/>
        </w:rPr>
        <w:t xml:space="preserve">[13] Premkumar, T. and Govindarajan, S. Antimicrobial study of pyrazine, </w:t>
      </w:r>
      <w:proofErr w:type="gramStart"/>
      <w:r w:rsidRPr="003819FF">
        <w:rPr>
          <w:sz w:val="16"/>
          <w:szCs w:val="16"/>
        </w:rPr>
        <w:t>pyrazole</w:t>
      </w:r>
      <w:proofErr w:type="gramEnd"/>
      <w:r w:rsidRPr="003819FF">
        <w:rPr>
          <w:sz w:val="16"/>
          <w:szCs w:val="16"/>
        </w:rPr>
        <w:t xml:space="preserve"> and imidazole carboxylic acids and their hydrazinium salts. </w:t>
      </w:r>
      <w:r w:rsidRPr="003819FF">
        <w:rPr>
          <w:i/>
          <w:iCs/>
          <w:sz w:val="16"/>
          <w:szCs w:val="16"/>
        </w:rPr>
        <w:t xml:space="preserve">World Journal of Microbiology and Biotechnology </w:t>
      </w:r>
      <w:r w:rsidRPr="003819FF">
        <w:rPr>
          <w:b/>
          <w:bCs/>
          <w:sz w:val="16"/>
          <w:szCs w:val="16"/>
        </w:rPr>
        <w:t xml:space="preserve">21 </w:t>
      </w:r>
      <w:r w:rsidRPr="003819FF">
        <w:rPr>
          <w:sz w:val="16"/>
          <w:szCs w:val="16"/>
        </w:rPr>
        <w:t xml:space="preserve">(4) (2005) 479-480. </w:t>
      </w:r>
    </w:p>
    <w:p w14:paraId="7AB4B7FB" w14:textId="375B7993" w:rsidR="00474351" w:rsidRPr="00A12E6D" w:rsidRDefault="00474351" w:rsidP="00A12E6D">
      <w:pPr>
        <w:pStyle w:val="Default"/>
        <w:ind w:left="720" w:hanging="720"/>
        <w:jc w:val="both"/>
        <w:rPr>
          <w:sz w:val="20"/>
          <w:szCs w:val="20"/>
        </w:rPr>
        <w:sectPr w:rsidR="00474351" w:rsidRPr="00A12E6D" w:rsidSect="00466548">
          <w:type w:val="continuous"/>
          <w:pgSz w:w="11909" w:h="16834" w:code="9"/>
          <w:pgMar w:top="1440" w:right="1440" w:bottom="1440" w:left="1440" w:header="720" w:footer="720" w:gutter="0"/>
          <w:cols w:space="720"/>
          <w:docGrid w:linePitch="360"/>
        </w:sectPr>
      </w:pPr>
      <w:r w:rsidRPr="003819FF">
        <w:rPr>
          <w:sz w:val="16"/>
          <w:szCs w:val="16"/>
        </w:rPr>
        <w:t xml:space="preserve">[14] Joule, J. A.; Mills, K., </w:t>
      </w:r>
      <w:r w:rsidRPr="003819FF">
        <w:rPr>
          <w:i/>
          <w:iCs/>
          <w:sz w:val="16"/>
          <w:szCs w:val="16"/>
        </w:rPr>
        <w:t>Heterocyclic Chemistry</w:t>
      </w:r>
      <w:r w:rsidRPr="003819FF">
        <w:rPr>
          <w:sz w:val="16"/>
          <w:szCs w:val="16"/>
        </w:rPr>
        <w:t>; 5</w:t>
      </w:r>
      <w:r w:rsidRPr="003819FF">
        <w:rPr>
          <w:i/>
          <w:iCs/>
          <w:sz w:val="16"/>
          <w:szCs w:val="16"/>
        </w:rPr>
        <w:t xml:space="preserve">th </w:t>
      </w:r>
      <w:r w:rsidRPr="003819FF">
        <w:rPr>
          <w:sz w:val="16"/>
          <w:szCs w:val="16"/>
        </w:rPr>
        <w:t xml:space="preserve">Ed.; John </w:t>
      </w:r>
      <w:proofErr w:type="spellStart"/>
      <w:r w:rsidRPr="003819FF">
        <w:rPr>
          <w:sz w:val="16"/>
          <w:szCs w:val="16"/>
        </w:rPr>
        <w:t>Wiley&amp;Sons</w:t>
      </w:r>
      <w:proofErr w:type="spellEnd"/>
      <w:r w:rsidRPr="003819FF">
        <w:rPr>
          <w:sz w:val="16"/>
          <w:szCs w:val="16"/>
        </w:rPr>
        <w:t xml:space="preserve">: United </w:t>
      </w:r>
      <w:proofErr w:type="spellStart"/>
      <w:r w:rsidRPr="003819FF">
        <w:rPr>
          <w:sz w:val="16"/>
          <w:szCs w:val="16"/>
        </w:rPr>
        <w:t>Kingtom</w:t>
      </w:r>
      <w:proofErr w:type="spellEnd"/>
      <w:r w:rsidRPr="003819FF">
        <w:rPr>
          <w:sz w:val="16"/>
          <w:szCs w:val="16"/>
        </w:rPr>
        <w:t>, 2010.</w:t>
      </w:r>
      <w:r>
        <w:rPr>
          <w:sz w:val="20"/>
          <w:szCs w:val="20"/>
        </w:rPr>
        <w:t xml:space="preserve"> </w:t>
      </w:r>
    </w:p>
    <w:p w14:paraId="7171B555" w14:textId="77777777" w:rsidR="0045511A" w:rsidRDefault="0045511A"/>
    <w:sectPr w:rsidR="004551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1" w:usb1="08070000" w:usb2="00000010" w:usb3="00000000" w:csb0="00020000" w:csb1="00000000"/>
  </w:font>
  <w:font w:name="TimesNewRomanPS-ItalicMT">
    <w:altName w:val="Calibri"/>
    <w:panose1 w:val="00000000000000000000"/>
    <w:charset w:val="A1"/>
    <w:family w:val="auto"/>
    <w:notTrueType/>
    <w:pitch w:val="default"/>
    <w:sig w:usb0="00000081" w:usb1="00000000" w:usb2="00000000" w:usb3="00000000" w:csb0="00000008"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122C" w14:textId="77777777" w:rsidR="001E64C4" w:rsidRPr="00012DED" w:rsidRDefault="00000000" w:rsidP="00012DED">
    <w:pPr>
      <w:pStyle w:val="Footer"/>
      <w:rPr>
        <w:szCs w:val="24"/>
      </w:rPr>
    </w:pPr>
    <w:r w:rsidRPr="00012DED">
      <w:rPr>
        <w:szCs w:val="24"/>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11A"/>
    <w:rsid w:val="0045511A"/>
    <w:rsid w:val="00474351"/>
    <w:rsid w:val="006A3BAD"/>
    <w:rsid w:val="00A12E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587ED"/>
  <w15:chartTrackingRefBased/>
  <w15:docId w15:val="{C66D9FE7-14F4-4F6F-A158-AD9670AF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351"/>
    <w:pPr>
      <w:spacing w:after="0" w:line="240" w:lineRule="auto"/>
      <w:jc w:val="center"/>
    </w:pPr>
    <w:rPr>
      <w:rFonts w:ascii="Times New Roman" w:eastAsia="Times New Roman" w:hAnsi="Times New Roman" w:cs="Times New Roman"/>
      <w:kern w:val="0"/>
      <w:sz w:val="20"/>
      <w:szCs w:val="20"/>
      <w:lang w:val="en-US"/>
      <w14:ligatures w14:val="none"/>
    </w:rPr>
  </w:style>
  <w:style w:type="paragraph" w:styleId="Heading1">
    <w:name w:val="heading 1"/>
    <w:basedOn w:val="Normal"/>
    <w:link w:val="Heading1Char"/>
    <w:uiPriority w:val="9"/>
    <w:qFormat/>
    <w:rsid w:val="00474351"/>
    <w:pPr>
      <w:spacing w:before="100" w:beforeAutospacing="1" w:after="100" w:afterAutospacing="1"/>
      <w:outlineLvl w:val="0"/>
    </w:pPr>
    <w:rPr>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474351"/>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474351"/>
    <w:pPr>
      <w:spacing w:before="360" w:after="40" w:line="240" w:lineRule="auto"/>
      <w:jc w:val="center"/>
    </w:pPr>
    <w:rPr>
      <w:rFonts w:ascii="Times New Roman" w:eastAsia="Times New Roman" w:hAnsi="Times New Roman" w:cs="Times New Roman"/>
      <w:noProof/>
      <w:kern w:val="0"/>
      <w:lang w:val="en-US"/>
      <w14:ligatures w14:val="none"/>
    </w:rPr>
  </w:style>
  <w:style w:type="paragraph" w:customStyle="1" w:styleId="papertitle">
    <w:name w:val="paper title"/>
    <w:uiPriority w:val="99"/>
    <w:rsid w:val="00474351"/>
    <w:pPr>
      <w:spacing w:after="120" w:line="240" w:lineRule="auto"/>
      <w:jc w:val="center"/>
    </w:pPr>
    <w:rPr>
      <w:rFonts w:ascii="Times New Roman" w:eastAsia="Times New Roman" w:hAnsi="Times New Roman" w:cs="Times New Roman"/>
      <w:bCs/>
      <w:noProof/>
      <w:kern w:val="0"/>
      <w:sz w:val="48"/>
      <w:szCs w:val="48"/>
      <w:lang w:val="en-US"/>
      <w14:ligatures w14:val="none"/>
    </w:rPr>
  </w:style>
  <w:style w:type="paragraph" w:styleId="Footer">
    <w:name w:val="footer"/>
    <w:basedOn w:val="Normal"/>
    <w:link w:val="FooterChar"/>
    <w:uiPriority w:val="99"/>
    <w:unhideWhenUsed/>
    <w:rsid w:val="00474351"/>
    <w:pPr>
      <w:tabs>
        <w:tab w:val="center" w:pos="4680"/>
        <w:tab w:val="right" w:pos="9360"/>
      </w:tabs>
    </w:pPr>
  </w:style>
  <w:style w:type="character" w:customStyle="1" w:styleId="FooterChar">
    <w:name w:val="Footer Char"/>
    <w:basedOn w:val="DefaultParagraphFont"/>
    <w:link w:val="Footer"/>
    <w:uiPriority w:val="99"/>
    <w:rsid w:val="00474351"/>
    <w:rPr>
      <w:rFonts w:ascii="Times New Roman" w:eastAsia="Times New Roman" w:hAnsi="Times New Roman" w:cs="Times New Roman"/>
      <w:kern w:val="0"/>
      <w:sz w:val="20"/>
      <w:szCs w:val="20"/>
      <w:lang w:val="en-US"/>
      <w14:ligatures w14:val="none"/>
    </w:rPr>
  </w:style>
  <w:style w:type="character" w:customStyle="1" w:styleId="Heading1Char">
    <w:name w:val="Heading 1 Char"/>
    <w:basedOn w:val="DefaultParagraphFont"/>
    <w:link w:val="Heading1"/>
    <w:uiPriority w:val="9"/>
    <w:rsid w:val="00474351"/>
    <w:rPr>
      <w:rFonts w:ascii="Times New Roman" w:eastAsia="Times New Roman" w:hAnsi="Times New Roman" w:cs="Times New Roman"/>
      <w:b/>
      <w:bCs/>
      <w:kern w:val="36"/>
      <w:sz w:val="48"/>
      <w:szCs w:val="48"/>
      <w:lang w:val="en-US" w:eastAsia="en-IN"/>
      <w14:ligatures w14:val="none"/>
    </w:rPr>
  </w:style>
  <w:style w:type="paragraph" w:customStyle="1" w:styleId="Abstract">
    <w:name w:val="Abstract"/>
    <w:uiPriority w:val="99"/>
    <w:rsid w:val="00474351"/>
    <w:pPr>
      <w:spacing w:after="200" w:line="240" w:lineRule="auto"/>
      <w:ind w:firstLine="274"/>
      <w:jc w:val="both"/>
    </w:pPr>
    <w:rPr>
      <w:rFonts w:ascii="Times New Roman" w:eastAsia="Times New Roman" w:hAnsi="Times New Roman" w:cs="Times New Roman"/>
      <w:b/>
      <w:bCs/>
      <w:kern w:val="0"/>
      <w:sz w:val="18"/>
      <w:szCs w:val="18"/>
      <w:lang w:val="en-US"/>
      <w14:ligatures w14:val="none"/>
    </w:rPr>
  </w:style>
  <w:style w:type="paragraph" w:styleId="BodyText">
    <w:name w:val="Body Text"/>
    <w:basedOn w:val="Normal"/>
    <w:link w:val="BodyTextChar"/>
    <w:uiPriority w:val="99"/>
    <w:rsid w:val="00474351"/>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474351"/>
    <w:rPr>
      <w:rFonts w:ascii="Times New Roman" w:eastAsia="MS Mincho" w:hAnsi="Times New Roman" w:cs="Times New Roman"/>
      <w:kern w:val="0"/>
      <w:sz w:val="20"/>
      <w:szCs w:val="20"/>
      <w:lang w:val="en-US"/>
      <w14:ligatures w14:val="none"/>
    </w:rPr>
  </w:style>
  <w:style w:type="paragraph" w:customStyle="1" w:styleId="keywords">
    <w:name w:val="key words"/>
    <w:uiPriority w:val="99"/>
    <w:rsid w:val="00474351"/>
    <w:pPr>
      <w:spacing w:after="120" w:line="240" w:lineRule="auto"/>
      <w:ind w:firstLine="274"/>
      <w:jc w:val="both"/>
    </w:pPr>
    <w:rPr>
      <w:rFonts w:ascii="Times New Roman" w:eastAsia="Times New Roman" w:hAnsi="Times New Roman" w:cs="Times New Roman"/>
      <w:b/>
      <w:bCs/>
      <w:i/>
      <w:iCs/>
      <w:noProof/>
      <w:kern w:val="0"/>
      <w:sz w:val="18"/>
      <w:szCs w:val="18"/>
      <w:lang w:val="en-US"/>
      <w14:ligatures w14:val="none"/>
    </w:rPr>
  </w:style>
  <w:style w:type="paragraph" w:customStyle="1" w:styleId="Default">
    <w:name w:val="Default"/>
    <w:rsid w:val="00474351"/>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image" Target="media/image8.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0" Type="http://schemas.openxmlformats.org/officeDocument/2006/relationships/image" Target="media/image6.png"/><Relationship Id="rId4" Type="http://schemas.openxmlformats.org/officeDocument/2006/relationships/footer" Target="footer1.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1921</Words>
  <Characters>10951</Characters>
  <Application>Microsoft Office Word</Application>
  <DocSecurity>0</DocSecurity>
  <Lines>91</Lines>
  <Paragraphs>25</Paragraphs>
  <ScaleCrop>false</ScaleCrop>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Swapnil</dc:creator>
  <cp:keywords/>
  <dc:description/>
  <cp:lastModifiedBy>Swapnil</cp:lastModifiedBy>
  <cp:revision>7</cp:revision>
  <dcterms:created xsi:type="dcterms:W3CDTF">2023-07-31T16:24:00Z</dcterms:created>
  <dcterms:modified xsi:type="dcterms:W3CDTF">2023-07-31T16:27:00Z</dcterms:modified>
</cp:coreProperties>
</file>