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4AA" w:rsidRPr="008B0F9E" w:rsidRDefault="002524AA" w:rsidP="002524AA">
      <w:pPr>
        <w:spacing w:line="480" w:lineRule="auto"/>
        <w:jc w:val="both"/>
        <w:rPr>
          <w:rFonts w:ascii="Times New Roman" w:hAnsi="Times New Roman" w:cs="Times New Roman"/>
          <w:sz w:val="24"/>
          <w:szCs w:val="24"/>
        </w:rPr>
      </w:pPr>
      <w:r w:rsidRPr="008B0F9E">
        <w:rPr>
          <w:rFonts w:ascii="Times New Roman" w:hAnsi="Times New Roman" w:cs="Times New Roman"/>
          <w:sz w:val="24"/>
          <w:szCs w:val="24"/>
        </w:rPr>
        <w:t>Mini-implants are anchorage reinforcement products that are safe, minimally intrusive, and can be used to supplement orthodontic anchorage. Mini</w:t>
      </w:r>
      <w:r w:rsidR="00F727F1">
        <w:rPr>
          <w:rFonts w:ascii="Times New Roman" w:hAnsi="Times New Roman" w:cs="Times New Roman"/>
          <w:sz w:val="24"/>
          <w:szCs w:val="24"/>
        </w:rPr>
        <w:t>-</w:t>
      </w:r>
      <w:r w:rsidRPr="008B0F9E">
        <w:rPr>
          <w:rFonts w:ascii="Times New Roman" w:hAnsi="Times New Roman" w:cs="Times New Roman"/>
          <w:sz w:val="24"/>
          <w:szCs w:val="24"/>
        </w:rPr>
        <w:t>implants are exempt from the traditional extraoral anchorage's compliance requirements. Mini-implants work better than traditional implants in as they are implanted into the bone, traditional intraoral anchorage designs. To address orthodontic malocclusion in the anteroposterior, vertical, and transverse dimensions, mini-implants can be inserted at various places in the maxilla and mandible</w:t>
      </w:r>
      <w:r w:rsidRPr="006650F9">
        <w:rPr>
          <w:rFonts w:ascii="Times New Roman" w:hAnsi="Times New Roman" w:cs="Times New Roman"/>
          <w:sz w:val="24"/>
          <w:szCs w:val="24"/>
          <w:vertAlign w:val="superscript"/>
        </w:rPr>
        <w:t>.</w:t>
      </w:r>
      <w:r w:rsidR="00F73678" w:rsidRPr="006650F9">
        <w:rPr>
          <w:rFonts w:ascii="Times New Roman" w:hAnsi="Times New Roman" w:cs="Times New Roman"/>
          <w:sz w:val="24"/>
          <w:szCs w:val="24"/>
          <w:vertAlign w:val="superscript"/>
        </w:rPr>
        <w:fldChar w:fldCharType="begin"/>
      </w:r>
      <w:r w:rsidRPr="006650F9">
        <w:rPr>
          <w:rFonts w:ascii="Times New Roman" w:hAnsi="Times New Roman" w:cs="Times New Roman"/>
          <w:sz w:val="24"/>
          <w:szCs w:val="24"/>
          <w:vertAlign w:val="superscript"/>
        </w:rPr>
        <w:instrText xml:space="preserve"> ADDIN ZOTERO_ITEM CSL_CITATION {"citationID":"ckH1U8wC","properties":{"formattedCitation":"(1)","plainCitation":"(1)","noteIndex":0},"citationItems":[{"id":363,"uris":["http://zotero.org/users/10901486/items/NZUB59P3"],"itemData":{"id":363,"type":"article-journal","abstract":"Orthodontic mini-implants are a relatively newer form of anchorage compared to the conventional intraoral and extraoral anchorage appliances. Mini-implants can be used for the correction of a wide range of orthodontic malocclusions. This article reviews the current evidence on mini-implants regarding the clinical uses, and comparing it with conventional anchorage appliances. This article reports the difference between orthodontic mini-implants and prosthetic dental implants. It also reviews the information on how orthodontic mini-implants can be used for obtaining anchorage in antero-posterior, transverse, and vertical dimension. The biomechanical considerations of orthodontic treatment with conventional anchorage and mini-implants is presented in this paper.","container-title":"International Journal of Dentistry Research","DOI":"10.31254/dentistry.2021.6303","ISSN":"25813218","issue":"3","journalAbbreviation":"Int J Dentistry Res.","language":"en","page":"78-80","source":"DOI.org (Crossref)","title":"Recent Advancements in Orthodontic Anchorage Using Mini-Implants","volume":"6","author":[{"literal":"B4, Isckon Butterflies, Ramavarmapuram, Thrissur-680631, Kerala, India"},{"family":"Nair","given":"Meera V"},{"family":"Majeed","given":"Shamin Abdul"},{"literal":"Puthiyaveetil House, Near police quarters, Valapad PO, Thrissur -680567, Kerala, India"},{"family":"Sukumaran","given":"Sreejith V"},{"literal":"No 2, Alwafra Apartments, Vadakkekad, Thrissur -679562, Kerala, India"}],"issued":{"date-parts":[["2021",12,30]]}}}],"schema":"https://github.com/citation-style-language/schema/raw/master/csl-citation.json"} </w:instrText>
      </w:r>
      <w:r w:rsidR="00F73678" w:rsidRPr="006650F9">
        <w:rPr>
          <w:rFonts w:ascii="Times New Roman" w:hAnsi="Times New Roman" w:cs="Times New Roman"/>
          <w:sz w:val="24"/>
          <w:szCs w:val="24"/>
          <w:vertAlign w:val="superscript"/>
        </w:rPr>
        <w:fldChar w:fldCharType="separate"/>
      </w:r>
      <w:r w:rsidRPr="006650F9">
        <w:rPr>
          <w:rFonts w:ascii="Times New Roman" w:hAnsi="Times New Roman" w:cs="Times New Roman"/>
          <w:sz w:val="24"/>
          <w:vertAlign w:val="superscript"/>
        </w:rPr>
        <w:t>(1)</w:t>
      </w:r>
      <w:r w:rsidR="00F73678" w:rsidRPr="006650F9">
        <w:rPr>
          <w:rFonts w:ascii="Times New Roman" w:hAnsi="Times New Roman" w:cs="Times New Roman"/>
          <w:sz w:val="24"/>
          <w:szCs w:val="24"/>
          <w:vertAlign w:val="superscript"/>
        </w:rPr>
        <w:fldChar w:fldCharType="end"/>
      </w:r>
    </w:p>
    <w:p w:rsidR="002524AA" w:rsidRPr="008B0F9E" w:rsidRDefault="002524AA" w:rsidP="002524AA">
      <w:pPr>
        <w:spacing w:line="480" w:lineRule="auto"/>
        <w:jc w:val="both"/>
        <w:rPr>
          <w:rFonts w:ascii="Times New Roman" w:hAnsi="Times New Roman" w:cs="Times New Roman"/>
          <w:sz w:val="24"/>
          <w:szCs w:val="24"/>
        </w:rPr>
      </w:pPr>
      <w:r w:rsidRPr="008B0F9E">
        <w:rPr>
          <w:rFonts w:ascii="Times New Roman" w:hAnsi="Times New Roman" w:cs="Times New Roman"/>
          <w:sz w:val="24"/>
          <w:szCs w:val="24"/>
        </w:rPr>
        <w:t>Titanium mini-screws have become extremely common in orthodontics during the past 20 years and are frequently used as a source of absolute intraoral anchorage, expanding the potential goals and range of orthodontic therapy. Another benefit is the potential for providing quick loading, which shortens the overall length of orthodontic therapy.</w:t>
      </w:r>
      <w:r w:rsidR="00F73678" w:rsidRPr="006650F9">
        <w:rPr>
          <w:rFonts w:ascii="Times New Roman" w:hAnsi="Times New Roman" w:cs="Times New Roman"/>
          <w:sz w:val="24"/>
          <w:szCs w:val="24"/>
          <w:vertAlign w:val="superscript"/>
        </w:rPr>
        <w:fldChar w:fldCharType="begin"/>
      </w:r>
      <w:r w:rsidRPr="006650F9">
        <w:rPr>
          <w:rFonts w:ascii="Times New Roman" w:hAnsi="Times New Roman" w:cs="Times New Roman"/>
          <w:sz w:val="24"/>
          <w:szCs w:val="24"/>
          <w:vertAlign w:val="superscript"/>
        </w:rPr>
        <w:instrText xml:space="preserve"> ADDIN ZOTERO_ITEM CSL_CITATION {"citationID":"MpTor3wb","properties":{"formattedCitation":"(2)","plainCitation":"(2)","noteIndex":0},"citationItems":[{"id":385,"uris":["http://zotero.org/users/10901486/items/3UQ7TBXG"],"itemData":{"id":385,"type":"article-journal","abstract":"The orthodontic miniscrew (TADs) is a device that is fixed into bone in the short term for the purpose of enhancing orthodontic anchorage. The aim of our study was to investigate the structural and surface properties of recovered TADs after orthodontic treatment, and compare them to new TADs. TADs (n = 15) from the same manufacturer (Absoanchor; Dentos, Daegu, Korea) were assessed; n = 10 were recovered from patients after orthodontic treatment and n = 5 were new. We performed electrochemical investigations, scanning electron microscopy (SEM) and microbiological analysis. Qualitative analysis on general electrochemical polarization revealed that the TADs retrieved from the patients provided much lower current densities in the passivity zone, and the oxidative processes taking place on their surface were of lower intensity. The surface morphologies of the tips of the retrieved mini-implants showed less sharp tips and smooth surfaces. Defects in the form of pores or cracks could be identified in both evaluated TAD groups. All retrieved TADs showed signs of biological materials (SEM analysis) and contamination on their surfaces. In conclusion, these results can assist orthodontists in comprehending the complexities of TAD behavior with respect to their design and structure.","container-title":"Materials","DOI":"10.3390/ma14216271","ISSN":"1996-1944","issue":"21","journalAbbreviation":"Materials","language":"en","page":"6271","source":"DOI.org (Crossref)","title":"New and Recovered Temporary Anchorage Devices, In Vitro Assessment of Structural and Surface Properties","volume":"14","author":[{"family":"Jiman","given":"Paula Argentina"},{"family":"Prodan","given":"Doina"},{"family":"Moldovan","given":"Marioara"},{"family":"Muntean","given":"Alexandrina"},{"family":"Sarosi","given":"Codruta"},{"family":"Tarmure","given":"Viorica"},{"family":"Baciut","given":"Grigore"},{"family":"Popa","given":"Catalin"},{"family":"Pop","given":"Andreea Simona"}],"issued":{"date-parts":[["2021",10,21]]}}}],"schema":"https://github.com/citation-style-language/schema/raw/master/csl-citation.json"} </w:instrText>
      </w:r>
      <w:r w:rsidR="00F73678" w:rsidRPr="006650F9">
        <w:rPr>
          <w:rFonts w:ascii="Times New Roman" w:hAnsi="Times New Roman" w:cs="Times New Roman"/>
          <w:sz w:val="24"/>
          <w:szCs w:val="24"/>
          <w:vertAlign w:val="superscript"/>
        </w:rPr>
        <w:fldChar w:fldCharType="separate"/>
      </w:r>
      <w:r w:rsidRPr="006650F9">
        <w:rPr>
          <w:rFonts w:ascii="Times New Roman" w:hAnsi="Times New Roman" w:cs="Times New Roman"/>
          <w:sz w:val="24"/>
          <w:vertAlign w:val="superscript"/>
        </w:rPr>
        <w:t>(2)</w:t>
      </w:r>
      <w:r w:rsidR="00F73678" w:rsidRPr="006650F9">
        <w:rPr>
          <w:rFonts w:ascii="Times New Roman" w:hAnsi="Times New Roman" w:cs="Times New Roman"/>
          <w:sz w:val="24"/>
          <w:szCs w:val="24"/>
          <w:vertAlign w:val="superscript"/>
        </w:rPr>
        <w:fldChar w:fldCharType="end"/>
      </w:r>
      <w:r w:rsidRPr="008B0F9E">
        <w:rPr>
          <w:rFonts w:ascii="Times New Roman" w:hAnsi="Times New Roman" w:cs="Times New Roman"/>
          <w:sz w:val="24"/>
          <w:szCs w:val="24"/>
        </w:rPr>
        <w:t xml:space="preserve"> TADs give more consistent outcomes when compared to other anchorage mechanisms. </w:t>
      </w:r>
    </w:p>
    <w:p w:rsidR="002524AA" w:rsidRPr="008B0F9E" w:rsidRDefault="002524AA" w:rsidP="002524AA">
      <w:pPr>
        <w:spacing w:line="480" w:lineRule="auto"/>
        <w:jc w:val="both"/>
        <w:rPr>
          <w:rFonts w:ascii="Times New Roman" w:hAnsi="Times New Roman" w:cs="Times New Roman"/>
          <w:sz w:val="24"/>
          <w:szCs w:val="24"/>
        </w:rPr>
      </w:pPr>
      <w:r w:rsidRPr="008B0F9E">
        <w:rPr>
          <w:rFonts w:ascii="Times New Roman" w:hAnsi="Times New Roman" w:cs="Times New Roman"/>
          <w:sz w:val="24"/>
          <w:szCs w:val="24"/>
        </w:rPr>
        <w:t>A novel type of orthodontic anchoring that uses orthodontic mini-implants (OMIs), also known as mini-screw implants and temporary anchorage devices, has emerged at the beginning of the twenty-first century (TADs). The average body (endosseous) dimensions of these modified bone screws are 1.5–2 mm in diameter and 6–10 mm in length. When opposed to dental implants, their surfaces are polished and smooth. They therefore rely on mechanical retention within the cortical layers of the alveolar and palatal bones rather than osseointegration.</w:t>
      </w:r>
      <w:r w:rsidR="00F73678" w:rsidRPr="006650F9">
        <w:rPr>
          <w:rFonts w:ascii="Times New Roman" w:hAnsi="Times New Roman" w:cs="Times New Roman"/>
          <w:sz w:val="24"/>
          <w:szCs w:val="24"/>
          <w:vertAlign w:val="superscript"/>
        </w:rPr>
        <w:fldChar w:fldCharType="begin"/>
      </w:r>
      <w:r w:rsidRPr="006650F9">
        <w:rPr>
          <w:rFonts w:ascii="Times New Roman" w:hAnsi="Times New Roman" w:cs="Times New Roman"/>
          <w:sz w:val="24"/>
          <w:szCs w:val="24"/>
          <w:vertAlign w:val="superscript"/>
        </w:rPr>
        <w:instrText xml:space="preserve"> ADDIN ZOTERO_ITEM CSL_CITATION {"citationID":"sZAJltUO","properties":{"formattedCitation":"(3)","plainCitation":"(3)","noteIndex":0},"citationItems":[{"id":387,"uris":["http://zotero.org/users/10901486/items/5FD3QXKZ"],"itemData":{"id":387,"type":"article-journal","abstract":"Informs that orthodontic mini-implants (OMIs) provide reliable anchorage in all three dimensions (antero-posterior, transverse and vertical).Reports that OMIs are well accepted and tolerated by both adult and adolescent patients, with minimal morbidity.Highlights that optimum use of OMIs requires an understanding of orthodontic biomechanics, particularly in terms of the effects of altered traction positions.","container-title":"British Dental Journal","DOI":"10.1038/sj.bdj.2015.53","ISSN":"1476-5373","issue":"3","journalAbbreviation":"Br Dent J","language":"en","license":"2015 Nature Publishing Group","note":"number: 3\npublisher: Nature Publishing Group","page":"E4-E4","source":"www.nature.com","title":"Advances in orthodontic anchorage with the use of mini-implant techniques","volume":"218","author":[{"family":"Cousley","given":"R. R. J."},{"family":"Sandler","given":"P. J."}],"issued":{"date-parts":[["2015",2]]}}}],"schema":"https://github.com/citation-style-language/schema/raw/master/csl-citation.json"} </w:instrText>
      </w:r>
      <w:r w:rsidR="00F73678" w:rsidRPr="006650F9">
        <w:rPr>
          <w:rFonts w:ascii="Times New Roman" w:hAnsi="Times New Roman" w:cs="Times New Roman"/>
          <w:sz w:val="24"/>
          <w:szCs w:val="24"/>
          <w:vertAlign w:val="superscript"/>
        </w:rPr>
        <w:fldChar w:fldCharType="separate"/>
      </w:r>
      <w:r w:rsidRPr="006650F9">
        <w:rPr>
          <w:rFonts w:ascii="Times New Roman" w:hAnsi="Times New Roman" w:cs="Times New Roman"/>
          <w:sz w:val="24"/>
          <w:vertAlign w:val="superscript"/>
        </w:rPr>
        <w:t>(3)</w:t>
      </w:r>
      <w:r w:rsidR="00F73678" w:rsidRPr="006650F9">
        <w:rPr>
          <w:rFonts w:ascii="Times New Roman" w:hAnsi="Times New Roman" w:cs="Times New Roman"/>
          <w:sz w:val="24"/>
          <w:szCs w:val="24"/>
          <w:vertAlign w:val="superscript"/>
        </w:rPr>
        <w:fldChar w:fldCharType="end"/>
      </w:r>
    </w:p>
    <w:p w:rsidR="002524AA" w:rsidRPr="008B0F9E" w:rsidRDefault="00C8572E" w:rsidP="002524AA">
      <w:pPr>
        <w:spacing w:line="480" w:lineRule="auto"/>
        <w:jc w:val="both"/>
        <w:rPr>
          <w:rFonts w:ascii="Times New Roman" w:hAnsi="Times New Roman" w:cs="Times New Roman"/>
          <w:color w:val="222222"/>
          <w:sz w:val="24"/>
          <w:szCs w:val="24"/>
          <w:shd w:val="clear" w:color="auto" w:fill="FFFFFF"/>
        </w:rPr>
      </w:pPr>
      <w:r w:rsidRPr="00C8572E">
        <w:rPr>
          <w:rFonts w:ascii="Times New Roman" w:hAnsi="Times New Roman" w:cs="Times New Roman"/>
          <w:color w:val="222222"/>
          <w:sz w:val="24"/>
          <w:szCs w:val="24"/>
          <w:shd w:val="clear" w:color="auto" w:fill="FFFFFF"/>
        </w:rPr>
        <w:t>Orthodontic mini-implants were initially appealing because of the potential for them to offer dependable anchorage that is not dependent on the teeth and requires no more patient compliance than regular fixed appliance treatment. OMIs give anchorage in all three dimensions, which h</w:t>
      </w:r>
      <w:r>
        <w:rPr>
          <w:rFonts w:ascii="Times New Roman" w:hAnsi="Times New Roman" w:cs="Times New Roman"/>
          <w:color w:val="222222"/>
          <w:sz w:val="24"/>
          <w:szCs w:val="24"/>
          <w:shd w:val="clear" w:color="auto" w:fill="FFFFFF"/>
        </w:rPr>
        <w:t>as only lately been realised</w:t>
      </w:r>
      <w:r w:rsidRPr="00C8572E">
        <w:rPr>
          <w:rFonts w:ascii="Times New Roman" w:hAnsi="Times New Roman" w:cs="Times New Roman"/>
          <w:color w:val="222222"/>
          <w:sz w:val="24"/>
          <w:szCs w:val="24"/>
          <w:shd w:val="clear" w:color="auto" w:fill="FFFFFF"/>
        </w:rPr>
        <w:t>.</w:t>
      </w:r>
      <w:r w:rsidR="00F73678" w:rsidRPr="006650F9">
        <w:rPr>
          <w:rFonts w:ascii="Times New Roman" w:hAnsi="Times New Roman" w:cs="Times New Roman"/>
          <w:color w:val="222222"/>
          <w:sz w:val="24"/>
          <w:szCs w:val="24"/>
          <w:shd w:val="clear" w:color="auto" w:fill="FFFFFF"/>
          <w:vertAlign w:val="superscript"/>
        </w:rPr>
        <w:fldChar w:fldCharType="begin"/>
      </w:r>
      <w:r w:rsidR="002524AA" w:rsidRPr="006650F9">
        <w:rPr>
          <w:rFonts w:ascii="Times New Roman" w:hAnsi="Times New Roman" w:cs="Times New Roman"/>
          <w:color w:val="222222"/>
          <w:sz w:val="24"/>
          <w:szCs w:val="24"/>
          <w:shd w:val="clear" w:color="auto" w:fill="FFFFFF"/>
          <w:vertAlign w:val="superscript"/>
        </w:rPr>
        <w:instrText xml:space="preserve"> ADDIN ZOTERO_ITEM CSL_CITATION {"citationID":"8oPc1p1x","properties":{"formattedCitation":"(3)","plainCitation":"(3)","noteIndex":0},"citationItems":[{"id":387,"uris":["http://zotero.org/users/10901486/items/5FD3QXKZ"],"itemData":{"id":387,"type":"article-journal","abstract":"Informs that orthodontic mini-implants (OMIs) provide reliable anchorage in all three dimensions (antero-posterior, transverse and vertical).Reports that OMIs are well accepted and tolerated by both adult and adolescent patients, with minimal morbidity.Highlights that optimum use of OMIs requires an understanding of orthodontic biomechanics, particularly in terms of the effects of altered traction positions.","container-title":"British Dental Journal","DOI":"10.1038/sj.bdj.2015.53","ISSN":"1476-5373","issue":"3","journalAbbreviation":"Br Dent J","language":"en","license":"2015 Nature Publishing Group","note":"number: 3\npublisher: Nature Publishing Group","page":"E4-E4","source":"www.nature.com","title":"Advances in orthodontic anchorage with the use of mini-implant techniques","volume":"218","author":[{"family":"Cousley","given":"R. R. J."},{"family":"Sandler","given":"P. J."}],"issued":{"date-parts":[["2015",2]]}}}],"schema":"https://github.com/citation-style-language/schema/raw/master/csl-citation.json"} </w:instrText>
      </w:r>
      <w:r w:rsidR="00F73678" w:rsidRPr="006650F9">
        <w:rPr>
          <w:rFonts w:ascii="Times New Roman" w:hAnsi="Times New Roman" w:cs="Times New Roman"/>
          <w:color w:val="222222"/>
          <w:sz w:val="24"/>
          <w:szCs w:val="24"/>
          <w:shd w:val="clear" w:color="auto" w:fill="FFFFFF"/>
          <w:vertAlign w:val="superscript"/>
        </w:rPr>
        <w:fldChar w:fldCharType="separate"/>
      </w:r>
      <w:r w:rsidR="002524AA" w:rsidRPr="006650F9">
        <w:rPr>
          <w:rFonts w:ascii="Times New Roman" w:hAnsi="Times New Roman" w:cs="Times New Roman"/>
          <w:sz w:val="24"/>
          <w:vertAlign w:val="superscript"/>
        </w:rPr>
        <w:t>(3)</w:t>
      </w:r>
      <w:r w:rsidR="00F73678" w:rsidRPr="006650F9">
        <w:rPr>
          <w:rFonts w:ascii="Times New Roman" w:hAnsi="Times New Roman" w:cs="Times New Roman"/>
          <w:color w:val="222222"/>
          <w:sz w:val="24"/>
          <w:szCs w:val="24"/>
          <w:shd w:val="clear" w:color="auto" w:fill="FFFFFF"/>
          <w:vertAlign w:val="superscript"/>
        </w:rPr>
        <w:fldChar w:fldCharType="end"/>
      </w:r>
    </w:p>
    <w:p w:rsidR="002524AA" w:rsidRDefault="002524AA" w:rsidP="002524AA">
      <w:pPr>
        <w:spacing w:line="480" w:lineRule="auto"/>
        <w:jc w:val="both"/>
        <w:rPr>
          <w:rFonts w:ascii="Times New Roman" w:hAnsi="Times New Roman" w:cs="Times New Roman"/>
          <w:color w:val="222222"/>
          <w:sz w:val="24"/>
          <w:szCs w:val="24"/>
          <w:shd w:val="clear" w:color="auto" w:fill="FFFFFF"/>
          <w:vertAlign w:val="superscript"/>
        </w:rPr>
      </w:pPr>
      <w:r w:rsidRPr="008B0F9E">
        <w:rPr>
          <w:rFonts w:ascii="Times New Roman" w:hAnsi="Times New Roman" w:cs="Times New Roman"/>
          <w:color w:val="222222"/>
          <w:sz w:val="24"/>
          <w:szCs w:val="24"/>
          <w:shd w:val="clear" w:color="auto" w:fill="FFFFFF"/>
        </w:rPr>
        <w:lastRenderedPageBreak/>
        <w:t xml:space="preserve">There have been many significant developments in orthodontics over the course of its century-long history, but few can compare to the therapeutic effect produced by micro-implants and the new orthodontic bone screws for the </w:t>
      </w:r>
      <w:r w:rsidRPr="008B0F9E">
        <w:rPr>
          <w:rFonts w:ascii="Times New Roman" w:hAnsi="Times New Roman" w:cs="Times New Roman"/>
          <w:b/>
          <w:i/>
          <w:color w:val="222222"/>
          <w:sz w:val="24"/>
          <w:szCs w:val="24"/>
          <w:u w:val="single"/>
          <w:shd w:val="clear" w:color="auto" w:fill="FFFFFF"/>
        </w:rPr>
        <w:t>buccal shelf (BS) and infra-zygomatic crest (IZC).</w:t>
      </w:r>
      <w:r>
        <w:rPr>
          <w:rFonts w:ascii="Times New Roman" w:hAnsi="Times New Roman" w:cs="Times New Roman"/>
          <w:color w:val="222222"/>
          <w:sz w:val="24"/>
          <w:szCs w:val="24"/>
          <w:shd w:val="clear" w:color="auto" w:fill="FFFFFF"/>
        </w:rPr>
        <w:t>(</w:t>
      </w:r>
      <w:r w:rsidR="00F82ABE">
        <w:rPr>
          <w:rFonts w:ascii="Times New Roman" w:hAnsi="Times New Roman" w:cs="Times New Roman"/>
          <w:color w:val="222222"/>
          <w:sz w:val="24"/>
          <w:szCs w:val="24"/>
          <w:shd w:val="clear" w:color="auto" w:fill="FFFFFF"/>
        </w:rPr>
        <w:t>F</w:t>
      </w:r>
      <w:r>
        <w:rPr>
          <w:rFonts w:ascii="Times New Roman" w:hAnsi="Times New Roman" w:cs="Times New Roman"/>
          <w:color w:val="222222"/>
          <w:sz w:val="24"/>
          <w:szCs w:val="24"/>
          <w:shd w:val="clear" w:color="auto" w:fill="FFFFFF"/>
        </w:rPr>
        <w:t>igure 7.1</w:t>
      </w:r>
      <w:r w:rsidR="00EB7397">
        <w:rPr>
          <w:rFonts w:ascii="Times New Roman" w:hAnsi="Times New Roman" w:cs="Times New Roman"/>
          <w:color w:val="222222"/>
          <w:sz w:val="24"/>
          <w:szCs w:val="24"/>
          <w:shd w:val="clear" w:color="auto" w:fill="FFFFFF"/>
        </w:rPr>
        <w:t>a, 7.1b</w:t>
      </w:r>
      <w:r>
        <w:rPr>
          <w:rFonts w:ascii="Times New Roman" w:hAnsi="Times New Roman" w:cs="Times New Roman"/>
          <w:color w:val="222222"/>
          <w:sz w:val="24"/>
          <w:szCs w:val="24"/>
          <w:shd w:val="clear" w:color="auto" w:fill="FFFFFF"/>
        </w:rPr>
        <w:t xml:space="preserve"> and 7.2)</w:t>
      </w:r>
      <w:r w:rsidRPr="008B0F9E">
        <w:rPr>
          <w:rFonts w:ascii="Times New Roman" w:hAnsi="Times New Roman" w:cs="Times New Roman"/>
          <w:color w:val="222222"/>
          <w:sz w:val="24"/>
          <w:szCs w:val="24"/>
          <w:shd w:val="clear" w:color="auto" w:fill="FFFFFF"/>
        </w:rPr>
        <w:t xml:space="preserve"> In the last ten years, the notion of absolute anchorage has been revitalised by the use of micro-implants and extra-radicular bone screws in orthodontics. An experienced physician may use it as an additional tool in their toolbox to meet new clinical difficulties and transition even surgical situations that are on the verge of becoming nonsurgical without sacrificing the outcomes attained.</w:t>
      </w:r>
      <w:r w:rsidR="00F73678" w:rsidRPr="006650F9">
        <w:rPr>
          <w:rFonts w:ascii="Times New Roman" w:hAnsi="Times New Roman" w:cs="Times New Roman"/>
          <w:color w:val="222222"/>
          <w:sz w:val="24"/>
          <w:szCs w:val="24"/>
          <w:shd w:val="clear" w:color="auto" w:fill="FFFFFF"/>
          <w:vertAlign w:val="superscript"/>
        </w:rPr>
        <w:fldChar w:fldCharType="begin"/>
      </w:r>
      <w:r w:rsidRPr="006650F9">
        <w:rPr>
          <w:rFonts w:ascii="Times New Roman" w:hAnsi="Times New Roman" w:cs="Times New Roman"/>
          <w:color w:val="222222"/>
          <w:sz w:val="24"/>
          <w:szCs w:val="24"/>
          <w:shd w:val="clear" w:color="auto" w:fill="FFFFFF"/>
          <w:vertAlign w:val="superscript"/>
        </w:rPr>
        <w:instrText xml:space="preserve"> ADDIN ZOTERO_ITEM CSL_CITATION {"citationID":"lEJkE04I","properties":{"formattedCitation":"(4)","plainCitation":"(4)","noteIndex":0},"citationItems":[{"id":391,"uris":["http://zotero.org/users/10901486/items/GU8XLNZI"],"itemData":{"id":391,"type":"article-journal","container-title":"Journal of Indian Orthodontic Society","DOI":"10.4103/jios.jios_229_18","ISSN":"0301-5742","issue":"4_suppl2","journalAbbreviation":"J Indian Orthod Soc","note":"publisher: SAGE Publications India","page":"127-141","source":"SAGE Journals","title":"Infra-Zygomatic Crest and Buccal Shelf - Orthodontic Bone Screws: A Leap Ahead of Micro-Implants – Clinical Perspectives","title-short":"Infra-Zygomatic Crest and Buccal Shelf - Orthodontic Bone Screws","volume":"52","author":[{"family":"Ghosh","given":"Abhisek"}],"issued":{"date-parts":[["2018",12,1]]}}}],"schema":"https://github.com/citation-style-language/schema/raw/master/csl-citation.json"} </w:instrText>
      </w:r>
      <w:r w:rsidR="00F73678" w:rsidRPr="006650F9">
        <w:rPr>
          <w:rFonts w:ascii="Times New Roman" w:hAnsi="Times New Roman" w:cs="Times New Roman"/>
          <w:color w:val="222222"/>
          <w:sz w:val="24"/>
          <w:szCs w:val="24"/>
          <w:shd w:val="clear" w:color="auto" w:fill="FFFFFF"/>
          <w:vertAlign w:val="superscript"/>
        </w:rPr>
        <w:fldChar w:fldCharType="separate"/>
      </w:r>
      <w:r w:rsidRPr="006650F9">
        <w:rPr>
          <w:rFonts w:ascii="Times New Roman" w:hAnsi="Times New Roman" w:cs="Times New Roman"/>
          <w:sz w:val="24"/>
          <w:vertAlign w:val="superscript"/>
        </w:rPr>
        <w:t>(4)</w:t>
      </w:r>
      <w:r w:rsidR="00F73678" w:rsidRPr="006650F9">
        <w:rPr>
          <w:rFonts w:ascii="Times New Roman" w:hAnsi="Times New Roman" w:cs="Times New Roman"/>
          <w:color w:val="222222"/>
          <w:sz w:val="24"/>
          <w:szCs w:val="24"/>
          <w:shd w:val="clear" w:color="auto" w:fill="FFFFFF"/>
          <w:vertAlign w:val="superscript"/>
        </w:rPr>
        <w:fldChar w:fldCharType="end"/>
      </w:r>
    </w:p>
    <w:p w:rsidR="002524AA" w:rsidRPr="008B2BB2" w:rsidRDefault="008B2BB2" w:rsidP="002524AA">
      <w:pPr>
        <w:spacing w:line="480" w:lineRule="auto"/>
        <w:jc w:val="both"/>
        <w:rPr>
          <w:rFonts w:ascii="Times New Roman" w:hAnsi="Times New Roman" w:cs="Times New Roman"/>
          <w:color w:val="222222"/>
          <w:sz w:val="24"/>
          <w:szCs w:val="24"/>
          <w:shd w:val="clear" w:color="auto" w:fill="FFFFFF"/>
          <w:vertAlign w:val="superscript"/>
        </w:rPr>
      </w:pPr>
      <w:r w:rsidRPr="00ED562F">
        <w:rPr>
          <w:rFonts w:ascii="Times New Roman" w:hAnsi="Times New Roman" w:cs="Times New Roman"/>
          <w:b/>
          <w:noProof/>
          <w:color w:val="222222"/>
          <w:sz w:val="24"/>
          <w:szCs w:val="24"/>
          <w:shd w:val="clear" w:color="auto" w:fill="FFFFFF"/>
        </w:rPr>
        <w:drawing>
          <wp:anchor distT="0" distB="0" distL="114300" distR="114300" simplePos="0" relativeHeight="251665408" behindDoc="0" locked="0" layoutInCell="1" allowOverlap="1">
            <wp:simplePos x="0" y="0"/>
            <wp:positionH relativeFrom="column">
              <wp:posOffset>2047875</wp:posOffset>
            </wp:positionH>
            <wp:positionV relativeFrom="paragraph">
              <wp:posOffset>2653030</wp:posOffset>
            </wp:positionV>
            <wp:extent cx="1648460" cy="1922145"/>
            <wp:effectExtent l="19050" t="19050" r="27940" b="20955"/>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8460" cy="1922145"/>
                    </a:xfrm>
                    <a:prstGeom prst="rect">
                      <a:avLst/>
                    </a:prstGeom>
                    <a:ln>
                      <a:solidFill>
                        <a:schemeClr val="tx1"/>
                      </a:solidFill>
                    </a:ln>
                  </pic:spPr>
                </pic:pic>
              </a:graphicData>
            </a:graphic>
          </wp:anchor>
        </w:drawing>
      </w:r>
      <w:r w:rsidR="002524AA" w:rsidRPr="00AB1F78">
        <w:rPr>
          <w:rFonts w:ascii="Times New Roman" w:hAnsi="Times New Roman" w:cs="Times New Roman"/>
          <w:noProof/>
          <w:color w:val="222222"/>
          <w:sz w:val="24"/>
          <w:szCs w:val="24"/>
          <w:shd w:val="clear" w:color="auto" w:fill="FFFFFF"/>
        </w:rPr>
        <w:drawing>
          <wp:inline distT="0" distB="0" distL="0" distR="0">
            <wp:extent cx="1584101" cy="2213139"/>
            <wp:effectExtent l="19050" t="19050" r="16510" b="158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77133" cy="2203403"/>
                    </a:xfrm>
                    <a:prstGeom prst="rect">
                      <a:avLst/>
                    </a:prstGeom>
                    <a:ln>
                      <a:solidFill>
                        <a:schemeClr val="tx1"/>
                      </a:solidFill>
                    </a:ln>
                  </pic:spPr>
                </pic:pic>
              </a:graphicData>
            </a:graphic>
          </wp:inline>
        </w:drawing>
      </w:r>
    </w:p>
    <w:p w:rsidR="008B2BB2" w:rsidRDefault="008B2BB2" w:rsidP="008B2BB2">
      <w:pPr>
        <w:spacing w:line="240" w:lineRule="auto"/>
        <w:jc w:val="center"/>
        <w:rPr>
          <w:rFonts w:ascii="Times New Roman" w:hAnsi="Times New Roman" w:cs="Times New Roman"/>
          <w:b/>
          <w:color w:val="222222"/>
          <w:sz w:val="24"/>
          <w:szCs w:val="24"/>
          <w:shd w:val="clear" w:color="auto" w:fill="FFFFFF"/>
        </w:rPr>
      </w:pPr>
    </w:p>
    <w:p w:rsidR="008B2BB2" w:rsidRDefault="00ED562F" w:rsidP="008B2BB2">
      <w:pPr>
        <w:spacing w:line="240" w:lineRule="auto"/>
        <w:jc w:val="center"/>
        <w:rPr>
          <w:rFonts w:ascii="Times New Roman" w:hAnsi="Times New Roman" w:cs="Times New Roman"/>
          <w:b/>
          <w:color w:val="222222"/>
          <w:sz w:val="24"/>
          <w:szCs w:val="24"/>
          <w:shd w:val="clear" w:color="auto" w:fill="FFFFFF"/>
        </w:rPr>
      </w:pPr>
      <w:r w:rsidRPr="00ED562F">
        <w:rPr>
          <w:rFonts w:ascii="Times New Roman" w:hAnsi="Times New Roman" w:cs="Times New Roman"/>
          <w:b/>
          <w:color w:val="222222"/>
          <w:sz w:val="24"/>
          <w:szCs w:val="24"/>
          <w:shd w:val="clear" w:color="auto" w:fill="FFFFFF"/>
        </w:rPr>
        <w:t>Figure 7.1</w:t>
      </w:r>
      <w:r>
        <w:rPr>
          <w:rFonts w:ascii="Times New Roman" w:hAnsi="Times New Roman" w:cs="Times New Roman"/>
          <w:b/>
          <w:color w:val="222222"/>
          <w:sz w:val="24"/>
          <w:szCs w:val="24"/>
          <w:shd w:val="clear" w:color="auto" w:fill="FFFFFF"/>
        </w:rPr>
        <w:t>a</w:t>
      </w:r>
      <w:r w:rsidRPr="00ED562F">
        <w:rPr>
          <w:rFonts w:ascii="Times New Roman" w:hAnsi="Times New Roman" w:cs="Times New Roman"/>
          <w:b/>
          <w:color w:val="222222"/>
          <w:sz w:val="24"/>
          <w:szCs w:val="24"/>
          <w:shd w:val="clear" w:color="auto" w:fill="FFFFFF"/>
        </w:rPr>
        <w:t>; IZC</w:t>
      </w:r>
    </w:p>
    <w:p w:rsidR="002524AA" w:rsidRPr="00ED562F" w:rsidRDefault="008B2BB2" w:rsidP="008B2BB2">
      <w:pPr>
        <w:spacing w:line="240" w:lineRule="auto"/>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(Infrazygomatic Crest I</w:t>
      </w:r>
      <w:r w:rsidR="00ED562F" w:rsidRPr="00ED562F">
        <w:rPr>
          <w:rFonts w:ascii="Times New Roman" w:hAnsi="Times New Roman" w:cs="Times New Roman"/>
          <w:b/>
          <w:color w:val="222222"/>
          <w:sz w:val="24"/>
          <w:szCs w:val="24"/>
          <w:shd w:val="clear" w:color="auto" w:fill="FFFFFF"/>
        </w:rPr>
        <w:t>mplant)</w:t>
      </w:r>
    </w:p>
    <w:p w:rsidR="008B2BB2" w:rsidRDefault="008A39C0" w:rsidP="008B2BB2">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simplePos x="0" y="0"/>
            <wp:positionH relativeFrom="column">
              <wp:posOffset>1246505</wp:posOffset>
            </wp:positionH>
            <wp:positionV relativeFrom="paragraph">
              <wp:posOffset>233045</wp:posOffset>
            </wp:positionV>
            <wp:extent cx="3227070" cy="3435350"/>
            <wp:effectExtent l="19050" t="19050" r="11430" b="1270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27070" cy="3435350"/>
                    </a:xfrm>
                    <a:prstGeom prst="rect">
                      <a:avLst/>
                    </a:prstGeom>
                    <a:ln>
                      <a:solidFill>
                        <a:schemeClr val="tx1"/>
                      </a:solidFill>
                    </a:ln>
                  </pic:spPr>
                </pic:pic>
              </a:graphicData>
            </a:graphic>
          </wp:anchor>
        </w:drawing>
      </w:r>
    </w:p>
    <w:p w:rsidR="002524AA" w:rsidRPr="00913731" w:rsidRDefault="002524AA" w:rsidP="008B2BB2">
      <w:pPr>
        <w:spacing w:line="480" w:lineRule="auto"/>
        <w:jc w:val="both"/>
        <w:rPr>
          <w:rFonts w:ascii="Times New Roman" w:hAnsi="Times New Roman" w:cs="Times New Roman"/>
          <w:sz w:val="24"/>
          <w:szCs w:val="24"/>
        </w:rPr>
      </w:pPr>
      <w:r w:rsidRPr="006650F9">
        <w:rPr>
          <w:rFonts w:ascii="Times New Roman" w:hAnsi="Times New Roman" w:cs="Times New Roman"/>
          <w:b/>
          <w:sz w:val="24"/>
          <w:szCs w:val="24"/>
        </w:rPr>
        <w:t>Figure 7.1</w:t>
      </w:r>
      <w:r w:rsidR="00ED562F">
        <w:rPr>
          <w:rFonts w:ascii="Times New Roman" w:hAnsi="Times New Roman" w:cs="Times New Roman"/>
          <w:b/>
          <w:sz w:val="24"/>
          <w:szCs w:val="24"/>
        </w:rPr>
        <w:t xml:space="preserve">b; </w:t>
      </w:r>
      <w:r w:rsidR="008B2BB2">
        <w:rPr>
          <w:rFonts w:ascii="Times New Roman" w:hAnsi="Times New Roman" w:cs="Times New Roman"/>
          <w:b/>
          <w:sz w:val="24"/>
          <w:szCs w:val="24"/>
        </w:rPr>
        <w:t xml:space="preserve"> Infra‑Z</w:t>
      </w:r>
      <w:r w:rsidRPr="006650F9">
        <w:rPr>
          <w:rFonts w:ascii="Times New Roman" w:hAnsi="Times New Roman" w:cs="Times New Roman"/>
          <w:b/>
          <w:sz w:val="24"/>
          <w:szCs w:val="24"/>
        </w:rPr>
        <w:t xml:space="preserve">ygomatic </w:t>
      </w:r>
      <w:r w:rsidR="008B2BB2" w:rsidRPr="006650F9">
        <w:rPr>
          <w:rFonts w:ascii="Times New Roman" w:hAnsi="Times New Roman" w:cs="Times New Roman"/>
          <w:b/>
          <w:sz w:val="24"/>
          <w:szCs w:val="24"/>
        </w:rPr>
        <w:t>Crest, Mini Screw</w:t>
      </w:r>
    </w:p>
    <w:p w:rsidR="002524AA" w:rsidRPr="00231B99" w:rsidRDefault="00913731" w:rsidP="002524AA">
      <w:pPr>
        <w:tabs>
          <w:tab w:val="left" w:pos="6435"/>
        </w:tabs>
        <w:spacing w:line="480" w:lineRule="auto"/>
        <w:jc w:val="center"/>
        <w:rPr>
          <w:rFonts w:ascii="Times New Roman" w:hAnsi="Times New Roman" w:cs="Times New Roman"/>
          <w:color w:val="222222"/>
          <w:sz w:val="24"/>
          <w:szCs w:val="24"/>
          <w:shd w:val="clear" w:color="auto" w:fill="FFFFFF"/>
        </w:rPr>
      </w:pPr>
      <w:r w:rsidRPr="00231B99">
        <w:rPr>
          <w:rFonts w:ascii="Times New Roman" w:hAnsi="Times New Roman" w:cs="Times New Roman"/>
          <w:noProof/>
          <w:color w:val="222222"/>
          <w:sz w:val="24"/>
          <w:szCs w:val="24"/>
          <w:shd w:val="clear" w:color="auto" w:fill="FFFFFF"/>
        </w:rPr>
        <w:drawing>
          <wp:inline distT="0" distB="0" distL="0" distR="0">
            <wp:extent cx="2819099" cy="3241964"/>
            <wp:effectExtent l="38100" t="38100" r="38735" b="349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58979" cy="3287826"/>
                    </a:xfrm>
                    <a:prstGeom prst="rect">
                      <a:avLst/>
                    </a:prstGeom>
                    <a:ln w="28575">
                      <a:solidFill>
                        <a:schemeClr val="tx1"/>
                      </a:solidFill>
                    </a:ln>
                  </pic:spPr>
                </pic:pic>
              </a:graphicData>
            </a:graphic>
          </wp:inline>
        </w:drawing>
      </w:r>
    </w:p>
    <w:p w:rsidR="002524AA" w:rsidRDefault="002524AA" w:rsidP="00913731">
      <w:pPr>
        <w:pStyle w:val="Caption"/>
        <w:spacing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Figure 7.2</w:t>
      </w:r>
      <w:r w:rsidR="006650F9">
        <w:rPr>
          <w:rFonts w:ascii="Times New Roman" w:hAnsi="Times New Roman" w:cs="Times New Roman"/>
          <w:b w:val="0"/>
          <w:color w:val="auto"/>
          <w:sz w:val="24"/>
          <w:szCs w:val="24"/>
        </w:rPr>
        <w:t>B</w:t>
      </w:r>
      <w:r>
        <w:rPr>
          <w:rFonts w:ascii="Times New Roman" w:hAnsi="Times New Roman" w:cs="Times New Roman"/>
          <w:color w:val="auto"/>
          <w:sz w:val="24"/>
          <w:szCs w:val="24"/>
        </w:rPr>
        <w:t xml:space="preserve">uccal </w:t>
      </w:r>
      <w:r w:rsidR="008B2BB2">
        <w:rPr>
          <w:rFonts w:ascii="Times New Roman" w:hAnsi="Times New Roman" w:cs="Times New Roman"/>
          <w:color w:val="auto"/>
          <w:sz w:val="24"/>
          <w:szCs w:val="24"/>
        </w:rPr>
        <w:t>Shelf, Mini Screw</w:t>
      </w:r>
    </w:p>
    <w:p w:rsidR="002524AA" w:rsidRPr="008B0F9E" w:rsidRDefault="00C8572E" w:rsidP="002524AA">
      <w:pPr>
        <w:spacing w:line="480" w:lineRule="auto"/>
        <w:jc w:val="both"/>
        <w:rPr>
          <w:rFonts w:ascii="Times New Roman" w:hAnsi="Times New Roman" w:cs="Times New Roman"/>
          <w:b/>
          <w:color w:val="222222"/>
          <w:sz w:val="24"/>
          <w:szCs w:val="24"/>
          <w:shd w:val="clear" w:color="auto" w:fill="FFFFFF"/>
        </w:rPr>
      </w:pPr>
      <w:r w:rsidRPr="008B0F9E">
        <w:rPr>
          <w:rFonts w:ascii="Times New Roman" w:hAnsi="Times New Roman" w:cs="Times New Roman"/>
          <w:b/>
          <w:sz w:val="24"/>
          <w:szCs w:val="24"/>
        </w:rPr>
        <w:lastRenderedPageBreak/>
        <w:t>Micro</w:t>
      </w:r>
      <w:r w:rsidRPr="008B0F9E">
        <w:rPr>
          <w:rFonts w:ascii="Times New Roman" w:hAnsi="Times New Roman" w:cs="Times New Roman"/>
          <w:b/>
          <w:sz w:val="24"/>
          <w:szCs w:val="24"/>
        </w:rPr>
        <w:noBreakHyphen/>
        <w:t xml:space="preserve">Implants </w:t>
      </w:r>
      <w:r w:rsidR="002524AA" w:rsidRPr="008B0F9E">
        <w:rPr>
          <w:rFonts w:ascii="Times New Roman" w:hAnsi="Times New Roman" w:cs="Times New Roman"/>
          <w:b/>
          <w:sz w:val="24"/>
          <w:szCs w:val="24"/>
        </w:rPr>
        <w:t>and Their Difference with</w:t>
      </w:r>
      <w:r>
        <w:rPr>
          <w:rFonts w:ascii="Times New Roman" w:hAnsi="Times New Roman" w:cs="Times New Roman"/>
          <w:b/>
          <w:sz w:val="24"/>
          <w:szCs w:val="24"/>
        </w:rPr>
        <w:t xml:space="preserve"> </w:t>
      </w:r>
      <w:r w:rsidRPr="008B0F9E">
        <w:rPr>
          <w:rFonts w:ascii="Times New Roman" w:hAnsi="Times New Roman" w:cs="Times New Roman"/>
          <w:b/>
          <w:sz w:val="24"/>
          <w:szCs w:val="24"/>
        </w:rPr>
        <w:t>Extra Radicular Bone Screws</w:t>
      </w:r>
    </w:p>
    <w:p w:rsidR="002524AA" w:rsidRPr="008B0F9E" w:rsidRDefault="00C8572E" w:rsidP="002524AA">
      <w:pPr>
        <w:spacing w:line="480" w:lineRule="auto"/>
        <w:jc w:val="both"/>
        <w:rPr>
          <w:rFonts w:ascii="Times New Roman" w:hAnsi="Times New Roman" w:cs="Times New Roman"/>
          <w:sz w:val="24"/>
          <w:szCs w:val="24"/>
        </w:rPr>
      </w:pPr>
      <w:r w:rsidRPr="00C8572E">
        <w:rPr>
          <w:rFonts w:ascii="Times New Roman" w:hAnsi="Times New Roman" w:cs="Times New Roman"/>
          <w:sz w:val="24"/>
          <w:szCs w:val="24"/>
        </w:rPr>
        <w:t>Although extra-radicular bone screws (IZC, BS) are positioned outside of these gaps in the infra-zygomatic sections of the maxilla and the buccal shelf portions of the mandible, micro-implants are still categorised as temporary anchorage devices.</w:t>
      </w:r>
      <w:r w:rsidR="00125954" w:rsidRPr="00125954">
        <w:rPr>
          <w:rFonts w:ascii="Times New Roman" w:hAnsi="Times New Roman" w:cs="Times New Roman"/>
          <w:sz w:val="24"/>
          <w:szCs w:val="24"/>
        </w:rPr>
        <w:t>Micro-implants are typically positioned inside the radicular spaces between teeth. However, they ar</w:t>
      </w:r>
      <w:r w:rsidR="00125954">
        <w:rPr>
          <w:rFonts w:ascii="Times New Roman" w:hAnsi="Times New Roman" w:cs="Times New Roman"/>
          <w:sz w:val="24"/>
          <w:szCs w:val="24"/>
        </w:rPr>
        <w:t>e both used as skeleton anchors</w:t>
      </w:r>
      <w:r w:rsidR="008B2BB2">
        <w:rPr>
          <w:rFonts w:ascii="Times New Roman" w:hAnsi="Times New Roman" w:cs="Times New Roman"/>
          <w:sz w:val="24"/>
          <w:szCs w:val="24"/>
        </w:rPr>
        <w:t>.(</w:t>
      </w:r>
      <w:r w:rsidR="002524AA">
        <w:rPr>
          <w:rFonts w:ascii="Times New Roman" w:hAnsi="Times New Roman" w:cs="Times New Roman"/>
          <w:sz w:val="24"/>
          <w:szCs w:val="24"/>
        </w:rPr>
        <w:t>Figure 7.3</w:t>
      </w:r>
      <w:r w:rsidR="008B2BB2">
        <w:rPr>
          <w:rFonts w:ascii="Times New Roman" w:hAnsi="Times New Roman" w:cs="Times New Roman"/>
          <w:sz w:val="24"/>
          <w:szCs w:val="24"/>
        </w:rPr>
        <w:t>)</w:t>
      </w:r>
      <w:r w:rsidR="00F73678" w:rsidRPr="006650F9">
        <w:rPr>
          <w:rFonts w:ascii="Times New Roman" w:hAnsi="Times New Roman" w:cs="Times New Roman"/>
          <w:sz w:val="24"/>
          <w:szCs w:val="24"/>
          <w:vertAlign w:val="superscript"/>
        </w:rPr>
        <w:fldChar w:fldCharType="begin"/>
      </w:r>
      <w:r w:rsidR="002524AA" w:rsidRPr="006650F9">
        <w:rPr>
          <w:rFonts w:ascii="Times New Roman" w:hAnsi="Times New Roman" w:cs="Times New Roman"/>
          <w:sz w:val="24"/>
          <w:szCs w:val="24"/>
          <w:vertAlign w:val="superscript"/>
        </w:rPr>
        <w:instrText xml:space="preserve"> ADDIN ZOTERO_ITEM CSL_CITATION {"citationID":"kKcLdiV1","properties":{"formattedCitation":"(5)","plainCitation":"(5)","noteIndex":0},"citationItems":[{"id":394,"uris":["http://zotero.org/users/10901486/items/VJQDNMTY"],"itemData":{"id":394,"type":"book","event-place":"Taipei, Taiwan","ISBN":"978-986-83331-1-6","language":"eng","note":"OCLC: 237159676","number-of-pages":"324","publisher":"Yong Chieh Company","publisher-place":"Taipei, Taiwan","source":"Open WorldCat","title":"Creative orthodontics: blending the Damon System &amp; TADs to manage difficult malocclusions","title-short":"Creative orthodontics","author":[{"family":"Lin","given":"John Jin-Jong"},{"family":"White","given":"Larry W."}],"issued":{"date-parts":[["2007"]]}}}],"schema":"https://github.com/citation-style-language/schema/raw/master/csl-citation.json"} </w:instrText>
      </w:r>
      <w:r w:rsidR="00F73678" w:rsidRPr="006650F9">
        <w:rPr>
          <w:rFonts w:ascii="Times New Roman" w:hAnsi="Times New Roman" w:cs="Times New Roman"/>
          <w:sz w:val="24"/>
          <w:szCs w:val="24"/>
          <w:vertAlign w:val="superscript"/>
        </w:rPr>
        <w:fldChar w:fldCharType="separate"/>
      </w:r>
      <w:r w:rsidR="002524AA" w:rsidRPr="006650F9">
        <w:rPr>
          <w:rFonts w:ascii="Times New Roman" w:hAnsi="Times New Roman" w:cs="Times New Roman"/>
          <w:sz w:val="24"/>
          <w:vertAlign w:val="superscript"/>
        </w:rPr>
        <w:t>(5)</w:t>
      </w:r>
      <w:r w:rsidR="00F73678" w:rsidRPr="006650F9">
        <w:rPr>
          <w:rFonts w:ascii="Times New Roman" w:hAnsi="Times New Roman" w:cs="Times New Roman"/>
          <w:sz w:val="24"/>
          <w:szCs w:val="24"/>
          <w:vertAlign w:val="superscript"/>
        </w:rPr>
        <w:fldChar w:fldCharType="end"/>
      </w:r>
    </w:p>
    <w:p w:rsidR="002524AA" w:rsidRPr="008B0F9E" w:rsidRDefault="00742F67" w:rsidP="002524AA">
      <w:pPr>
        <w:spacing w:line="480" w:lineRule="auto"/>
        <w:jc w:val="both"/>
        <w:rPr>
          <w:rFonts w:ascii="Times New Roman" w:hAnsi="Times New Roman" w:cs="Times New Roman"/>
          <w:sz w:val="24"/>
          <w:szCs w:val="24"/>
        </w:rPr>
      </w:pPr>
      <w:r w:rsidRPr="00742F67">
        <w:rPr>
          <w:rFonts w:ascii="Times New Roman" w:hAnsi="Times New Roman" w:cs="Times New Roman"/>
          <w:sz w:val="24"/>
          <w:szCs w:val="24"/>
        </w:rPr>
        <w:t>According to the therapeutic setting it must be utilised for, the average size of a micro-implant varies between 6 and 11 mm in length and 1.3-2 mm in diameter. Bone screws are frequently greater in size, with a minimum diameter of 2 mm and a length of 10 to 14 mm.</w:t>
      </w:r>
      <w:r>
        <w:rPr>
          <w:rFonts w:ascii="Times New Roman" w:hAnsi="Times New Roman" w:cs="Times New Roman"/>
          <w:sz w:val="24"/>
          <w:szCs w:val="24"/>
        </w:rPr>
        <w:t xml:space="preserve"> </w:t>
      </w:r>
      <w:r w:rsidR="00125954" w:rsidRPr="00125954">
        <w:rPr>
          <w:rFonts w:ascii="Times New Roman" w:hAnsi="Times New Roman" w:cs="Times New Roman"/>
          <w:sz w:val="24"/>
          <w:szCs w:val="24"/>
        </w:rPr>
        <w:t>Similar to how a micro-implant can have either a short or long head, depending on the anatomic site and the clinical circumstance</w:t>
      </w:r>
      <w:r>
        <w:rPr>
          <w:rFonts w:ascii="Times New Roman" w:hAnsi="Times New Roman" w:cs="Times New Roman"/>
          <w:sz w:val="24"/>
          <w:szCs w:val="24"/>
        </w:rPr>
        <w:t xml:space="preserve">, </w:t>
      </w:r>
      <w:r w:rsidRPr="00742F67">
        <w:rPr>
          <w:rFonts w:ascii="Times New Roman" w:hAnsi="Times New Roman" w:cs="Times New Roman"/>
          <w:sz w:val="24"/>
          <w:szCs w:val="24"/>
        </w:rPr>
        <w:t>depending on the anatomic site, either a sho</w:t>
      </w:r>
      <w:r>
        <w:rPr>
          <w:rFonts w:ascii="Times New Roman" w:hAnsi="Times New Roman" w:cs="Times New Roman"/>
          <w:sz w:val="24"/>
          <w:szCs w:val="24"/>
        </w:rPr>
        <w:t>rt or long collar was purchased</w:t>
      </w:r>
      <w:r w:rsidR="00125954" w:rsidRPr="00125954">
        <w:rPr>
          <w:rFonts w:ascii="Times New Roman" w:hAnsi="Times New Roman" w:cs="Times New Roman"/>
          <w:sz w:val="24"/>
          <w:szCs w:val="24"/>
        </w:rPr>
        <w:t>.</w:t>
      </w:r>
      <w:r w:rsidR="00125954">
        <w:rPr>
          <w:rFonts w:ascii="Times New Roman" w:hAnsi="Times New Roman" w:cs="Times New Roman"/>
          <w:sz w:val="24"/>
          <w:szCs w:val="24"/>
        </w:rPr>
        <w:t xml:space="preserve"> </w:t>
      </w:r>
      <w:r w:rsidR="002524AA" w:rsidRPr="008B0F9E">
        <w:rPr>
          <w:rFonts w:ascii="Times New Roman" w:hAnsi="Times New Roman" w:cs="Times New Roman"/>
          <w:sz w:val="24"/>
          <w:szCs w:val="24"/>
        </w:rPr>
        <w:t xml:space="preserve">Like micro-implants, their head forms can also vary, with the typical shape being mushroom-shaped. </w:t>
      </w:r>
    </w:p>
    <w:p w:rsidR="002524AA" w:rsidRPr="008B0F9E" w:rsidRDefault="002524AA" w:rsidP="002524AA">
      <w:pPr>
        <w:keepNext/>
        <w:spacing w:line="480" w:lineRule="auto"/>
        <w:jc w:val="center"/>
        <w:rPr>
          <w:rFonts w:ascii="Times New Roman" w:hAnsi="Times New Roman" w:cs="Times New Roman"/>
          <w:sz w:val="24"/>
          <w:szCs w:val="24"/>
        </w:rPr>
      </w:pPr>
      <w:r w:rsidRPr="008B0F9E">
        <w:rPr>
          <w:rFonts w:ascii="Times New Roman" w:hAnsi="Times New Roman" w:cs="Times New Roman"/>
          <w:noProof/>
          <w:sz w:val="24"/>
          <w:szCs w:val="24"/>
        </w:rPr>
        <w:drawing>
          <wp:inline distT="0" distB="0" distL="0" distR="0">
            <wp:extent cx="2871988" cy="2228044"/>
            <wp:effectExtent l="38100" t="38100" r="43180" b="393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15" t="3889" r="4168"/>
                    <a:stretch/>
                  </pic:blipFill>
                  <pic:spPr bwMode="auto">
                    <a:xfrm>
                      <a:off x="0" y="0"/>
                      <a:ext cx="2871988" cy="2228044"/>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2BB2" w:rsidRDefault="002524AA" w:rsidP="008B2BB2">
      <w:pPr>
        <w:pStyle w:val="Caption"/>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Figure </w:t>
      </w:r>
      <w:r w:rsidR="008B2BB2">
        <w:rPr>
          <w:rFonts w:ascii="Times New Roman" w:hAnsi="Times New Roman" w:cs="Times New Roman"/>
          <w:color w:val="auto"/>
          <w:sz w:val="24"/>
          <w:szCs w:val="24"/>
        </w:rPr>
        <w:t xml:space="preserve">7.3; </w:t>
      </w:r>
      <w:r w:rsidRPr="005372C3">
        <w:rPr>
          <w:rFonts w:ascii="Times New Roman" w:hAnsi="Times New Roman" w:cs="Times New Roman"/>
          <w:color w:val="auto"/>
          <w:sz w:val="24"/>
          <w:szCs w:val="24"/>
        </w:rPr>
        <w:t xml:space="preserve">Bone </w:t>
      </w:r>
      <w:r w:rsidR="008B2BB2" w:rsidRPr="005372C3">
        <w:rPr>
          <w:rFonts w:ascii="Times New Roman" w:hAnsi="Times New Roman" w:cs="Times New Roman"/>
          <w:color w:val="auto"/>
          <w:sz w:val="24"/>
          <w:szCs w:val="24"/>
        </w:rPr>
        <w:t xml:space="preserve">Screw Specifications: </w:t>
      </w:r>
    </w:p>
    <w:p w:rsidR="002524AA" w:rsidRPr="005372C3" w:rsidRDefault="002524AA" w:rsidP="008B2BB2">
      <w:pPr>
        <w:pStyle w:val="Caption"/>
        <w:jc w:val="center"/>
        <w:rPr>
          <w:rFonts w:ascii="Times New Roman" w:hAnsi="Times New Roman" w:cs="Times New Roman"/>
          <w:color w:val="auto"/>
          <w:sz w:val="24"/>
          <w:szCs w:val="24"/>
        </w:rPr>
      </w:pPr>
      <w:r w:rsidRPr="005372C3">
        <w:rPr>
          <w:rFonts w:ascii="Times New Roman" w:hAnsi="Times New Roman" w:cs="Times New Roman"/>
          <w:color w:val="auto"/>
          <w:sz w:val="24"/>
          <w:szCs w:val="24"/>
        </w:rPr>
        <w:t>Infra</w:t>
      </w:r>
      <w:r w:rsidR="008B2BB2" w:rsidRPr="005372C3">
        <w:rPr>
          <w:rFonts w:ascii="Times New Roman" w:hAnsi="Times New Roman" w:cs="Times New Roman"/>
          <w:color w:val="auto"/>
          <w:sz w:val="24"/>
          <w:szCs w:val="24"/>
        </w:rPr>
        <w:t xml:space="preserve">‑Zygomatic Crest, </w:t>
      </w:r>
      <w:r w:rsidRPr="005372C3">
        <w:rPr>
          <w:rFonts w:ascii="Times New Roman" w:hAnsi="Times New Roman" w:cs="Times New Roman"/>
          <w:color w:val="auto"/>
          <w:sz w:val="24"/>
          <w:szCs w:val="24"/>
        </w:rPr>
        <w:t>BSS</w:t>
      </w:r>
    </w:p>
    <w:p w:rsidR="002524AA" w:rsidRPr="008B0F9E" w:rsidRDefault="002524AA" w:rsidP="002524AA">
      <w:pPr>
        <w:spacing w:line="480" w:lineRule="auto"/>
        <w:jc w:val="both"/>
        <w:rPr>
          <w:rFonts w:ascii="Times New Roman" w:hAnsi="Times New Roman" w:cs="Times New Roman"/>
          <w:b/>
          <w:sz w:val="24"/>
          <w:szCs w:val="24"/>
          <w:u w:val="single"/>
        </w:rPr>
      </w:pPr>
      <w:r w:rsidRPr="008B0F9E">
        <w:rPr>
          <w:rFonts w:ascii="Times New Roman" w:hAnsi="Times New Roman" w:cs="Times New Roman"/>
          <w:b/>
          <w:sz w:val="24"/>
          <w:szCs w:val="24"/>
          <w:u w:val="single"/>
        </w:rPr>
        <w:lastRenderedPageBreak/>
        <w:t>BONE SCREWS AND MICRO-IMPLANTS USE DIFFERENT TYPES OF MATERIALS.</w:t>
      </w:r>
    </w:p>
    <w:p w:rsidR="002524AA" w:rsidRPr="008B0F9E" w:rsidRDefault="00291700" w:rsidP="002524AA">
      <w:pPr>
        <w:spacing w:line="480" w:lineRule="auto"/>
        <w:jc w:val="both"/>
        <w:rPr>
          <w:rFonts w:ascii="Times New Roman" w:hAnsi="Times New Roman" w:cs="Times New Roman"/>
          <w:sz w:val="24"/>
          <w:szCs w:val="24"/>
        </w:rPr>
      </w:pPr>
      <w:r w:rsidRPr="00291700">
        <w:rPr>
          <w:rFonts w:ascii="Times New Roman" w:hAnsi="Times New Roman" w:cs="Times New Roman"/>
          <w:sz w:val="24"/>
          <w:szCs w:val="24"/>
        </w:rPr>
        <w:t>Although pure stainless steel is the desired material, the majority of micro-implants on the market are made of an alloy of titanium, aluminium, and vanadium (Ti6 Al4 Va), and bone screws are also available with comparable compositions. IZC and BS areas</w:t>
      </w:r>
      <w:r>
        <w:rPr>
          <w:rFonts w:ascii="Times New Roman" w:hAnsi="Times New Roman" w:cs="Times New Roman"/>
          <w:sz w:val="24"/>
          <w:szCs w:val="24"/>
        </w:rPr>
        <w:t xml:space="preserve"> frequently receive bone screws </w:t>
      </w:r>
      <w:r w:rsidR="002524AA" w:rsidRPr="008B0F9E">
        <w:rPr>
          <w:rFonts w:ascii="Times New Roman" w:hAnsi="Times New Roman" w:cs="Times New Roman"/>
          <w:sz w:val="24"/>
          <w:szCs w:val="24"/>
        </w:rPr>
        <w:t>which have DI (&gt;1250 HU) grade bone, necessitating more fracture resistance.</w:t>
      </w:r>
      <w:r>
        <w:rPr>
          <w:rFonts w:ascii="Times New Roman" w:hAnsi="Times New Roman" w:cs="Times New Roman"/>
          <w:sz w:val="24"/>
          <w:szCs w:val="24"/>
        </w:rPr>
        <w:t xml:space="preserve"> </w:t>
      </w:r>
      <w:r w:rsidR="00ED562F">
        <w:rPr>
          <w:rFonts w:ascii="Times New Roman" w:hAnsi="Times New Roman" w:cs="Times New Roman"/>
          <w:sz w:val="24"/>
          <w:szCs w:val="24"/>
        </w:rPr>
        <w:t>(Table 7.1)</w:t>
      </w:r>
    </w:p>
    <w:p w:rsidR="002524AA" w:rsidRPr="008B0F9E" w:rsidRDefault="002524AA" w:rsidP="002524AA">
      <w:pPr>
        <w:spacing w:line="480" w:lineRule="auto"/>
        <w:jc w:val="both"/>
        <w:rPr>
          <w:rFonts w:ascii="Times New Roman" w:hAnsi="Times New Roman" w:cs="Times New Roman"/>
          <w:sz w:val="24"/>
          <w:szCs w:val="24"/>
        </w:rPr>
      </w:pPr>
      <w:r w:rsidRPr="008B0F9E">
        <w:rPr>
          <w:rFonts w:ascii="Times New Roman" w:hAnsi="Times New Roman" w:cs="Times New Roman"/>
          <w:sz w:val="24"/>
          <w:szCs w:val="24"/>
        </w:rPr>
        <w:t>The ideal material is stainless steel since it has stronger fracture resistance than Ti alloy.</w:t>
      </w:r>
    </w:p>
    <w:p w:rsidR="002524AA" w:rsidRPr="008B0F9E" w:rsidRDefault="002524AA" w:rsidP="002524AA">
      <w:pPr>
        <w:spacing w:line="480" w:lineRule="auto"/>
        <w:jc w:val="center"/>
        <w:rPr>
          <w:rFonts w:ascii="Times New Roman" w:hAnsi="Times New Roman" w:cs="Times New Roman"/>
          <w:sz w:val="24"/>
          <w:szCs w:val="24"/>
        </w:rPr>
      </w:pPr>
      <w:r w:rsidRPr="008B0F9E">
        <w:rPr>
          <w:rFonts w:ascii="Times New Roman" w:hAnsi="Times New Roman" w:cs="Times New Roman"/>
          <w:noProof/>
          <w:sz w:val="24"/>
          <w:szCs w:val="24"/>
        </w:rPr>
        <w:drawing>
          <wp:inline distT="0" distB="0" distL="0" distR="0">
            <wp:extent cx="3191320" cy="93358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91320" cy="933580"/>
                    </a:xfrm>
                    <a:prstGeom prst="rect">
                      <a:avLst/>
                    </a:prstGeom>
                  </pic:spPr>
                </pic:pic>
              </a:graphicData>
            </a:graphic>
          </wp:inline>
        </w:drawing>
      </w:r>
    </w:p>
    <w:p w:rsidR="002524AA" w:rsidRPr="008B0F9E" w:rsidRDefault="00F73678" w:rsidP="002524AA">
      <w:pPr>
        <w:spacing w:line="480" w:lineRule="auto"/>
        <w:jc w:val="both"/>
        <w:rPr>
          <w:rFonts w:ascii="Times New Roman" w:hAnsi="Times New Roman" w:cs="Times New Roman"/>
          <w:sz w:val="24"/>
          <w:szCs w:val="24"/>
        </w:rPr>
      </w:pPr>
      <w:bookmarkStart w:id="0" w:name="_GoBack"/>
      <w:bookmarkEnd w:id="0"/>
      <w:r w:rsidRPr="00F73678">
        <w:rPr>
          <w:rFonts w:ascii="Times New Roman" w:hAnsi="Times New Roman" w:cs="Times New Roman"/>
          <w:noProof/>
          <w:sz w:val="24"/>
          <w:szCs w:val="24"/>
          <w:lang w:val="en-IN" w:eastAsia="en-IN"/>
        </w:rPr>
        <w:pict>
          <v:shapetype id="_x0000_t202" coordsize="21600,21600" o:spt="202" path="m,l,21600r21600,l21600,xe">
            <v:stroke joinstyle="miter"/>
            <v:path gradientshapeok="t" o:connecttype="rect"/>
          </v:shapetype>
          <v:shape id="Text Box 307" o:spid="_x0000_s1026" type="#_x0000_t202" style="position:absolute;left:0;text-align:left;margin-left:0;margin-top:0;width:258.15pt;height:35.25pt;z-index:25165926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">
            <v:textbox>
              <w:txbxContent>
                <w:p w:rsidR="002524AA" w:rsidRDefault="002524AA" w:rsidP="002524AA">
                  <w:pPr>
                    <w:jc w:val="center"/>
                  </w:pPr>
                  <w:r>
                    <w:t>Table 7.1:  Comparison of properties of stainless steel and titanium alloy</w:t>
                  </w:r>
                </w:p>
              </w:txbxContent>
            </v:textbox>
          </v:shape>
        </w:pict>
      </w:r>
    </w:p>
    <w:p w:rsidR="002524AA" w:rsidRPr="008B0F9E" w:rsidRDefault="002524AA" w:rsidP="002524AA">
      <w:pPr>
        <w:spacing w:line="480" w:lineRule="auto"/>
        <w:jc w:val="both"/>
        <w:rPr>
          <w:rFonts w:ascii="Times New Roman" w:hAnsi="Times New Roman" w:cs="Times New Roman"/>
          <w:b/>
          <w:sz w:val="24"/>
          <w:szCs w:val="24"/>
        </w:rPr>
      </w:pPr>
    </w:p>
    <w:p w:rsidR="002524AA" w:rsidRPr="008B0F9E" w:rsidRDefault="00DA05E5" w:rsidP="002524AA">
      <w:pPr>
        <w:spacing w:line="480" w:lineRule="auto"/>
        <w:jc w:val="both"/>
        <w:rPr>
          <w:rFonts w:ascii="Times New Roman" w:hAnsi="Times New Roman" w:cs="Times New Roman"/>
          <w:b/>
          <w:sz w:val="28"/>
          <w:szCs w:val="24"/>
          <w:u w:val="single"/>
        </w:rPr>
      </w:pPr>
      <w:r>
        <w:rPr>
          <w:rFonts w:ascii="Times New Roman" w:hAnsi="Times New Roman" w:cs="Times New Roman"/>
          <w:b/>
          <w:sz w:val="28"/>
          <w:szCs w:val="24"/>
          <w:u w:val="single"/>
        </w:rPr>
        <w:t xml:space="preserve">COMPARISON OF </w:t>
      </w:r>
      <w:r w:rsidR="002524AA" w:rsidRPr="008B0F9E">
        <w:rPr>
          <w:rFonts w:ascii="Times New Roman" w:hAnsi="Times New Roman" w:cs="Times New Roman"/>
          <w:b/>
          <w:sz w:val="28"/>
          <w:szCs w:val="24"/>
          <w:u w:val="single"/>
        </w:rPr>
        <w:t>COMPLICATIONS AND SUCCESS</w:t>
      </w:r>
      <w:r>
        <w:rPr>
          <w:rFonts w:ascii="Times New Roman" w:hAnsi="Times New Roman" w:cs="Times New Roman"/>
          <w:b/>
          <w:sz w:val="28"/>
          <w:szCs w:val="24"/>
          <w:u w:val="single"/>
        </w:rPr>
        <w:t xml:space="preserve"> RATE OF BONE SCREWS </w:t>
      </w:r>
      <w:r w:rsidR="002524AA" w:rsidRPr="008B0F9E">
        <w:rPr>
          <w:rFonts w:ascii="Times New Roman" w:hAnsi="Times New Roman" w:cs="Times New Roman"/>
          <w:b/>
          <w:sz w:val="28"/>
          <w:szCs w:val="24"/>
          <w:u w:val="single"/>
        </w:rPr>
        <w:t xml:space="preserve"> TO MICRO</w:t>
      </w:r>
      <w:r w:rsidR="002524AA" w:rsidRPr="008B0F9E">
        <w:rPr>
          <w:rFonts w:ascii="Times New Roman" w:hAnsi="Times New Roman" w:cs="Times New Roman"/>
          <w:b/>
          <w:sz w:val="28"/>
          <w:szCs w:val="24"/>
          <w:u w:val="single"/>
        </w:rPr>
        <w:noBreakHyphen/>
        <w:t>IMPLANTS</w:t>
      </w:r>
    </w:p>
    <w:p w:rsidR="002524AA" w:rsidRPr="008B0F9E" w:rsidRDefault="002524AA" w:rsidP="002524AA">
      <w:pPr>
        <w:spacing w:line="480" w:lineRule="auto"/>
        <w:jc w:val="both"/>
        <w:rPr>
          <w:rFonts w:ascii="Times New Roman" w:hAnsi="Times New Roman" w:cs="Times New Roman"/>
          <w:sz w:val="24"/>
          <w:szCs w:val="24"/>
        </w:rPr>
      </w:pPr>
      <w:r w:rsidRPr="008B0F9E">
        <w:rPr>
          <w:rFonts w:ascii="Times New Roman" w:hAnsi="Times New Roman" w:cs="Times New Roman"/>
          <w:sz w:val="24"/>
          <w:szCs w:val="24"/>
        </w:rPr>
        <w:t>With the exception of minimal bleeding, inserting bone screws virtually ever results in p</w:t>
      </w:r>
      <w:r w:rsidR="00DA05E5">
        <w:rPr>
          <w:rFonts w:ascii="Times New Roman" w:hAnsi="Times New Roman" w:cs="Times New Roman"/>
          <w:sz w:val="24"/>
          <w:szCs w:val="24"/>
        </w:rPr>
        <w:t>roblems. S</w:t>
      </w:r>
      <w:r w:rsidRPr="008B0F9E">
        <w:rPr>
          <w:rFonts w:ascii="Times New Roman" w:hAnsi="Times New Roman" w:cs="Times New Roman"/>
          <w:sz w:val="24"/>
          <w:szCs w:val="24"/>
        </w:rPr>
        <w:t>crew tip breakage</w:t>
      </w:r>
      <w:r w:rsidR="00DA05E5">
        <w:rPr>
          <w:rFonts w:ascii="Times New Roman" w:hAnsi="Times New Roman" w:cs="Times New Roman"/>
          <w:sz w:val="24"/>
          <w:szCs w:val="24"/>
        </w:rPr>
        <w:t xml:space="preserve"> can be prevented by using high quality pure stainless steel screws</w:t>
      </w:r>
      <w:r w:rsidRPr="008B0F9E">
        <w:rPr>
          <w:rFonts w:ascii="Times New Roman" w:hAnsi="Times New Roman" w:cs="Times New Roman"/>
          <w:sz w:val="24"/>
          <w:szCs w:val="24"/>
        </w:rPr>
        <w:t xml:space="preserve">. </w:t>
      </w:r>
      <w:r w:rsidR="00DA05E5">
        <w:rPr>
          <w:rFonts w:ascii="Times New Roman" w:hAnsi="Times New Roman" w:cs="Times New Roman"/>
          <w:sz w:val="24"/>
          <w:szCs w:val="24"/>
        </w:rPr>
        <w:t>G</w:t>
      </w:r>
      <w:r w:rsidR="00291700" w:rsidRPr="00291700">
        <w:rPr>
          <w:rFonts w:ascii="Times New Roman" w:hAnsi="Times New Roman" w:cs="Times New Roman"/>
          <w:sz w:val="24"/>
          <w:szCs w:val="24"/>
        </w:rPr>
        <w:t>ingival overgrowth on the screw and early screw loosening</w:t>
      </w:r>
      <w:r w:rsidR="00DA05E5">
        <w:rPr>
          <w:rFonts w:ascii="Times New Roman" w:hAnsi="Times New Roman" w:cs="Times New Roman"/>
          <w:sz w:val="24"/>
          <w:szCs w:val="24"/>
        </w:rPr>
        <w:t xml:space="preserve"> are two most frequent problems with bone screws</w:t>
      </w:r>
      <w:r w:rsidR="00291700" w:rsidRPr="00291700">
        <w:rPr>
          <w:rFonts w:ascii="Times New Roman" w:hAnsi="Times New Roman" w:cs="Times New Roman"/>
          <w:sz w:val="24"/>
          <w:szCs w:val="24"/>
        </w:rPr>
        <w:t>.</w:t>
      </w:r>
      <w:r w:rsidR="00291700">
        <w:rPr>
          <w:rFonts w:ascii="Times New Roman" w:hAnsi="Times New Roman" w:cs="Times New Roman"/>
          <w:sz w:val="24"/>
          <w:szCs w:val="24"/>
        </w:rPr>
        <w:t xml:space="preserve"> </w:t>
      </w:r>
      <w:r w:rsidRPr="008B0F9E">
        <w:rPr>
          <w:rFonts w:ascii="Times New Roman" w:hAnsi="Times New Roman" w:cs="Times New Roman"/>
          <w:sz w:val="24"/>
          <w:szCs w:val="24"/>
        </w:rPr>
        <w:t>Maintaining good dental hygiene is essential to preventing complications caused by gingival expansion. With bigger heads on screws, gingival overgrowth is far less common. If a screw becomes prematurely loose, it is best to replace it at a different location.</w:t>
      </w:r>
    </w:p>
    <w:p w:rsidR="002524AA" w:rsidRPr="008B0F9E" w:rsidRDefault="002524AA" w:rsidP="002524AA">
      <w:pPr>
        <w:spacing w:line="480" w:lineRule="auto"/>
        <w:jc w:val="both"/>
        <w:rPr>
          <w:rFonts w:ascii="Times New Roman" w:hAnsi="Times New Roman" w:cs="Times New Roman"/>
          <w:sz w:val="24"/>
          <w:szCs w:val="24"/>
        </w:rPr>
      </w:pPr>
      <w:r w:rsidRPr="008B0F9E">
        <w:rPr>
          <w:rFonts w:ascii="Times New Roman" w:hAnsi="Times New Roman" w:cs="Times New Roman"/>
          <w:sz w:val="24"/>
          <w:szCs w:val="24"/>
        </w:rPr>
        <w:lastRenderedPageBreak/>
        <w:t>Because of their bigger size and implantation locations with outstanding cortical bone quality, bone screws are significantly more stable and successful than micro-implants.</w:t>
      </w:r>
    </w:p>
    <w:p w:rsidR="002524AA" w:rsidRPr="008B0F9E" w:rsidRDefault="002524AA" w:rsidP="002524AA">
      <w:pPr>
        <w:spacing w:line="480" w:lineRule="auto"/>
        <w:jc w:val="both"/>
        <w:rPr>
          <w:rFonts w:ascii="Times New Roman" w:hAnsi="Times New Roman" w:cs="Times New Roman"/>
          <w:b/>
          <w:sz w:val="28"/>
          <w:szCs w:val="24"/>
          <w:u w:val="single"/>
        </w:rPr>
      </w:pPr>
      <w:r w:rsidRPr="008B0F9E">
        <w:rPr>
          <w:rFonts w:ascii="Times New Roman" w:hAnsi="Times New Roman" w:cs="Times New Roman"/>
          <w:b/>
          <w:sz w:val="28"/>
          <w:szCs w:val="24"/>
          <w:u w:val="single"/>
        </w:rPr>
        <w:t>NANOTECHNOLOGY IN TEMPRORY ANCHORAGE DEVICES</w:t>
      </w:r>
    </w:p>
    <w:p w:rsidR="002524AA" w:rsidRPr="008B0F9E" w:rsidRDefault="002524AA" w:rsidP="002524AA">
      <w:pPr>
        <w:spacing w:line="480" w:lineRule="auto"/>
        <w:jc w:val="both"/>
        <w:rPr>
          <w:rFonts w:ascii="Times New Roman" w:hAnsi="Times New Roman" w:cs="Times New Roman"/>
          <w:sz w:val="24"/>
          <w:szCs w:val="24"/>
        </w:rPr>
      </w:pPr>
      <w:r w:rsidRPr="008B0F9E">
        <w:rPr>
          <w:rFonts w:ascii="Times New Roman" w:hAnsi="Times New Roman" w:cs="Times New Roman"/>
          <w:sz w:val="24"/>
          <w:szCs w:val="24"/>
        </w:rPr>
        <w:t>The method of modifying matter at the nanoscale is known as nanotechnology. It has guaranteed positive outcomes in a variety of medical specialties, including dentistry.</w:t>
      </w:r>
    </w:p>
    <w:p w:rsidR="002524AA" w:rsidRPr="008B0F9E" w:rsidRDefault="00DA05E5" w:rsidP="002524AA">
      <w:pPr>
        <w:spacing w:line="480" w:lineRule="auto"/>
        <w:jc w:val="both"/>
        <w:rPr>
          <w:rFonts w:ascii="Times New Roman" w:hAnsi="Times New Roman" w:cs="Times New Roman"/>
          <w:sz w:val="24"/>
          <w:szCs w:val="24"/>
        </w:rPr>
      </w:pPr>
      <w:r>
        <w:rPr>
          <w:rFonts w:ascii="Times New Roman" w:hAnsi="Times New Roman" w:cs="Times New Roman"/>
          <w:sz w:val="24"/>
          <w:szCs w:val="24"/>
        </w:rPr>
        <w:t>In future, t</w:t>
      </w:r>
      <w:r w:rsidR="00291700" w:rsidRPr="00291700">
        <w:rPr>
          <w:rFonts w:ascii="Times New Roman" w:hAnsi="Times New Roman" w:cs="Times New Roman"/>
          <w:sz w:val="24"/>
          <w:szCs w:val="24"/>
        </w:rPr>
        <w:t>he concept of nanotechnology might be applied to dentistry and orthodonti</w:t>
      </w:r>
      <w:r w:rsidR="00753998">
        <w:rPr>
          <w:rFonts w:ascii="Times New Roman" w:hAnsi="Times New Roman" w:cs="Times New Roman"/>
          <w:sz w:val="24"/>
          <w:szCs w:val="24"/>
        </w:rPr>
        <w:t>cs</w:t>
      </w:r>
      <w:r w:rsidR="00291700" w:rsidRPr="00291700">
        <w:rPr>
          <w:rFonts w:ascii="Times New Roman" w:hAnsi="Times New Roman" w:cs="Times New Roman"/>
          <w:sz w:val="24"/>
          <w:szCs w:val="24"/>
        </w:rPr>
        <w:t>. The periodontium wi</w:t>
      </w:r>
      <w:r w:rsidR="00753998">
        <w:rPr>
          <w:rFonts w:ascii="Times New Roman" w:hAnsi="Times New Roman" w:cs="Times New Roman"/>
          <w:sz w:val="24"/>
          <w:szCs w:val="24"/>
        </w:rPr>
        <w:t xml:space="preserve">ll be traversed </w:t>
      </w:r>
      <w:r w:rsidR="00291700">
        <w:rPr>
          <w:rFonts w:ascii="Times New Roman" w:hAnsi="Times New Roman" w:cs="Times New Roman"/>
          <w:sz w:val="24"/>
          <w:szCs w:val="24"/>
        </w:rPr>
        <w:t xml:space="preserve"> </w:t>
      </w:r>
      <w:r w:rsidR="00753998" w:rsidRPr="00753998">
        <w:rPr>
          <w:rFonts w:ascii="Times New Roman" w:hAnsi="Times New Roman" w:cs="Times New Roman"/>
          <w:sz w:val="24"/>
          <w:szCs w:val="24"/>
        </w:rPr>
        <w:t>by nanorobots with particular motility mechanisms to be changed directly,</w:t>
      </w:r>
      <w:r w:rsidR="002524AA" w:rsidRPr="008B0F9E">
        <w:rPr>
          <w:rFonts w:ascii="Times New Roman" w:hAnsi="Times New Roman" w:cs="Times New Roman"/>
          <w:sz w:val="24"/>
          <w:szCs w:val="24"/>
        </w:rPr>
        <w:t>increasing orthodontic tooth movement. This method can also be used to reduce root resorption while receiving orthodontic treatment.</w:t>
      </w:r>
    </w:p>
    <w:p w:rsidR="002524AA" w:rsidRPr="00CB2D49" w:rsidRDefault="00291700" w:rsidP="002524AA">
      <w:pPr>
        <w:spacing w:line="480" w:lineRule="auto"/>
        <w:jc w:val="both"/>
        <w:rPr>
          <w:rFonts w:ascii="Times New Roman" w:hAnsi="Times New Roman" w:cs="Times New Roman"/>
          <w:sz w:val="24"/>
          <w:szCs w:val="24"/>
          <w:vertAlign w:val="superscript"/>
        </w:rPr>
      </w:pPr>
      <w:r w:rsidRPr="00291700">
        <w:rPr>
          <w:rFonts w:ascii="Times New Roman" w:hAnsi="Times New Roman" w:cs="Times New Roman"/>
          <w:sz w:val="24"/>
          <w:szCs w:val="24"/>
        </w:rPr>
        <w:t>The bone cont</w:t>
      </w:r>
      <w:r>
        <w:rPr>
          <w:rFonts w:ascii="Times New Roman" w:hAnsi="Times New Roman" w:cs="Times New Roman"/>
          <w:sz w:val="24"/>
          <w:szCs w:val="24"/>
        </w:rPr>
        <w:t xml:space="preserve">ains attachment sites for tads </w:t>
      </w:r>
      <w:r w:rsidR="002524AA" w:rsidRPr="008B0F9E">
        <w:rPr>
          <w:rFonts w:ascii="Times New Roman" w:hAnsi="Times New Roman" w:cs="Times New Roman"/>
          <w:sz w:val="24"/>
          <w:szCs w:val="24"/>
        </w:rPr>
        <w:t>and if they function as independent anchorage, they directly improve orthodontic anchorage; if not, they do so indirectly by supporting and bolstering the anchoring teeth</w:t>
      </w:r>
      <w:r w:rsidR="002524AA" w:rsidRPr="006650F9">
        <w:rPr>
          <w:rFonts w:ascii="Times New Roman" w:hAnsi="Times New Roman" w:cs="Times New Roman"/>
          <w:sz w:val="24"/>
          <w:szCs w:val="24"/>
          <w:vertAlign w:val="superscript"/>
        </w:rPr>
        <w:t>.</w:t>
      </w:r>
      <w:r w:rsidR="00F73678" w:rsidRPr="006650F9">
        <w:rPr>
          <w:rFonts w:ascii="Times New Roman" w:hAnsi="Times New Roman" w:cs="Times New Roman"/>
          <w:sz w:val="24"/>
          <w:szCs w:val="24"/>
          <w:vertAlign w:val="superscript"/>
        </w:rPr>
        <w:fldChar w:fldCharType="begin"/>
      </w:r>
      <w:r w:rsidR="002524AA" w:rsidRPr="006650F9">
        <w:rPr>
          <w:rFonts w:ascii="Times New Roman" w:hAnsi="Times New Roman" w:cs="Times New Roman"/>
          <w:sz w:val="24"/>
          <w:szCs w:val="24"/>
          <w:vertAlign w:val="superscript"/>
        </w:rPr>
        <w:instrText xml:space="preserve"> ADDIN ZOTERO_ITEM CSL_CITATION {"citationID":"mWNiFsOf","properties":{"formattedCitation":"(6)","plainCitation":"(6)","noteIndex":0},"citationItems":[{"id":395,"uris":["http://zotero.org/users/10901486/items/VFN2DHGV"],"itemData":{"id":395,"type":"article-journal","abstract":"Miniscrews have proven to be a useful addition to the orthodontist's armamentarium for control of skeletal anchorage in less compliant or noncompliant patients, but the risks involved with miniscrew placement must be clearly understood by both the clinician and the patient. Complications can arise during miniscrew placement and after orthodontic loading in regard to stability and patient safety. This article presents a case report of peri-implantitis around an orthodontic miniscrew implant treated with Erbium, chromium, yttrium, scandium, gallium, garnet (Er,Cr: YSGG) laser.","container-title":"Journal of Dental Lasers","DOI":"10.4103/0976-2868.106665","ISSN":"2321-1385","issue":"2","language":"en","note":"Company: Medknow Publications and Media Pvt. Ltd.\nDistributor: Medknow Publications and Media Pvt. Ltd.\nInstitution: Medknow Publications and Media Pvt. Ltd.\nLabel: Medknow Publications and Media Pvt. Ltd.\npublisher: Medknow Publications","page":"66","source":"www.jdentlasers.org","title":"Treatment of peri-implantitis around orthodontic miniscrew using Er,Cr: YSGG Laser","title-short":"Treatment of peri-implantitis around orthodontic miniscrew using Er,Cr","volume":"6","author":[{"family":"Chawla","given":"Kirti"},{"family":"Lamba","given":"Arundeep Kaur"},{"family":"Gupta","given":"Manak"},{"family":"Khanna","given":"Neha"}],"issued":{"date-parts":[["2012",7,1]]}}}],"schema":"https://github.com/citation-style-language/schema/raw/master/csl-citation.json"} </w:instrText>
      </w:r>
      <w:r w:rsidR="00F73678" w:rsidRPr="006650F9">
        <w:rPr>
          <w:rFonts w:ascii="Times New Roman" w:hAnsi="Times New Roman" w:cs="Times New Roman"/>
          <w:sz w:val="24"/>
          <w:szCs w:val="24"/>
          <w:vertAlign w:val="superscript"/>
        </w:rPr>
        <w:fldChar w:fldCharType="separate"/>
      </w:r>
      <w:r w:rsidR="002524AA" w:rsidRPr="006650F9">
        <w:rPr>
          <w:rFonts w:ascii="Times New Roman" w:hAnsi="Times New Roman" w:cs="Times New Roman"/>
          <w:sz w:val="24"/>
          <w:vertAlign w:val="superscript"/>
        </w:rPr>
        <w:t>(6)</w:t>
      </w:r>
      <w:r w:rsidR="00F73678" w:rsidRPr="006650F9">
        <w:rPr>
          <w:rFonts w:ascii="Times New Roman" w:hAnsi="Times New Roman" w:cs="Times New Roman"/>
          <w:sz w:val="24"/>
          <w:szCs w:val="24"/>
          <w:vertAlign w:val="superscript"/>
        </w:rPr>
        <w:fldChar w:fldCharType="end"/>
      </w:r>
      <w:r w:rsidR="002524AA" w:rsidRPr="008B0F9E">
        <w:rPr>
          <w:rFonts w:ascii="Times New Roman" w:hAnsi="Times New Roman" w:cs="Times New Roman"/>
          <w:sz w:val="24"/>
          <w:szCs w:val="24"/>
        </w:rPr>
        <w:t xml:space="preserve"> As a biologic barrier against microorganisms, healthy peri-implant tissue is essential. With the insertion of tiny screws, tissue irritation, mild infection, and peri-implantitis might develop</w:t>
      </w:r>
      <w:r w:rsidR="002524AA" w:rsidRPr="00CB2D49">
        <w:rPr>
          <w:rFonts w:ascii="Times New Roman" w:hAnsi="Times New Roman" w:cs="Times New Roman"/>
          <w:sz w:val="24"/>
          <w:szCs w:val="24"/>
          <w:vertAlign w:val="superscript"/>
        </w:rPr>
        <w:t>.</w:t>
      </w:r>
      <w:r w:rsidR="00F73678" w:rsidRPr="006650F9">
        <w:rPr>
          <w:rFonts w:ascii="Times New Roman" w:hAnsi="Times New Roman" w:cs="Times New Roman"/>
          <w:sz w:val="24"/>
          <w:szCs w:val="24"/>
          <w:vertAlign w:val="superscript"/>
        </w:rPr>
        <w:fldChar w:fldCharType="begin"/>
      </w:r>
      <w:r w:rsidR="002524AA" w:rsidRPr="006650F9">
        <w:rPr>
          <w:rFonts w:ascii="Times New Roman" w:hAnsi="Times New Roman" w:cs="Times New Roman"/>
          <w:sz w:val="24"/>
          <w:szCs w:val="24"/>
          <w:vertAlign w:val="superscript"/>
        </w:rPr>
        <w:instrText xml:space="preserve"> ADDIN ZOTERO_ITEM CSL_CITATION {"citationID":"IFXVG6FZ","properties":{"formattedCitation":"(7)","plainCitation":"(7)","noteIndex":0},"citationItems":[{"id":396,"uris":["http://zotero.org/users/10901486/items/Z4G8GVSZ"],"itemData":{"id":396,"type":"article-journal","abstract":"Context:\nOrthodontic miniscrews are used for the purpose of conservation of anchorage.\n\nAims:\nThe aim of the study was to evaluate the orthodontic miniscrew failure between the elastomeric chain-supported retraction and stainless steel (SS) ligature-aided retraction.\n\nSettings and Design:\nThis was a cross-sectional split mouth randomized controlled trial.\n\nMaterials and Methods:\nThe sample (30) was divided equally among the control group and the experimental group (15 each). Miniscrews were placed between second premolar and the first molar of maxilla. The experimental group was based on the split mouth technique wherein right or left side of the maxillary arch was treated using either an elastomeric power chain (EPC) engaged to the miniscrews directly (Group 1) or an EPC engaged indirectly to miniscrews with the help of SS ligature wire (Group 2). In control group, implants were placed in maxilla without any retraction force. Clinical signs of inflammation was assessed at the following interval; 7th day, 14th day, 1st month, 2nd month, and at the time of removal of implant.\n\nStatistical Analysis Used:\nKruskal–Wallis ANOVA test was used.\n\nResults:\nMean rank of gingival inflammation was 28.33 at the 1st-month interval in Group 1 and inflammation remained high in the this group for all time intervals in comparison to Group 2. Group 2 showed highest mean rank of inflammation of 26.10 at 7th day. In control group, the inflammation remained low at all the time intervals. Moreover, the difference noted was statistically significant.\n\nConclusions:\nThe gingival inflammation around the peri-implant tissue with the application of EPC at various interval remained high in comparison to the EPC with SS group. The gingival inflammation in the control group was very less, and it remained less throughout the different time periods.","container-title":"International Journal of Applied and Basic Medical Research","DOI":"10.4103/ijabmr.IJABMR_191_20","ISSN":"2229-516X","issue":"2","journalAbbreviation":"Int J Appl Basic Med Res","note":"PMID: 33912430\nPMCID: PMC8061618","page":"100-105","source":"PubMed Central","title":"Evaluation and Comparison of the Effect of Elastomeric Chain and Stainless Steel Ligature Wire on Maxillary Orthodontic Miniscrew Failure","volume":"11","author":[{"family":"Joshi","given":"Rishi"},{"family":"Shyagali","given":"Tarulatha Revanappa"},{"family":"Jha","given":"Ruchi"},{"family":"Gupta","given":"Abhishek"},{"family":"Tiwari","given":"Anil"},{"family":"Tiwari","given":"Tanvee"}],"issued":{"date-parts":[["2021"]]}}}],"schema":"https://github.com/citation-style-language/schema/raw/master/csl-citation.json"} </w:instrText>
      </w:r>
      <w:r w:rsidR="00F73678" w:rsidRPr="006650F9">
        <w:rPr>
          <w:rFonts w:ascii="Times New Roman" w:hAnsi="Times New Roman" w:cs="Times New Roman"/>
          <w:sz w:val="24"/>
          <w:szCs w:val="24"/>
          <w:vertAlign w:val="superscript"/>
        </w:rPr>
        <w:fldChar w:fldCharType="separate"/>
      </w:r>
      <w:r w:rsidR="002524AA" w:rsidRPr="006650F9">
        <w:rPr>
          <w:rFonts w:ascii="Times New Roman" w:hAnsi="Times New Roman" w:cs="Times New Roman"/>
          <w:sz w:val="24"/>
          <w:vertAlign w:val="superscript"/>
        </w:rPr>
        <w:t>(7)</w:t>
      </w:r>
      <w:r w:rsidR="00F73678" w:rsidRPr="006650F9">
        <w:rPr>
          <w:rFonts w:ascii="Times New Roman" w:hAnsi="Times New Roman" w:cs="Times New Roman"/>
          <w:sz w:val="24"/>
          <w:szCs w:val="24"/>
          <w:vertAlign w:val="superscript"/>
        </w:rPr>
        <w:fldChar w:fldCharType="end"/>
      </w:r>
    </w:p>
    <w:p w:rsidR="00D2270A" w:rsidRDefault="002524AA" w:rsidP="002524AA">
      <w:pPr>
        <w:spacing w:line="480" w:lineRule="auto"/>
        <w:jc w:val="both"/>
        <w:rPr>
          <w:rFonts w:ascii="Times New Roman" w:hAnsi="Times New Roman" w:cs="Times New Roman"/>
          <w:sz w:val="24"/>
          <w:szCs w:val="24"/>
        </w:rPr>
      </w:pPr>
      <w:r w:rsidRPr="008B0F9E">
        <w:rPr>
          <w:rFonts w:ascii="Times New Roman" w:hAnsi="Times New Roman" w:cs="Times New Roman"/>
          <w:sz w:val="24"/>
          <w:szCs w:val="24"/>
        </w:rPr>
        <w:t xml:space="preserve">Peri-implantitis is an inflammation of the mucosa that surrounds the implant, and it is </w:t>
      </w:r>
      <w:r w:rsidR="00F727F1" w:rsidRPr="008B0F9E">
        <w:rPr>
          <w:rFonts w:ascii="Times New Roman" w:hAnsi="Times New Roman" w:cs="Times New Roman"/>
          <w:sz w:val="24"/>
          <w:szCs w:val="24"/>
        </w:rPr>
        <w:t>characterized</w:t>
      </w:r>
      <w:r w:rsidRPr="008B0F9E">
        <w:rPr>
          <w:rFonts w:ascii="Times New Roman" w:hAnsi="Times New Roman" w:cs="Times New Roman"/>
          <w:sz w:val="24"/>
          <w:szCs w:val="24"/>
        </w:rPr>
        <w:t xml:space="preserve"> by increasing mobility, loss of bone support that is clinically and radiographically visible, bleeding upon probing, suppuration, and infiltrations of epithelia. An increase of 30% in failure rate has been linked to inflammation of the soft tissue around the implant.</w:t>
      </w:r>
      <w:r w:rsidR="00F73678" w:rsidRPr="006650F9">
        <w:rPr>
          <w:rFonts w:ascii="Times New Roman" w:hAnsi="Times New Roman" w:cs="Times New Roman"/>
          <w:sz w:val="24"/>
          <w:szCs w:val="24"/>
          <w:vertAlign w:val="superscript"/>
        </w:rPr>
        <w:fldChar w:fldCharType="begin"/>
      </w:r>
      <w:r w:rsidRPr="006650F9">
        <w:rPr>
          <w:rFonts w:ascii="Times New Roman" w:hAnsi="Times New Roman" w:cs="Times New Roman"/>
          <w:sz w:val="24"/>
          <w:szCs w:val="24"/>
          <w:vertAlign w:val="superscript"/>
        </w:rPr>
        <w:instrText xml:space="preserve"> ADDIN ZOTERO_ITEM CSL_CITATION {"citationID":"5V0FkPn8","properties":{"formattedCitation":"(8)","plainCitation":"(8)","noteIndex":0},"citationItems":[{"id":399,"uris":["http://zotero.org/users/10901486/items/ZD2QS7DG"],"itemData":{"id":399,"type":"article-journal","abstract":"Paradigms have started to shift in the orthodontic world since the introduction of mini-implants in the anchorage armamentarium. Various forms of skeletal anchorage, including miniscrews and miniplates, have been reported in the literature. Recently, great emphasis has been placed on the miniscrew type of temporary anchorage device (TAD). These devices are small, are implanted with a relatively simple surgical procedure, and increase the potential for better orthodontic results. Therefore, miniscrews not only free orthodontists from anchorage-demanding cases, but they also enable clinicians to have good control over tooth movement in 3 dimensions. The miniplate type also produces significant improvements in treatment outcomes and has widened the spectrum of orthodontics. The purpose of this paper is to update clinicians on the current concepts and versatile uses and clinical applications of skeletal anchorage in orthodontics.","container-title":"International Journal of Biomaterials","DOI":"10.1155/2012/394121","ISSN":"1687-8787","journalAbbreviation":"Int J Biomater","note":"PMID: 22719763\nPMCID: PMC3374939","page":"394121","source":"PubMed Central","title":"Mini-Implants in the Anchorage Armamentarium: New Paradigms in the Orthodontics","title-short":"Mini-Implants in the Anchorage Armamentarium","volume":"2012","author":[{"family":"Yamaguchi","given":"Masaru"},{"family":"Inami","given":"Toshihiro"},{"family":"Ito","given":"Ko"},{"family":"Kasai","given":"Kazutaka"},{"family":"Tanimoto","given":"Yasuhiro"}],"issued":{"date-parts":[["2012"]]}}}],"schema":"https://github.com/citation-style-language/schema/raw/master/csl-citation.json"} </w:instrText>
      </w:r>
      <w:r w:rsidR="00F73678" w:rsidRPr="006650F9">
        <w:rPr>
          <w:rFonts w:ascii="Times New Roman" w:hAnsi="Times New Roman" w:cs="Times New Roman"/>
          <w:sz w:val="24"/>
          <w:szCs w:val="24"/>
          <w:vertAlign w:val="superscript"/>
        </w:rPr>
        <w:fldChar w:fldCharType="separate"/>
      </w:r>
      <w:r w:rsidRPr="006650F9">
        <w:rPr>
          <w:rFonts w:ascii="Times New Roman" w:hAnsi="Times New Roman" w:cs="Times New Roman"/>
          <w:sz w:val="24"/>
          <w:vertAlign w:val="superscript"/>
        </w:rPr>
        <w:t>(8)</w:t>
      </w:r>
      <w:r w:rsidR="00F73678" w:rsidRPr="006650F9">
        <w:rPr>
          <w:rFonts w:ascii="Times New Roman" w:hAnsi="Times New Roman" w:cs="Times New Roman"/>
          <w:sz w:val="24"/>
          <w:szCs w:val="24"/>
          <w:vertAlign w:val="superscript"/>
        </w:rPr>
        <w:fldChar w:fldCharType="end"/>
      </w:r>
    </w:p>
    <w:p w:rsidR="002524AA" w:rsidRPr="008B0F9E" w:rsidRDefault="00121CAA" w:rsidP="002524AA">
      <w:pPr>
        <w:spacing w:line="480" w:lineRule="auto"/>
        <w:jc w:val="both"/>
        <w:rPr>
          <w:rFonts w:ascii="Times New Roman" w:hAnsi="Times New Roman" w:cs="Times New Roman"/>
          <w:sz w:val="24"/>
          <w:szCs w:val="24"/>
        </w:rPr>
      </w:pPr>
      <w:r w:rsidRPr="00121CAA">
        <w:rPr>
          <w:rFonts w:ascii="Times New Roman" w:hAnsi="Times New Roman" w:cs="Times New Roman"/>
          <w:sz w:val="24"/>
          <w:szCs w:val="24"/>
        </w:rPr>
        <w:t xml:space="preserve">Nanotechnology may be used to build temporary anchoring devices that can reduce the incidence of pain and suffering with just little alterations to their functional features. Pre-incorporated antibacterial agents or compounds, such as antibiotics, antiseptics, metal ions, or </w:t>
      </w:r>
      <w:r w:rsidRPr="00121CAA">
        <w:rPr>
          <w:rFonts w:ascii="Times New Roman" w:hAnsi="Times New Roman" w:cs="Times New Roman"/>
          <w:sz w:val="24"/>
          <w:szCs w:val="24"/>
        </w:rPr>
        <w:lastRenderedPageBreak/>
        <w:t>organic molecules, are used to modify the surface.</w:t>
      </w:r>
      <w:r w:rsidR="00A5682A" w:rsidRPr="00A5682A">
        <w:rPr>
          <w:rFonts w:ascii="Times New Roman" w:hAnsi="Times New Roman" w:cs="Times New Roman"/>
          <w:sz w:val="24"/>
          <w:szCs w:val="24"/>
        </w:rPr>
        <w:t>This could change the implant from a medical device that is passive and pharmacologically inert to something that is more analogous to a drug agent, with uncertain long-term consequences and challenging regulatory difficulties.</w:t>
      </w:r>
      <w:r w:rsidR="00A5682A" w:rsidRPr="006650F9">
        <w:rPr>
          <w:rFonts w:ascii="Times New Roman" w:hAnsi="Times New Roman" w:cs="Times New Roman"/>
          <w:sz w:val="24"/>
          <w:szCs w:val="24"/>
          <w:vertAlign w:val="superscript"/>
        </w:rPr>
        <w:t xml:space="preserve"> </w:t>
      </w:r>
      <w:r w:rsidR="00F73678" w:rsidRPr="006650F9">
        <w:rPr>
          <w:rFonts w:ascii="Times New Roman" w:hAnsi="Times New Roman" w:cs="Times New Roman"/>
          <w:sz w:val="24"/>
          <w:szCs w:val="24"/>
          <w:vertAlign w:val="superscript"/>
        </w:rPr>
        <w:fldChar w:fldCharType="begin"/>
      </w:r>
      <w:r w:rsidR="002524AA" w:rsidRPr="006650F9">
        <w:rPr>
          <w:rFonts w:ascii="Times New Roman" w:hAnsi="Times New Roman" w:cs="Times New Roman"/>
          <w:sz w:val="24"/>
          <w:szCs w:val="24"/>
          <w:vertAlign w:val="superscript"/>
        </w:rPr>
        <w:instrText xml:space="preserve"> ADDIN ZOTERO_ITEM CSL_CITATION {"citationID":"0Reu3wIm","properties":{"formattedCitation":"(9)","plainCitation":"(9)","noteIndex":0},"citationItems":[{"id":402,"uris":["http://zotero.org/users/10901486/items/LSUD83BV"],"itemData":{"id":402,"type":"article-journal","abstract":"Implanted biomaterials play a key role in current success of orthopedic and trauma surgery. However, implant-related infections remain among the leading reasons for failure with high economical and social associated costs. According to the current knowledge, probably the most critical pathogenic event in the development of implant-related infection is biofilm formation, which starts immediately after bacterial adhesion on an implant and effectively protects the microorganisms from the immune system and systemic antibiotics. A rationale, modern prevention of biomaterial-associated infections should then specifically focus on inhibition of both bacterial adhesion and biofilm formation. Nonetheless, currently available prophylactic measures, although partially effective in reducing surgical site infections, are not based on the pathogenesis of biofilm-related infections and unacceptable high rates of septic complications, especially in high-risk patients and procedures, are still reported.In the last decade, several studies have investigated the ability of implant surface modifications to minimize bacterial adhesion, inhibit biofilm formation, and provide effective bacterial killing to protect implanted biomaterials, even if there still is a great discrepancy between proposed and clinically implemented strategies and a lack of a common language to evaluate them.To move a step forward towards a more systematic approach in this promising but complicated field, here we provide a detailed overview and an original classification of the various technologies under study or already in the market. We may distinguish the following: 1. Passive surface finishing/modification (PSM): passive coatings that do not release bactericidal agents to the surrounding tissues, but are aimed at preventing or reducing bacterial adhesion through surface chemistry and/or structure modifications; 2. Active surface finishing/modification (ASM): active coatings that feature pharmacologically active pre-incorporated bactericidal agents; and 3. Local carriers or coatings (LCC): local antibacterial carriers or coatings, biodegradable or not, applied at the time of the surgical procedure, immediately prior or at the same time of the implant and around it. Classifying different technologies may be useful in order to better compare different solutions, to improve the design of validation tests and, hopefully, to improve and speed up the regulatory process in this rapidly evolving field.","container-title":"Journal of Orthopaedic Surgery and Research","DOI":"10.1186/s13018-015-0294-5","ISSN":"1749-799X","journalAbbreviation":"J Orthop Surg Res","language":"eng","note":"PMID: 26429342\nPMCID: PMC4591707","page":"157","source":"PubMed","title":"Antibacterial coating of implants in orthopaedics and trauma: a classification proposal in an evolving panorama","title-short":"Antibacterial coating of implants in orthopaedics and trauma","volume":"10","author":[{"family":"Romanò","given":"Carlo Luca"},{"family":"Scarponi","given":"Sara"},{"family":"Gallazzi","given":"Enrico"},{"family":"Romanò","given":"Delia"},{"family":"Drago","given":"Lorenzo"}],"issued":{"date-parts":[["2015",10,1]]}}}],"schema":"https://github.com/citation-style-language/schema/raw/master/csl-citation.json"} </w:instrText>
      </w:r>
      <w:r w:rsidR="00F73678" w:rsidRPr="006650F9">
        <w:rPr>
          <w:rFonts w:ascii="Times New Roman" w:hAnsi="Times New Roman" w:cs="Times New Roman"/>
          <w:sz w:val="24"/>
          <w:szCs w:val="24"/>
          <w:vertAlign w:val="superscript"/>
        </w:rPr>
        <w:fldChar w:fldCharType="separate"/>
      </w:r>
      <w:r w:rsidR="002524AA" w:rsidRPr="006650F9">
        <w:rPr>
          <w:rFonts w:ascii="Times New Roman" w:hAnsi="Times New Roman" w:cs="Times New Roman"/>
          <w:sz w:val="24"/>
          <w:vertAlign w:val="superscript"/>
        </w:rPr>
        <w:t>(9)</w:t>
      </w:r>
      <w:r w:rsidR="00F73678" w:rsidRPr="006650F9">
        <w:rPr>
          <w:rFonts w:ascii="Times New Roman" w:hAnsi="Times New Roman" w:cs="Times New Roman"/>
          <w:sz w:val="24"/>
          <w:szCs w:val="24"/>
          <w:vertAlign w:val="superscript"/>
        </w:rPr>
        <w:fldChar w:fldCharType="end"/>
      </w:r>
    </w:p>
    <w:p w:rsidR="002524AA" w:rsidRPr="008B0F9E" w:rsidRDefault="002524AA" w:rsidP="002524AA">
      <w:pPr>
        <w:spacing w:line="480" w:lineRule="auto"/>
        <w:jc w:val="both"/>
        <w:rPr>
          <w:rFonts w:ascii="Times New Roman" w:hAnsi="Times New Roman" w:cs="Times New Roman"/>
          <w:b/>
          <w:sz w:val="28"/>
          <w:szCs w:val="24"/>
          <w:u w:val="single"/>
        </w:rPr>
      </w:pPr>
      <w:r w:rsidRPr="008B0F9E">
        <w:rPr>
          <w:rFonts w:ascii="Times New Roman" w:hAnsi="Times New Roman" w:cs="Times New Roman"/>
          <w:b/>
          <w:sz w:val="28"/>
          <w:szCs w:val="24"/>
          <w:u w:val="single"/>
        </w:rPr>
        <w:t>NANOPARTICLES IN TEMPORARY ANCHORAGE DEVICES</w:t>
      </w:r>
    </w:p>
    <w:p w:rsidR="002524AA" w:rsidRPr="008B0F9E" w:rsidRDefault="007E255D" w:rsidP="002524AA">
      <w:pPr>
        <w:spacing w:line="480" w:lineRule="auto"/>
        <w:jc w:val="both"/>
        <w:rPr>
          <w:rFonts w:ascii="Times New Roman" w:hAnsi="Times New Roman" w:cs="Times New Roman"/>
          <w:sz w:val="24"/>
          <w:szCs w:val="24"/>
        </w:rPr>
      </w:pPr>
      <w:r w:rsidRPr="007E255D">
        <w:rPr>
          <w:rFonts w:ascii="Times New Roman" w:hAnsi="Times New Roman" w:cs="Times New Roman"/>
          <w:sz w:val="24"/>
          <w:szCs w:val="24"/>
        </w:rPr>
        <w:t>Today, TADs are made with titanium surfaces that are flat. Orthodontic loading and mini screw placement both have the potential to cause stability and patient safety issues</w:t>
      </w:r>
      <w:r w:rsidR="00121CAA" w:rsidRPr="00121CAA">
        <w:rPr>
          <w:rFonts w:ascii="Times New Roman" w:hAnsi="Times New Roman" w:cs="Times New Roman"/>
          <w:sz w:val="24"/>
          <w:szCs w:val="24"/>
        </w:rPr>
        <w:t xml:space="preserve">. Pain, inflammation, infection, and peri-implantitis are common soft tissue concerns, along with aphthous ulceration, soft tissue covering of the tiny screw head and auxiliary, and others. </w:t>
      </w:r>
      <w:r w:rsidRPr="007E255D">
        <w:rPr>
          <w:rFonts w:ascii="Times New Roman" w:hAnsi="Times New Roman" w:cs="Times New Roman"/>
          <w:sz w:val="24"/>
          <w:szCs w:val="24"/>
        </w:rPr>
        <w:t xml:space="preserve">Consequently, it is essential to lessen the discomfort and danger of peri-implant infection linked to the implantation of temporary anchoring devices. </w:t>
      </w:r>
      <w:r w:rsidR="002524AA" w:rsidRPr="008B0F9E">
        <w:rPr>
          <w:rFonts w:ascii="Times New Roman" w:hAnsi="Times New Roman" w:cs="Times New Roman"/>
          <w:sz w:val="24"/>
          <w:szCs w:val="24"/>
        </w:rPr>
        <w:t xml:space="preserve">This can be done by making surface alterations </w:t>
      </w:r>
      <w:r w:rsidR="00F727F1" w:rsidRPr="008B0F9E">
        <w:rPr>
          <w:rFonts w:ascii="Times New Roman" w:hAnsi="Times New Roman" w:cs="Times New Roman"/>
          <w:sz w:val="24"/>
          <w:szCs w:val="24"/>
        </w:rPr>
        <w:t>utilizing</w:t>
      </w:r>
      <w:r w:rsidR="002524AA" w:rsidRPr="008B0F9E">
        <w:rPr>
          <w:rFonts w:ascii="Times New Roman" w:hAnsi="Times New Roman" w:cs="Times New Roman"/>
          <w:sz w:val="24"/>
          <w:szCs w:val="24"/>
        </w:rPr>
        <w:t xml:space="preserve"> pharmacologically active compounds.</w:t>
      </w:r>
    </w:p>
    <w:p w:rsidR="007E255D" w:rsidRDefault="002524AA" w:rsidP="002524AA">
      <w:pPr>
        <w:spacing w:line="480" w:lineRule="auto"/>
        <w:jc w:val="both"/>
        <w:rPr>
          <w:rFonts w:ascii="Times New Roman" w:hAnsi="Times New Roman" w:cs="Times New Roman"/>
          <w:sz w:val="24"/>
          <w:szCs w:val="24"/>
        </w:rPr>
      </w:pPr>
      <w:r w:rsidRPr="008B0F9E">
        <w:rPr>
          <w:rFonts w:ascii="Times New Roman" w:hAnsi="Times New Roman" w:cs="Times New Roman"/>
          <w:sz w:val="24"/>
          <w:szCs w:val="24"/>
        </w:rPr>
        <w:t>Traditionally, "contact killing" and "drug eluting" have been the two major approaches suggested for efficient antibacterial su</w:t>
      </w:r>
      <w:r w:rsidR="007E255D">
        <w:rPr>
          <w:rFonts w:ascii="Times New Roman" w:hAnsi="Times New Roman" w:cs="Times New Roman"/>
          <w:sz w:val="24"/>
          <w:szCs w:val="24"/>
        </w:rPr>
        <w:t>rface treatment. Metals like</w:t>
      </w:r>
      <w:r w:rsidRPr="008B0F9E">
        <w:rPr>
          <w:rFonts w:ascii="Times New Roman" w:hAnsi="Times New Roman" w:cs="Times New Roman"/>
          <w:sz w:val="24"/>
          <w:szCs w:val="24"/>
        </w:rPr>
        <w:t xml:space="preserve"> silver, zinc, copper, etc</w:t>
      </w:r>
      <w:r w:rsidR="007E255D">
        <w:rPr>
          <w:rFonts w:ascii="Times New Roman" w:hAnsi="Times New Roman" w:cs="Times New Roman"/>
          <w:sz w:val="24"/>
          <w:szCs w:val="24"/>
        </w:rPr>
        <w:t>, non-metal elements like iodine, selenium, organic chemicals like</w:t>
      </w:r>
      <w:r w:rsidRPr="008B0F9E">
        <w:rPr>
          <w:rFonts w:ascii="Times New Roman" w:hAnsi="Times New Roman" w:cs="Times New Roman"/>
          <w:sz w:val="24"/>
          <w:szCs w:val="24"/>
        </w:rPr>
        <w:t xml:space="preserve"> antibiotics, anti-infective peptides, chitosan, and other</w:t>
      </w:r>
      <w:r w:rsidR="007E255D">
        <w:rPr>
          <w:rFonts w:ascii="Times New Roman" w:hAnsi="Times New Roman" w:cs="Times New Roman"/>
          <w:sz w:val="24"/>
          <w:szCs w:val="24"/>
        </w:rPr>
        <w:t xml:space="preserve"> substances),</w:t>
      </w:r>
      <w:r w:rsidRPr="008B0F9E">
        <w:rPr>
          <w:rFonts w:ascii="Times New Roman" w:hAnsi="Times New Roman" w:cs="Times New Roman"/>
          <w:sz w:val="24"/>
          <w:szCs w:val="24"/>
        </w:rPr>
        <w:t xml:space="preserve"> can all be used in antibacterial surface technologies. </w:t>
      </w:r>
      <w:r w:rsidR="007E255D" w:rsidRPr="007E255D">
        <w:rPr>
          <w:rFonts w:ascii="Times New Roman" w:hAnsi="Times New Roman" w:cs="Times New Roman"/>
          <w:sz w:val="24"/>
          <w:szCs w:val="24"/>
        </w:rPr>
        <w:t xml:space="preserve">The most common metal used in biomedical applications is silver. </w:t>
      </w:r>
    </w:p>
    <w:p w:rsidR="002524AA" w:rsidRPr="008B0F9E" w:rsidRDefault="002524AA" w:rsidP="002524AA">
      <w:pPr>
        <w:spacing w:line="480" w:lineRule="auto"/>
        <w:jc w:val="both"/>
        <w:rPr>
          <w:rFonts w:ascii="Times New Roman" w:hAnsi="Times New Roman" w:cs="Times New Roman"/>
          <w:sz w:val="24"/>
          <w:szCs w:val="24"/>
        </w:rPr>
      </w:pPr>
      <w:r w:rsidRPr="008B0F9E">
        <w:rPr>
          <w:rFonts w:ascii="Times New Roman" w:hAnsi="Times New Roman" w:cs="Times New Roman"/>
          <w:sz w:val="24"/>
          <w:szCs w:val="24"/>
        </w:rPr>
        <w:t>Another intriguing technique focuses on titanium alloy alteration, which is a widely used alloy.</w:t>
      </w:r>
    </w:p>
    <w:p w:rsidR="002524AA" w:rsidRPr="008B0F9E" w:rsidRDefault="002524AA" w:rsidP="002524AA">
      <w:pPr>
        <w:spacing w:line="480" w:lineRule="auto"/>
        <w:jc w:val="both"/>
        <w:rPr>
          <w:rFonts w:ascii="Times New Roman" w:hAnsi="Times New Roman" w:cs="Times New Roman"/>
          <w:sz w:val="24"/>
          <w:szCs w:val="24"/>
        </w:rPr>
      </w:pPr>
      <w:r w:rsidRPr="008B0F9E">
        <w:rPr>
          <w:rFonts w:ascii="Times New Roman" w:hAnsi="Times New Roman" w:cs="Times New Roman"/>
          <w:sz w:val="24"/>
          <w:szCs w:val="24"/>
        </w:rPr>
        <w:t xml:space="preserve">It has been extensively studied and demonstrated in vitro that titanium dioxide films have anti-infective properties, either alone or in combination with other chemicals. Because of their antiinfective qualities, nonmetal elements like oxygen, hydrogen, chlorine, or iodine are frequently used in biomedicine. Staphylococcus aureus and Staphylococcus </w:t>
      </w:r>
      <w:r w:rsidRPr="008B0F9E">
        <w:rPr>
          <w:rFonts w:ascii="Times New Roman" w:hAnsi="Times New Roman" w:cs="Times New Roman"/>
          <w:sz w:val="24"/>
          <w:szCs w:val="24"/>
        </w:rPr>
        <w:lastRenderedPageBreak/>
        <w:t>epidermidisadhesion to titanium or titanium alloy implant discs has been found to be prevented by selenium bonded covalently to those surfaces without impacting osteoblast viability.</w:t>
      </w:r>
      <w:r w:rsidR="00F73678" w:rsidRPr="006650F9">
        <w:rPr>
          <w:rFonts w:ascii="Times New Roman" w:hAnsi="Times New Roman" w:cs="Times New Roman"/>
          <w:sz w:val="24"/>
          <w:szCs w:val="24"/>
          <w:vertAlign w:val="superscript"/>
        </w:rPr>
        <w:fldChar w:fldCharType="begin"/>
      </w:r>
      <w:r w:rsidRPr="006650F9">
        <w:rPr>
          <w:rFonts w:ascii="Times New Roman" w:hAnsi="Times New Roman" w:cs="Times New Roman"/>
          <w:sz w:val="24"/>
          <w:szCs w:val="24"/>
          <w:vertAlign w:val="superscript"/>
        </w:rPr>
        <w:instrText xml:space="preserve"> ADDIN ZOTERO_ITEM CSL_CITATION {"citationID":"bBxlhVau","properties":{"formattedCitation":"(11)","plainCitation":"(11)","noteIndex":0},"citationItems":[{"id":408,"uris":["http://zotero.org/users/10901486/items/DJHN3BYK"],"itemData":{"id":408,"type":"article-journal","abstract":"It is expected that the projected increased usage of implantable devices in medicine will result in a natural rise in the number of infections related to these cases. Some patients are unable to autonomously prevent formation of biofilm on implant surfaces. Suppression of the local peri-implant immune response is an important contributory factor. Substantial avascular scar tissue encountered during revision joint replacement surgery places these cases at an especially high risk of periprosthetic joint infection. A critical pathogenic event in the process of biofilm formation is bacterial adhesion. Prevention of biomaterial-associated infections should be concurrently focused on at least two targets: inhibition of biofilm formation and minimizing local immune response suppression. Current knowledge of antimicrobial surface treatments suitable for prevention of prosthetic joint infection is reviewed. Several surface treatment modalities have been proposed. Minimizing bacterial adhesion, biofilm formation inhibition, and bactericidal approaches are discussed. The ultimate anti-infective surface should be “smart” and responsive to even the lowest bacterial load. While research in this field is promising, there appears to be a great discrepancy between proposed and clinically implemented strategies, and there is urgent need for translational science focusing on this topic.","container-title":"International Journal of Molecular Sciences","DOI":"10.3390/ijms150813849","ISSN":"1422-0067","issue":"8","journalAbbreviation":"Int J Mol Sci","note":"PMID: 25116685\nPMCID: PMC4159828","page":"13849-13880","source":"PubMed Central","title":"Antibacterial Surface Treatment for Orthopaedic Implants","volume":"15","author":[{"family":"Gallo","given":"Jiri"},{"family":"Holinka","given":"Martin"},{"family":"Moucha","given":"Calin S."}],"issued":{"date-parts":[["2014",8,11]]}}}],"schema":"https://github.com/citation-style-language/schema/raw/master/csl-citation.json"} </w:instrText>
      </w:r>
      <w:r w:rsidR="00F73678" w:rsidRPr="006650F9">
        <w:rPr>
          <w:rFonts w:ascii="Times New Roman" w:hAnsi="Times New Roman" w:cs="Times New Roman"/>
          <w:sz w:val="24"/>
          <w:szCs w:val="24"/>
          <w:vertAlign w:val="superscript"/>
        </w:rPr>
        <w:fldChar w:fldCharType="separate"/>
      </w:r>
      <w:r w:rsidRPr="006650F9">
        <w:rPr>
          <w:rFonts w:ascii="Times New Roman" w:hAnsi="Times New Roman" w:cs="Times New Roman"/>
          <w:sz w:val="24"/>
          <w:vertAlign w:val="superscript"/>
        </w:rPr>
        <w:t>(11)</w:t>
      </w:r>
      <w:r w:rsidR="00F73678" w:rsidRPr="006650F9">
        <w:rPr>
          <w:rFonts w:ascii="Times New Roman" w:hAnsi="Times New Roman" w:cs="Times New Roman"/>
          <w:sz w:val="24"/>
          <w:szCs w:val="24"/>
          <w:vertAlign w:val="superscript"/>
        </w:rPr>
        <w:fldChar w:fldCharType="end"/>
      </w:r>
    </w:p>
    <w:p w:rsidR="002524AA" w:rsidRPr="008B0F9E" w:rsidRDefault="002524AA" w:rsidP="002524AA">
      <w:pPr>
        <w:spacing w:line="480" w:lineRule="auto"/>
        <w:jc w:val="both"/>
        <w:rPr>
          <w:rFonts w:ascii="Times New Roman" w:hAnsi="Times New Roman" w:cs="Times New Roman"/>
          <w:b/>
          <w:sz w:val="28"/>
          <w:szCs w:val="24"/>
          <w:u w:val="single"/>
        </w:rPr>
      </w:pPr>
      <w:r w:rsidRPr="008B0F9E">
        <w:rPr>
          <w:rFonts w:ascii="Times New Roman" w:hAnsi="Times New Roman" w:cs="Times New Roman"/>
          <w:b/>
          <w:sz w:val="28"/>
          <w:szCs w:val="24"/>
          <w:u w:val="single"/>
        </w:rPr>
        <w:t>TADs SUPPORTED FROG APPLIANCE</w:t>
      </w:r>
      <w:r w:rsidR="00CA7101">
        <w:rPr>
          <w:rFonts w:ascii="Times New Roman" w:hAnsi="Times New Roman" w:cs="Times New Roman"/>
          <w:b/>
          <w:sz w:val="28"/>
          <w:szCs w:val="24"/>
          <w:u w:val="single"/>
        </w:rPr>
        <w:t>(Fig</w:t>
      </w:r>
      <w:r w:rsidR="00F82ABE">
        <w:rPr>
          <w:rFonts w:ascii="Times New Roman" w:hAnsi="Times New Roman" w:cs="Times New Roman"/>
          <w:b/>
          <w:sz w:val="28"/>
          <w:szCs w:val="24"/>
          <w:u w:val="single"/>
        </w:rPr>
        <w:t>ure</w:t>
      </w:r>
      <w:r w:rsidR="00CA7101">
        <w:rPr>
          <w:rFonts w:ascii="Times New Roman" w:hAnsi="Times New Roman" w:cs="Times New Roman"/>
          <w:b/>
          <w:sz w:val="28"/>
          <w:szCs w:val="24"/>
          <w:u w:val="single"/>
        </w:rPr>
        <w:t xml:space="preserve"> 7.4)</w:t>
      </w:r>
    </w:p>
    <w:p w:rsidR="002524AA" w:rsidRPr="008B0F9E" w:rsidRDefault="002524AA" w:rsidP="002524AA">
      <w:pPr>
        <w:spacing w:line="480" w:lineRule="auto"/>
        <w:jc w:val="both"/>
        <w:rPr>
          <w:rFonts w:ascii="Times New Roman" w:hAnsi="Times New Roman" w:cs="Times New Roman"/>
          <w:sz w:val="24"/>
          <w:szCs w:val="24"/>
        </w:rPr>
      </w:pPr>
      <w:r w:rsidRPr="008B0F9E">
        <w:rPr>
          <w:rFonts w:ascii="Times New Roman" w:hAnsi="Times New Roman" w:cs="Times New Roman"/>
          <w:sz w:val="24"/>
          <w:szCs w:val="24"/>
        </w:rPr>
        <w:t xml:space="preserve">One of the most typical situations seen in orthodontic clinics is class II malocclusion. </w:t>
      </w:r>
      <w:r w:rsidR="00121CAA" w:rsidRPr="00121CAA">
        <w:rPr>
          <w:rFonts w:ascii="Times New Roman" w:hAnsi="Times New Roman" w:cs="Times New Roman"/>
          <w:sz w:val="24"/>
          <w:szCs w:val="24"/>
        </w:rPr>
        <w:t>Class II Div.2 malocclusion is characterised by mandibular retrognathism rather than maxillary prognathism, horizontal growth pattern, skeletal deep bite, retroclination of upper incisors, and wide soft tissue chin.</w:t>
      </w:r>
      <w:r w:rsidRPr="005372C3">
        <w:rPr>
          <w:rFonts w:ascii="Times New Roman" w:hAnsi="Times New Roman" w:cs="Times New Roman"/>
          <w:sz w:val="24"/>
          <w:szCs w:val="24"/>
          <w:vertAlign w:val="superscript"/>
        </w:rPr>
        <w:t>(12)</w:t>
      </w:r>
      <w:r w:rsidRPr="008B0F9E">
        <w:rPr>
          <w:rFonts w:ascii="Times New Roman" w:hAnsi="Times New Roman" w:cs="Times New Roman"/>
          <w:sz w:val="24"/>
          <w:szCs w:val="24"/>
        </w:rPr>
        <w:t xml:space="preserve"> The available treatments include orthognathic surgery, growth modification, and orthodontic concealment. Premolar extraction or distalization of the maxillary molars might be used for camouflage.</w:t>
      </w:r>
    </w:p>
    <w:p w:rsidR="002524AA" w:rsidRPr="008B0F9E" w:rsidRDefault="002524AA" w:rsidP="002524AA">
      <w:pPr>
        <w:spacing w:line="480" w:lineRule="auto"/>
        <w:jc w:val="both"/>
        <w:rPr>
          <w:rFonts w:ascii="Times New Roman" w:hAnsi="Times New Roman" w:cs="Times New Roman"/>
          <w:sz w:val="24"/>
          <w:szCs w:val="24"/>
        </w:rPr>
      </w:pPr>
      <w:r w:rsidRPr="008B0F9E">
        <w:rPr>
          <w:rFonts w:ascii="Times New Roman" w:hAnsi="Times New Roman" w:cs="Times New Roman"/>
          <w:sz w:val="24"/>
          <w:szCs w:val="24"/>
        </w:rPr>
        <w:t>Molar distalization has been achieved via a variety of methods.</w:t>
      </w:r>
      <w:r w:rsidR="00F73678" w:rsidRPr="005372C3">
        <w:rPr>
          <w:rFonts w:ascii="Times New Roman" w:hAnsi="Times New Roman" w:cs="Times New Roman"/>
          <w:sz w:val="24"/>
          <w:szCs w:val="24"/>
          <w:vertAlign w:val="superscript"/>
        </w:rPr>
        <w:fldChar w:fldCharType="begin"/>
      </w:r>
      <w:r>
        <w:rPr>
          <w:rFonts w:ascii="Times New Roman" w:hAnsi="Times New Roman" w:cs="Times New Roman"/>
          <w:sz w:val="24"/>
          <w:szCs w:val="24"/>
          <w:vertAlign w:val="superscript"/>
        </w:rPr>
        <w:instrText xml:space="preserve"> ADDIN ZOTERO_ITEM CSL_CITATION {"citationID":"AGP4BNvx","properties":{"formattedCitation":"(13)","plainCitation":"(13)","dontUpdate":true,"noteIndex":0},"citationItems":[{"id":424,"uris":["http://zotero.org/users/10901486/items/GLY9MBL6"],"itemData":{"id":424,"type":"article-journal","container-title":"Journal of clinical orthodontics: JCO","ISSN":"0022-3875","issue":"11","journalAbbreviation":"J Clin Orthod","language":"eng","note":"PMID: 1298751","page":"706-714","source":"PubMed","title":"The pendulum appliance for Class II non-compliance therapy","volume":"26","author":[{"family":"Hilgers","given":"J. J."}],"issued":{"date-parts":[["1992",11]]}}}],"schema":"https://github.com/citation-style-language/schema/raw/master/csl-citation.json"} </w:instrText>
      </w:r>
      <w:r w:rsidR="00F73678" w:rsidRPr="005372C3">
        <w:rPr>
          <w:rFonts w:ascii="Times New Roman" w:hAnsi="Times New Roman" w:cs="Times New Roman"/>
          <w:sz w:val="24"/>
          <w:szCs w:val="24"/>
          <w:vertAlign w:val="superscript"/>
        </w:rPr>
        <w:fldChar w:fldCharType="separate"/>
      </w:r>
      <w:r w:rsidRPr="005372C3">
        <w:rPr>
          <w:rFonts w:ascii="Times New Roman" w:hAnsi="Times New Roman" w:cs="Times New Roman"/>
          <w:sz w:val="24"/>
          <w:szCs w:val="24"/>
          <w:vertAlign w:val="superscript"/>
        </w:rPr>
        <w:t>(12)</w:t>
      </w:r>
      <w:r w:rsidR="00F73678" w:rsidRPr="005372C3">
        <w:rPr>
          <w:rFonts w:ascii="Times New Roman" w:hAnsi="Times New Roman" w:cs="Times New Roman"/>
          <w:sz w:val="24"/>
          <w:szCs w:val="24"/>
          <w:vertAlign w:val="superscript"/>
        </w:rPr>
        <w:fldChar w:fldCharType="end"/>
      </w:r>
      <w:r w:rsidRPr="008B0F9E">
        <w:rPr>
          <w:rFonts w:ascii="Times New Roman" w:hAnsi="Times New Roman" w:cs="Times New Roman"/>
          <w:sz w:val="24"/>
          <w:szCs w:val="24"/>
        </w:rPr>
        <w:t xml:space="preserve"> </w:t>
      </w:r>
      <w:r w:rsidR="00121CAA" w:rsidRPr="00121CAA">
        <w:rPr>
          <w:rFonts w:ascii="Times New Roman" w:hAnsi="Times New Roman" w:cs="Times New Roman"/>
          <w:sz w:val="24"/>
          <w:szCs w:val="24"/>
        </w:rPr>
        <w:t xml:space="preserve">TADs (temporary anchoring devices) are preferable because they require less patient cooperation. </w:t>
      </w:r>
      <w:r w:rsidRPr="008B0F9E">
        <w:rPr>
          <w:rFonts w:ascii="Times New Roman" w:hAnsi="Times New Roman" w:cs="Times New Roman"/>
          <w:sz w:val="24"/>
          <w:szCs w:val="24"/>
        </w:rPr>
        <w:t xml:space="preserve">while </w:t>
      </w:r>
      <w:r w:rsidR="00F727F1" w:rsidRPr="008B0F9E">
        <w:rPr>
          <w:rFonts w:ascii="Times New Roman" w:hAnsi="Times New Roman" w:cs="Times New Roman"/>
          <w:sz w:val="24"/>
          <w:szCs w:val="24"/>
        </w:rPr>
        <w:t>minimizing</w:t>
      </w:r>
      <w:r w:rsidRPr="008B0F9E">
        <w:rPr>
          <w:rFonts w:ascii="Times New Roman" w:hAnsi="Times New Roman" w:cs="Times New Roman"/>
          <w:sz w:val="24"/>
          <w:szCs w:val="24"/>
        </w:rPr>
        <w:t xml:space="preserve"> unintended tooth movement and accomplishing planned tooth movement.</w:t>
      </w:r>
    </w:p>
    <w:p w:rsidR="002524AA" w:rsidRPr="008B0F9E" w:rsidRDefault="002524AA" w:rsidP="002524AA">
      <w:pPr>
        <w:spacing w:line="480" w:lineRule="auto"/>
        <w:jc w:val="both"/>
        <w:rPr>
          <w:rFonts w:ascii="Times New Roman" w:hAnsi="Times New Roman" w:cs="Times New Roman"/>
          <w:sz w:val="24"/>
          <w:szCs w:val="24"/>
        </w:rPr>
      </w:pPr>
      <w:r w:rsidRPr="008B0F9E">
        <w:rPr>
          <w:rFonts w:ascii="Times New Roman" w:hAnsi="Times New Roman" w:cs="Times New Roman"/>
          <w:sz w:val="24"/>
          <w:szCs w:val="24"/>
        </w:rPr>
        <w:t xml:space="preserve">The components of a frog appliance kit are a screw, a premade spring, and a screwdriver. The frog screw should be positioned between 10 and 12 </w:t>
      </w:r>
      <w:r w:rsidR="00F727F1" w:rsidRPr="008B0F9E">
        <w:rPr>
          <w:rFonts w:ascii="Times New Roman" w:hAnsi="Times New Roman" w:cs="Times New Roman"/>
          <w:sz w:val="24"/>
          <w:szCs w:val="24"/>
        </w:rPr>
        <w:t>millimeters</w:t>
      </w:r>
      <w:r w:rsidRPr="008B0F9E">
        <w:rPr>
          <w:rFonts w:ascii="Times New Roman" w:hAnsi="Times New Roman" w:cs="Times New Roman"/>
          <w:sz w:val="24"/>
          <w:szCs w:val="24"/>
        </w:rPr>
        <w:t xml:space="preserve"> from the occlusal surface.</w:t>
      </w:r>
      <w:r w:rsidR="000C6F6A" w:rsidRPr="000C6F6A">
        <w:t xml:space="preserve"> </w:t>
      </w:r>
      <w:r w:rsidR="000C6F6A" w:rsidRPr="000C6F6A">
        <w:rPr>
          <w:rFonts w:ascii="Times New Roman" w:hAnsi="Times New Roman" w:cs="Times New Roman"/>
          <w:sz w:val="24"/>
          <w:szCs w:val="24"/>
        </w:rPr>
        <w:t xml:space="preserve">As a result of the appliance being roughly at the centre of the molars' resistance, this causes movement of the teeth. </w:t>
      </w:r>
      <w:r w:rsidR="00F11D52" w:rsidRPr="00F11D52">
        <w:rPr>
          <w:rFonts w:ascii="Times New Roman" w:hAnsi="Times New Roman" w:cs="Times New Roman"/>
          <w:sz w:val="24"/>
          <w:szCs w:val="24"/>
        </w:rPr>
        <w:t xml:space="preserve">Furthermore, lingual sheaths are soldered to the lingual surface of the upper first molar bands, and the frog appliance's anterior portion is soldered to the miniscrew cap. A multi-cure glass ionomer orthodontic band cement was utilised to bond the upper first and second molar bands during appliance insertion. </w:t>
      </w:r>
      <w:r w:rsidR="000C6F6A" w:rsidRPr="000C6F6A">
        <w:rPr>
          <w:rFonts w:ascii="Times New Roman" w:hAnsi="Times New Roman" w:cs="Times New Roman"/>
          <w:sz w:val="24"/>
          <w:szCs w:val="24"/>
        </w:rPr>
        <w:t>The anterior portion of the appliance was then adjusted in TAD before the spring was put into the posterior portion. The ends of the distalizing spring were then inserted into the lingual sheaths of the molar bands.</w:t>
      </w:r>
    </w:p>
    <w:p w:rsidR="002524AA" w:rsidRDefault="002524AA" w:rsidP="002524AA">
      <w:pPr>
        <w:spacing w:line="480" w:lineRule="auto"/>
        <w:jc w:val="center"/>
        <w:rPr>
          <w:rFonts w:ascii="Times New Roman" w:hAnsi="Times New Roman" w:cs="Times New Roman"/>
          <w:sz w:val="24"/>
          <w:szCs w:val="24"/>
        </w:rPr>
      </w:pPr>
      <w:r w:rsidRPr="008B0F9E">
        <w:rPr>
          <w:rFonts w:ascii="Times New Roman" w:hAnsi="Times New Roman" w:cs="Times New Roman"/>
          <w:noProof/>
          <w:sz w:val="24"/>
          <w:szCs w:val="24"/>
        </w:rPr>
        <w:lastRenderedPageBreak/>
        <w:drawing>
          <wp:anchor distT="0" distB="0" distL="114300" distR="114300" simplePos="0" relativeHeight="251669504" behindDoc="0" locked="0" layoutInCell="1" allowOverlap="1">
            <wp:simplePos x="0" y="0"/>
            <wp:positionH relativeFrom="column">
              <wp:posOffset>890270</wp:posOffset>
            </wp:positionH>
            <wp:positionV relativeFrom="paragraph">
              <wp:posOffset>158750</wp:posOffset>
            </wp:positionV>
            <wp:extent cx="3977640" cy="2172970"/>
            <wp:effectExtent l="38100" t="38100" r="41910" b="36830"/>
            <wp:wrapTopAndBottom/>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997"/>
                    <a:stretch/>
                  </pic:blipFill>
                  <pic:spPr bwMode="auto">
                    <a:xfrm>
                      <a:off x="0" y="0"/>
                      <a:ext cx="3977640" cy="2172970"/>
                    </a:xfrm>
                    <a:prstGeom prst="rect">
                      <a:avLst/>
                    </a:prstGeom>
                    <a:noFill/>
                    <a:ln w="2857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524AA" w:rsidRPr="008B0F9E" w:rsidRDefault="002524AA" w:rsidP="002524AA">
      <w:pPr>
        <w:spacing w:line="480" w:lineRule="auto"/>
        <w:jc w:val="center"/>
        <w:rPr>
          <w:rFonts w:ascii="Times New Roman" w:hAnsi="Times New Roman" w:cs="Times New Roman"/>
          <w:sz w:val="24"/>
          <w:szCs w:val="24"/>
        </w:rPr>
      </w:pPr>
      <w:r w:rsidRPr="008B0F9E">
        <w:rPr>
          <w:rFonts w:ascii="Times New Roman" w:hAnsi="Times New Roman" w:cs="Times New Roman"/>
          <w:noProof/>
          <w:sz w:val="24"/>
          <w:szCs w:val="24"/>
        </w:rPr>
        <w:drawing>
          <wp:inline distT="0" distB="0" distL="0" distR="0">
            <wp:extent cx="2647424" cy="2446317"/>
            <wp:effectExtent l="38100" t="38100" r="38735" b="3048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srcRect l="2103" r="4098" b="3739"/>
                    <a:stretch/>
                  </pic:blipFill>
                  <pic:spPr bwMode="auto">
                    <a:xfrm>
                      <a:off x="0" y="0"/>
                      <a:ext cx="2674453" cy="2471293"/>
                    </a:xfrm>
                    <a:prstGeom prst="rect">
                      <a:avLst/>
                    </a:prstGeom>
                    <a:noFill/>
                    <a:ln w="28575" cap="flat" cmpd="sng" algn="ctr">
                      <a:solidFill>
                        <a:schemeClr val="tx1"/>
                      </a:solidFill>
                      <a:prstDash val="solid"/>
                      <a:miter lim="800000"/>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524AA" w:rsidRPr="006650F9" w:rsidRDefault="006650F9" w:rsidP="006650F9">
      <w:pPr>
        <w:jc w:val="center"/>
        <w:rPr>
          <w:rFonts w:ascii="Times New Roman" w:hAnsi="Times New Roman" w:cs="Times New Roman"/>
          <w:b/>
        </w:rPr>
      </w:pPr>
      <w:r w:rsidRPr="006650F9">
        <w:rPr>
          <w:rFonts w:ascii="Times New Roman" w:hAnsi="Times New Roman" w:cs="Times New Roman"/>
          <w:b/>
          <w:sz w:val="24"/>
        </w:rPr>
        <w:t xml:space="preserve">Figure </w:t>
      </w:r>
      <w:r w:rsidR="00D706B3" w:rsidRPr="006650F9">
        <w:rPr>
          <w:rFonts w:ascii="Times New Roman" w:hAnsi="Times New Roman" w:cs="Times New Roman"/>
          <w:b/>
          <w:sz w:val="24"/>
        </w:rPr>
        <w:t xml:space="preserve">7.4: </w:t>
      </w:r>
      <w:r w:rsidRPr="006650F9">
        <w:rPr>
          <w:rFonts w:ascii="Times New Roman" w:hAnsi="Times New Roman" w:cs="Times New Roman"/>
          <w:b/>
          <w:sz w:val="24"/>
        </w:rPr>
        <w:t xml:space="preserve">Frog </w:t>
      </w:r>
      <w:r w:rsidR="00D706B3" w:rsidRPr="006650F9">
        <w:rPr>
          <w:rFonts w:ascii="Times New Roman" w:hAnsi="Times New Roman" w:cs="Times New Roman"/>
          <w:b/>
          <w:sz w:val="24"/>
        </w:rPr>
        <w:t>Appliance</w:t>
      </w:r>
    </w:p>
    <w:p w:rsidR="002524AA" w:rsidRPr="008B0F9E" w:rsidRDefault="002524AA" w:rsidP="002524AA">
      <w:pPr>
        <w:spacing w:line="480" w:lineRule="auto"/>
        <w:jc w:val="both"/>
        <w:rPr>
          <w:rFonts w:ascii="Times New Roman" w:hAnsi="Times New Roman" w:cs="Times New Roman"/>
          <w:sz w:val="24"/>
          <w:szCs w:val="24"/>
        </w:rPr>
      </w:pPr>
      <w:r w:rsidRPr="008B0F9E">
        <w:rPr>
          <w:rFonts w:ascii="Times New Roman" w:hAnsi="Times New Roman" w:cs="Times New Roman"/>
          <w:sz w:val="24"/>
          <w:szCs w:val="24"/>
        </w:rPr>
        <w:t xml:space="preserve">    Palatal appliance, skeletal anchoring, hygienic movement in three dimensions, the ability to gauge the degree of distalization, ease of activation, and adjustable arms are some of the benefits of the frog appliance (not solder to bands).</w:t>
      </w:r>
      <w:r w:rsidR="00F73678" w:rsidRPr="006650F9">
        <w:rPr>
          <w:rFonts w:ascii="Times New Roman" w:hAnsi="Times New Roman" w:cs="Times New Roman"/>
          <w:sz w:val="24"/>
          <w:szCs w:val="24"/>
          <w:vertAlign w:val="superscript"/>
        </w:rPr>
        <w:fldChar w:fldCharType="begin"/>
      </w:r>
      <w:r w:rsidRPr="006650F9">
        <w:rPr>
          <w:rFonts w:ascii="Times New Roman" w:hAnsi="Times New Roman" w:cs="Times New Roman"/>
          <w:sz w:val="24"/>
          <w:szCs w:val="24"/>
          <w:vertAlign w:val="superscript"/>
        </w:rPr>
        <w:instrText xml:space="preserve"> ADDIN ZOTERO_ITEM CSL_CITATION {"citationID":"7lpoCnk1","properties":{"formattedCitation":"(13)","plainCitation":"(13)","noteIndex":0},"citationItems":[{"id":423,"uris":["http://zotero.org/users/10901486/items/M4J6Z7EE"],"itemData":{"id":423,"type":"article-journal","abstract":"This case report describes the effect of Temporary Anchorage Devices Supported Frog Appliance on Class II div.2. The use of miniscrews supported distalizer minimized unwanted teeth movement while distalizing maxillary molars and reduce the need of patient compliance. The design of appliance and treatment steps were demonstrated in this case report. Case selection is an important factor of molar distaliztion and achieving planed result.","container-title":"Journal of Dental Health, Oral Disorders &amp; Therapy","DOI":"10.15406/jdhodt.2019.10.00507","ISSN":"2373-4345","issue":"Issue 6","journalAbbreviation":"This case report describes the effect of Temporary Anchorage Devices Supported Frog Appliance on Class II div.2. The use of miniscrews supported distalizer minimized unwanted teeth movement while distalizing maxillary molars and reduce the need of patient compliance. The design of appliance and treatment steps were demonstrated in this case report. Case selection is an important factor of molar distaliztion and achieving planed result.","language":"English","note":"publisher: MedCrave Publishing","source":"medcraveonline.com","title":"Management of class II div.2 malocclusion using TADs supported frog appliance","URL":"https://medcraveonline.com/JDHODT/JDHODT-10-00507.pdf","volume":"Volume 10","accessed":{"date-parts":[["2023",3,16]]},"issued":{"date-parts":[["2019",12,2]]}}}],"schema":"https://github.com/citation-style-language/schema/raw/master/csl-citation.json"} </w:instrText>
      </w:r>
      <w:r w:rsidR="00F73678" w:rsidRPr="006650F9">
        <w:rPr>
          <w:rFonts w:ascii="Times New Roman" w:hAnsi="Times New Roman" w:cs="Times New Roman"/>
          <w:sz w:val="24"/>
          <w:szCs w:val="24"/>
          <w:vertAlign w:val="superscript"/>
        </w:rPr>
        <w:fldChar w:fldCharType="separate"/>
      </w:r>
      <w:r w:rsidRPr="006650F9">
        <w:rPr>
          <w:rFonts w:ascii="Times New Roman" w:hAnsi="Times New Roman" w:cs="Times New Roman"/>
          <w:sz w:val="24"/>
          <w:vertAlign w:val="superscript"/>
        </w:rPr>
        <w:t>(13)</w:t>
      </w:r>
      <w:r w:rsidR="00F73678" w:rsidRPr="006650F9">
        <w:rPr>
          <w:rFonts w:ascii="Times New Roman" w:hAnsi="Times New Roman" w:cs="Times New Roman"/>
          <w:sz w:val="24"/>
          <w:szCs w:val="24"/>
          <w:vertAlign w:val="superscript"/>
        </w:rPr>
        <w:fldChar w:fldCharType="end"/>
      </w:r>
    </w:p>
    <w:p w:rsidR="002524AA" w:rsidRPr="008B0F9E" w:rsidRDefault="002524AA" w:rsidP="002524AA">
      <w:pPr>
        <w:spacing w:line="480" w:lineRule="auto"/>
        <w:jc w:val="both"/>
        <w:rPr>
          <w:rFonts w:ascii="Times New Roman" w:hAnsi="Times New Roman" w:cs="Times New Roman"/>
          <w:b/>
          <w:sz w:val="28"/>
          <w:szCs w:val="24"/>
        </w:rPr>
      </w:pPr>
      <w:r w:rsidRPr="008B0F9E">
        <w:rPr>
          <w:rFonts w:ascii="Times New Roman" w:hAnsi="Times New Roman" w:cs="Times New Roman"/>
          <w:b/>
          <w:sz w:val="28"/>
          <w:szCs w:val="24"/>
        </w:rPr>
        <w:t>MAXILLARY PROTRACTION THROUGH SKELETAL ANCHORAGE IN GROWING PATIENTS.</w:t>
      </w:r>
    </w:p>
    <w:p w:rsidR="002524AA" w:rsidRPr="008B0F9E" w:rsidRDefault="002524AA" w:rsidP="002524AA">
      <w:pPr>
        <w:spacing w:line="480" w:lineRule="auto"/>
        <w:jc w:val="both"/>
        <w:rPr>
          <w:rFonts w:ascii="Times New Roman" w:hAnsi="Times New Roman" w:cs="Times New Roman"/>
          <w:sz w:val="24"/>
          <w:szCs w:val="24"/>
        </w:rPr>
      </w:pPr>
      <w:r w:rsidRPr="008B0F9E">
        <w:rPr>
          <w:rFonts w:ascii="Times New Roman" w:hAnsi="Times New Roman" w:cs="Times New Roman"/>
          <w:sz w:val="24"/>
          <w:szCs w:val="24"/>
        </w:rPr>
        <w:t xml:space="preserve">A maxillary protraction face mask is typically used for early treatment of skeletal Class III patients. Due to the forces being delivered mostly to the teeth for 12 to 16 hours per day for 9 </w:t>
      </w:r>
      <w:r w:rsidRPr="008B0F9E">
        <w:rPr>
          <w:rFonts w:ascii="Times New Roman" w:hAnsi="Times New Roman" w:cs="Times New Roman"/>
          <w:sz w:val="24"/>
          <w:szCs w:val="24"/>
        </w:rPr>
        <w:lastRenderedPageBreak/>
        <w:t xml:space="preserve">to 12 months, </w:t>
      </w:r>
      <w:r w:rsidR="000C6F6A" w:rsidRPr="000C6F6A">
        <w:rPr>
          <w:rFonts w:ascii="Times New Roman" w:hAnsi="Times New Roman" w:cs="Times New Roman"/>
          <w:sz w:val="24"/>
          <w:szCs w:val="24"/>
        </w:rPr>
        <w:t>Dentoalveolar and skeletal movements used in this procedure result in a favourable overjet. The results of this orthopaedic therapy typically come with negative dentoalveolar side effects, such as proclination of the maxillary incisors, mesialization and extrusion of maxillary molars, and retroclination of mandibular incisors.</w:t>
      </w:r>
      <w:r w:rsidRPr="008B0F9E">
        <w:rPr>
          <w:rFonts w:ascii="Times New Roman" w:hAnsi="Times New Roman" w:cs="Times New Roman"/>
          <w:sz w:val="24"/>
          <w:szCs w:val="24"/>
        </w:rPr>
        <w:t>Temporary anchoring devices (TADs), which are frequently employed in orthognathic surgery and fracture treatment, have become more popular in recent years. In recent studies, skeletal anchorage devices have been offered applications in orthopaedic therapies.</w:t>
      </w:r>
      <w:r w:rsidR="000C6F6A" w:rsidRPr="000C6F6A">
        <w:t xml:space="preserve"> </w:t>
      </w:r>
      <w:r w:rsidR="000C6F6A" w:rsidRPr="000C6F6A">
        <w:rPr>
          <w:rFonts w:ascii="Times New Roman" w:hAnsi="Times New Roman" w:cs="Times New Roman"/>
          <w:sz w:val="24"/>
          <w:szCs w:val="24"/>
        </w:rPr>
        <w:t>They have been successfully used in orthodontics to induce a variety of motions, including molar distalization, open bite correction, and dental intrusion</w:t>
      </w:r>
      <w:r w:rsidR="000C6F6A" w:rsidRPr="000C6F6A">
        <w:rPr>
          <w:rFonts w:ascii="Times New Roman" w:hAnsi="Times New Roman" w:cs="Times New Roman"/>
          <w:sz w:val="24"/>
          <w:szCs w:val="24"/>
          <w:vertAlign w:val="superscript"/>
        </w:rPr>
        <w:t>(14)</w:t>
      </w:r>
      <w:r w:rsidR="000C6F6A" w:rsidRPr="000C6F6A">
        <w:rPr>
          <w:rFonts w:ascii="Times New Roman" w:hAnsi="Times New Roman" w:cs="Times New Roman"/>
          <w:sz w:val="24"/>
          <w:szCs w:val="24"/>
        </w:rPr>
        <w:t>.</w:t>
      </w:r>
      <w:r w:rsidR="00E02E37" w:rsidRPr="00E02E37">
        <w:t xml:space="preserve"> </w:t>
      </w:r>
      <w:r w:rsidR="00E02E37" w:rsidRPr="00E02E37">
        <w:rPr>
          <w:rFonts w:ascii="Times New Roman" w:hAnsi="Times New Roman" w:cs="Times New Roman"/>
          <w:sz w:val="24"/>
          <w:szCs w:val="24"/>
        </w:rPr>
        <w:t xml:space="preserve">TADs are used as skeletal anchoring in skeletal class III patients who have hypoplasia of the maxilla as determined by cephalometric examination and soft tissue profile evaluation, in addition to having class III molars and a negative overjet. </w:t>
      </w:r>
      <w:r w:rsidR="000C6F6A">
        <w:rPr>
          <w:rFonts w:ascii="Times New Roman" w:hAnsi="Times New Roman" w:cs="Times New Roman"/>
          <w:sz w:val="24"/>
          <w:szCs w:val="24"/>
        </w:rPr>
        <w:t xml:space="preserve"> </w:t>
      </w:r>
      <w:r w:rsidR="00CA7101">
        <w:rPr>
          <w:rFonts w:ascii="Times New Roman" w:hAnsi="Times New Roman" w:cs="Times New Roman"/>
          <w:sz w:val="24"/>
          <w:szCs w:val="24"/>
        </w:rPr>
        <w:t>(Fig</w:t>
      </w:r>
      <w:r w:rsidR="00F82ABE">
        <w:rPr>
          <w:rFonts w:ascii="Times New Roman" w:hAnsi="Times New Roman" w:cs="Times New Roman"/>
          <w:sz w:val="24"/>
          <w:szCs w:val="24"/>
        </w:rPr>
        <w:t>ure</w:t>
      </w:r>
      <w:r w:rsidR="00CA7101">
        <w:rPr>
          <w:rFonts w:ascii="Times New Roman" w:hAnsi="Times New Roman" w:cs="Times New Roman"/>
          <w:sz w:val="24"/>
          <w:szCs w:val="24"/>
        </w:rPr>
        <w:t xml:space="preserve"> 7.5)</w:t>
      </w:r>
    </w:p>
    <w:p w:rsidR="002524AA" w:rsidRDefault="00D706B3" w:rsidP="002524AA">
      <w:pPr>
        <w:keepNext/>
        <w:spacing w:line="480" w:lineRule="auto"/>
        <w:jc w:val="center"/>
        <w:rPr>
          <w:rFonts w:ascii="Times New Roman" w:hAnsi="Times New Roman" w:cs="Times New Roman"/>
        </w:rPr>
      </w:pPr>
      <w:r w:rsidRPr="00D706B3">
        <w:rPr>
          <w:noProof/>
        </w:rPr>
        <w:drawing>
          <wp:inline distT="0" distB="0" distL="0" distR="0">
            <wp:extent cx="2610214" cy="1486107"/>
            <wp:effectExtent l="38100" t="38100" r="38100" b="381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10214" cy="1486107"/>
                    </a:xfrm>
                    <a:prstGeom prst="rect">
                      <a:avLst/>
                    </a:prstGeom>
                    <a:ln w="28575">
                      <a:solidFill>
                        <a:schemeClr val="tx1"/>
                      </a:solidFill>
                    </a:ln>
                  </pic:spPr>
                </pic:pic>
              </a:graphicData>
            </a:graphic>
          </wp:inline>
        </w:drawing>
      </w:r>
    </w:p>
    <w:p w:rsidR="00D706B3" w:rsidRPr="008B0F9E" w:rsidRDefault="00D706B3" w:rsidP="002524AA">
      <w:pPr>
        <w:keepNext/>
        <w:spacing w:line="480" w:lineRule="auto"/>
        <w:jc w:val="center"/>
        <w:rPr>
          <w:rFonts w:ascii="Times New Roman" w:hAnsi="Times New Roman" w:cs="Times New Roman"/>
        </w:rPr>
      </w:pPr>
      <w:r w:rsidRPr="00D706B3">
        <w:rPr>
          <w:noProof/>
        </w:rPr>
        <w:drawing>
          <wp:inline distT="0" distB="0" distL="0" distR="0">
            <wp:extent cx="2511380" cy="1906545"/>
            <wp:effectExtent l="38100" t="38100" r="41910" b="368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16499" cy="1910431"/>
                    </a:xfrm>
                    <a:prstGeom prst="rect">
                      <a:avLst/>
                    </a:prstGeom>
                    <a:ln w="28575">
                      <a:solidFill>
                        <a:schemeClr val="tx1"/>
                      </a:solidFill>
                    </a:ln>
                  </pic:spPr>
                </pic:pic>
              </a:graphicData>
            </a:graphic>
          </wp:inline>
        </w:drawing>
      </w:r>
    </w:p>
    <w:p w:rsidR="002524AA" w:rsidRPr="003F3E4F" w:rsidRDefault="002524AA" w:rsidP="002524AA">
      <w:pPr>
        <w:pStyle w:val="Caption"/>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Figure </w:t>
      </w:r>
      <w:r w:rsidR="00D706B3">
        <w:rPr>
          <w:rFonts w:ascii="Times New Roman" w:hAnsi="Times New Roman" w:cs="Times New Roman"/>
          <w:color w:val="auto"/>
          <w:sz w:val="24"/>
          <w:szCs w:val="24"/>
        </w:rPr>
        <w:t>7.5</w:t>
      </w:r>
      <w:r w:rsidR="00D706B3" w:rsidRPr="003F3E4F">
        <w:rPr>
          <w:rFonts w:ascii="Times New Roman" w:hAnsi="Times New Roman" w:cs="Times New Roman"/>
          <w:color w:val="auto"/>
          <w:sz w:val="24"/>
          <w:szCs w:val="24"/>
        </w:rPr>
        <w:t xml:space="preserve">: </w:t>
      </w:r>
      <w:r w:rsidRPr="003F3E4F">
        <w:rPr>
          <w:rFonts w:ascii="Times New Roman" w:hAnsi="Times New Roman" w:cs="Times New Roman"/>
          <w:color w:val="auto"/>
          <w:sz w:val="24"/>
          <w:szCs w:val="24"/>
        </w:rPr>
        <w:t xml:space="preserve">Class </w:t>
      </w:r>
      <w:r w:rsidR="00CA7101">
        <w:rPr>
          <w:rFonts w:ascii="Times New Roman" w:hAnsi="Times New Roman" w:cs="Times New Roman"/>
          <w:color w:val="auto"/>
          <w:sz w:val="24"/>
          <w:szCs w:val="24"/>
        </w:rPr>
        <w:t xml:space="preserve">III </w:t>
      </w:r>
      <w:r w:rsidR="00D706B3">
        <w:rPr>
          <w:rFonts w:ascii="Times New Roman" w:hAnsi="Times New Roman" w:cs="Times New Roman"/>
          <w:color w:val="auto"/>
          <w:sz w:val="24"/>
          <w:szCs w:val="24"/>
        </w:rPr>
        <w:t>Correction By Tad</w:t>
      </w:r>
      <w:r w:rsidR="00D706B3" w:rsidRPr="003F3E4F">
        <w:rPr>
          <w:rFonts w:ascii="Times New Roman" w:hAnsi="Times New Roman" w:cs="Times New Roman"/>
          <w:color w:val="auto"/>
          <w:sz w:val="24"/>
          <w:szCs w:val="24"/>
        </w:rPr>
        <w:t>s</w:t>
      </w:r>
    </w:p>
    <w:p w:rsidR="002524AA" w:rsidRPr="008B0F9E" w:rsidRDefault="00E02E37" w:rsidP="002524AA">
      <w:pPr>
        <w:spacing w:line="480" w:lineRule="auto"/>
        <w:jc w:val="both"/>
        <w:rPr>
          <w:rFonts w:ascii="Times New Roman" w:hAnsi="Times New Roman" w:cs="Times New Roman"/>
          <w:sz w:val="24"/>
          <w:szCs w:val="24"/>
        </w:rPr>
      </w:pPr>
      <w:r w:rsidRPr="00E02E37">
        <w:rPr>
          <w:rFonts w:ascii="Times New Roman" w:hAnsi="Times New Roman" w:cs="Times New Roman"/>
          <w:sz w:val="24"/>
          <w:szCs w:val="24"/>
        </w:rPr>
        <w:lastRenderedPageBreak/>
        <w:t>These patients must be between the ages of 9 and 14 years ol</w:t>
      </w:r>
      <w:r>
        <w:rPr>
          <w:rFonts w:ascii="Times New Roman" w:hAnsi="Times New Roman" w:cs="Times New Roman"/>
          <w:sz w:val="24"/>
          <w:szCs w:val="24"/>
        </w:rPr>
        <w:t>d and in the pre-pubertal stage</w:t>
      </w:r>
      <w:r w:rsidR="002524AA" w:rsidRPr="008B0F9E">
        <w:rPr>
          <w:rFonts w:ascii="Times New Roman" w:hAnsi="Times New Roman" w:cs="Times New Roman"/>
          <w:sz w:val="24"/>
          <w:szCs w:val="24"/>
        </w:rPr>
        <w:t xml:space="preserve">. </w:t>
      </w:r>
      <w:r w:rsidR="00F73678" w:rsidRPr="00FC0B02">
        <w:rPr>
          <w:rFonts w:ascii="Times New Roman" w:hAnsi="Times New Roman" w:cs="Times New Roman"/>
          <w:sz w:val="24"/>
          <w:szCs w:val="24"/>
          <w:vertAlign w:val="superscript"/>
        </w:rPr>
        <w:fldChar w:fldCharType="begin"/>
      </w:r>
      <w:r w:rsidR="002524AA" w:rsidRPr="00FC0B02">
        <w:rPr>
          <w:rFonts w:ascii="Times New Roman" w:hAnsi="Times New Roman" w:cs="Times New Roman"/>
          <w:sz w:val="24"/>
          <w:szCs w:val="24"/>
          <w:vertAlign w:val="superscript"/>
        </w:rPr>
        <w:instrText xml:space="preserve"> ADDIN ZOTERO_ITEM CSL_CITATION {"citationID":"neJmthzG","properties":{"formattedCitation":"(15)","plainCitation":"(15)","noteIndex":0},"citationItems":[{"id":420,"uris":["http://zotero.org/users/10901486/items/BGKWM8X9"],"itemData":{"id":420,"type":"article-journal","abstract":"A summary of the current status of modification of jaw growth indicates the following. 1. Transverse expansion of the maxilla is easy before adolescence, requires heavy forces to create microfractures during adolescence, and can be accomplished only with partial or complete surgical osteotomy after adolescence. Transverse expansion of the mandible or constriction of either jaw requires surgery. 2. Acceleration of mandibular growth in preadolescent or adolescent patients can be achieved, but slower than normal growth afterward reduces or eliminates a long-term increase in size of the mandible. Restraint of maxillary growth occurs with all types of appliances to correct skeletal Class II problems. For short-face Class II patients, increasing the face height during preadolescent or adolescent orthodontic treatment is possible, but it may make the Class II problem worse unless favorable anteroposterior growth occurs. For those with a long face, controlling excessive vertical growth during adolescence is rarely successful. 3. Attempts to restrain mandibular growth in Class III patients with external forces largely result in downward and backward rotation of the mandible. Moving the maxilla forward with external force is possible before adolescence; moving it forward and simultaneously restricting forward mandibular growth without rotating the jaw is possible during adolescence with intermaxillary traction to bone anchors. The amount of skeletal change with this therapy often extends to the midface, and the short-term effects on both jaws are greater than with previous approaches, but individual variations in the amount of maxillary vs mandibular response occur, and it still is not possible to accurately predict the outcome for a patient. For all types of growth modification, 3-dimensional imaging to distinguish skeletal changes and better biomarkers or genetic identification of patient types to indicate likely treatment responses are needed.","container-title":"American Journal of Orthodontics and Dentofacial Orthopedics: Official Publication of the American Association of Orthodontists, Its Constituent Societies, and the American Board of Orthodontics","DOI":"10.1016/j.ajodo.2015.04.017","ISSN":"1097-6752","issue":"1","journalAbbreviation":"Am J Orthod Dentofacial Orthop","language":"eng","note":"PMID: 26124026","page":"37-46","source":"PubMed","title":"Growth modification of the face: A current perspective with emphasis on Class III treatment","title-short":"Growth modification of the face","volume":"148","author":[{"family":"De Clerck","given":"Hugo J."},{"family":"Proffit","given":"William R."}],"issued":{"date-parts":[["2015",7]]}}}],"schema":"https://github.com/citation-style-language/schema/raw/master/csl-citation.json"} </w:instrText>
      </w:r>
      <w:r w:rsidR="00F73678" w:rsidRPr="00FC0B02">
        <w:rPr>
          <w:rFonts w:ascii="Times New Roman" w:hAnsi="Times New Roman" w:cs="Times New Roman"/>
          <w:sz w:val="24"/>
          <w:szCs w:val="24"/>
          <w:vertAlign w:val="superscript"/>
        </w:rPr>
        <w:fldChar w:fldCharType="separate"/>
      </w:r>
      <w:r w:rsidR="002524AA" w:rsidRPr="00FC0B02">
        <w:rPr>
          <w:rFonts w:ascii="Times New Roman" w:hAnsi="Times New Roman" w:cs="Times New Roman"/>
          <w:sz w:val="24"/>
          <w:vertAlign w:val="superscript"/>
        </w:rPr>
        <w:t>(15)</w:t>
      </w:r>
      <w:r w:rsidR="00F73678" w:rsidRPr="00FC0B02">
        <w:rPr>
          <w:rFonts w:ascii="Times New Roman" w:hAnsi="Times New Roman" w:cs="Times New Roman"/>
          <w:sz w:val="24"/>
          <w:szCs w:val="24"/>
          <w:vertAlign w:val="superscript"/>
        </w:rPr>
        <w:fldChar w:fldCharType="end"/>
      </w:r>
      <w:r w:rsidRPr="00E02E37">
        <w:t xml:space="preserve"> </w:t>
      </w:r>
      <w:r w:rsidRPr="00E02E37">
        <w:rPr>
          <w:rFonts w:ascii="Times New Roman" w:hAnsi="Times New Roman" w:cs="Times New Roman"/>
          <w:sz w:val="24"/>
          <w:szCs w:val="24"/>
        </w:rPr>
        <w:t xml:space="preserve">A different option for treatment is skeletal anchorage, which makes use of intermaxillary elastics, two titanium plates fixed with tiny implants inserted in the maxillary zygomatic process, and two side plates between the lower canines on the right and left. </w:t>
      </w:r>
      <w:r w:rsidR="002524AA" w:rsidRPr="008B0F9E">
        <w:rPr>
          <w:rFonts w:ascii="Times New Roman" w:hAnsi="Times New Roman" w:cs="Times New Roman"/>
          <w:sz w:val="24"/>
          <w:szCs w:val="24"/>
        </w:rPr>
        <w:t xml:space="preserve"> As a result, the maxilla advance, facial aesthetics improve, and dentoalveolar side effects are diminished.</w:t>
      </w:r>
      <w:r w:rsidR="00F73678" w:rsidRPr="00FC0B02">
        <w:rPr>
          <w:rFonts w:ascii="Times New Roman" w:hAnsi="Times New Roman" w:cs="Times New Roman"/>
          <w:sz w:val="24"/>
          <w:szCs w:val="24"/>
          <w:vertAlign w:val="superscript"/>
        </w:rPr>
        <w:fldChar w:fldCharType="begin"/>
      </w:r>
      <w:r w:rsidR="002524AA" w:rsidRPr="00FC0B02">
        <w:rPr>
          <w:rFonts w:ascii="Times New Roman" w:hAnsi="Times New Roman" w:cs="Times New Roman"/>
          <w:sz w:val="24"/>
          <w:szCs w:val="24"/>
          <w:vertAlign w:val="superscript"/>
        </w:rPr>
        <w:instrText xml:space="preserve"> ADDIN ZOTERO_ITEM CSL_CITATION {"citationID":"MFYY824w","properties":{"formattedCitation":"(16)","plainCitation":"(16)","noteIndex":0},"citationItems":[{"id":422,"uris":["http://zotero.org/users/10901486/items/SXVYE3ZN"],"itemData":{"id":422,"type":"article-journal","abstract":"Early treatment of skeletal Class III patients is usually handled with the use of maxillary protraction face mask. The results of this orthopedic therapy are often accompanied by adverse dentoalveolar effects. An alternative treatment is skeletal anchorage comprised of temporary anchorage devices (TADs), which uses two titanium plates fixed with mini implants placed in the zygomatic process of the maxilla and two side plates between the lower canine and right and left and the use of intermaxillary elastics. This results in maxillary advancement and improvement of facial aesthetics while reducing dentoalveolar adverse effects.\nRESUMEN\nEl tratamiento temprano de pacientes clases III esqueletal generalmente se maneja con el uso de la máscara facial de protracción maxilar, en el cual los resultados de esta terapia ortopédica frecuentemente son acompañados de efectos dentoalveolares desfavorables. Una alternativa de tratamiento es el anclaje esquelético comprendido de dispositivos de anclaje temporal, el cual utiliza dos placas de titanio fijadas con mini-implantes colocadas en los procesos cigomáticos de los maxilares y dos placas entre el lateral y canino inferior derecho e izquierdo, además del uso de elásticos intermaxilares, obteniendo como resultado un avance maxilar y mejoramiento de la estética facial y disminuyendo los efectos dentoalveolares desfavorables.","container-title":"Revista Mexicana de Ortodoncia","DOI":"10.1016/j.rmo.2016.10.030","ISSN":"2395-9215","issue":"3","journalAbbreviation":"Revista Mexicana de Ortodoncia","language":"en","page":"e153-e156","source":"ScienceDirect","title":"Maxillary protraction through skeletal anchorage in growing patients. Literature review","volume":"4","author":[{"family":"González","given":"Irving Giovanni Huízar"},{"family":"López","given":"Eliezer García"}],"issued":{"date-parts":[["2016",7,1]]}}}],"schema":"https://github.com/citation-style-language/schema/raw/master/csl-citation.json"} </w:instrText>
      </w:r>
      <w:r w:rsidR="00F73678" w:rsidRPr="00FC0B02">
        <w:rPr>
          <w:rFonts w:ascii="Times New Roman" w:hAnsi="Times New Roman" w:cs="Times New Roman"/>
          <w:sz w:val="24"/>
          <w:szCs w:val="24"/>
          <w:vertAlign w:val="superscript"/>
        </w:rPr>
        <w:fldChar w:fldCharType="separate"/>
      </w:r>
      <w:r w:rsidR="002524AA" w:rsidRPr="00FC0B02">
        <w:rPr>
          <w:rFonts w:ascii="Times New Roman" w:hAnsi="Times New Roman" w:cs="Times New Roman"/>
          <w:sz w:val="24"/>
          <w:vertAlign w:val="superscript"/>
        </w:rPr>
        <w:t>(16)</w:t>
      </w:r>
      <w:r w:rsidR="00F73678" w:rsidRPr="00FC0B02">
        <w:rPr>
          <w:rFonts w:ascii="Times New Roman" w:hAnsi="Times New Roman" w:cs="Times New Roman"/>
          <w:sz w:val="24"/>
          <w:szCs w:val="24"/>
          <w:vertAlign w:val="superscript"/>
        </w:rPr>
        <w:fldChar w:fldCharType="end"/>
      </w:r>
    </w:p>
    <w:p w:rsidR="002524AA" w:rsidRPr="008B0F9E" w:rsidRDefault="002524AA" w:rsidP="002524AA">
      <w:pPr>
        <w:spacing w:line="480" w:lineRule="auto"/>
        <w:jc w:val="both"/>
        <w:rPr>
          <w:rFonts w:ascii="Times New Roman" w:hAnsi="Times New Roman" w:cs="Times New Roman"/>
          <w:sz w:val="28"/>
          <w:szCs w:val="24"/>
        </w:rPr>
      </w:pPr>
      <w:r w:rsidRPr="008B0F9E">
        <w:rPr>
          <w:rFonts w:ascii="Times New Roman" w:hAnsi="Times New Roman" w:cs="Times New Roman"/>
          <w:b/>
          <w:sz w:val="28"/>
          <w:szCs w:val="24"/>
          <w:u w:val="single"/>
        </w:rPr>
        <w:t>MAXILLARY DISTALIZATION WITH TADs</w:t>
      </w:r>
    </w:p>
    <w:p w:rsidR="002524AA" w:rsidRPr="008B0F9E" w:rsidRDefault="002524AA" w:rsidP="002524AA">
      <w:pPr>
        <w:spacing w:line="480" w:lineRule="auto"/>
        <w:jc w:val="both"/>
        <w:rPr>
          <w:rFonts w:ascii="Times New Roman" w:hAnsi="Times New Roman" w:cs="Times New Roman"/>
          <w:sz w:val="24"/>
          <w:szCs w:val="24"/>
        </w:rPr>
      </w:pPr>
      <w:r w:rsidRPr="008B0F9E">
        <w:rPr>
          <w:rFonts w:ascii="Times New Roman" w:hAnsi="Times New Roman" w:cs="Times New Roman"/>
          <w:sz w:val="24"/>
          <w:szCs w:val="24"/>
        </w:rPr>
        <w:t>Temporary anchoring devices (TADs) are now a standard part of orthodontic treatment mechanics in the modern era. These tiny skeletal anchors, also known as mini-implants or mini-screws, have widened the range of non-surgical, non-extraction, and non-compliance treatment protocols by providing "absolute" anchorage and reducing the side effects of conventional orthodontic mechanics.</w:t>
      </w:r>
      <w:r w:rsidR="00F73678" w:rsidRPr="00FC0B02">
        <w:rPr>
          <w:rFonts w:ascii="Times New Roman" w:hAnsi="Times New Roman" w:cs="Times New Roman"/>
          <w:sz w:val="24"/>
          <w:szCs w:val="24"/>
          <w:vertAlign w:val="superscript"/>
        </w:rPr>
        <w:fldChar w:fldCharType="begin"/>
      </w:r>
      <w:r w:rsidRPr="00FC0B02">
        <w:rPr>
          <w:rFonts w:ascii="Times New Roman" w:hAnsi="Times New Roman" w:cs="Times New Roman"/>
          <w:sz w:val="24"/>
          <w:szCs w:val="24"/>
          <w:vertAlign w:val="superscript"/>
        </w:rPr>
        <w:instrText xml:space="preserve"> ADDIN ZOTERO_ITEM CSL_CITATION {"citationID":"KA7euZoL","properties":{"formattedCitation":"(17)","plainCitation":"(17)","noteIndex":0},"citationItems":[{"id":427,"uris":["http://zotero.org/users/10901486/items/YHVEF6FT"],"itemData":{"id":427,"type":"post-weblog","abstract":"Shawn L. Miller, DMD, MMSc, and Alexander Waldman, DMD, MMSc, provide an illustration of two methods","container-title":"Orthodontic Products","language":"en-US","title":"Maxillary Distalization with TADs","URL":"https://orthodonticproductsonline.com/clinical-tips/maxillary-distalization-tads/","author":[{"family":"Werner","given":"Alison"}],"accessed":{"date-parts":[["2023",3,14]]},"issued":{"date-parts":[["2014",6,11]]}}}],"schema":"https://github.com/citation-style-language/schema/raw/master/csl-citation.json"} </w:instrText>
      </w:r>
      <w:r w:rsidR="00F73678" w:rsidRPr="00FC0B02">
        <w:rPr>
          <w:rFonts w:ascii="Times New Roman" w:hAnsi="Times New Roman" w:cs="Times New Roman"/>
          <w:sz w:val="24"/>
          <w:szCs w:val="24"/>
          <w:vertAlign w:val="superscript"/>
        </w:rPr>
        <w:fldChar w:fldCharType="separate"/>
      </w:r>
      <w:r w:rsidRPr="00FC0B02">
        <w:rPr>
          <w:rFonts w:ascii="Times New Roman" w:hAnsi="Times New Roman" w:cs="Times New Roman"/>
          <w:sz w:val="24"/>
          <w:vertAlign w:val="superscript"/>
        </w:rPr>
        <w:t>(17)</w:t>
      </w:r>
      <w:r w:rsidR="00F73678" w:rsidRPr="00FC0B02">
        <w:rPr>
          <w:rFonts w:ascii="Times New Roman" w:hAnsi="Times New Roman" w:cs="Times New Roman"/>
          <w:sz w:val="24"/>
          <w:szCs w:val="24"/>
          <w:vertAlign w:val="superscript"/>
        </w:rPr>
        <w:fldChar w:fldCharType="end"/>
      </w:r>
    </w:p>
    <w:p w:rsidR="002524AA" w:rsidRPr="008B0F9E" w:rsidRDefault="00DF6643" w:rsidP="002524AA">
      <w:pPr>
        <w:spacing w:line="480" w:lineRule="auto"/>
        <w:jc w:val="both"/>
        <w:rPr>
          <w:rFonts w:ascii="Times New Roman" w:hAnsi="Times New Roman" w:cs="Times New Roman"/>
          <w:sz w:val="24"/>
          <w:szCs w:val="24"/>
        </w:rPr>
      </w:pPr>
      <w:r w:rsidRPr="00DF6643">
        <w:rPr>
          <w:rFonts w:ascii="Times New Roman" w:hAnsi="Times New Roman" w:cs="Times New Roman"/>
          <w:sz w:val="24"/>
          <w:szCs w:val="24"/>
        </w:rPr>
        <w:t>The provision of anchoring for maxillary molar distalization is one of the TADs' more often used applications. Although it is not a cutting-edge therapeuti</w:t>
      </w:r>
      <w:r w:rsidR="00F43EC8">
        <w:rPr>
          <w:rFonts w:ascii="Times New Roman" w:hAnsi="Times New Roman" w:cs="Times New Roman"/>
          <w:sz w:val="24"/>
          <w:szCs w:val="24"/>
        </w:rPr>
        <w:t>c approach, th</w:t>
      </w:r>
      <w:r w:rsidR="002524AA" w:rsidRPr="008B0F9E">
        <w:rPr>
          <w:rFonts w:ascii="Times New Roman" w:hAnsi="Times New Roman" w:cs="Times New Roman"/>
          <w:sz w:val="24"/>
          <w:szCs w:val="24"/>
        </w:rPr>
        <w:t>ere were a number of significant unexpected consequences previous to the use of skeletal anchorage, including dental tipping, bite opening, and anterior anchorage loss.</w:t>
      </w:r>
      <w:r w:rsidR="00F43EC8" w:rsidRPr="00F43EC8">
        <w:t xml:space="preserve"> </w:t>
      </w:r>
      <w:r w:rsidR="00F43EC8" w:rsidRPr="00F43EC8">
        <w:rPr>
          <w:rFonts w:ascii="Times New Roman" w:hAnsi="Times New Roman" w:cs="Times New Roman"/>
          <w:sz w:val="24"/>
          <w:szCs w:val="24"/>
        </w:rPr>
        <w:t>Numerous appliances, such as the Distal Jet appliance, Pendulum appliance, Carriere® appliance, and Cetlin appliance, have been created in an effort to distalize employing dental anchoring efficiently.</w:t>
      </w:r>
    </w:p>
    <w:p w:rsidR="002524AA" w:rsidRPr="00F82ABE" w:rsidRDefault="002524AA" w:rsidP="002524AA">
      <w:pPr>
        <w:spacing w:line="480" w:lineRule="auto"/>
        <w:jc w:val="both"/>
        <w:rPr>
          <w:rFonts w:ascii="Times New Roman" w:hAnsi="Times New Roman" w:cs="Times New Roman"/>
          <w:b/>
          <w:sz w:val="24"/>
          <w:szCs w:val="24"/>
          <w:u w:val="single"/>
        </w:rPr>
      </w:pPr>
      <w:r w:rsidRPr="00F82ABE">
        <w:rPr>
          <w:rFonts w:ascii="Times New Roman" w:hAnsi="Times New Roman" w:cs="Times New Roman"/>
          <w:b/>
          <w:sz w:val="24"/>
          <w:szCs w:val="24"/>
          <w:u w:val="single"/>
        </w:rPr>
        <w:t>Technique One: Two-Stage Stabilizing Wire</w:t>
      </w:r>
      <w:r w:rsidR="00F82ABE" w:rsidRPr="00F82ABE">
        <w:rPr>
          <w:rFonts w:ascii="Times New Roman" w:hAnsi="Times New Roman" w:cs="Times New Roman"/>
          <w:b/>
          <w:sz w:val="24"/>
          <w:szCs w:val="24"/>
          <w:u w:val="single"/>
        </w:rPr>
        <w:t xml:space="preserve"> (Figure 7.6)</w:t>
      </w:r>
    </w:p>
    <w:p w:rsidR="002524AA" w:rsidRPr="008B0F9E" w:rsidRDefault="002524AA" w:rsidP="002524AA">
      <w:pPr>
        <w:spacing w:line="480" w:lineRule="auto"/>
        <w:jc w:val="both"/>
        <w:rPr>
          <w:rFonts w:ascii="Times New Roman" w:hAnsi="Times New Roman" w:cs="Times New Roman"/>
          <w:sz w:val="24"/>
          <w:szCs w:val="24"/>
        </w:rPr>
      </w:pPr>
      <w:r w:rsidRPr="008B0F9E">
        <w:rPr>
          <w:rFonts w:ascii="Times New Roman" w:hAnsi="Times New Roman" w:cs="Times New Roman"/>
          <w:sz w:val="24"/>
          <w:szCs w:val="24"/>
        </w:rPr>
        <w:t>The first premolar is stabilised by this system's inter-radicular TADs on the palate during distalization, and the first molar is stabilised during retraction.</w:t>
      </w:r>
    </w:p>
    <w:p w:rsidR="00AA2E17" w:rsidRDefault="00F82ABE" w:rsidP="00AA2E17">
      <w:pPr>
        <w:keepNext/>
        <w:spacing w:line="240" w:lineRule="auto"/>
        <w:jc w:val="center"/>
        <w:rPr>
          <w:rFonts w:ascii="Times New Roman" w:hAnsi="Times New Roman" w:cs="Times New Roman"/>
          <w:sz w:val="24"/>
          <w:szCs w:val="24"/>
        </w:rPr>
      </w:pPr>
      <w:r w:rsidRPr="00F82ABE">
        <w:rPr>
          <w:rFonts w:ascii="Times New Roman" w:hAnsi="Times New Roman" w:cs="Times New Roman"/>
          <w:noProof/>
          <w:sz w:val="24"/>
          <w:szCs w:val="24"/>
        </w:rPr>
        <w:lastRenderedPageBreak/>
        <w:drawing>
          <wp:anchor distT="0" distB="0" distL="114300" distR="114300" simplePos="0" relativeHeight="251670528" behindDoc="0" locked="0" layoutInCell="1" allowOverlap="1">
            <wp:simplePos x="0" y="0"/>
            <wp:positionH relativeFrom="column">
              <wp:posOffset>-66675</wp:posOffset>
            </wp:positionH>
            <wp:positionV relativeFrom="paragraph">
              <wp:posOffset>247650</wp:posOffset>
            </wp:positionV>
            <wp:extent cx="5731510" cy="1946910"/>
            <wp:effectExtent l="38100" t="38100" r="40640" b="342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1946910"/>
                    </a:xfrm>
                    <a:prstGeom prst="rect">
                      <a:avLst/>
                    </a:prstGeom>
                    <a:ln w="28575">
                      <a:solidFill>
                        <a:schemeClr val="tx1"/>
                      </a:solidFill>
                    </a:ln>
                  </pic:spPr>
                </pic:pic>
              </a:graphicData>
            </a:graphic>
          </wp:anchor>
        </w:drawing>
      </w:r>
    </w:p>
    <w:p w:rsidR="002524AA" w:rsidRPr="00AA2E17" w:rsidRDefault="002524AA" w:rsidP="00AA2E17">
      <w:pPr>
        <w:keepNext/>
        <w:spacing w:line="240" w:lineRule="auto"/>
        <w:jc w:val="center"/>
        <w:rPr>
          <w:rFonts w:ascii="Times New Roman" w:hAnsi="Times New Roman" w:cs="Times New Roman"/>
          <w:b/>
          <w:sz w:val="24"/>
          <w:szCs w:val="24"/>
        </w:rPr>
      </w:pPr>
      <w:r w:rsidRPr="00AA2E17">
        <w:rPr>
          <w:rFonts w:ascii="Times New Roman" w:hAnsi="Times New Roman" w:cs="Times New Roman"/>
          <w:b/>
          <w:sz w:val="24"/>
          <w:szCs w:val="24"/>
        </w:rPr>
        <w:t xml:space="preserve">Figure </w:t>
      </w:r>
      <w:r w:rsidR="00AA2E17" w:rsidRPr="00AA2E17">
        <w:rPr>
          <w:rFonts w:ascii="Times New Roman" w:hAnsi="Times New Roman" w:cs="Times New Roman"/>
          <w:b/>
          <w:sz w:val="24"/>
          <w:szCs w:val="24"/>
        </w:rPr>
        <w:t xml:space="preserve">7.6: </w:t>
      </w:r>
      <w:r w:rsidR="00FC0B02" w:rsidRPr="00AA2E17">
        <w:rPr>
          <w:rFonts w:ascii="Times New Roman" w:hAnsi="Times New Roman" w:cs="Times New Roman"/>
          <w:b/>
          <w:sz w:val="24"/>
          <w:szCs w:val="24"/>
        </w:rPr>
        <w:t>S</w:t>
      </w:r>
      <w:r w:rsidRPr="00AA2E17">
        <w:rPr>
          <w:rFonts w:ascii="Times New Roman" w:hAnsi="Times New Roman" w:cs="Times New Roman"/>
          <w:b/>
          <w:sz w:val="24"/>
          <w:szCs w:val="24"/>
        </w:rPr>
        <w:t xml:space="preserve">tage </w:t>
      </w:r>
      <w:r w:rsidR="00AA2E17" w:rsidRPr="00AA2E17">
        <w:rPr>
          <w:rFonts w:ascii="Times New Roman" w:hAnsi="Times New Roman" w:cs="Times New Roman"/>
          <w:b/>
          <w:sz w:val="24"/>
          <w:szCs w:val="24"/>
        </w:rPr>
        <w:t xml:space="preserve">Mid Palatal </w:t>
      </w:r>
      <w:r w:rsidRPr="00AA2E17">
        <w:rPr>
          <w:rFonts w:ascii="Times New Roman" w:hAnsi="Times New Roman" w:cs="Times New Roman"/>
          <w:b/>
          <w:sz w:val="24"/>
          <w:szCs w:val="24"/>
        </w:rPr>
        <w:t xml:space="preserve">TADS </w:t>
      </w:r>
      <w:r w:rsidR="00AA2E17" w:rsidRPr="00AA2E17">
        <w:rPr>
          <w:rFonts w:ascii="Times New Roman" w:hAnsi="Times New Roman" w:cs="Times New Roman"/>
          <w:b/>
          <w:sz w:val="24"/>
          <w:szCs w:val="24"/>
        </w:rPr>
        <w:t>Based Stabilization</w:t>
      </w:r>
    </w:p>
    <w:p w:rsidR="00AA2E17" w:rsidRPr="003F3E4F" w:rsidRDefault="00AA2E17" w:rsidP="00AA2E17">
      <w:pPr>
        <w:keepNext/>
        <w:spacing w:line="240" w:lineRule="auto"/>
        <w:jc w:val="center"/>
        <w:rPr>
          <w:rFonts w:ascii="Times New Roman" w:hAnsi="Times New Roman" w:cs="Times New Roman"/>
          <w:sz w:val="24"/>
          <w:szCs w:val="24"/>
        </w:rPr>
      </w:pPr>
    </w:p>
    <w:p w:rsidR="002524AA" w:rsidRPr="00AA2E17" w:rsidRDefault="00F43EC8" w:rsidP="002524AA">
      <w:pPr>
        <w:spacing w:line="480" w:lineRule="auto"/>
        <w:jc w:val="both"/>
        <w:rPr>
          <w:rFonts w:ascii="Times New Roman" w:hAnsi="Times New Roman" w:cs="Times New Roman"/>
          <w:sz w:val="24"/>
          <w:szCs w:val="24"/>
        </w:rPr>
      </w:pPr>
      <w:r w:rsidRPr="00F43EC8">
        <w:rPr>
          <w:rFonts w:ascii="Times New Roman" w:hAnsi="Times New Roman" w:cs="Times New Roman"/>
          <w:sz w:val="24"/>
          <w:szCs w:val="24"/>
        </w:rPr>
        <w:t>No lab equipment is needed, and following sterilisation, the TAD can be used again</w:t>
      </w:r>
      <w:r>
        <w:rPr>
          <w:rFonts w:ascii="Times New Roman" w:hAnsi="Times New Roman" w:cs="Times New Roman"/>
          <w:sz w:val="24"/>
          <w:szCs w:val="24"/>
        </w:rPr>
        <w:t xml:space="preserve"> and placed on the same patient, </w:t>
      </w:r>
      <w:r w:rsidR="002524AA" w:rsidRPr="008B0F9E">
        <w:rPr>
          <w:rFonts w:ascii="Times New Roman" w:hAnsi="Times New Roman" w:cs="Times New Roman"/>
          <w:sz w:val="24"/>
          <w:szCs w:val="24"/>
        </w:rPr>
        <w:t>this distalization device is both easy to use and economical. The biggest drawback is the lengthy amount of "doctor-time" required at the chairside to create, bond, and remove and replace the TAD.</w:t>
      </w:r>
    </w:p>
    <w:p w:rsidR="002524AA" w:rsidRPr="008B0F9E" w:rsidRDefault="002524AA" w:rsidP="002524AA">
      <w:pPr>
        <w:spacing w:line="480" w:lineRule="auto"/>
        <w:jc w:val="both"/>
        <w:rPr>
          <w:rFonts w:ascii="Times New Roman" w:hAnsi="Times New Roman" w:cs="Times New Roman"/>
          <w:b/>
          <w:sz w:val="24"/>
          <w:szCs w:val="24"/>
          <w:u w:val="single"/>
        </w:rPr>
      </w:pPr>
      <w:r w:rsidRPr="008B0F9E">
        <w:rPr>
          <w:rFonts w:ascii="Times New Roman" w:hAnsi="Times New Roman" w:cs="Times New Roman"/>
          <w:b/>
          <w:sz w:val="24"/>
          <w:szCs w:val="24"/>
          <w:u w:val="single"/>
        </w:rPr>
        <w:t>Technique Two: TAD-Based Distal Jet</w:t>
      </w:r>
      <w:r w:rsidR="00F82ABE">
        <w:rPr>
          <w:rFonts w:ascii="Times New Roman" w:hAnsi="Times New Roman" w:cs="Times New Roman"/>
          <w:b/>
          <w:sz w:val="24"/>
          <w:szCs w:val="24"/>
          <w:u w:val="single"/>
        </w:rPr>
        <w:t xml:space="preserve"> (Figure 7.7)</w:t>
      </w:r>
    </w:p>
    <w:p w:rsidR="002524AA" w:rsidRPr="008B0F9E" w:rsidRDefault="00E74DB9" w:rsidP="002524AA">
      <w:pPr>
        <w:spacing w:line="480" w:lineRule="auto"/>
        <w:jc w:val="both"/>
        <w:rPr>
          <w:rFonts w:ascii="Times New Roman" w:hAnsi="Times New Roman" w:cs="Times New Roman"/>
          <w:sz w:val="24"/>
          <w:szCs w:val="24"/>
        </w:rPr>
      </w:pPr>
      <w:r w:rsidRPr="00E74DB9">
        <w:rPr>
          <w:rFonts w:ascii="Times New Roman" w:hAnsi="Times New Roman" w:cs="Times New Roman"/>
          <w:sz w:val="24"/>
          <w:szCs w:val="24"/>
        </w:rPr>
        <w:t>A modified version of the common tooth-borne distal jet device serves as the method's basis.</w:t>
      </w:r>
      <w:r w:rsidR="002524AA" w:rsidRPr="008B0F9E">
        <w:rPr>
          <w:rFonts w:ascii="Times New Roman" w:hAnsi="Times New Roman" w:cs="Times New Roman"/>
          <w:sz w:val="24"/>
          <w:szCs w:val="24"/>
        </w:rPr>
        <w:t xml:space="preserve"> (Allesee Orthodontic Appliances). The main source of anchoring is provided by the placement of two palatal TADs. </w:t>
      </w:r>
      <w:r w:rsidRPr="00E74DB9">
        <w:rPr>
          <w:rFonts w:ascii="Times New Roman" w:hAnsi="Times New Roman" w:cs="Times New Roman"/>
          <w:sz w:val="24"/>
          <w:szCs w:val="24"/>
        </w:rPr>
        <w:t xml:space="preserve">In early appliance designs, wires were adhered to the palatal surface of the first premolars. </w:t>
      </w:r>
      <w:r w:rsidR="002524AA" w:rsidRPr="008B0F9E">
        <w:rPr>
          <w:rFonts w:ascii="Times New Roman" w:hAnsi="Times New Roman" w:cs="Times New Roman"/>
          <w:sz w:val="24"/>
          <w:szCs w:val="24"/>
        </w:rPr>
        <w:t>Nevertheless, TAD anchoring is now the only option preferred.</w:t>
      </w:r>
    </w:p>
    <w:p w:rsidR="002524AA" w:rsidRPr="008B0F9E" w:rsidRDefault="002524AA" w:rsidP="002524AA">
      <w:pPr>
        <w:spacing w:line="480" w:lineRule="auto"/>
        <w:jc w:val="both"/>
        <w:rPr>
          <w:rFonts w:ascii="Times New Roman" w:hAnsi="Times New Roman" w:cs="Times New Roman"/>
          <w:sz w:val="24"/>
          <w:szCs w:val="24"/>
        </w:rPr>
      </w:pPr>
    </w:p>
    <w:p w:rsidR="00AA2E17" w:rsidRDefault="00AA2E17" w:rsidP="00AA2E17">
      <w:pPr>
        <w:keepNext/>
        <w:spacing w:line="240" w:lineRule="auto"/>
        <w:rPr>
          <w:rFonts w:ascii="Times New Roman" w:hAnsi="Times New Roman" w:cs="Times New Roman"/>
          <w:sz w:val="24"/>
          <w:szCs w:val="24"/>
        </w:rPr>
      </w:pPr>
      <w:r w:rsidRPr="007D47C7">
        <w:rPr>
          <w:rFonts w:ascii="Times New Roman" w:hAnsi="Times New Roman" w:cs="Times New Roman"/>
          <w:noProof/>
          <w:sz w:val="24"/>
          <w:szCs w:val="24"/>
        </w:rPr>
        <w:lastRenderedPageBreak/>
        <w:drawing>
          <wp:anchor distT="0" distB="0" distL="114300" distR="114300" simplePos="0" relativeHeight="251668480" behindDoc="0" locked="0" layoutInCell="1" allowOverlap="1">
            <wp:simplePos x="0" y="0"/>
            <wp:positionH relativeFrom="column">
              <wp:posOffset>577215</wp:posOffset>
            </wp:positionH>
            <wp:positionV relativeFrom="paragraph">
              <wp:posOffset>262255</wp:posOffset>
            </wp:positionV>
            <wp:extent cx="4591685" cy="3429000"/>
            <wp:effectExtent l="38100" t="38100" r="37465" b="3810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1685" cy="3429000"/>
                    </a:xfrm>
                    <a:prstGeom prst="rect">
                      <a:avLst/>
                    </a:prstGeom>
                    <a:ln w="28575">
                      <a:solidFill>
                        <a:schemeClr val="tx1"/>
                      </a:solidFill>
                    </a:ln>
                  </pic:spPr>
                </pic:pic>
              </a:graphicData>
            </a:graphic>
          </wp:anchor>
        </w:drawing>
      </w:r>
    </w:p>
    <w:p w:rsidR="00AA2E17" w:rsidRPr="00AA2E17" w:rsidRDefault="002524AA" w:rsidP="00AA2E17">
      <w:pPr>
        <w:keepNext/>
        <w:spacing w:line="480" w:lineRule="auto"/>
        <w:jc w:val="center"/>
        <w:rPr>
          <w:rFonts w:ascii="Times New Roman" w:hAnsi="Times New Roman" w:cs="Times New Roman"/>
          <w:b/>
          <w:sz w:val="24"/>
          <w:szCs w:val="24"/>
        </w:rPr>
      </w:pPr>
      <w:r w:rsidRPr="00AA2E17">
        <w:rPr>
          <w:rFonts w:ascii="Times New Roman" w:hAnsi="Times New Roman" w:cs="Times New Roman"/>
          <w:b/>
          <w:sz w:val="24"/>
          <w:szCs w:val="24"/>
        </w:rPr>
        <w:t xml:space="preserve">Figure </w:t>
      </w:r>
      <w:r w:rsidR="00AA2E17" w:rsidRPr="00AA2E17">
        <w:rPr>
          <w:rFonts w:ascii="Times New Roman" w:hAnsi="Times New Roman" w:cs="Times New Roman"/>
          <w:b/>
          <w:sz w:val="24"/>
          <w:szCs w:val="24"/>
        </w:rPr>
        <w:t xml:space="preserve">7.7: </w:t>
      </w:r>
      <w:r w:rsidR="00FC0B02" w:rsidRPr="00AA2E17">
        <w:rPr>
          <w:rFonts w:ascii="Times New Roman" w:hAnsi="Times New Roman" w:cs="Times New Roman"/>
          <w:b/>
          <w:sz w:val="24"/>
          <w:szCs w:val="24"/>
        </w:rPr>
        <w:t>M</w:t>
      </w:r>
      <w:r w:rsidRPr="00AA2E17">
        <w:rPr>
          <w:rFonts w:ascii="Times New Roman" w:hAnsi="Times New Roman" w:cs="Times New Roman"/>
          <w:b/>
          <w:sz w:val="24"/>
          <w:szCs w:val="24"/>
        </w:rPr>
        <w:t xml:space="preserve">id </w:t>
      </w:r>
      <w:r w:rsidR="00AA2E17" w:rsidRPr="00AA2E17">
        <w:rPr>
          <w:rFonts w:ascii="Times New Roman" w:hAnsi="Times New Roman" w:cs="Times New Roman"/>
          <w:b/>
          <w:sz w:val="24"/>
          <w:szCs w:val="24"/>
        </w:rPr>
        <w:t xml:space="preserve">Palatal </w:t>
      </w:r>
      <w:r w:rsidRPr="00AA2E17">
        <w:rPr>
          <w:rFonts w:ascii="Times New Roman" w:hAnsi="Times New Roman" w:cs="Times New Roman"/>
          <w:b/>
          <w:sz w:val="24"/>
          <w:szCs w:val="24"/>
        </w:rPr>
        <w:t xml:space="preserve">TAD </w:t>
      </w:r>
      <w:r w:rsidR="00AA2E17" w:rsidRPr="00AA2E17">
        <w:rPr>
          <w:rFonts w:ascii="Times New Roman" w:hAnsi="Times New Roman" w:cs="Times New Roman"/>
          <w:b/>
          <w:sz w:val="24"/>
          <w:szCs w:val="24"/>
        </w:rPr>
        <w:t>Supported Distal Jet</w:t>
      </w:r>
    </w:p>
    <w:p w:rsidR="00C36395" w:rsidRPr="00FC0B02" w:rsidRDefault="00FC0B02" w:rsidP="00AA2E17">
      <w:pPr>
        <w:spacing w:line="480" w:lineRule="auto"/>
        <w:jc w:val="both"/>
        <w:rPr>
          <w:rFonts w:ascii="Times New Roman" w:hAnsi="Times New Roman" w:cs="Times New Roman"/>
          <w:b/>
          <w:color w:val="000000"/>
          <w:sz w:val="28"/>
          <w:szCs w:val="24"/>
          <w:u w:val="single"/>
        </w:rPr>
      </w:pPr>
      <w:r w:rsidRPr="00FC0B02">
        <w:rPr>
          <w:rFonts w:ascii="Times New Roman" w:hAnsi="Times New Roman" w:cs="Times New Roman"/>
          <w:b/>
          <w:sz w:val="28"/>
          <w:szCs w:val="24"/>
          <w:u w:val="single"/>
        </w:rPr>
        <w:t>THE SPIDER SCREW</w:t>
      </w:r>
    </w:p>
    <w:p w:rsidR="00C36395" w:rsidRPr="00C36395" w:rsidRDefault="009B78CD" w:rsidP="00C36395">
      <w:pPr>
        <w:spacing w:line="480" w:lineRule="auto"/>
        <w:jc w:val="both"/>
        <w:rPr>
          <w:rFonts w:ascii="Times New Roman" w:hAnsi="Times New Roman" w:cs="Times New Roman"/>
          <w:color w:val="000000"/>
          <w:sz w:val="24"/>
          <w:szCs w:val="24"/>
        </w:rPr>
      </w:pPr>
      <w:r w:rsidRPr="009B78CD">
        <w:rPr>
          <w:rFonts w:ascii="Times New Roman" w:hAnsi="Times New Roman" w:cs="Times New Roman"/>
          <w:sz w:val="24"/>
          <w:szCs w:val="24"/>
        </w:rPr>
        <w:t xml:space="preserve">Since many conventional anchorage methods rely on patient participation, their success rates can be variable. The optimum anchorage solution that satisfies the clinical requirements of the orthodontist may be titanium miniscrews.Their advantages include dependability, patient acceptance, immediate loading, ease of insertion and ejection, and conformity to the orthodontist's anchorage requirements. The Spider Screw is a self-tapping, commercially pure titanium miniscrew made by the HDC Company in Sarcedo, Italy (hdc goldnet.it). Forces between 50 and 300 g are immediately capable of being applied to the screw. With this anchorage technique, complete osseointegration is neither anticipated nor desired. When orthodontic tooth movements require maximum anchorage due to extraction cases, poor cooperation, or mutilated dentitions in clinical settings, the Spider Screw anchorage system </w:t>
      </w:r>
      <w:r w:rsidRPr="009B78CD">
        <w:rPr>
          <w:rFonts w:ascii="Times New Roman" w:hAnsi="Times New Roman" w:cs="Times New Roman"/>
          <w:sz w:val="24"/>
          <w:szCs w:val="24"/>
        </w:rPr>
        <w:lastRenderedPageBreak/>
        <w:t>can be employed to support a range of orthodontic tooth movements. The diameters of this system are 1.5 mm or 2.0 mm. While the 2.0-mm diameter screw is available in lengths of 7.0, 9.0, or 11.0 mm, the 1.5-mm diameter screw is available in 6.0, 8.0, or 10.0 mm. Spider Screws are given out in single-use, packed, hygienic packets. To accommodate the soft tissues, both sizes are offered in low profile, low profile flat, and conventional transmucosal designs (Figure 7.8). The low profile flat screw has the same head combined with a short collar and is recommended in the thin tissue of the patient's anterior segments, while the regular design has an intermediate length and a round head. The low profile screw is used in the thick soft tissues of the posterior segments.</w:t>
      </w:r>
      <w:r w:rsidR="00F73678" w:rsidRPr="00FC0B02">
        <w:rPr>
          <w:rFonts w:ascii="Times New Roman" w:hAnsi="Times New Roman" w:cs="Times New Roman"/>
          <w:color w:val="000000"/>
          <w:sz w:val="24"/>
          <w:szCs w:val="24"/>
          <w:vertAlign w:val="superscript"/>
        </w:rPr>
        <w:fldChar w:fldCharType="begin"/>
      </w:r>
      <w:r w:rsidR="00FC0B02" w:rsidRPr="00FC0B02">
        <w:rPr>
          <w:rFonts w:ascii="Times New Roman" w:hAnsi="Times New Roman" w:cs="Times New Roman"/>
          <w:color w:val="000000"/>
          <w:sz w:val="24"/>
          <w:szCs w:val="24"/>
          <w:vertAlign w:val="superscript"/>
        </w:rPr>
        <w:instrText xml:space="preserve"> ADDIN ZOTERO_ITEM CSL_CITATION {"citationID":"WR3uNrgE","properties":{"formattedCitation":"(18)","plainCitation":"(18)","noteIndex":0},"citationItems":[{"id":300,"uris":["http://zotero.org/users/10901486/items/WPSF4AFE"],"itemData":{"id":300,"type":"article-journal","issue":"2","language":"en","source":"Zotero","title":"The Spider Screw for Skeletal Anchorage","author":[{"family":"Maino","given":"B Giuliano"},{"family":"Bednar","given":"John"},{"family":"Pagin","given":"Paolo"},{"family":"Mura","given":"Paola"}],"issued":{"date-parts":[["2003"]]}}}],"schema":"https://github.com/citation-style-language/schema/raw/master/csl-citation.json"} </w:instrText>
      </w:r>
      <w:r w:rsidR="00F73678" w:rsidRPr="00FC0B02">
        <w:rPr>
          <w:rFonts w:ascii="Times New Roman" w:hAnsi="Times New Roman" w:cs="Times New Roman"/>
          <w:color w:val="000000"/>
          <w:sz w:val="24"/>
          <w:szCs w:val="24"/>
          <w:vertAlign w:val="superscript"/>
        </w:rPr>
        <w:fldChar w:fldCharType="separate"/>
      </w:r>
      <w:r w:rsidR="00FC0B02" w:rsidRPr="00FC0B02">
        <w:rPr>
          <w:rFonts w:ascii="Times New Roman" w:hAnsi="Times New Roman" w:cs="Times New Roman"/>
          <w:sz w:val="24"/>
          <w:vertAlign w:val="superscript"/>
        </w:rPr>
        <w:t>(18)</w:t>
      </w:r>
      <w:r w:rsidR="00F73678" w:rsidRPr="00FC0B02">
        <w:rPr>
          <w:rFonts w:ascii="Times New Roman" w:hAnsi="Times New Roman" w:cs="Times New Roman"/>
          <w:color w:val="000000"/>
          <w:sz w:val="24"/>
          <w:szCs w:val="24"/>
          <w:vertAlign w:val="superscript"/>
        </w:rPr>
        <w:fldChar w:fldCharType="end"/>
      </w:r>
      <w:r w:rsidR="00C36395" w:rsidRPr="00FC0B02">
        <w:rPr>
          <w:rFonts w:ascii="Times New Roman" w:hAnsi="Times New Roman" w:cs="Times New Roman"/>
          <w:color w:val="000000"/>
          <w:sz w:val="24"/>
          <w:szCs w:val="24"/>
          <w:vertAlign w:val="superscript"/>
        </w:rPr>
        <w:t>.</w:t>
      </w:r>
    </w:p>
    <w:p w:rsidR="00C36395" w:rsidRPr="00C36395" w:rsidRDefault="00AA2E17" w:rsidP="00C36395">
      <w:pPr>
        <w:jc w:val="both"/>
        <w:rPr>
          <w:rFonts w:ascii="Times New Roman" w:hAnsi="Times New Roman" w:cs="Times New Roman"/>
          <w:spacing w:val="24"/>
          <w:sz w:val="24"/>
          <w:szCs w:val="24"/>
        </w:rPr>
      </w:pPr>
      <w:r w:rsidRPr="00AA2E17">
        <w:rPr>
          <w:rFonts w:ascii="Times New Roman" w:hAnsi="Times New Roman" w:cs="Times New Roman"/>
          <w:noProof/>
          <w:spacing w:val="24"/>
          <w:sz w:val="24"/>
          <w:szCs w:val="24"/>
        </w:rPr>
        <w:drawing>
          <wp:anchor distT="0" distB="0" distL="114300" distR="114300" simplePos="0" relativeHeight="251666432" behindDoc="0" locked="0" layoutInCell="1" allowOverlap="1">
            <wp:simplePos x="0" y="0"/>
            <wp:positionH relativeFrom="column">
              <wp:posOffset>1325880</wp:posOffset>
            </wp:positionH>
            <wp:positionV relativeFrom="paragraph">
              <wp:posOffset>282575</wp:posOffset>
            </wp:positionV>
            <wp:extent cx="3077845" cy="2303780"/>
            <wp:effectExtent l="38100" t="38100" r="46355" b="39370"/>
            <wp:wrapTopAndBottom/>
            <wp:docPr id="4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7845" cy="2303780"/>
                    </a:xfrm>
                    <a:prstGeom prst="rect">
                      <a:avLst/>
                    </a:prstGeom>
                    <a:noFill/>
                    <a:ln w="28575">
                      <a:solidFill>
                        <a:schemeClr val="tx1"/>
                      </a:solidFill>
                      <a:miter lim="800000"/>
                      <a:headEnd/>
                      <a:tailEnd/>
                    </a:ln>
                  </pic:spPr>
                </pic:pic>
              </a:graphicData>
            </a:graphic>
          </wp:anchor>
        </w:drawing>
      </w:r>
    </w:p>
    <w:p w:rsidR="00AA2E17" w:rsidRDefault="00FC0B02" w:rsidP="005E64B7">
      <w:pPr>
        <w:jc w:val="center"/>
        <w:rPr>
          <w:rFonts w:ascii="Times New Roman" w:hAnsi="Times New Roman" w:cs="Times New Roman"/>
          <w:b/>
          <w:sz w:val="24"/>
          <w:szCs w:val="24"/>
        </w:rPr>
      </w:pPr>
      <w:r w:rsidRPr="00AA2E17">
        <w:rPr>
          <w:rFonts w:ascii="Times New Roman" w:hAnsi="Times New Roman" w:cs="Times New Roman"/>
          <w:b/>
          <w:bCs/>
          <w:sz w:val="24"/>
          <w:szCs w:val="24"/>
        </w:rPr>
        <w:t xml:space="preserve">Figure </w:t>
      </w:r>
      <w:r w:rsidR="00AA2E17" w:rsidRPr="00AA2E17">
        <w:rPr>
          <w:rFonts w:ascii="Times New Roman" w:hAnsi="Times New Roman" w:cs="Times New Roman"/>
          <w:b/>
          <w:bCs/>
          <w:sz w:val="24"/>
          <w:szCs w:val="24"/>
        </w:rPr>
        <w:t xml:space="preserve">7.8 </w:t>
      </w:r>
      <w:r w:rsidRPr="00AA2E17">
        <w:rPr>
          <w:rFonts w:ascii="Times New Roman" w:hAnsi="Times New Roman" w:cs="Times New Roman"/>
          <w:b/>
          <w:sz w:val="24"/>
          <w:szCs w:val="24"/>
        </w:rPr>
        <w:t xml:space="preserve">Different </w:t>
      </w:r>
      <w:r w:rsidR="00AA2E17" w:rsidRPr="00AA2E17">
        <w:rPr>
          <w:rFonts w:ascii="Times New Roman" w:hAnsi="Times New Roman" w:cs="Times New Roman"/>
          <w:b/>
          <w:sz w:val="24"/>
          <w:szCs w:val="24"/>
        </w:rPr>
        <w:t xml:space="preserve">Heights Of </w:t>
      </w:r>
      <w:r w:rsidRPr="00AA2E17">
        <w:rPr>
          <w:rFonts w:ascii="Times New Roman" w:hAnsi="Times New Roman" w:cs="Times New Roman"/>
          <w:b/>
          <w:sz w:val="24"/>
          <w:szCs w:val="24"/>
        </w:rPr>
        <w:t xml:space="preserve">Spider Screw </w:t>
      </w:r>
    </w:p>
    <w:p w:rsidR="00C36395" w:rsidRPr="00AA2E17" w:rsidRDefault="00AA2E17" w:rsidP="005E64B7">
      <w:pPr>
        <w:jc w:val="center"/>
        <w:rPr>
          <w:rFonts w:ascii="Times New Roman" w:hAnsi="Times New Roman" w:cs="Times New Roman"/>
          <w:b/>
          <w:spacing w:val="24"/>
          <w:sz w:val="24"/>
          <w:szCs w:val="24"/>
        </w:rPr>
      </w:pPr>
      <w:r w:rsidRPr="00AA2E17">
        <w:rPr>
          <w:rFonts w:ascii="Times New Roman" w:hAnsi="Times New Roman" w:cs="Times New Roman"/>
          <w:b/>
          <w:sz w:val="24"/>
          <w:szCs w:val="24"/>
        </w:rPr>
        <w:t>Head And Collar</w:t>
      </w:r>
    </w:p>
    <w:p w:rsidR="00C36395" w:rsidRPr="00C36395" w:rsidRDefault="00C36395" w:rsidP="00C36395">
      <w:pPr>
        <w:jc w:val="both"/>
        <w:rPr>
          <w:rFonts w:ascii="Times New Roman" w:hAnsi="Times New Roman" w:cs="Times New Roman"/>
          <w:spacing w:val="24"/>
          <w:sz w:val="24"/>
          <w:szCs w:val="24"/>
        </w:rPr>
      </w:pPr>
    </w:p>
    <w:p w:rsidR="00C36395" w:rsidRPr="00FC0B02" w:rsidRDefault="00FC0B02" w:rsidP="00C36395">
      <w:pPr>
        <w:jc w:val="both"/>
        <w:rPr>
          <w:rFonts w:ascii="Times New Roman" w:hAnsi="Times New Roman" w:cs="Times New Roman"/>
          <w:b/>
          <w:spacing w:val="24"/>
          <w:sz w:val="24"/>
          <w:szCs w:val="24"/>
        </w:rPr>
      </w:pPr>
      <w:r w:rsidRPr="00C36395">
        <w:rPr>
          <w:rFonts w:ascii="Times New Roman" w:hAnsi="Times New Roman" w:cs="Times New Roman"/>
          <w:noProof/>
          <w:spacing w:val="24"/>
          <w:sz w:val="24"/>
          <w:szCs w:val="24"/>
        </w:rPr>
        <w:lastRenderedPageBreak/>
        <w:drawing>
          <wp:anchor distT="0" distB="0" distL="114300" distR="114300" simplePos="0" relativeHeight="251667456" behindDoc="0" locked="0" layoutInCell="1" allowOverlap="1">
            <wp:simplePos x="0" y="0"/>
            <wp:positionH relativeFrom="column">
              <wp:posOffset>1008380</wp:posOffset>
            </wp:positionH>
            <wp:positionV relativeFrom="paragraph">
              <wp:posOffset>168275</wp:posOffset>
            </wp:positionV>
            <wp:extent cx="3772535" cy="2818765"/>
            <wp:effectExtent l="19050" t="19050" r="18415" b="19685"/>
            <wp:wrapTopAndBottom/>
            <wp:docPr id="5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2535" cy="2818765"/>
                    </a:xfrm>
                    <a:prstGeom prst="rect">
                      <a:avLst/>
                    </a:prstGeom>
                    <a:noFill/>
                    <a:ln w="9525">
                      <a:solidFill>
                        <a:schemeClr val="accent1"/>
                      </a:solidFill>
                      <a:miter lim="800000"/>
                      <a:headEnd/>
                      <a:tailEnd/>
                    </a:ln>
                  </pic:spPr>
                </pic:pic>
              </a:graphicData>
            </a:graphic>
          </wp:anchor>
        </w:drawing>
      </w:r>
    </w:p>
    <w:p w:rsidR="00C36395" w:rsidRPr="00AA2E17" w:rsidRDefault="00C36395" w:rsidP="00AA2E17">
      <w:pPr>
        <w:tabs>
          <w:tab w:val="left" w:pos="2797"/>
        </w:tabs>
        <w:jc w:val="center"/>
        <w:rPr>
          <w:rFonts w:ascii="Times New Roman" w:hAnsi="Times New Roman" w:cs="Times New Roman"/>
          <w:b/>
          <w:spacing w:val="24"/>
          <w:sz w:val="24"/>
          <w:szCs w:val="24"/>
        </w:rPr>
      </w:pPr>
      <w:r w:rsidRPr="00FC0B02">
        <w:rPr>
          <w:rFonts w:ascii="Times New Roman" w:hAnsi="Times New Roman" w:cs="Times New Roman"/>
          <w:b/>
          <w:bCs/>
        </w:rPr>
        <w:t xml:space="preserve">Figure </w:t>
      </w:r>
      <w:r w:rsidR="00AA2E17" w:rsidRPr="00FC0B02">
        <w:rPr>
          <w:rFonts w:ascii="Times New Roman" w:hAnsi="Times New Roman" w:cs="Times New Roman"/>
          <w:b/>
          <w:bCs/>
        </w:rPr>
        <w:t xml:space="preserve">7.9  </w:t>
      </w:r>
      <w:r w:rsidR="00FC0B02" w:rsidRPr="00FC0B02">
        <w:rPr>
          <w:rFonts w:ascii="Times New Roman" w:hAnsi="Times New Roman" w:cs="Times New Roman"/>
          <w:b/>
          <w:sz w:val="24"/>
          <w:szCs w:val="24"/>
        </w:rPr>
        <w:t xml:space="preserve">Spider Screw </w:t>
      </w:r>
      <w:r w:rsidR="00AA2E17" w:rsidRPr="00FC0B02">
        <w:rPr>
          <w:rFonts w:ascii="Times New Roman" w:hAnsi="Times New Roman" w:cs="Times New Roman"/>
          <w:b/>
          <w:sz w:val="24"/>
          <w:szCs w:val="24"/>
        </w:rPr>
        <w:t>Characteristics</w:t>
      </w:r>
    </w:p>
    <w:p w:rsidR="009B78CD" w:rsidRPr="009B78CD" w:rsidRDefault="009B78CD" w:rsidP="00AA2E17">
      <w:pPr>
        <w:spacing w:line="480" w:lineRule="auto"/>
        <w:jc w:val="both"/>
        <w:rPr>
          <w:rFonts w:ascii="Times New Roman" w:hAnsi="Times New Roman" w:cs="Times New Roman"/>
          <w:bCs/>
          <w:color w:val="000000"/>
          <w:sz w:val="24"/>
        </w:rPr>
      </w:pPr>
      <w:r w:rsidRPr="009B78CD">
        <w:rPr>
          <w:rFonts w:ascii="Times New Roman" w:hAnsi="Times New Roman" w:cs="Times New Roman"/>
          <w:bCs/>
          <w:color w:val="000000"/>
          <w:sz w:val="24"/>
        </w:rPr>
        <w:t>The Spider Screw's head is constructed with external and internal rectangular slots that range in size from 0.021 to 0.025 inches. Additionally, it contains a round interior vertical hole with a diameter of 0.025 inch (Figure 7.9). The extramucosal head of the screw is large enough to permit orthodontic attachments while being small enough to prevent soft tissue discomfort.</w:t>
      </w:r>
    </w:p>
    <w:p w:rsidR="003B372B" w:rsidRPr="003B372B" w:rsidRDefault="003B372B" w:rsidP="00AA2E17">
      <w:pPr>
        <w:spacing w:line="480" w:lineRule="auto"/>
        <w:jc w:val="both"/>
        <w:rPr>
          <w:rFonts w:ascii="Times New Roman" w:hAnsi="Times New Roman" w:cs="Times New Roman"/>
          <w:b/>
          <w:bCs/>
          <w:color w:val="000000"/>
          <w:sz w:val="24"/>
        </w:rPr>
      </w:pPr>
      <w:r w:rsidRPr="003B372B">
        <w:rPr>
          <w:rFonts w:ascii="Times New Roman" w:hAnsi="Times New Roman" w:cs="Times New Roman"/>
          <w:b/>
          <w:bCs/>
          <w:color w:val="000000"/>
          <w:sz w:val="24"/>
        </w:rPr>
        <w:t>Complications</w:t>
      </w:r>
    </w:p>
    <w:p w:rsidR="003B372B" w:rsidRPr="003B372B" w:rsidRDefault="00602659" w:rsidP="00AA2E17">
      <w:pPr>
        <w:spacing w:line="480" w:lineRule="auto"/>
        <w:jc w:val="both"/>
        <w:rPr>
          <w:rFonts w:ascii="Times New Roman" w:hAnsi="Times New Roman" w:cs="Times New Roman"/>
          <w:color w:val="000000"/>
          <w:sz w:val="24"/>
        </w:rPr>
      </w:pPr>
      <w:r w:rsidRPr="00602659">
        <w:rPr>
          <w:rFonts w:ascii="Times New Roman" w:hAnsi="Times New Roman" w:cs="Times New Roman"/>
          <w:color w:val="000000"/>
          <w:sz w:val="24"/>
        </w:rPr>
        <w:t xml:space="preserve">Inflammation of the peri-implant tissues, particularly in locations where there is frenum tissue or muscle tissue, is one potential consequence.With good oral hygiene and topical administration of a 0.2% chlorhexidine rinse, these issues can be managed. The insertion of the miniscrew high in the vestibule might occasionally result in difficulties with the mucosa. In these situations, the clinician should make an effort to adopt anchorage mechanics that call for little changes at the screw's orthodontic head. If the miniscrew becomes mobile, a longer, larger miniscrew can be used in its stead. If this is insufficient, another placement site should be selected. The patient will exhibit signs of pain on percussion or mastication if the periodontal ligament is unintentionally invaded during the miniscrew's insertion. The patient </w:t>
      </w:r>
      <w:r w:rsidRPr="00602659">
        <w:rPr>
          <w:rFonts w:ascii="Times New Roman" w:hAnsi="Times New Roman" w:cs="Times New Roman"/>
          <w:color w:val="000000"/>
          <w:sz w:val="24"/>
        </w:rPr>
        <w:lastRenderedPageBreak/>
        <w:t>will become sensitive to heat and cold if a root is come in contact with during insertion. In these circumstances, the miniscrew ought to be taken out, and anti-inflammatory and perhaps antibacterial medication ought to be started. Only one study has been done so far on the variables affecting the stability of titanium screws.Three crucial criteria were identified by the study's findings.</w:t>
      </w:r>
      <w:r>
        <w:rPr>
          <w:rFonts w:ascii="Times New Roman" w:hAnsi="Times New Roman" w:cs="Times New Roman"/>
          <w:color w:val="000000"/>
          <w:sz w:val="24"/>
        </w:rPr>
        <w:t xml:space="preserve"> </w:t>
      </w:r>
      <w:r w:rsidRPr="00602659">
        <w:rPr>
          <w:rFonts w:ascii="Times New Roman" w:hAnsi="Times New Roman" w:cs="Times New Roman"/>
          <w:color w:val="000000"/>
          <w:sz w:val="24"/>
        </w:rPr>
        <w:t>Screw diameter is the first factor, followed by peri-implant soft tissue inflammation and bone quality. This same study recommends using a longer, thicker-diameter screw and applying lesser forces to verify the screw's stability in the context of poor bone quality before applying bigger stresses. The management of inflammation appears to be a crucial aspect in all situations.Avoiding the frenum and placing the miniscrews in areas of keratinized gingiva will increase natural tissue resistance and make it easier for the patient to practise proper peri-implant hygiene while reducing inflammation. Finally, choose a screw with a collar length that is appropriate for the thickness of the local soft tissues.</w:t>
      </w:r>
      <w:r w:rsidR="00F73678" w:rsidRPr="003B372B">
        <w:rPr>
          <w:rFonts w:ascii="Times New Roman" w:hAnsi="Times New Roman" w:cs="Times New Roman"/>
          <w:color w:val="000000"/>
          <w:sz w:val="24"/>
          <w:vertAlign w:val="superscript"/>
        </w:rPr>
        <w:fldChar w:fldCharType="begin"/>
      </w:r>
      <w:r w:rsidR="003B372B" w:rsidRPr="003B372B">
        <w:rPr>
          <w:rFonts w:ascii="Times New Roman" w:hAnsi="Times New Roman" w:cs="Times New Roman"/>
          <w:color w:val="000000"/>
          <w:sz w:val="24"/>
          <w:vertAlign w:val="superscript"/>
        </w:rPr>
        <w:instrText xml:space="preserve"> ADDIN ZOTERO_ITEM CSL_CITATION {"citationID":"aqC9mNVw","properties":{"formattedCitation":"(19)","plainCitation":"(19)","noteIndex":0},"citationItems":[{"id":562,"uris":["http://zotero.org/users/10901486/items/V3DSWLAQ"],"itemData":{"id":562,"type":"article-journal","abstract":"The risks associated with miniscrew placement should be clearly understood by both the clinician and the patient. Complications can arise during miniscrew placement and after orthodontic loading that affect stability and patient safety. A thorough understanding of proper placement technique, bone density and landscape, peri-implant soft-tissue, regional anatomic structures, and patient home care are imperative for optimal patient safety and miniscrew success. The purpose of this article was to review the potential risks and complications of orthodontic miniscrews in regard to insertion, orthodontic loading, peri-implant soft-tissue health, and removal.","container-title":"American Journal of Orthodontics and Dentofacial Orthopedics: Official Publication of the American Association of Orthodontists, Its Constituent Societies, and the American Board of Orthodontics","DOI":"10.1016/j.ajodo.2006.04.027","ISSN":"1097-6752","issue":"4 Suppl","journalAbbreviation":"Am J Orthod Dentofacial Orthop","language":"eng","note":"PMID: 17448385","page":"S43-51","source":"PubMed","title":"Risks and complications of orthodontic miniscrews","volume":"131","author":[{"family":"Kravitz","given":"Neal D."},{"family":"Kusnoto","given":"Budi"}],"issued":{"date-parts":[["2007",4]]}}}],"schema":"https://github.com/citation-style-language/schema/raw/master/csl-citation.json"} </w:instrText>
      </w:r>
      <w:r w:rsidR="00F73678" w:rsidRPr="003B372B">
        <w:rPr>
          <w:rFonts w:ascii="Times New Roman" w:hAnsi="Times New Roman" w:cs="Times New Roman"/>
          <w:color w:val="000000"/>
          <w:sz w:val="24"/>
          <w:vertAlign w:val="superscript"/>
        </w:rPr>
        <w:fldChar w:fldCharType="separate"/>
      </w:r>
      <w:r w:rsidR="003B372B" w:rsidRPr="003B372B">
        <w:rPr>
          <w:rFonts w:ascii="Times New Roman" w:hAnsi="Times New Roman" w:cs="Times New Roman"/>
          <w:sz w:val="24"/>
          <w:vertAlign w:val="superscript"/>
        </w:rPr>
        <w:t>(19)</w:t>
      </w:r>
      <w:r w:rsidR="00F73678" w:rsidRPr="003B372B">
        <w:rPr>
          <w:rFonts w:ascii="Times New Roman" w:hAnsi="Times New Roman" w:cs="Times New Roman"/>
          <w:color w:val="000000"/>
          <w:sz w:val="24"/>
          <w:vertAlign w:val="superscript"/>
        </w:rPr>
        <w:fldChar w:fldCharType="end"/>
      </w:r>
    </w:p>
    <w:p w:rsidR="003B372B" w:rsidRPr="00C36395" w:rsidRDefault="003B372B" w:rsidP="00C36395">
      <w:pPr>
        <w:spacing w:line="480" w:lineRule="auto"/>
        <w:jc w:val="both"/>
        <w:rPr>
          <w:rFonts w:ascii="Times New Roman" w:hAnsi="Times New Roman" w:cs="Times New Roman"/>
          <w:sz w:val="24"/>
          <w:szCs w:val="24"/>
        </w:rPr>
      </w:pPr>
    </w:p>
    <w:p w:rsidR="002524AA" w:rsidRPr="00C36395" w:rsidRDefault="002524AA" w:rsidP="002524AA">
      <w:pPr>
        <w:spacing w:line="480" w:lineRule="auto"/>
        <w:jc w:val="both"/>
        <w:rPr>
          <w:rFonts w:ascii="Times New Roman" w:hAnsi="Times New Roman" w:cs="Times New Roman"/>
          <w:b/>
          <w:sz w:val="24"/>
          <w:szCs w:val="24"/>
          <w:u w:val="single"/>
        </w:rPr>
      </w:pPr>
    </w:p>
    <w:p w:rsidR="00FC0B02" w:rsidRDefault="00FC0B02" w:rsidP="002524AA">
      <w:pPr>
        <w:spacing w:line="480" w:lineRule="auto"/>
        <w:jc w:val="both"/>
        <w:rPr>
          <w:rFonts w:ascii="Times New Roman" w:hAnsi="Times New Roman" w:cs="Times New Roman"/>
          <w:b/>
          <w:sz w:val="28"/>
          <w:szCs w:val="24"/>
          <w:u w:val="single"/>
        </w:rPr>
      </w:pPr>
    </w:p>
    <w:p w:rsidR="00913731" w:rsidRDefault="00913731" w:rsidP="002524AA">
      <w:pPr>
        <w:spacing w:line="480" w:lineRule="auto"/>
        <w:jc w:val="both"/>
        <w:rPr>
          <w:rFonts w:ascii="Times New Roman" w:hAnsi="Times New Roman" w:cs="Times New Roman"/>
          <w:b/>
          <w:sz w:val="28"/>
          <w:szCs w:val="24"/>
          <w:u w:val="single"/>
        </w:rPr>
      </w:pPr>
    </w:p>
    <w:p w:rsidR="00FC0B02" w:rsidRDefault="00FC0B02" w:rsidP="002524AA">
      <w:pPr>
        <w:spacing w:line="480" w:lineRule="auto"/>
        <w:jc w:val="both"/>
        <w:rPr>
          <w:rFonts w:ascii="Times New Roman" w:hAnsi="Times New Roman" w:cs="Times New Roman"/>
          <w:b/>
          <w:sz w:val="28"/>
          <w:szCs w:val="24"/>
          <w:u w:val="single"/>
        </w:rPr>
      </w:pPr>
    </w:p>
    <w:p w:rsidR="005E64B7" w:rsidRDefault="005E64B7" w:rsidP="002524AA">
      <w:pPr>
        <w:spacing w:line="480" w:lineRule="auto"/>
        <w:jc w:val="both"/>
        <w:rPr>
          <w:rFonts w:ascii="Times New Roman" w:hAnsi="Times New Roman" w:cs="Times New Roman"/>
          <w:b/>
          <w:sz w:val="28"/>
          <w:szCs w:val="24"/>
          <w:u w:val="single"/>
        </w:rPr>
      </w:pPr>
    </w:p>
    <w:p w:rsidR="00AA2E17" w:rsidRDefault="00AA2E17" w:rsidP="002524AA">
      <w:pPr>
        <w:spacing w:line="480" w:lineRule="auto"/>
        <w:jc w:val="both"/>
        <w:rPr>
          <w:rFonts w:ascii="Times New Roman" w:hAnsi="Times New Roman" w:cs="Times New Roman"/>
          <w:b/>
          <w:sz w:val="28"/>
          <w:szCs w:val="24"/>
          <w:u w:val="single"/>
        </w:rPr>
      </w:pPr>
    </w:p>
    <w:p w:rsidR="00AA2E17" w:rsidRDefault="00AA2E17" w:rsidP="002524AA">
      <w:pPr>
        <w:spacing w:line="480" w:lineRule="auto"/>
        <w:jc w:val="both"/>
        <w:rPr>
          <w:rFonts w:ascii="Times New Roman" w:hAnsi="Times New Roman" w:cs="Times New Roman"/>
          <w:b/>
          <w:sz w:val="28"/>
          <w:szCs w:val="24"/>
          <w:u w:val="single"/>
        </w:rPr>
      </w:pPr>
    </w:p>
    <w:p w:rsidR="002524AA" w:rsidRPr="00FC0B02" w:rsidRDefault="006650F9" w:rsidP="00BC328C">
      <w:pPr>
        <w:spacing w:line="48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REFERE</w:t>
      </w:r>
      <w:r w:rsidR="002524AA" w:rsidRPr="00FC0B02">
        <w:rPr>
          <w:rFonts w:ascii="Times New Roman" w:hAnsi="Times New Roman" w:cs="Times New Roman"/>
          <w:b/>
          <w:sz w:val="24"/>
          <w:szCs w:val="24"/>
          <w:u w:val="single"/>
        </w:rPr>
        <w:t>NCES</w:t>
      </w:r>
    </w:p>
    <w:p w:rsidR="003B372B" w:rsidRPr="003B372B" w:rsidRDefault="00F73678" w:rsidP="00BC328C">
      <w:pPr>
        <w:pStyle w:val="Bibliography"/>
        <w:spacing w:line="480" w:lineRule="auto"/>
        <w:rPr>
          <w:rFonts w:ascii="Times New Roman" w:hAnsi="Times New Roman" w:cs="Times New Roman"/>
          <w:sz w:val="24"/>
        </w:rPr>
      </w:pPr>
      <w:r w:rsidRPr="00F73678">
        <w:rPr>
          <w:b/>
          <w:u w:val="single"/>
        </w:rPr>
        <w:fldChar w:fldCharType="begin"/>
      </w:r>
      <w:r w:rsidR="00FC0B02" w:rsidRPr="00FC0B02">
        <w:rPr>
          <w:b/>
          <w:u w:val="single"/>
        </w:rPr>
        <w:instrText xml:space="preserve"> ADDIN ZOTERO_BIBL {"uncited":[],"omitted":[],"custom":[]} CSL_BIBLIOGRAPHY </w:instrText>
      </w:r>
      <w:r w:rsidRPr="00F73678">
        <w:rPr>
          <w:b/>
          <w:u w:val="single"/>
        </w:rPr>
        <w:fldChar w:fldCharType="separate"/>
      </w:r>
      <w:r w:rsidR="003B372B" w:rsidRPr="003B372B">
        <w:rPr>
          <w:rFonts w:ascii="Times New Roman" w:hAnsi="Times New Roman" w:cs="Times New Roman"/>
          <w:sz w:val="24"/>
        </w:rPr>
        <w:t>1.</w:t>
      </w:r>
      <w:r w:rsidR="003B372B" w:rsidRPr="003B372B">
        <w:rPr>
          <w:rFonts w:ascii="Times New Roman" w:hAnsi="Times New Roman" w:cs="Times New Roman"/>
          <w:sz w:val="24"/>
        </w:rPr>
        <w:tab/>
        <w:t xml:space="preserve">Recent Advancements in Orthodontic Anchorage Using Mini-Implants. Int J Dentistry Res. 2021 Dec 30;6(3):78–80. </w:t>
      </w:r>
    </w:p>
    <w:p w:rsidR="003B372B" w:rsidRPr="003B372B" w:rsidRDefault="003B372B" w:rsidP="00BC328C">
      <w:pPr>
        <w:pStyle w:val="Bibliography"/>
        <w:spacing w:line="480" w:lineRule="auto"/>
        <w:rPr>
          <w:rFonts w:ascii="Times New Roman" w:hAnsi="Times New Roman" w:cs="Times New Roman"/>
          <w:sz w:val="24"/>
        </w:rPr>
      </w:pPr>
      <w:r w:rsidRPr="003B372B">
        <w:rPr>
          <w:rFonts w:ascii="Times New Roman" w:hAnsi="Times New Roman" w:cs="Times New Roman"/>
          <w:sz w:val="24"/>
        </w:rPr>
        <w:t>2.</w:t>
      </w:r>
      <w:r w:rsidRPr="003B372B">
        <w:rPr>
          <w:rFonts w:ascii="Times New Roman" w:hAnsi="Times New Roman" w:cs="Times New Roman"/>
          <w:sz w:val="24"/>
        </w:rPr>
        <w:tab/>
        <w:t xml:space="preserve">Jiman PA, Prodan D, Moldovan M, Muntean A, Sarosi C, Tarmure V, et al. New and Recovered Temporary Anchorage Devices, In Vitro Assessment of Structural and Surface Properties. Materials. 2021 Oct 21;14(21):6271. </w:t>
      </w:r>
    </w:p>
    <w:p w:rsidR="003B372B" w:rsidRPr="003B372B" w:rsidRDefault="003B372B" w:rsidP="00BC328C">
      <w:pPr>
        <w:pStyle w:val="Bibliography"/>
        <w:spacing w:line="480" w:lineRule="auto"/>
        <w:rPr>
          <w:rFonts w:ascii="Times New Roman" w:hAnsi="Times New Roman" w:cs="Times New Roman"/>
          <w:sz w:val="24"/>
        </w:rPr>
      </w:pPr>
      <w:r w:rsidRPr="003B372B">
        <w:rPr>
          <w:rFonts w:ascii="Times New Roman" w:hAnsi="Times New Roman" w:cs="Times New Roman"/>
          <w:sz w:val="24"/>
        </w:rPr>
        <w:t>3.</w:t>
      </w:r>
      <w:r w:rsidRPr="003B372B">
        <w:rPr>
          <w:rFonts w:ascii="Times New Roman" w:hAnsi="Times New Roman" w:cs="Times New Roman"/>
          <w:sz w:val="24"/>
        </w:rPr>
        <w:tab/>
        <w:t xml:space="preserve">Cousley RRJ, Sandler PJ. Advances in orthodontic anchorage with the use of mini-implant techniques. Br Dent J. 2015 Feb;218(3):E4–E4. </w:t>
      </w:r>
    </w:p>
    <w:p w:rsidR="003B372B" w:rsidRPr="003B372B" w:rsidRDefault="003B372B" w:rsidP="00BC328C">
      <w:pPr>
        <w:pStyle w:val="Bibliography"/>
        <w:spacing w:line="480" w:lineRule="auto"/>
        <w:rPr>
          <w:rFonts w:ascii="Times New Roman" w:hAnsi="Times New Roman" w:cs="Times New Roman"/>
          <w:sz w:val="24"/>
        </w:rPr>
      </w:pPr>
      <w:r w:rsidRPr="003B372B">
        <w:rPr>
          <w:rFonts w:ascii="Times New Roman" w:hAnsi="Times New Roman" w:cs="Times New Roman"/>
          <w:sz w:val="24"/>
        </w:rPr>
        <w:t>4.</w:t>
      </w:r>
      <w:r w:rsidRPr="003B372B">
        <w:rPr>
          <w:rFonts w:ascii="Times New Roman" w:hAnsi="Times New Roman" w:cs="Times New Roman"/>
          <w:sz w:val="24"/>
        </w:rPr>
        <w:tab/>
        <w:t xml:space="preserve">Ghosh A. Infra-Zygomatic Crest and Buccal Shelf - Orthodontic Bone Screws: A Leap Ahead of Micro-Implants – Clinical Perspectives. J Indian Orthod Soc. 2018 Dec 1;52(4_suppl2):127–41. </w:t>
      </w:r>
    </w:p>
    <w:p w:rsidR="003B372B" w:rsidRPr="003B372B" w:rsidRDefault="003B372B" w:rsidP="00BC328C">
      <w:pPr>
        <w:pStyle w:val="Bibliography"/>
        <w:spacing w:line="480" w:lineRule="auto"/>
        <w:rPr>
          <w:rFonts w:ascii="Times New Roman" w:hAnsi="Times New Roman" w:cs="Times New Roman"/>
          <w:sz w:val="24"/>
        </w:rPr>
      </w:pPr>
      <w:r w:rsidRPr="003B372B">
        <w:rPr>
          <w:rFonts w:ascii="Times New Roman" w:hAnsi="Times New Roman" w:cs="Times New Roman"/>
          <w:sz w:val="24"/>
        </w:rPr>
        <w:t>5.</w:t>
      </w:r>
      <w:r w:rsidRPr="003B372B">
        <w:rPr>
          <w:rFonts w:ascii="Times New Roman" w:hAnsi="Times New Roman" w:cs="Times New Roman"/>
          <w:sz w:val="24"/>
        </w:rPr>
        <w:tab/>
        <w:t xml:space="preserve">Lin JJJ, White LW. Creative orthodontics: blending the Damon System &amp; TADs to manage difficult malocclusions. Taipei, Taiwan: Yong Chieh Company; 2007. 324 p. </w:t>
      </w:r>
    </w:p>
    <w:p w:rsidR="003B372B" w:rsidRPr="003B372B" w:rsidRDefault="003B372B" w:rsidP="00BC328C">
      <w:pPr>
        <w:pStyle w:val="Bibliography"/>
        <w:spacing w:line="480" w:lineRule="auto"/>
        <w:rPr>
          <w:rFonts w:ascii="Times New Roman" w:hAnsi="Times New Roman" w:cs="Times New Roman"/>
          <w:sz w:val="24"/>
        </w:rPr>
      </w:pPr>
      <w:r w:rsidRPr="003B372B">
        <w:rPr>
          <w:rFonts w:ascii="Times New Roman" w:hAnsi="Times New Roman" w:cs="Times New Roman"/>
          <w:sz w:val="24"/>
        </w:rPr>
        <w:t>6.</w:t>
      </w:r>
      <w:r w:rsidRPr="003B372B">
        <w:rPr>
          <w:rFonts w:ascii="Times New Roman" w:hAnsi="Times New Roman" w:cs="Times New Roman"/>
          <w:sz w:val="24"/>
        </w:rPr>
        <w:tab/>
        <w:t xml:space="preserve">Chawla K, Lamba AK, Gupta M, Khanna N. Treatment of peri-implantitis around orthodontic miniscrew using Er,Cr: YSGG Laser. Journal of Dental Lasers. 2012 Jul 1;6(2):66. </w:t>
      </w:r>
    </w:p>
    <w:p w:rsidR="003B372B" w:rsidRPr="003B372B" w:rsidRDefault="003B372B" w:rsidP="00BC328C">
      <w:pPr>
        <w:pStyle w:val="Bibliography"/>
        <w:spacing w:line="480" w:lineRule="auto"/>
        <w:rPr>
          <w:rFonts w:ascii="Times New Roman" w:hAnsi="Times New Roman" w:cs="Times New Roman"/>
          <w:sz w:val="24"/>
        </w:rPr>
      </w:pPr>
      <w:r w:rsidRPr="003B372B">
        <w:rPr>
          <w:rFonts w:ascii="Times New Roman" w:hAnsi="Times New Roman" w:cs="Times New Roman"/>
          <w:sz w:val="24"/>
        </w:rPr>
        <w:t>7.</w:t>
      </w:r>
      <w:r w:rsidRPr="003B372B">
        <w:rPr>
          <w:rFonts w:ascii="Times New Roman" w:hAnsi="Times New Roman" w:cs="Times New Roman"/>
          <w:sz w:val="24"/>
        </w:rPr>
        <w:tab/>
        <w:t xml:space="preserve">Joshi R, Shyagali TR, Jha R, Gupta A, Tiwari A, Tiwari T. Evaluation and Comparison of the Effect of Elastomeric Chain and Stainless Steel Ligature Wire on Maxillary Orthodontic Miniscrew Failure. Int J Appl Basic Med Res. 2021;11(2):100–5. </w:t>
      </w:r>
    </w:p>
    <w:p w:rsidR="003B372B" w:rsidRPr="003B372B" w:rsidRDefault="003B372B" w:rsidP="00BC328C">
      <w:pPr>
        <w:pStyle w:val="Bibliography"/>
        <w:spacing w:line="480" w:lineRule="auto"/>
        <w:rPr>
          <w:rFonts w:ascii="Times New Roman" w:hAnsi="Times New Roman" w:cs="Times New Roman"/>
          <w:sz w:val="24"/>
        </w:rPr>
      </w:pPr>
      <w:r w:rsidRPr="003B372B">
        <w:rPr>
          <w:rFonts w:ascii="Times New Roman" w:hAnsi="Times New Roman" w:cs="Times New Roman"/>
          <w:sz w:val="24"/>
        </w:rPr>
        <w:t>8.</w:t>
      </w:r>
      <w:r w:rsidRPr="003B372B">
        <w:rPr>
          <w:rFonts w:ascii="Times New Roman" w:hAnsi="Times New Roman" w:cs="Times New Roman"/>
          <w:sz w:val="24"/>
        </w:rPr>
        <w:tab/>
        <w:t xml:space="preserve">Yamaguchi M, Inami T, Ito K, Kasai K, Tanimoto Y. Mini-Implants in the Anchorage Armamentarium: New Paradigms in the Orthodontics. Int J Biomater. 2012;2012:394121. </w:t>
      </w:r>
    </w:p>
    <w:p w:rsidR="003B372B" w:rsidRPr="003B372B" w:rsidRDefault="003B372B" w:rsidP="00BC328C">
      <w:pPr>
        <w:pStyle w:val="Bibliography"/>
        <w:spacing w:line="480" w:lineRule="auto"/>
        <w:rPr>
          <w:rFonts w:ascii="Times New Roman" w:hAnsi="Times New Roman" w:cs="Times New Roman"/>
          <w:sz w:val="24"/>
        </w:rPr>
      </w:pPr>
      <w:r w:rsidRPr="003B372B">
        <w:rPr>
          <w:rFonts w:ascii="Times New Roman" w:hAnsi="Times New Roman" w:cs="Times New Roman"/>
          <w:sz w:val="24"/>
        </w:rPr>
        <w:lastRenderedPageBreak/>
        <w:t>9.</w:t>
      </w:r>
      <w:r w:rsidRPr="003B372B">
        <w:rPr>
          <w:rFonts w:ascii="Times New Roman" w:hAnsi="Times New Roman" w:cs="Times New Roman"/>
          <w:sz w:val="24"/>
        </w:rPr>
        <w:tab/>
        <w:t xml:space="preserve">Romanò CL, Scarponi S, Gallazzi E, Romanò D, Drago L. Antibacterial coating of implants in orthopaedics and trauma: a classification proposal in an evolving panorama. J Orthop Surg Res. 2015 Oct 1;10:157. </w:t>
      </w:r>
    </w:p>
    <w:p w:rsidR="003B372B" w:rsidRPr="003B372B" w:rsidRDefault="003B372B" w:rsidP="00BC328C">
      <w:pPr>
        <w:pStyle w:val="Bibliography"/>
        <w:spacing w:line="480" w:lineRule="auto"/>
        <w:rPr>
          <w:rFonts w:ascii="Times New Roman" w:hAnsi="Times New Roman" w:cs="Times New Roman"/>
          <w:sz w:val="24"/>
        </w:rPr>
      </w:pPr>
      <w:r w:rsidRPr="003B372B">
        <w:rPr>
          <w:rFonts w:ascii="Times New Roman" w:hAnsi="Times New Roman" w:cs="Times New Roman"/>
          <w:sz w:val="24"/>
        </w:rPr>
        <w:t>10.</w:t>
      </w:r>
      <w:r w:rsidRPr="003B372B">
        <w:rPr>
          <w:rFonts w:ascii="Times New Roman" w:hAnsi="Times New Roman" w:cs="Times New Roman"/>
          <w:sz w:val="24"/>
        </w:rPr>
        <w:tab/>
        <w:t xml:space="preserve">De Stefani A, Bruno G, Preo G, Gracco A. Application of Nanotechnology in Orthodontic Materials: A State-of-the-Art Review. Dent J (Basel). 2020 Nov 9;8(4):126. </w:t>
      </w:r>
    </w:p>
    <w:p w:rsidR="003B372B" w:rsidRPr="003B372B" w:rsidRDefault="003B372B" w:rsidP="00BC328C">
      <w:pPr>
        <w:pStyle w:val="Bibliography"/>
        <w:spacing w:line="480" w:lineRule="auto"/>
        <w:rPr>
          <w:rFonts w:ascii="Times New Roman" w:hAnsi="Times New Roman" w:cs="Times New Roman"/>
          <w:sz w:val="24"/>
        </w:rPr>
      </w:pPr>
      <w:r w:rsidRPr="003B372B">
        <w:rPr>
          <w:rFonts w:ascii="Times New Roman" w:hAnsi="Times New Roman" w:cs="Times New Roman"/>
          <w:sz w:val="24"/>
        </w:rPr>
        <w:t>11.</w:t>
      </w:r>
      <w:r w:rsidRPr="003B372B">
        <w:rPr>
          <w:rFonts w:ascii="Times New Roman" w:hAnsi="Times New Roman" w:cs="Times New Roman"/>
          <w:sz w:val="24"/>
        </w:rPr>
        <w:tab/>
        <w:t xml:space="preserve">Gallo J, Holinka M, Moucha CS. Antibacterial Surface Treatment for Orthopaedic Implants. Int J Mol Sci. 2014 Aug 11;15(8):13849–80. </w:t>
      </w:r>
    </w:p>
    <w:p w:rsidR="003B372B" w:rsidRPr="003B372B" w:rsidRDefault="003B372B" w:rsidP="00BC328C">
      <w:pPr>
        <w:pStyle w:val="Bibliography"/>
        <w:spacing w:line="480" w:lineRule="auto"/>
        <w:rPr>
          <w:rFonts w:ascii="Times New Roman" w:hAnsi="Times New Roman" w:cs="Times New Roman"/>
          <w:sz w:val="24"/>
        </w:rPr>
      </w:pPr>
      <w:r w:rsidRPr="003B372B">
        <w:rPr>
          <w:rFonts w:ascii="Times New Roman" w:hAnsi="Times New Roman" w:cs="Times New Roman"/>
          <w:sz w:val="24"/>
        </w:rPr>
        <w:t>12.</w:t>
      </w:r>
      <w:r w:rsidRPr="003B372B">
        <w:rPr>
          <w:rFonts w:ascii="Times New Roman" w:hAnsi="Times New Roman" w:cs="Times New Roman"/>
          <w:sz w:val="24"/>
        </w:rPr>
        <w:tab/>
        <w:t xml:space="preserve">Hilgers JJ. The pendulum appliance for Class II non-compliance therapy. J Clin Orthod. 1992 Nov;26(11):706–14. </w:t>
      </w:r>
    </w:p>
    <w:p w:rsidR="003B372B" w:rsidRDefault="003B372B" w:rsidP="00BC328C">
      <w:pPr>
        <w:pStyle w:val="Bibliography"/>
        <w:spacing w:line="480" w:lineRule="auto"/>
        <w:rPr>
          <w:rFonts w:ascii="Times New Roman" w:hAnsi="Times New Roman" w:cs="Times New Roman"/>
          <w:sz w:val="24"/>
        </w:rPr>
      </w:pPr>
      <w:r w:rsidRPr="003B372B">
        <w:rPr>
          <w:rFonts w:ascii="Times New Roman" w:hAnsi="Times New Roman" w:cs="Times New Roman"/>
          <w:sz w:val="24"/>
        </w:rPr>
        <w:t>13.</w:t>
      </w:r>
      <w:r w:rsidRPr="003B372B">
        <w:rPr>
          <w:rFonts w:ascii="Times New Roman" w:hAnsi="Times New Roman" w:cs="Times New Roman"/>
          <w:sz w:val="24"/>
        </w:rPr>
        <w:tab/>
        <w:t>Management of class II div.2 malocclusion using TADs supported frog appliance. This case report describes the effect of Temporary Anchorage Devices Supported Frog Appliance on C</w:t>
      </w:r>
      <w:r w:rsidR="00DA1892">
        <w:rPr>
          <w:rFonts w:ascii="Times New Roman" w:hAnsi="Times New Roman" w:cs="Times New Roman"/>
          <w:sz w:val="24"/>
        </w:rPr>
        <w:t>lass II div2]. 2019 Dec 2 [</w:t>
      </w:r>
      <w:r>
        <w:rPr>
          <w:rFonts w:ascii="Times New Roman" w:hAnsi="Times New Roman" w:cs="Times New Roman"/>
          <w:sz w:val="24"/>
        </w:rPr>
        <w:t xml:space="preserve"> 2023 Mar 16];Volume 10</w:t>
      </w:r>
    </w:p>
    <w:p w:rsidR="003B372B" w:rsidRPr="003B372B" w:rsidRDefault="003B372B" w:rsidP="00BC328C">
      <w:pPr>
        <w:pStyle w:val="Bibliography"/>
        <w:spacing w:line="480" w:lineRule="auto"/>
        <w:rPr>
          <w:rFonts w:ascii="Times New Roman" w:hAnsi="Times New Roman" w:cs="Times New Roman"/>
          <w:sz w:val="24"/>
        </w:rPr>
      </w:pPr>
      <w:r w:rsidRPr="003B372B">
        <w:rPr>
          <w:rFonts w:ascii="Times New Roman" w:hAnsi="Times New Roman" w:cs="Times New Roman"/>
          <w:sz w:val="24"/>
        </w:rPr>
        <w:t xml:space="preserve"> 14.</w:t>
      </w:r>
      <w:r w:rsidRPr="003B372B">
        <w:rPr>
          <w:rFonts w:ascii="Times New Roman" w:hAnsi="Times New Roman" w:cs="Times New Roman"/>
          <w:sz w:val="24"/>
        </w:rPr>
        <w:tab/>
        <w:t xml:space="preserve">Cornelis MA, Scheffler NR, De Clerck HJ, Tulloch JFC, Behets CN. Systematic review of the experimental use of temporary skeletal anchorage devices in orthodontics. Am J Orthod Dentofacial Orthop. 2007 Apr;131(4 Suppl):S52-58. </w:t>
      </w:r>
    </w:p>
    <w:p w:rsidR="003B372B" w:rsidRPr="003B372B" w:rsidRDefault="003B372B" w:rsidP="00BC328C">
      <w:pPr>
        <w:pStyle w:val="Bibliography"/>
        <w:spacing w:line="480" w:lineRule="auto"/>
        <w:rPr>
          <w:rFonts w:ascii="Times New Roman" w:hAnsi="Times New Roman" w:cs="Times New Roman"/>
          <w:sz w:val="24"/>
        </w:rPr>
      </w:pPr>
      <w:r w:rsidRPr="003B372B">
        <w:rPr>
          <w:rFonts w:ascii="Times New Roman" w:hAnsi="Times New Roman" w:cs="Times New Roman"/>
          <w:sz w:val="24"/>
        </w:rPr>
        <w:t>15.</w:t>
      </w:r>
      <w:r w:rsidRPr="003B372B">
        <w:rPr>
          <w:rFonts w:ascii="Times New Roman" w:hAnsi="Times New Roman" w:cs="Times New Roman"/>
          <w:sz w:val="24"/>
        </w:rPr>
        <w:tab/>
        <w:t xml:space="preserve">De Clerck HJ, Proffit WR. Growth modification of the face: A current perspective with emphasis on Class III treatment. Am J Orthod Dentofacial Orthop. 2015 Jul;148(1):37–46. </w:t>
      </w:r>
    </w:p>
    <w:p w:rsidR="003B372B" w:rsidRPr="003B372B" w:rsidRDefault="003B372B" w:rsidP="00BC328C">
      <w:pPr>
        <w:pStyle w:val="Bibliography"/>
        <w:spacing w:line="480" w:lineRule="auto"/>
        <w:rPr>
          <w:rFonts w:ascii="Times New Roman" w:hAnsi="Times New Roman" w:cs="Times New Roman"/>
          <w:sz w:val="24"/>
        </w:rPr>
      </w:pPr>
      <w:r w:rsidRPr="003B372B">
        <w:rPr>
          <w:rFonts w:ascii="Times New Roman" w:hAnsi="Times New Roman" w:cs="Times New Roman"/>
          <w:sz w:val="24"/>
        </w:rPr>
        <w:t>16.</w:t>
      </w:r>
      <w:r w:rsidRPr="003B372B">
        <w:rPr>
          <w:rFonts w:ascii="Times New Roman" w:hAnsi="Times New Roman" w:cs="Times New Roman"/>
          <w:sz w:val="24"/>
        </w:rPr>
        <w:tab/>
        <w:t xml:space="preserve">González IGH, López EG. Maxillary protraction through skeletal anchorage in growing patients. Literature review. Revista Mexicana de Ortodoncia. 2016 Jul 1;4(3):e153–6. </w:t>
      </w:r>
    </w:p>
    <w:p w:rsidR="003B372B" w:rsidRPr="003B372B" w:rsidRDefault="003B372B" w:rsidP="00BC328C">
      <w:pPr>
        <w:pStyle w:val="Bibliography"/>
        <w:spacing w:line="480" w:lineRule="auto"/>
        <w:rPr>
          <w:rFonts w:ascii="Times New Roman" w:hAnsi="Times New Roman" w:cs="Times New Roman"/>
          <w:sz w:val="24"/>
        </w:rPr>
      </w:pPr>
      <w:r w:rsidRPr="003B372B">
        <w:rPr>
          <w:rFonts w:ascii="Times New Roman" w:hAnsi="Times New Roman" w:cs="Times New Roman"/>
          <w:sz w:val="24"/>
        </w:rPr>
        <w:lastRenderedPageBreak/>
        <w:t>17.</w:t>
      </w:r>
      <w:r w:rsidRPr="003B372B">
        <w:rPr>
          <w:rFonts w:ascii="Times New Roman" w:hAnsi="Times New Roman" w:cs="Times New Roman"/>
          <w:sz w:val="24"/>
        </w:rPr>
        <w:tab/>
        <w:t xml:space="preserve">Werner A. Maxillary Distalization with TADs [Internet]. Orthodontic Products. 2014 [cited 2023 Mar 14]. </w:t>
      </w:r>
    </w:p>
    <w:p w:rsidR="003B372B" w:rsidRPr="003B372B" w:rsidRDefault="003B372B" w:rsidP="00BC328C">
      <w:pPr>
        <w:pStyle w:val="Bibliography"/>
        <w:spacing w:line="480" w:lineRule="auto"/>
        <w:rPr>
          <w:rFonts w:ascii="Times New Roman" w:hAnsi="Times New Roman" w:cs="Times New Roman"/>
          <w:sz w:val="24"/>
        </w:rPr>
      </w:pPr>
      <w:r w:rsidRPr="003B372B">
        <w:rPr>
          <w:rFonts w:ascii="Times New Roman" w:hAnsi="Times New Roman" w:cs="Times New Roman"/>
          <w:sz w:val="24"/>
        </w:rPr>
        <w:t>18.</w:t>
      </w:r>
      <w:r w:rsidRPr="003B372B">
        <w:rPr>
          <w:rFonts w:ascii="Times New Roman" w:hAnsi="Times New Roman" w:cs="Times New Roman"/>
          <w:sz w:val="24"/>
        </w:rPr>
        <w:tab/>
        <w:t xml:space="preserve">Maino BG, Bednar J, Pagin P, Mura P. The Spider Screw for Skeletal Anchorage. 2003;(2). </w:t>
      </w:r>
    </w:p>
    <w:p w:rsidR="003B372B" w:rsidRPr="003B372B" w:rsidRDefault="003B372B" w:rsidP="00BC328C">
      <w:pPr>
        <w:pStyle w:val="Bibliography"/>
        <w:spacing w:line="480" w:lineRule="auto"/>
        <w:rPr>
          <w:rFonts w:ascii="Times New Roman" w:hAnsi="Times New Roman" w:cs="Times New Roman"/>
          <w:sz w:val="24"/>
        </w:rPr>
      </w:pPr>
      <w:r w:rsidRPr="003B372B">
        <w:rPr>
          <w:rFonts w:ascii="Times New Roman" w:hAnsi="Times New Roman" w:cs="Times New Roman"/>
          <w:sz w:val="24"/>
        </w:rPr>
        <w:t>19.</w:t>
      </w:r>
      <w:r w:rsidRPr="003B372B">
        <w:rPr>
          <w:rFonts w:ascii="Times New Roman" w:hAnsi="Times New Roman" w:cs="Times New Roman"/>
          <w:sz w:val="24"/>
        </w:rPr>
        <w:tab/>
        <w:t xml:space="preserve">Kravitz ND, Kusnoto B. Risks and complications of orthodontic miniscrews. Am J Orthod Dentofacial Orthop. 2007 Apr;131(4 Suppl):S43-51. </w:t>
      </w:r>
    </w:p>
    <w:p w:rsidR="002524AA" w:rsidRPr="008B0F9E" w:rsidRDefault="00F73678" w:rsidP="00BC328C">
      <w:pPr>
        <w:spacing w:line="480" w:lineRule="auto"/>
        <w:jc w:val="both"/>
        <w:rPr>
          <w:rFonts w:ascii="Times New Roman" w:hAnsi="Times New Roman" w:cs="Times New Roman"/>
          <w:b/>
          <w:sz w:val="28"/>
          <w:szCs w:val="24"/>
          <w:u w:val="single"/>
        </w:rPr>
      </w:pPr>
      <w:r w:rsidRPr="00FC0B02">
        <w:rPr>
          <w:rFonts w:ascii="Times New Roman" w:hAnsi="Times New Roman" w:cs="Times New Roman"/>
          <w:b/>
          <w:sz w:val="24"/>
          <w:szCs w:val="24"/>
          <w:u w:val="single"/>
        </w:rPr>
        <w:fldChar w:fldCharType="end"/>
      </w:r>
    </w:p>
    <w:p w:rsidR="002524AA" w:rsidRDefault="002524AA" w:rsidP="002524AA">
      <w:pPr>
        <w:spacing w:line="480" w:lineRule="auto"/>
        <w:jc w:val="center"/>
        <w:rPr>
          <w:rFonts w:ascii="Times New Roman" w:hAnsi="Times New Roman" w:cs="Times New Roman"/>
          <w:b/>
          <w:sz w:val="28"/>
          <w:szCs w:val="24"/>
          <w:u w:val="single"/>
        </w:rPr>
      </w:pPr>
    </w:p>
    <w:p w:rsidR="002524AA" w:rsidRDefault="002524AA" w:rsidP="002524AA">
      <w:pPr>
        <w:spacing w:line="480" w:lineRule="auto"/>
        <w:jc w:val="center"/>
        <w:rPr>
          <w:rFonts w:ascii="Times New Roman" w:hAnsi="Times New Roman" w:cs="Times New Roman"/>
          <w:b/>
          <w:sz w:val="28"/>
          <w:szCs w:val="24"/>
          <w:u w:val="single"/>
        </w:rPr>
      </w:pPr>
    </w:p>
    <w:p w:rsidR="002524AA" w:rsidRDefault="002524AA" w:rsidP="002524AA">
      <w:pPr>
        <w:spacing w:line="480" w:lineRule="auto"/>
        <w:jc w:val="center"/>
        <w:rPr>
          <w:rFonts w:ascii="Times New Roman" w:hAnsi="Times New Roman" w:cs="Times New Roman"/>
          <w:b/>
          <w:sz w:val="28"/>
          <w:szCs w:val="24"/>
          <w:u w:val="single"/>
        </w:rPr>
      </w:pPr>
    </w:p>
    <w:p w:rsidR="002524AA" w:rsidRDefault="002524AA" w:rsidP="002524AA">
      <w:pPr>
        <w:spacing w:line="480" w:lineRule="auto"/>
        <w:jc w:val="center"/>
        <w:rPr>
          <w:rFonts w:ascii="Times New Roman" w:hAnsi="Times New Roman" w:cs="Times New Roman"/>
          <w:b/>
          <w:sz w:val="28"/>
          <w:szCs w:val="24"/>
          <w:u w:val="single"/>
        </w:rPr>
      </w:pPr>
    </w:p>
    <w:p w:rsidR="00AC108F" w:rsidRDefault="00AC108F"/>
    <w:sectPr w:rsidR="00AC108F" w:rsidSect="00A931C0">
      <w:headerReference w:type="default" r:id="rId20"/>
      <w:pgSz w:w="11906" w:h="16838"/>
      <w:pgMar w:top="1440" w:right="1440" w:bottom="1440" w:left="1440" w:header="708" w:footer="708" w:gutter="0"/>
      <w:pgBorders>
        <w:top w:val="single" w:sz="4" w:space="1" w:color="auto"/>
        <w:bottom w:val="single" w:sz="4" w:space="1" w:color="auto"/>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73B7" w:rsidRDefault="004C73B7" w:rsidP="00913731">
      <w:pPr>
        <w:spacing w:after="0" w:line="240" w:lineRule="auto"/>
      </w:pPr>
      <w:r>
        <w:separator/>
      </w:r>
    </w:p>
  </w:endnote>
  <w:endnote w:type="continuationSeparator" w:id="1">
    <w:p w:rsidR="004C73B7" w:rsidRDefault="004C73B7" w:rsidP="009137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73B7" w:rsidRDefault="004C73B7" w:rsidP="00913731">
      <w:pPr>
        <w:spacing w:after="0" w:line="240" w:lineRule="auto"/>
      </w:pPr>
      <w:r>
        <w:separator/>
      </w:r>
    </w:p>
  </w:footnote>
  <w:footnote w:type="continuationSeparator" w:id="1">
    <w:p w:rsidR="004C73B7" w:rsidRDefault="004C73B7" w:rsidP="009137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Look w:val="04A0"/>
    </w:tblPr>
    <w:tblGrid>
      <w:gridCol w:w="2739"/>
      <w:gridCol w:w="792"/>
    </w:tblGrid>
    <w:tr w:rsidR="005E64B7">
      <w:trPr>
        <w:trHeight w:hRule="exact" w:val="792"/>
        <w:jc w:val="right"/>
      </w:trPr>
      <w:sdt>
        <w:sdtPr>
          <w:rPr>
            <w:rFonts w:asciiTheme="majorHAnsi" w:eastAsiaTheme="majorEastAsia" w:hAnsiTheme="majorHAnsi" w:cstheme="majorBidi"/>
            <w:sz w:val="28"/>
            <w:szCs w:val="28"/>
          </w:rPr>
          <w:alias w:val="Title"/>
          <w:id w:val="23771477"/>
          <w:placeholder>
            <w:docPart w:val="73B9E9A570C047419A9E765C91E5AEF3"/>
          </w:placeholder>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rsidR="005E64B7" w:rsidRDefault="00B029F8" w:rsidP="00B029F8">
              <w:pPr>
                <w:pStyle w:val="Head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en-IN"/>
                </w:rPr>
                <w:t>Latest</w:t>
              </w:r>
              <w:r w:rsidR="005E64B7">
                <w:rPr>
                  <w:rFonts w:asciiTheme="majorHAnsi" w:eastAsiaTheme="majorEastAsia" w:hAnsiTheme="majorHAnsi" w:cstheme="majorBidi"/>
                  <w:sz w:val="28"/>
                  <w:szCs w:val="28"/>
                  <w:lang w:val="en-IN"/>
                </w:rPr>
                <w:t xml:space="preserve"> advancements</w:t>
              </w:r>
            </w:p>
          </w:tc>
        </w:sdtContent>
      </w:sdt>
      <w:tc>
        <w:tcPr>
          <w:tcW w:w="792" w:type="dxa"/>
          <w:shd w:val="clear" w:color="auto" w:fill="C0504D" w:themeFill="accent2"/>
          <w:vAlign w:val="center"/>
        </w:tcPr>
        <w:p w:rsidR="005E64B7" w:rsidRDefault="00F73678">
          <w:pPr>
            <w:pStyle w:val="Header"/>
            <w:jc w:val="center"/>
            <w:rPr>
              <w:color w:val="FFFFFF" w:themeColor="background1"/>
            </w:rPr>
          </w:pPr>
          <w:r w:rsidRPr="00F73678">
            <w:fldChar w:fldCharType="begin"/>
          </w:r>
          <w:r w:rsidR="005E64B7">
            <w:instrText xml:space="preserve"> PAGE  \* MERGEFORMAT </w:instrText>
          </w:r>
          <w:r w:rsidRPr="00F73678">
            <w:fldChar w:fldCharType="separate"/>
          </w:r>
          <w:r w:rsidR="00E02E37" w:rsidRPr="00E02E37">
            <w:rPr>
              <w:noProof/>
              <w:color w:val="FFFFFF" w:themeColor="background1"/>
            </w:rPr>
            <w:t>11</w:t>
          </w:r>
          <w:r>
            <w:rPr>
              <w:noProof/>
              <w:color w:val="FFFFFF" w:themeColor="background1"/>
            </w:rPr>
            <w:fldChar w:fldCharType="end"/>
          </w:r>
        </w:p>
      </w:tc>
    </w:tr>
  </w:tbl>
  <w:p w:rsidR="00913731" w:rsidRPr="00913731" w:rsidRDefault="00913731">
    <w:pPr>
      <w:pStyle w:val="Header"/>
      <w:rPr>
        <w:rFonts w:ascii="Times New Roman" w:hAnsi="Times New Roman" w:cs="Times New Roman"/>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bordersDoNotSurroundHeader/>
  <w:bordersDoNotSurroundFooter/>
  <w:defaultTabStop w:val="720"/>
  <w:characterSpacingControl w:val="doNotCompress"/>
  <w:footnotePr>
    <w:footnote w:id="0"/>
    <w:footnote w:id="1"/>
  </w:footnotePr>
  <w:endnotePr>
    <w:endnote w:id="0"/>
    <w:endnote w:id="1"/>
  </w:endnotePr>
  <w:compat/>
  <w:rsids>
    <w:rsidRoot w:val="00652E9C"/>
    <w:rsid w:val="000C6F6A"/>
    <w:rsid w:val="00102B01"/>
    <w:rsid w:val="00121CAA"/>
    <w:rsid w:val="00125954"/>
    <w:rsid w:val="00171CEE"/>
    <w:rsid w:val="002524AA"/>
    <w:rsid w:val="0028313A"/>
    <w:rsid w:val="00290DB0"/>
    <w:rsid w:val="00291700"/>
    <w:rsid w:val="003B372B"/>
    <w:rsid w:val="004C73B7"/>
    <w:rsid w:val="005A5250"/>
    <w:rsid w:val="005E64B7"/>
    <w:rsid w:val="00602659"/>
    <w:rsid w:val="00651877"/>
    <w:rsid w:val="00652E9C"/>
    <w:rsid w:val="006650F9"/>
    <w:rsid w:val="006C3154"/>
    <w:rsid w:val="00740BB1"/>
    <w:rsid w:val="00742F67"/>
    <w:rsid w:val="00753998"/>
    <w:rsid w:val="0077233E"/>
    <w:rsid w:val="007D47C7"/>
    <w:rsid w:val="007E255D"/>
    <w:rsid w:val="00825771"/>
    <w:rsid w:val="008841F9"/>
    <w:rsid w:val="008A39C0"/>
    <w:rsid w:val="008B2BB2"/>
    <w:rsid w:val="00913731"/>
    <w:rsid w:val="00925D5D"/>
    <w:rsid w:val="009735A6"/>
    <w:rsid w:val="009B78CD"/>
    <w:rsid w:val="00A5682A"/>
    <w:rsid w:val="00A67EA7"/>
    <w:rsid w:val="00A931C0"/>
    <w:rsid w:val="00AA2E17"/>
    <w:rsid w:val="00AB7955"/>
    <w:rsid w:val="00AC108F"/>
    <w:rsid w:val="00B029F8"/>
    <w:rsid w:val="00B049C0"/>
    <w:rsid w:val="00BA79F4"/>
    <w:rsid w:val="00BC1FD7"/>
    <w:rsid w:val="00BC328C"/>
    <w:rsid w:val="00C36395"/>
    <w:rsid w:val="00C60CFE"/>
    <w:rsid w:val="00C7292F"/>
    <w:rsid w:val="00C8572E"/>
    <w:rsid w:val="00CA7101"/>
    <w:rsid w:val="00D2270A"/>
    <w:rsid w:val="00D41A6C"/>
    <w:rsid w:val="00D57E9A"/>
    <w:rsid w:val="00D706B3"/>
    <w:rsid w:val="00DA05E5"/>
    <w:rsid w:val="00DA1892"/>
    <w:rsid w:val="00DF1857"/>
    <w:rsid w:val="00DF6643"/>
    <w:rsid w:val="00E02E37"/>
    <w:rsid w:val="00E74DB9"/>
    <w:rsid w:val="00EB7397"/>
    <w:rsid w:val="00ED562F"/>
    <w:rsid w:val="00F117A9"/>
    <w:rsid w:val="00F11D52"/>
    <w:rsid w:val="00F13057"/>
    <w:rsid w:val="00F4379E"/>
    <w:rsid w:val="00F43EC8"/>
    <w:rsid w:val="00F6155A"/>
    <w:rsid w:val="00F727F1"/>
    <w:rsid w:val="00F73678"/>
    <w:rsid w:val="00F82ABE"/>
    <w:rsid w:val="00FC0B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4AA"/>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2524AA"/>
    <w:pPr>
      <w:spacing w:line="240" w:lineRule="auto"/>
    </w:pPr>
    <w:rPr>
      <w:b/>
      <w:bCs/>
      <w:color w:val="4F81BD" w:themeColor="accent1"/>
      <w:sz w:val="18"/>
      <w:szCs w:val="18"/>
    </w:rPr>
  </w:style>
  <w:style w:type="paragraph" w:styleId="Bibliography">
    <w:name w:val="Bibliography"/>
    <w:basedOn w:val="Normal"/>
    <w:next w:val="Normal"/>
    <w:uiPriority w:val="37"/>
    <w:unhideWhenUsed/>
    <w:rsid w:val="002524AA"/>
    <w:pPr>
      <w:tabs>
        <w:tab w:val="left" w:pos="384"/>
      </w:tabs>
      <w:spacing w:after="240" w:line="240" w:lineRule="auto"/>
      <w:ind w:left="384" w:hanging="384"/>
    </w:pPr>
  </w:style>
  <w:style w:type="paragraph" w:styleId="BalloonText">
    <w:name w:val="Balloon Text"/>
    <w:basedOn w:val="Normal"/>
    <w:link w:val="BalloonTextChar"/>
    <w:uiPriority w:val="99"/>
    <w:semiHidden/>
    <w:unhideWhenUsed/>
    <w:rsid w:val="002524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4AA"/>
    <w:rPr>
      <w:rFonts w:ascii="Tahoma" w:hAnsi="Tahoma" w:cs="Tahoma"/>
      <w:sz w:val="16"/>
      <w:szCs w:val="16"/>
      <w:lang w:val="en-US"/>
    </w:rPr>
  </w:style>
  <w:style w:type="paragraph" w:styleId="Header">
    <w:name w:val="header"/>
    <w:basedOn w:val="Normal"/>
    <w:link w:val="HeaderChar"/>
    <w:uiPriority w:val="99"/>
    <w:unhideWhenUsed/>
    <w:rsid w:val="00913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731"/>
    <w:rPr>
      <w:lang w:val="en-US"/>
    </w:rPr>
  </w:style>
  <w:style w:type="paragraph" w:styleId="Footer">
    <w:name w:val="footer"/>
    <w:basedOn w:val="Normal"/>
    <w:link w:val="FooterChar"/>
    <w:uiPriority w:val="99"/>
    <w:unhideWhenUsed/>
    <w:rsid w:val="0091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731"/>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4AA"/>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2524AA"/>
    <w:pPr>
      <w:spacing w:line="240" w:lineRule="auto"/>
    </w:pPr>
    <w:rPr>
      <w:b/>
      <w:bCs/>
      <w:color w:val="4F81BD" w:themeColor="accent1"/>
      <w:sz w:val="18"/>
      <w:szCs w:val="18"/>
    </w:rPr>
  </w:style>
  <w:style w:type="paragraph" w:styleId="Bibliography">
    <w:name w:val="Bibliography"/>
    <w:basedOn w:val="Normal"/>
    <w:next w:val="Normal"/>
    <w:uiPriority w:val="37"/>
    <w:unhideWhenUsed/>
    <w:rsid w:val="002524AA"/>
    <w:pPr>
      <w:tabs>
        <w:tab w:val="left" w:pos="384"/>
      </w:tabs>
      <w:spacing w:after="240" w:line="240" w:lineRule="auto"/>
      <w:ind w:left="384" w:hanging="384"/>
    </w:pPr>
  </w:style>
  <w:style w:type="paragraph" w:styleId="BalloonText">
    <w:name w:val="Balloon Text"/>
    <w:basedOn w:val="Normal"/>
    <w:link w:val="BalloonTextChar"/>
    <w:uiPriority w:val="99"/>
    <w:semiHidden/>
    <w:unhideWhenUsed/>
    <w:rsid w:val="002524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4AA"/>
    <w:rPr>
      <w:rFonts w:ascii="Tahoma" w:hAnsi="Tahoma" w:cs="Tahoma"/>
      <w:sz w:val="16"/>
      <w:szCs w:val="16"/>
      <w:lang w:val="en-US"/>
    </w:rPr>
  </w:style>
  <w:style w:type="paragraph" w:styleId="Header">
    <w:name w:val="header"/>
    <w:basedOn w:val="Normal"/>
    <w:link w:val="HeaderChar"/>
    <w:uiPriority w:val="99"/>
    <w:unhideWhenUsed/>
    <w:rsid w:val="00913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731"/>
    <w:rPr>
      <w:lang w:val="en-US"/>
    </w:rPr>
  </w:style>
  <w:style w:type="paragraph" w:styleId="Footer">
    <w:name w:val="footer"/>
    <w:basedOn w:val="Normal"/>
    <w:link w:val="FooterChar"/>
    <w:uiPriority w:val="99"/>
    <w:unhideWhenUsed/>
    <w:rsid w:val="00913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731"/>
    <w:rPr>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microsoft.com/office/2007/relationships/stylesWithEffects" Target="stylesWithEffects.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3B9E9A570C047419A9E765C91E5AEF3"/>
        <w:category>
          <w:name w:val="General"/>
          <w:gallery w:val="placeholder"/>
        </w:category>
        <w:types>
          <w:type w:val="bbPlcHdr"/>
        </w:types>
        <w:behaviors>
          <w:behavior w:val="content"/>
        </w:behaviors>
        <w:guid w:val="{45D7241B-2664-45B5-956D-72C1409A79F2}"/>
      </w:docPartPr>
      <w:docPartBody>
        <w:p w:rsidR="00052177" w:rsidRDefault="003879C8" w:rsidP="003879C8">
          <w:pPr>
            <w:pStyle w:val="73B9E9A570C047419A9E765C91E5AEF3"/>
          </w:pPr>
          <w:r>
            <w:rPr>
              <w:rFonts w:asciiTheme="majorHAnsi" w:eastAsiaTheme="majorEastAsia" w:hAnsiTheme="majorHAnsi" w:cstheme="majorBidi"/>
              <w:sz w:val="28"/>
              <w:szCs w:val="28"/>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81705"/>
    <w:rsid w:val="00052177"/>
    <w:rsid w:val="00223CF9"/>
    <w:rsid w:val="002316A3"/>
    <w:rsid w:val="002F70D9"/>
    <w:rsid w:val="003045CD"/>
    <w:rsid w:val="00317F8C"/>
    <w:rsid w:val="003879C8"/>
    <w:rsid w:val="00433E09"/>
    <w:rsid w:val="00522311"/>
    <w:rsid w:val="00663E78"/>
    <w:rsid w:val="00681705"/>
    <w:rsid w:val="0069522D"/>
    <w:rsid w:val="0075741D"/>
    <w:rsid w:val="00B12C45"/>
    <w:rsid w:val="00B255F7"/>
    <w:rsid w:val="00B312AB"/>
    <w:rsid w:val="00C54F63"/>
    <w:rsid w:val="00F80BE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CF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B9E9A570C047419A9E765C91E5AEF3">
    <w:name w:val="73B9E9A570C047419A9E765C91E5AEF3"/>
    <w:rsid w:val="003879C8"/>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2627</TotalTime>
  <Pages>19</Pages>
  <Words>8061</Words>
  <Characters>45954</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Latest advancements</vt:lpstr>
    </vt:vector>
  </TitlesOfParts>
  <Company>Chapter 7</Company>
  <LinksUpToDate>false</LinksUpToDate>
  <CharactersWithSpaces>53908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Latest advancements</dc:title>
  <dc:creator>dell</dc:creator>
  <cp:lastModifiedBy>Windows User</cp:lastModifiedBy>
  <cp:revision>30</cp:revision>
  <cp:lastPrinted>2023-07-25T07:43:00Z</cp:lastPrinted>
  <dcterms:created xsi:type="dcterms:W3CDTF">2023-04-29T05:57:00Z</dcterms:created>
  <dcterms:modified xsi:type="dcterms:W3CDTF">2023-08-09T04:26:00Z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id="yzMOU7w5"/&gt;&lt;style id="http://www.zotero.org/styles/vancouver" locale="en-US" hasBibliography="1" bibliographyStyleHasBeenSet="1"/&gt;&lt;prefs&gt;&lt;pref name="fieldType" value="Field"/&gt;&lt;/prefs&gt;&lt;/data&gt;</vt:lpwstr>
  </property>
</Properties>
</file>