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83D90" w14:textId="3D2C5A75" w:rsidR="008A55B5" w:rsidRPr="00426A10" w:rsidRDefault="00FB374C" w:rsidP="002114BD">
      <w:pPr>
        <w:pStyle w:val="papertitle"/>
        <w:spacing w:after="0"/>
        <w:rPr>
          <w:rFonts w:eastAsia="MS Mincho"/>
          <w:color w:val="000000" w:themeColor="text1"/>
        </w:rPr>
      </w:pPr>
      <w:r w:rsidRPr="00426A10">
        <w:rPr>
          <w:rFonts w:eastAsia="MS Mincho"/>
          <w:bCs w:val="0"/>
          <w:iCs/>
          <w:color w:val="000000" w:themeColor="text1"/>
        </w:rPr>
        <w:t>Marking the Cancers: Importance of</w:t>
      </w:r>
      <w:r w:rsidR="002114BD" w:rsidRPr="00426A10">
        <w:rPr>
          <w:rFonts w:eastAsia="MS Mincho"/>
          <w:bCs w:val="0"/>
          <w:iCs/>
          <w:color w:val="000000" w:themeColor="text1"/>
        </w:rPr>
        <w:t xml:space="preserve"> </w:t>
      </w:r>
      <w:r w:rsidRPr="00426A10">
        <w:rPr>
          <w:rFonts w:eastAsia="MS Mincho"/>
          <w:bCs w:val="0"/>
          <w:iCs/>
          <w:color w:val="000000" w:themeColor="text1"/>
        </w:rPr>
        <w:t>Biomarkers</w:t>
      </w:r>
    </w:p>
    <w:p w14:paraId="123EAF48" w14:textId="77777777" w:rsidR="00466548" w:rsidRPr="00426A10" w:rsidRDefault="00466548" w:rsidP="00466548">
      <w:pPr>
        <w:pStyle w:val="papertitle"/>
        <w:spacing w:after="0"/>
        <w:rPr>
          <w:rFonts w:eastAsia="MS Mincho"/>
          <w:color w:val="000000" w:themeColor="text1"/>
        </w:rPr>
      </w:pPr>
    </w:p>
    <w:p w14:paraId="09D71B33" w14:textId="2A972505" w:rsidR="008A55B5" w:rsidRPr="00426A10" w:rsidRDefault="006F495A" w:rsidP="00466548">
      <w:pPr>
        <w:rPr>
          <w:rFonts w:eastAsia="MS Mincho"/>
          <w:color w:val="000000" w:themeColor="text1"/>
        </w:rPr>
      </w:pPr>
      <w:r w:rsidRPr="00426A10">
        <w:rPr>
          <w:rFonts w:eastAsia="MS Mincho"/>
          <w:color w:val="000000" w:themeColor="text1"/>
        </w:rPr>
        <w:t>Siri Chandana Gampa &amp; Sireesha V Garimella*</w:t>
      </w:r>
    </w:p>
    <w:p w14:paraId="392019F2" w14:textId="77777777" w:rsidR="00856550" w:rsidRPr="00426A10" w:rsidRDefault="006F495A" w:rsidP="006F495A">
      <w:pPr>
        <w:rPr>
          <w:rFonts w:eastAsia="MS Mincho"/>
          <w:color w:val="000000" w:themeColor="text1"/>
        </w:rPr>
      </w:pPr>
      <w:r w:rsidRPr="00426A10">
        <w:rPr>
          <w:rFonts w:eastAsia="MS Mincho"/>
          <w:color w:val="000000" w:themeColor="text1"/>
        </w:rPr>
        <w:t>Department of Biotechnology, GITAM School of Science</w:t>
      </w:r>
    </w:p>
    <w:p w14:paraId="5DA0EB1F" w14:textId="22A899C7" w:rsidR="006F495A" w:rsidRPr="00426A10" w:rsidRDefault="006F495A" w:rsidP="006F495A">
      <w:pPr>
        <w:rPr>
          <w:rFonts w:eastAsia="MS Mincho"/>
          <w:color w:val="000000" w:themeColor="text1"/>
        </w:rPr>
      </w:pPr>
      <w:r w:rsidRPr="00426A10">
        <w:rPr>
          <w:rFonts w:eastAsia="MS Mincho"/>
          <w:color w:val="000000" w:themeColor="text1"/>
        </w:rPr>
        <w:t>GITAM (Deemed to be University)</w:t>
      </w:r>
    </w:p>
    <w:p w14:paraId="40C5C355" w14:textId="77777777" w:rsidR="006F495A" w:rsidRPr="00426A10" w:rsidRDefault="006F495A" w:rsidP="006F495A">
      <w:pPr>
        <w:rPr>
          <w:rFonts w:eastAsia="MS Mincho"/>
          <w:color w:val="000000" w:themeColor="text1"/>
        </w:rPr>
      </w:pPr>
      <w:r w:rsidRPr="00426A10">
        <w:rPr>
          <w:rFonts w:eastAsia="MS Mincho"/>
          <w:color w:val="000000" w:themeColor="text1"/>
        </w:rPr>
        <w:t>Visakhapatnam, India</w:t>
      </w:r>
    </w:p>
    <w:p w14:paraId="684DEEDF" w14:textId="77777777" w:rsidR="006F495A" w:rsidRPr="00426A10" w:rsidRDefault="006F495A" w:rsidP="006F495A">
      <w:pPr>
        <w:rPr>
          <w:rFonts w:eastAsia="MS Mincho"/>
          <w:color w:val="000000" w:themeColor="text1"/>
        </w:rPr>
      </w:pPr>
      <w:r w:rsidRPr="00426A10">
        <w:rPr>
          <w:rFonts w:eastAsia="MS Mincho"/>
          <w:color w:val="000000" w:themeColor="text1"/>
        </w:rPr>
        <w:t>*Corresponding author e-mail: sgarimel@gitam.edu</w:t>
      </w:r>
    </w:p>
    <w:p w14:paraId="05E8136C" w14:textId="77777777" w:rsidR="007C0697" w:rsidRPr="00426A10" w:rsidRDefault="007C0697" w:rsidP="006F495A">
      <w:pPr>
        <w:rPr>
          <w:rFonts w:eastAsia="MS Mincho"/>
          <w:color w:val="000000" w:themeColor="text1"/>
        </w:rPr>
      </w:pPr>
    </w:p>
    <w:p w14:paraId="1C3B364A" w14:textId="78F0965F" w:rsidR="007C0697" w:rsidRPr="00426A10" w:rsidRDefault="007C0697" w:rsidP="006F495A">
      <w:pPr>
        <w:rPr>
          <w:rFonts w:eastAsia="MS Mincho"/>
          <w:color w:val="000000" w:themeColor="text1"/>
        </w:rPr>
        <w:sectPr w:rsidR="007C0697" w:rsidRPr="00426A10"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11E964A4" w14:textId="77777777" w:rsidR="00466548" w:rsidRPr="00426A10" w:rsidRDefault="00466548" w:rsidP="00466548">
      <w:pPr>
        <w:pStyle w:val="Affiliation"/>
        <w:rPr>
          <w:rFonts w:eastAsia="MS Mincho"/>
          <w:color w:val="000000" w:themeColor="text1"/>
        </w:rPr>
        <w:sectPr w:rsidR="00466548" w:rsidRPr="00426A10" w:rsidSect="00466548">
          <w:type w:val="continuous"/>
          <w:pgSz w:w="11909" w:h="16834" w:code="9"/>
          <w:pgMar w:top="1440" w:right="1440" w:bottom="1440" w:left="1440" w:header="720" w:footer="720" w:gutter="0"/>
          <w:cols w:space="720"/>
          <w:docGrid w:linePitch="360"/>
        </w:sectPr>
      </w:pPr>
    </w:p>
    <w:p w14:paraId="41C6B461" w14:textId="77777777" w:rsidR="00466548" w:rsidRPr="00426A10" w:rsidRDefault="00402841" w:rsidP="00466548">
      <w:pPr>
        <w:pStyle w:val="Abstract"/>
        <w:spacing w:after="0"/>
        <w:ind w:firstLine="0"/>
        <w:jc w:val="center"/>
        <w:rPr>
          <w:rFonts w:eastAsia="MS Mincho"/>
          <w:iCs/>
          <w:color w:val="000000" w:themeColor="text1"/>
          <w:sz w:val="20"/>
          <w:szCs w:val="20"/>
        </w:rPr>
      </w:pPr>
      <w:bookmarkStart w:id="0" w:name="_Hlk148219668"/>
      <w:r w:rsidRPr="00426A10">
        <w:rPr>
          <w:rFonts w:eastAsia="MS Mincho"/>
          <w:iCs/>
          <w:color w:val="000000" w:themeColor="text1"/>
          <w:sz w:val="20"/>
          <w:szCs w:val="20"/>
        </w:rPr>
        <w:t>ABSTRACT</w:t>
      </w:r>
    </w:p>
    <w:p w14:paraId="7F02CE0B" w14:textId="3F9FF809" w:rsidR="008A55B5" w:rsidRPr="00426A10" w:rsidRDefault="00E32BCE" w:rsidP="00402841">
      <w:pPr>
        <w:pStyle w:val="Abstract"/>
        <w:spacing w:after="0"/>
        <w:ind w:firstLine="720"/>
        <w:rPr>
          <w:b w:val="0"/>
          <w:color w:val="000000" w:themeColor="text1"/>
          <w:sz w:val="20"/>
          <w:szCs w:val="20"/>
        </w:rPr>
      </w:pPr>
      <w:bookmarkStart w:id="1" w:name="_Hlk148219646"/>
      <w:bookmarkEnd w:id="0"/>
      <w:r w:rsidRPr="00426A10">
        <w:rPr>
          <w:b w:val="0"/>
          <w:color w:val="000000" w:themeColor="text1"/>
          <w:sz w:val="20"/>
          <w:szCs w:val="20"/>
          <w:shd w:val="clear" w:color="auto" w:fill="FFFFFF"/>
        </w:rPr>
        <w:t>A biomarker is a specific property that can be assessed as an indicator of normal biological processes, pathogenic processes, or responses to an exposure or intervention. Biomarkers are useful in the diagnosis of many diseases, including cancer. The United States Food and Drug Administration (FDA) and the National Institutes of Health (NIH) collaborated to identify biomarkers and their categories, which are made publicly available through a constantly updated online document called the “Biomarkers, Endpoints, and other Tools” (BEST) website. According to the</w:t>
      </w:r>
      <w:r w:rsidR="001D4437" w:rsidRPr="00426A10">
        <w:rPr>
          <w:b w:val="0"/>
          <w:color w:val="000000" w:themeColor="text1"/>
          <w:sz w:val="20"/>
          <w:szCs w:val="20"/>
          <w:shd w:val="clear" w:color="auto" w:fill="FFFFFF"/>
        </w:rPr>
        <w:t>ir</w:t>
      </w:r>
      <w:r w:rsidRPr="00426A10">
        <w:rPr>
          <w:b w:val="0"/>
          <w:color w:val="000000" w:themeColor="text1"/>
          <w:sz w:val="20"/>
          <w:szCs w:val="20"/>
          <w:shd w:val="clear" w:color="auto" w:fill="FFFFFF"/>
        </w:rPr>
        <w:t xml:space="preserve"> clinical application, the FDA-NIH Biomarker Working Group has classified biomarkers into seven categories: susceptibility and risk, diagnostic, monitoring, prognostic, predictive, pharmacodynamic and treatment response, and safety biomarkers. Blood, urine, stool, and, less commonly, exhaled breath, saliva/buccal swabs, cerebrospinal fluid (CSF), sputum, and other body fluids can all be used to study cancer biomarkers. Biomarkers can be detected using a variety of approaches. Fluorescence in situ</w:t>
      </w:r>
      <w:r w:rsidRPr="00426A10">
        <w:rPr>
          <w:b w:val="0"/>
          <w:i/>
          <w:iCs/>
          <w:color w:val="000000" w:themeColor="text1"/>
          <w:sz w:val="20"/>
          <w:szCs w:val="20"/>
          <w:shd w:val="clear" w:color="auto" w:fill="FFFFFF"/>
        </w:rPr>
        <w:t xml:space="preserve"> </w:t>
      </w:r>
      <w:r w:rsidRPr="00426A10">
        <w:rPr>
          <w:b w:val="0"/>
          <w:color w:val="000000" w:themeColor="text1"/>
          <w:sz w:val="20"/>
          <w:szCs w:val="20"/>
          <w:shd w:val="clear" w:color="auto" w:fill="FFFFFF"/>
        </w:rPr>
        <w:t xml:space="preserve">hybridization (FISH), Immunohistochemistry (IHC), Polymerase Chain Reaction (PCR), Enzyme-linked Immunosorbent Assay (ELISA), Flow Cytometry, Microarrays, and Next Generation Sequencing (NGS) are a few examples. Cancer biomarkers have a wide range of therapeutic applications, with the ultimate goal of achieving precision medicine to </w:t>
      </w:r>
      <w:r w:rsidR="003F606E" w:rsidRPr="00426A10">
        <w:rPr>
          <w:b w:val="0"/>
          <w:color w:val="000000" w:themeColor="text1"/>
          <w:sz w:val="20"/>
          <w:szCs w:val="20"/>
          <w:shd w:val="clear" w:color="auto" w:fill="FFFFFF"/>
        </w:rPr>
        <w:t>optimize</w:t>
      </w:r>
      <w:r w:rsidRPr="00426A10">
        <w:rPr>
          <w:b w:val="0"/>
          <w:color w:val="000000" w:themeColor="text1"/>
          <w:sz w:val="20"/>
          <w:szCs w:val="20"/>
          <w:shd w:val="clear" w:color="auto" w:fill="FFFFFF"/>
        </w:rPr>
        <w:t xml:space="preserve"> cancer prevention, screening, and treatment regimens. These applications include risk assessment, screening and early detection, accurate diagnosis, patient prognosis, therapy prediction, cancer surveillance and response monitoring.</w:t>
      </w:r>
    </w:p>
    <w:p w14:paraId="29A76FE9" w14:textId="77777777" w:rsidR="00466548" w:rsidRPr="00426A10" w:rsidRDefault="00466548" w:rsidP="00466548">
      <w:pPr>
        <w:pStyle w:val="Abstract"/>
        <w:spacing w:after="0"/>
        <w:ind w:firstLine="0"/>
        <w:rPr>
          <w:rFonts w:eastAsia="MS Mincho"/>
          <w:b w:val="0"/>
          <w:color w:val="000000" w:themeColor="text1"/>
          <w:sz w:val="20"/>
          <w:szCs w:val="20"/>
        </w:rPr>
      </w:pPr>
    </w:p>
    <w:p w14:paraId="177D177D" w14:textId="7988FD23" w:rsidR="008A55B5" w:rsidRPr="00426A10" w:rsidRDefault="0072064C" w:rsidP="00466548">
      <w:pPr>
        <w:pStyle w:val="keywords"/>
        <w:spacing w:after="0"/>
        <w:ind w:firstLine="0"/>
        <w:rPr>
          <w:rFonts w:eastAsia="MS Mincho"/>
          <w:b w:val="0"/>
          <w:i w:val="0"/>
          <w:color w:val="000000" w:themeColor="text1"/>
          <w:sz w:val="20"/>
          <w:szCs w:val="20"/>
        </w:rPr>
      </w:pPr>
      <w:r w:rsidRPr="00426A10">
        <w:rPr>
          <w:rFonts w:eastAsia="MS Mincho"/>
          <w:i w:val="0"/>
          <w:color w:val="000000" w:themeColor="text1"/>
          <w:sz w:val="20"/>
          <w:szCs w:val="20"/>
        </w:rPr>
        <w:t>Keywords</w:t>
      </w:r>
      <w:r w:rsidRPr="00426A10">
        <w:rPr>
          <w:rFonts w:eastAsia="MS Mincho"/>
          <w:b w:val="0"/>
          <w:i w:val="0"/>
          <w:color w:val="000000" w:themeColor="text1"/>
          <w:sz w:val="20"/>
          <w:szCs w:val="20"/>
        </w:rPr>
        <w:t>—</w:t>
      </w:r>
      <w:r w:rsidR="008A55B5" w:rsidRPr="00426A10">
        <w:rPr>
          <w:rFonts w:eastAsia="MS Mincho"/>
          <w:b w:val="0"/>
          <w:i w:val="0"/>
          <w:color w:val="000000" w:themeColor="text1"/>
          <w:sz w:val="20"/>
          <w:szCs w:val="20"/>
        </w:rPr>
        <w:t>c</w:t>
      </w:r>
      <w:r w:rsidR="00C456AC" w:rsidRPr="00426A10">
        <w:rPr>
          <w:rFonts w:eastAsia="MS Mincho"/>
          <w:b w:val="0"/>
          <w:i w:val="0"/>
          <w:color w:val="000000" w:themeColor="text1"/>
          <w:sz w:val="20"/>
          <w:szCs w:val="20"/>
        </w:rPr>
        <w:t>ancer biomarkers; susceptibility and risk biomarkers; diagnostic biomarkers; predictive biomarkers; detection methods</w:t>
      </w:r>
    </w:p>
    <w:p w14:paraId="34FAC1B8" w14:textId="77777777" w:rsidR="00466548" w:rsidRPr="00426A10" w:rsidRDefault="00466548" w:rsidP="00466548">
      <w:pPr>
        <w:pStyle w:val="keywords"/>
        <w:spacing w:after="0"/>
        <w:ind w:firstLine="0"/>
        <w:rPr>
          <w:rFonts w:eastAsia="MS Mincho"/>
          <w:b w:val="0"/>
          <w:i w:val="0"/>
          <w:color w:val="000000" w:themeColor="text1"/>
          <w:sz w:val="20"/>
          <w:szCs w:val="20"/>
        </w:rPr>
      </w:pPr>
    </w:p>
    <w:p w14:paraId="12E6893C" w14:textId="77777777" w:rsidR="008A55B5" w:rsidRPr="00426A10" w:rsidRDefault="00402841" w:rsidP="00466548">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 xml:space="preserve"> INTRODUCTION </w:t>
      </w:r>
    </w:p>
    <w:p w14:paraId="312B9106" w14:textId="77777777" w:rsidR="00466548" w:rsidRPr="00426A10" w:rsidRDefault="00466548" w:rsidP="00466548">
      <w:pPr>
        <w:rPr>
          <w:rFonts w:eastAsia="MS Mincho"/>
          <w:color w:val="000000" w:themeColor="text1"/>
        </w:rPr>
      </w:pPr>
    </w:p>
    <w:p w14:paraId="6F675EEE" w14:textId="771D19D6" w:rsidR="008A55B5" w:rsidRPr="00426A10" w:rsidRDefault="00D51C47" w:rsidP="00D51C47">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A biomarker</w:t>
      </w:r>
      <w:r w:rsidR="00FC034B" w:rsidRPr="00426A10">
        <w:rPr>
          <w:color w:val="000000" w:themeColor="text1"/>
          <w:sz w:val="20"/>
          <w:szCs w:val="20"/>
          <w:shd w:val="clear" w:color="auto" w:fill="FFFFFF"/>
        </w:rPr>
        <w:t xml:space="preserve">/biological marker </w:t>
      </w:r>
      <w:r w:rsidRPr="00426A10">
        <w:rPr>
          <w:color w:val="000000" w:themeColor="text1"/>
          <w:sz w:val="20"/>
          <w:szCs w:val="20"/>
          <w:shd w:val="clear" w:color="auto" w:fill="FFFFFF"/>
        </w:rPr>
        <w:t>is a characteristic that is measured as an indicator of risk and occurrence of disease, or patient outcome</w:t>
      </w:r>
      <w:r w:rsidR="00424977" w:rsidRPr="00426A10">
        <w:rPr>
          <w:color w:val="000000" w:themeColor="text1"/>
          <w:sz w:val="20"/>
          <w:szCs w:val="20"/>
          <w:shd w:val="clear" w:color="auto" w:fill="FFFFFF"/>
        </w:rPr>
        <w:t xml:space="preserve"> [1].</w:t>
      </w:r>
      <w:r w:rsidRPr="00426A10">
        <w:rPr>
          <w:color w:val="000000" w:themeColor="text1"/>
          <w:sz w:val="20"/>
          <w:szCs w:val="20"/>
          <w:shd w:val="clear" w:color="auto" w:fill="FFFFFF"/>
        </w:rPr>
        <w:t xml:space="preserve"> </w:t>
      </w:r>
      <w:r w:rsidR="00064037" w:rsidRPr="00426A10">
        <w:rPr>
          <w:color w:val="000000" w:themeColor="text1"/>
          <w:sz w:val="20"/>
          <w:szCs w:val="20"/>
        </w:rPr>
        <w:t xml:space="preserve">The term "biological marker" was introduced in </w:t>
      </w:r>
      <w:r w:rsidR="003469C6" w:rsidRPr="00426A10">
        <w:rPr>
          <w:color w:val="000000" w:themeColor="text1"/>
          <w:sz w:val="20"/>
          <w:szCs w:val="20"/>
        </w:rPr>
        <w:t xml:space="preserve">the </w:t>
      </w:r>
      <w:r w:rsidR="00064037" w:rsidRPr="00426A10">
        <w:rPr>
          <w:color w:val="000000" w:themeColor="text1"/>
          <w:sz w:val="20"/>
          <w:szCs w:val="20"/>
        </w:rPr>
        <w:t>1950s</w:t>
      </w:r>
      <w:r w:rsidR="00F74C4E" w:rsidRPr="00426A10">
        <w:rPr>
          <w:color w:val="000000" w:themeColor="text1"/>
          <w:sz w:val="20"/>
          <w:szCs w:val="20"/>
        </w:rPr>
        <w:t xml:space="preserve">. </w:t>
      </w:r>
      <w:r w:rsidR="00064037" w:rsidRPr="00426A10">
        <w:rPr>
          <w:color w:val="000000" w:themeColor="text1"/>
          <w:sz w:val="20"/>
          <w:szCs w:val="20"/>
        </w:rPr>
        <w:t xml:space="preserve">In 1987, </w:t>
      </w:r>
      <w:r w:rsidR="003469C6" w:rsidRPr="00426A10">
        <w:rPr>
          <w:color w:val="000000" w:themeColor="text1"/>
          <w:sz w:val="20"/>
          <w:szCs w:val="20"/>
        </w:rPr>
        <w:t xml:space="preserve">the U.S. National Academy of Sciences/National Research Council’s Committee on Biological Markers </w:t>
      </w:r>
      <w:r w:rsidR="00064037" w:rsidRPr="00426A10">
        <w:rPr>
          <w:color w:val="000000" w:themeColor="text1"/>
          <w:sz w:val="20"/>
          <w:szCs w:val="20"/>
        </w:rPr>
        <w:t>defined</w:t>
      </w:r>
      <w:r w:rsidR="003469C6" w:rsidRPr="00426A10">
        <w:rPr>
          <w:color w:val="000000" w:themeColor="text1"/>
          <w:sz w:val="20"/>
          <w:szCs w:val="20"/>
        </w:rPr>
        <w:t xml:space="preserve"> biological markers</w:t>
      </w:r>
      <w:r w:rsidR="00064037" w:rsidRPr="00426A10">
        <w:rPr>
          <w:color w:val="000000" w:themeColor="text1"/>
          <w:sz w:val="20"/>
          <w:szCs w:val="20"/>
        </w:rPr>
        <w:t xml:space="preserve"> as “indicators </w:t>
      </w:r>
      <w:proofErr w:type="spellStart"/>
      <w:r w:rsidR="00064037" w:rsidRPr="00426A10">
        <w:rPr>
          <w:color w:val="000000" w:themeColor="text1"/>
          <w:sz w:val="20"/>
          <w:szCs w:val="20"/>
        </w:rPr>
        <w:t>signal</w:t>
      </w:r>
      <w:r w:rsidR="005B7C1B">
        <w:rPr>
          <w:color w:val="000000" w:themeColor="text1"/>
          <w:sz w:val="20"/>
          <w:szCs w:val="20"/>
        </w:rPr>
        <w:t>l</w:t>
      </w:r>
      <w:r w:rsidR="00064037" w:rsidRPr="00426A10">
        <w:rPr>
          <w:color w:val="000000" w:themeColor="text1"/>
          <w:sz w:val="20"/>
          <w:szCs w:val="20"/>
        </w:rPr>
        <w:t>ing</w:t>
      </w:r>
      <w:proofErr w:type="spellEnd"/>
      <w:r w:rsidR="00064037" w:rsidRPr="00426A10">
        <w:rPr>
          <w:color w:val="000000" w:themeColor="text1"/>
          <w:sz w:val="20"/>
          <w:szCs w:val="20"/>
        </w:rPr>
        <w:t xml:space="preserve"> events in biological systems or samples” that could be classified into three categories: exposure, effect and susceptibility markers</w:t>
      </w:r>
      <w:r w:rsidR="00424977" w:rsidRPr="00426A10">
        <w:rPr>
          <w:color w:val="000000" w:themeColor="text1"/>
          <w:sz w:val="20"/>
          <w:szCs w:val="20"/>
        </w:rPr>
        <w:t xml:space="preserve"> [2]</w:t>
      </w:r>
      <w:r w:rsidR="00851FC8" w:rsidRPr="00426A10">
        <w:rPr>
          <w:color w:val="000000" w:themeColor="text1"/>
          <w:sz w:val="20"/>
          <w:szCs w:val="20"/>
        </w:rPr>
        <w:t>.</w:t>
      </w:r>
      <w:r w:rsidR="00064037" w:rsidRPr="00426A10">
        <w:rPr>
          <w:color w:val="000000" w:themeColor="text1"/>
          <w:sz w:val="20"/>
          <w:szCs w:val="20"/>
        </w:rPr>
        <w:t xml:space="preserve"> </w:t>
      </w:r>
      <w:r w:rsidR="0065478F" w:rsidRPr="00426A10">
        <w:rPr>
          <w:color w:val="000000" w:themeColor="text1"/>
          <w:sz w:val="20"/>
          <w:szCs w:val="20"/>
          <w:shd w:val="clear" w:color="auto" w:fill="FFFFFF"/>
        </w:rPr>
        <w:t>The term “biomarker”, refers to a broad subcategory of medical signs – that is, objective indications of medical state observed from outside the patient – which can be measured accurately and reproducibly</w:t>
      </w:r>
      <w:r w:rsidR="00424977" w:rsidRPr="00426A10">
        <w:rPr>
          <w:color w:val="000000" w:themeColor="text1"/>
          <w:sz w:val="20"/>
          <w:szCs w:val="20"/>
          <w:shd w:val="clear" w:color="auto" w:fill="FFFFFF"/>
        </w:rPr>
        <w:t xml:space="preserve"> [3]</w:t>
      </w:r>
      <w:r w:rsidR="0065478F" w:rsidRPr="00426A10">
        <w:rPr>
          <w:color w:val="000000" w:themeColor="text1"/>
          <w:sz w:val="20"/>
          <w:szCs w:val="20"/>
          <w:shd w:val="clear" w:color="auto" w:fill="FFFFFF"/>
        </w:rPr>
        <w:t>. The basic definition of a biomarker is simple: “A defined characteristic that is measured as an indicator of normal biological processes, pathogenic processes or responses to an exposure or intervention”</w:t>
      </w:r>
      <w:r w:rsidR="00424977" w:rsidRPr="00426A10">
        <w:rPr>
          <w:color w:val="000000" w:themeColor="text1"/>
          <w:sz w:val="20"/>
          <w:szCs w:val="20"/>
          <w:shd w:val="clear" w:color="auto" w:fill="FFFFFF"/>
        </w:rPr>
        <w:t xml:space="preserve"> [4].</w:t>
      </w:r>
      <w:r w:rsidR="0065478F" w:rsidRPr="00426A10">
        <w:rPr>
          <w:color w:val="000000" w:themeColor="text1"/>
          <w:sz w:val="20"/>
          <w:szCs w:val="20"/>
          <w:shd w:val="clear" w:color="auto" w:fill="FFFFFF"/>
        </w:rPr>
        <w:t xml:space="preserve"> </w:t>
      </w:r>
      <w:r w:rsidR="00064037" w:rsidRPr="00426A10">
        <w:rPr>
          <w:color w:val="000000" w:themeColor="text1"/>
          <w:sz w:val="20"/>
          <w:szCs w:val="20"/>
        </w:rPr>
        <w:t>In 1998, the </w:t>
      </w:r>
      <w:hyperlink r:id="rId10" w:tooltip="National Institutes of Health" w:history="1">
        <w:r w:rsidR="00064037" w:rsidRPr="00426A10">
          <w:rPr>
            <w:rStyle w:val="Hyperlink"/>
            <w:rFonts w:eastAsia="MS Mincho"/>
            <w:color w:val="000000" w:themeColor="text1"/>
            <w:sz w:val="20"/>
            <w:szCs w:val="20"/>
            <w:u w:val="none"/>
          </w:rPr>
          <w:t>National Institutes of Health</w:t>
        </w:r>
      </w:hyperlink>
      <w:r w:rsidR="003469C6" w:rsidRPr="00426A10">
        <w:rPr>
          <w:color w:val="000000" w:themeColor="text1"/>
          <w:sz w:val="20"/>
          <w:szCs w:val="20"/>
        </w:rPr>
        <w:t xml:space="preserve"> </w:t>
      </w:r>
      <w:r w:rsidR="00064037" w:rsidRPr="00426A10">
        <w:rPr>
          <w:color w:val="000000" w:themeColor="text1"/>
          <w:sz w:val="20"/>
          <w:szCs w:val="20"/>
        </w:rPr>
        <w:t xml:space="preserve">Biomarkers Definitions Working Group defined a biomarker as </w:t>
      </w:r>
      <w:r w:rsidR="00424977" w:rsidRPr="00426A10">
        <w:rPr>
          <w:color w:val="000000" w:themeColor="text1"/>
          <w:sz w:val="20"/>
          <w:szCs w:val="20"/>
        </w:rPr>
        <w:t>“</w:t>
      </w:r>
      <w:r w:rsidR="00064037" w:rsidRPr="00426A10">
        <w:rPr>
          <w:color w:val="000000" w:themeColor="text1"/>
          <w:sz w:val="20"/>
          <w:szCs w:val="20"/>
        </w:rPr>
        <w:t>a characteristic that is objectively measured and evaluated as an indicator of normal biological processes, pathogenic processes, or pharmacologic responses to a therapeutic intervention</w:t>
      </w:r>
      <w:r w:rsidR="00424977" w:rsidRPr="00426A10">
        <w:rPr>
          <w:color w:val="000000" w:themeColor="text1"/>
          <w:sz w:val="20"/>
          <w:szCs w:val="20"/>
        </w:rPr>
        <w:t>”</w:t>
      </w:r>
      <w:r w:rsidR="00851FC8" w:rsidRPr="00426A10">
        <w:rPr>
          <w:color w:val="000000" w:themeColor="text1"/>
          <w:sz w:val="20"/>
          <w:szCs w:val="20"/>
          <w:vertAlign w:val="superscript"/>
        </w:rPr>
        <w:t xml:space="preserve"> </w:t>
      </w:r>
      <w:r w:rsidR="00851FC8" w:rsidRPr="00426A10">
        <w:rPr>
          <w:color w:val="000000" w:themeColor="text1"/>
          <w:sz w:val="20"/>
          <w:szCs w:val="20"/>
        </w:rPr>
        <w:t>[5].</w:t>
      </w:r>
      <w:r w:rsidRPr="00426A10">
        <w:rPr>
          <w:color w:val="000000" w:themeColor="text1"/>
          <w:sz w:val="20"/>
          <w:szCs w:val="20"/>
        </w:rPr>
        <w:t xml:space="preserve"> </w:t>
      </w:r>
      <w:r w:rsidR="009277C0" w:rsidRPr="00426A10">
        <w:rPr>
          <w:color w:val="000000" w:themeColor="text1"/>
          <w:sz w:val="20"/>
          <w:szCs w:val="20"/>
        </w:rPr>
        <w:t xml:space="preserve">According to </w:t>
      </w:r>
      <w:r w:rsidR="00404E82" w:rsidRPr="00426A10">
        <w:rPr>
          <w:color w:val="000000" w:themeColor="text1"/>
          <w:sz w:val="20"/>
          <w:szCs w:val="20"/>
        </w:rPr>
        <w:t xml:space="preserve">the </w:t>
      </w:r>
      <w:r w:rsidR="009277C0" w:rsidRPr="00426A10">
        <w:rPr>
          <w:color w:val="000000" w:themeColor="text1"/>
          <w:sz w:val="20"/>
          <w:szCs w:val="20"/>
        </w:rPr>
        <w:t>N</w:t>
      </w:r>
      <w:r w:rsidR="005A75BB" w:rsidRPr="00426A10">
        <w:rPr>
          <w:color w:val="000000" w:themeColor="text1"/>
          <w:sz w:val="20"/>
          <w:szCs w:val="20"/>
        </w:rPr>
        <w:t xml:space="preserve">ational </w:t>
      </w:r>
      <w:r w:rsidR="009277C0" w:rsidRPr="00426A10">
        <w:rPr>
          <w:color w:val="000000" w:themeColor="text1"/>
          <w:sz w:val="20"/>
          <w:szCs w:val="20"/>
        </w:rPr>
        <w:t>C</w:t>
      </w:r>
      <w:r w:rsidR="005A75BB" w:rsidRPr="00426A10">
        <w:rPr>
          <w:color w:val="000000" w:themeColor="text1"/>
          <w:sz w:val="20"/>
          <w:szCs w:val="20"/>
        </w:rPr>
        <w:t xml:space="preserve">ancer </w:t>
      </w:r>
      <w:r w:rsidR="009277C0" w:rsidRPr="00426A10">
        <w:rPr>
          <w:color w:val="000000" w:themeColor="text1"/>
          <w:sz w:val="20"/>
          <w:szCs w:val="20"/>
        </w:rPr>
        <w:t>I</w:t>
      </w:r>
      <w:r w:rsidR="005A75BB" w:rsidRPr="00426A10">
        <w:rPr>
          <w:color w:val="000000" w:themeColor="text1"/>
          <w:sz w:val="20"/>
          <w:szCs w:val="20"/>
        </w:rPr>
        <w:t>nstitute</w:t>
      </w:r>
      <w:r w:rsidR="0084282D" w:rsidRPr="00426A10">
        <w:rPr>
          <w:color w:val="000000" w:themeColor="text1"/>
          <w:sz w:val="20"/>
          <w:szCs w:val="20"/>
        </w:rPr>
        <w:t xml:space="preserve"> (NCI)</w:t>
      </w:r>
      <w:r w:rsidR="009277C0" w:rsidRPr="00426A10">
        <w:rPr>
          <w:color w:val="000000" w:themeColor="text1"/>
          <w:sz w:val="20"/>
          <w:szCs w:val="20"/>
        </w:rPr>
        <w:t xml:space="preserve">, </w:t>
      </w:r>
      <w:r w:rsidR="00666754" w:rsidRPr="00426A10">
        <w:rPr>
          <w:color w:val="000000" w:themeColor="text1"/>
          <w:sz w:val="20"/>
          <w:szCs w:val="20"/>
          <w:shd w:val="clear" w:color="auto" w:fill="FFFFFF"/>
        </w:rPr>
        <w:t>a biomarker is a</w:t>
      </w:r>
      <w:r w:rsidR="009277C0" w:rsidRPr="00426A10">
        <w:rPr>
          <w:color w:val="000000" w:themeColor="text1"/>
          <w:sz w:val="20"/>
          <w:szCs w:val="20"/>
          <w:shd w:val="clear" w:color="auto" w:fill="FFFFFF"/>
        </w:rPr>
        <w:t xml:space="preserve"> biological molecule found in blood, other body fluids, or tissues that is a sign of a normal or abnormal process, or of a condition or disease. </w:t>
      </w:r>
      <w:r w:rsidR="006B4CA8" w:rsidRPr="00426A10">
        <w:rPr>
          <w:color w:val="000000" w:themeColor="text1"/>
          <w:sz w:val="20"/>
          <w:szCs w:val="20"/>
          <w:shd w:val="clear" w:color="auto" w:fill="FFFFFF"/>
        </w:rPr>
        <w:t>A biomarker can also be</w:t>
      </w:r>
      <w:r w:rsidR="00E061FC" w:rsidRPr="00426A10">
        <w:rPr>
          <w:color w:val="000000" w:themeColor="text1"/>
          <w:sz w:val="20"/>
          <w:szCs w:val="20"/>
          <w:shd w:val="clear" w:color="auto" w:fill="FFFFFF"/>
        </w:rPr>
        <w:t xml:space="preserve"> defined as</w:t>
      </w:r>
      <w:r w:rsidR="006B4CA8" w:rsidRPr="00426A10">
        <w:rPr>
          <w:color w:val="000000" w:themeColor="text1"/>
          <w:sz w:val="20"/>
          <w:szCs w:val="20"/>
          <w:shd w:val="clear" w:color="auto" w:fill="FFFFFF"/>
        </w:rPr>
        <w:t xml:space="preserve"> a </w:t>
      </w:r>
      <w:r w:rsidR="00E061FC" w:rsidRPr="00426A10">
        <w:rPr>
          <w:color w:val="000000" w:themeColor="text1"/>
          <w:sz w:val="20"/>
          <w:szCs w:val="20"/>
          <w:shd w:val="clear" w:color="auto" w:fill="FFFFFF"/>
        </w:rPr>
        <w:t>group</w:t>
      </w:r>
      <w:r w:rsidR="006B4CA8" w:rsidRPr="00426A10">
        <w:rPr>
          <w:color w:val="000000" w:themeColor="text1"/>
          <w:sz w:val="20"/>
          <w:szCs w:val="20"/>
          <w:shd w:val="clear" w:color="auto" w:fill="FFFFFF"/>
        </w:rPr>
        <w:t xml:space="preserve"> of </w:t>
      </w:r>
      <w:r w:rsidR="00E061FC" w:rsidRPr="00426A10">
        <w:rPr>
          <w:color w:val="000000" w:themeColor="text1"/>
          <w:sz w:val="20"/>
          <w:szCs w:val="20"/>
          <w:shd w:val="clear" w:color="auto" w:fill="FFFFFF"/>
        </w:rPr>
        <w:t>variations</w:t>
      </w:r>
      <w:r w:rsidR="006B4CA8" w:rsidRPr="00426A10">
        <w:rPr>
          <w:color w:val="000000" w:themeColor="text1"/>
          <w:sz w:val="20"/>
          <w:szCs w:val="20"/>
          <w:shd w:val="clear" w:color="auto" w:fill="FFFFFF"/>
        </w:rPr>
        <w:t>, such as gene expression, proteomic, and metabolomic signatures. Biomarkers can be detected in the circulation (whole blood, serum, or plasma) or excretions or secretions (stool, urine, sputum, or nipple discharge), and thus easily a</w:t>
      </w:r>
      <w:r w:rsidR="00E061FC" w:rsidRPr="00426A10">
        <w:rPr>
          <w:color w:val="000000" w:themeColor="text1"/>
          <w:sz w:val="20"/>
          <w:szCs w:val="20"/>
          <w:shd w:val="clear" w:color="auto" w:fill="FFFFFF"/>
        </w:rPr>
        <w:t>nalyzed</w:t>
      </w:r>
      <w:r w:rsidR="006B4CA8" w:rsidRPr="00426A10">
        <w:rPr>
          <w:color w:val="000000" w:themeColor="text1"/>
          <w:sz w:val="20"/>
          <w:szCs w:val="20"/>
          <w:shd w:val="clear" w:color="auto" w:fill="FFFFFF"/>
        </w:rPr>
        <w:t xml:space="preserve"> non‐invasively and serially, or </w:t>
      </w:r>
      <w:r w:rsidR="00E061FC" w:rsidRPr="00426A10">
        <w:rPr>
          <w:color w:val="000000" w:themeColor="text1"/>
          <w:sz w:val="20"/>
          <w:szCs w:val="20"/>
          <w:shd w:val="clear" w:color="auto" w:fill="FFFFFF"/>
        </w:rPr>
        <w:t xml:space="preserve">they </w:t>
      </w:r>
      <w:r w:rsidR="006B4CA8" w:rsidRPr="00426A10">
        <w:rPr>
          <w:color w:val="000000" w:themeColor="text1"/>
          <w:sz w:val="20"/>
          <w:szCs w:val="20"/>
          <w:shd w:val="clear" w:color="auto" w:fill="FFFFFF"/>
        </w:rPr>
        <w:t>can be tissue‐derived, and require either biopsy or spec</w:t>
      </w:r>
      <w:r w:rsidR="00E061FC" w:rsidRPr="00426A10">
        <w:rPr>
          <w:color w:val="000000" w:themeColor="text1"/>
          <w:sz w:val="20"/>
          <w:szCs w:val="20"/>
          <w:shd w:val="clear" w:color="auto" w:fill="FFFFFF"/>
        </w:rPr>
        <w:t>ific</w:t>
      </w:r>
      <w:r w:rsidR="006B4CA8" w:rsidRPr="00426A10">
        <w:rPr>
          <w:color w:val="000000" w:themeColor="text1"/>
          <w:sz w:val="20"/>
          <w:szCs w:val="20"/>
          <w:shd w:val="clear" w:color="auto" w:fill="FFFFFF"/>
        </w:rPr>
        <w:t xml:space="preserve"> imaging</w:t>
      </w:r>
      <w:r w:rsidR="00E061FC" w:rsidRPr="00426A10">
        <w:rPr>
          <w:color w:val="000000" w:themeColor="text1"/>
          <w:sz w:val="20"/>
          <w:szCs w:val="20"/>
          <w:shd w:val="clear" w:color="auto" w:fill="FFFFFF"/>
        </w:rPr>
        <w:t xml:space="preserve"> to be evaluated</w:t>
      </w:r>
      <w:r w:rsidR="00851FC8" w:rsidRPr="00426A10">
        <w:rPr>
          <w:color w:val="000000" w:themeColor="text1"/>
          <w:sz w:val="20"/>
          <w:szCs w:val="20"/>
          <w:shd w:val="clear" w:color="auto" w:fill="FFFFFF"/>
        </w:rPr>
        <w:t xml:space="preserve"> [6]</w:t>
      </w:r>
      <w:r w:rsidR="006B4CA8" w:rsidRPr="00426A10">
        <w:rPr>
          <w:color w:val="000000" w:themeColor="text1"/>
          <w:sz w:val="20"/>
          <w:szCs w:val="20"/>
          <w:shd w:val="clear" w:color="auto" w:fill="FFFFFF"/>
        </w:rPr>
        <w:t>.</w:t>
      </w:r>
      <w:r w:rsidR="007F0E32" w:rsidRPr="00426A10">
        <w:rPr>
          <w:color w:val="000000" w:themeColor="text1"/>
          <w:sz w:val="20"/>
          <w:szCs w:val="20"/>
          <w:shd w:val="clear" w:color="auto" w:fill="FFFFFF"/>
        </w:rPr>
        <w:t xml:space="preserve"> </w:t>
      </w:r>
    </w:p>
    <w:p w14:paraId="69569EEC" w14:textId="77777777" w:rsidR="009C5BD6" w:rsidRPr="00426A10" w:rsidRDefault="009C5BD6" w:rsidP="00D51C47">
      <w:pPr>
        <w:pStyle w:val="NormalWeb"/>
        <w:shd w:val="clear" w:color="auto" w:fill="FFFFFF"/>
        <w:spacing w:before="0" w:beforeAutospacing="0" w:after="0" w:afterAutospacing="0"/>
        <w:jc w:val="both"/>
        <w:rPr>
          <w:color w:val="000000" w:themeColor="text1"/>
          <w:sz w:val="20"/>
          <w:szCs w:val="20"/>
          <w:shd w:val="clear" w:color="auto" w:fill="FFFFFF"/>
        </w:rPr>
      </w:pPr>
    </w:p>
    <w:p w14:paraId="4B0D5160" w14:textId="4DC5B031" w:rsidR="00373421" w:rsidRPr="00426A10" w:rsidRDefault="00ED0C1B" w:rsidP="00783D67">
      <w:pPr>
        <w:pStyle w:val="NormalWeb"/>
        <w:shd w:val="clear" w:color="auto" w:fill="FFFFFF"/>
        <w:spacing w:before="0" w:beforeAutospacing="0" w:after="0" w:afterAutospacing="0"/>
        <w:jc w:val="both"/>
        <w:rPr>
          <w:color w:val="000000" w:themeColor="text1"/>
          <w:sz w:val="20"/>
          <w:szCs w:val="20"/>
        </w:rPr>
      </w:pPr>
      <w:r w:rsidRPr="00426A10">
        <w:rPr>
          <w:color w:val="000000" w:themeColor="text1"/>
          <w:sz w:val="20"/>
          <w:szCs w:val="20"/>
          <w:shd w:val="clear" w:color="auto" w:fill="FFFFFF"/>
        </w:rPr>
        <w:t xml:space="preserve">Biomarkers play an important role </w:t>
      </w:r>
      <w:r w:rsidR="00295678" w:rsidRPr="00426A10">
        <w:rPr>
          <w:color w:val="000000" w:themeColor="text1"/>
          <w:sz w:val="20"/>
          <w:szCs w:val="20"/>
          <w:shd w:val="clear" w:color="auto" w:fill="FFFFFF"/>
        </w:rPr>
        <w:t>in the iden</w:t>
      </w:r>
      <w:r w:rsidR="004320F8" w:rsidRPr="00426A10">
        <w:rPr>
          <w:color w:val="000000" w:themeColor="text1"/>
          <w:sz w:val="20"/>
          <w:szCs w:val="20"/>
          <w:shd w:val="clear" w:color="auto" w:fill="FFFFFF"/>
        </w:rPr>
        <w:t>tification</w:t>
      </w:r>
      <w:r w:rsidR="00295678" w:rsidRPr="00426A10">
        <w:rPr>
          <w:color w:val="000000" w:themeColor="text1"/>
          <w:sz w:val="20"/>
          <w:szCs w:val="20"/>
          <w:shd w:val="clear" w:color="auto" w:fill="FFFFFF"/>
        </w:rPr>
        <w:t xml:space="preserve"> of various diseases including cancer. </w:t>
      </w:r>
      <w:r w:rsidR="006A3834" w:rsidRPr="00426A10">
        <w:rPr>
          <w:color w:val="000000" w:themeColor="text1"/>
          <w:sz w:val="20"/>
          <w:szCs w:val="20"/>
          <w:shd w:val="clear" w:color="auto" w:fill="FFFFFF"/>
        </w:rPr>
        <w:t xml:space="preserve">Cancer is defined as the abnormal proliferation of cells capable of infiltrating and spreading to other sections of the body. According to the World Health Organization, it is one of the main causes of death, with around 10 million fatalities projected globally by 2020. Biomarkers in oncology can be used for a variety of purposes, including determining an individual's risk of developing cancer, predicting the likelihood that a given therapy will work </w:t>
      </w:r>
      <w:r w:rsidR="006A3834" w:rsidRPr="00426A10">
        <w:rPr>
          <w:color w:val="000000" w:themeColor="text1"/>
          <w:sz w:val="20"/>
          <w:szCs w:val="20"/>
          <w:shd w:val="clear" w:color="auto" w:fill="FFFFFF"/>
        </w:rPr>
        <w:lastRenderedPageBreak/>
        <w:t xml:space="preserve">for a specific patient, and monitoring disease progression to determine if a therapy is working </w:t>
      </w:r>
      <w:r w:rsidR="00851FC8" w:rsidRPr="00426A10">
        <w:rPr>
          <w:color w:val="000000" w:themeColor="text1"/>
          <w:spacing w:val="-5"/>
          <w:sz w:val="20"/>
          <w:szCs w:val="20"/>
        </w:rPr>
        <w:t>[7]</w:t>
      </w:r>
      <w:r w:rsidR="00783D67" w:rsidRPr="00426A10">
        <w:rPr>
          <w:color w:val="000000" w:themeColor="text1"/>
          <w:spacing w:val="-5"/>
          <w:sz w:val="20"/>
          <w:szCs w:val="20"/>
        </w:rPr>
        <w:t xml:space="preserve">. </w:t>
      </w:r>
      <w:r w:rsidR="0011312B" w:rsidRPr="00426A10">
        <w:rPr>
          <w:color w:val="000000" w:themeColor="text1"/>
          <w:sz w:val="20"/>
          <w:szCs w:val="20"/>
        </w:rPr>
        <w:t xml:space="preserve">A list of various biomarkers in different cancers </w:t>
      </w:r>
      <w:r w:rsidR="00663DAB" w:rsidRPr="00426A10">
        <w:rPr>
          <w:color w:val="000000" w:themeColor="text1"/>
          <w:sz w:val="20"/>
          <w:szCs w:val="20"/>
        </w:rPr>
        <w:t>is</w:t>
      </w:r>
      <w:r w:rsidR="0011312B" w:rsidRPr="00426A10">
        <w:rPr>
          <w:color w:val="000000" w:themeColor="text1"/>
          <w:sz w:val="20"/>
          <w:szCs w:val="20"/>
        </w:rPr>
        <w:t xml:space="preserve"> </w:t>
      </w:r>
      <w:r w:rsidR="00B75AE9" w:rsidRPr="00426A10">
        <w:rPr>
          <w:color w:val="000000" w:themeColor="text1"/>
          <w:sz w:val="20"/>
          <w:szCs w:val="20"/>
        </w:rPr>
        <w:t>mentioned</w:t>
      </w:r>
      <w:r w:rsidR="00373421" w:rsidRPr="00426A10">
        <w:rPr>
          <w:color w:val="000000" w:themeColor="text1"/>
          <w:sz w:val="20"/>
          <w:szCs w:val="20"/>
        </w:rPr>
        <w:t xml:space="preserve"> below</w:t>
      </w:r>
      <w:r w:rsidR="00663DAB" w:rsidRPr="00426A10">
        <w:rPr>
          <w:color w:val="000000" w:themeColor="text1"/>
          <w:sz w:val="20"/>
          <w:szCs w:val="20"/>
        </w:rPr>
        <w:t xml:space="preserve"> (Table 1)</w:t>
      </w:r>
      <w:r w:rsidR="00373421" w:rsidRPr="00426A10">
        <w:rPr>
          <w:color w:val="000000" w:themeColor="text1"/>
          <w:sz w:val="20"/>
          <w:szCs w:val="20"/>
        </w:rPr>
        <w:t>.</w:t>
      </w:r>
    </w:p>
    <w:p w14:paraId="36C9946C" w14:textId="77777777" w:rsidR="004048A7" w:rsidRPr="00426A10" w:rsidRDefault="004048A7" w:rsidP="00783D67">
      <w:pPr>
        <w:pStyle w:val="NormalWeb"/>
        <w:shd w:val="clear" w:color="auto" w:fill="FFFFFF"/>
        <w:spacing w:before="0" w:beforeAutospacing="0" w:after="0" w:afterAutospacing="0"/>
        <w:jc w:val="both"/>
        <w:rPr>
          <w:color w:val="000000" w:themeColor="text1"/>
          <w:sz w:val="20"/>
          <w:szCs w:val="20"/>
        </w:rPr>
      </w:pPr>
    </w:p>
    <w:p w14:paraId="3F0C1533" w14:textId="77777777" w:rsidR="00373421" w:rsidRPr="00426A10" w:rsidRDefault="00373421" w:rsidP="00783D67">
      <w:pPr>
        <w:pStyle w:val="NormalWeb"/>
        <w:shd w:val="clear" w:color="auto" w:fill="FFFFFF"/>
        <w:spacing w:before="0" w:beforeAutospacing="0" w:after="0" w:afterAutospacing="0"/>
        <w:jc w:val="both"/>
        <w:rPr>
          <w:color w:val="000000" w:themeColor="text1"/>
          <w:sz w:val="20"/>
          <w:szCs w:val="20"/>
        </w:rPr>
      </w:pPr>
    </w:p>
    <w:p w14:paraId="14943B6F" w14:textId="766A111C" w:rsidR="00373421" w:rsidRPr="00426A10" w:rsidRDefault="000F4734" w:rsidP="000F4734">
      <w:pPr>
        <w:pStyle w:val="NormalWeb"/>
        <w:shd w:val="clear" w:color="auto" w:fill="FFFFFF"/>
        <w:spacing w:before="0" w:beforeAutospacing="0" w:after="0" w:afterAutospacing="0"/>
        <w:jc w:val="center"/>
        <w:rPr>
          <w:b/>
          <w:bCs/>
          <w:color w:val="000000" w:themeColor="text1"/>
          <w:sz w:val="20"/>
          <w:szCs w:val="20"/>
        </w:rPr>
      </w:pPr>
      <w:r w:rsidRPr="00426A10">
        <w:rPr>
          <w:b/>
          <w:bCs/>
          <w:color w:val="000000" w:themeColor="text1"/>
          <w:sz w:val="20"/>
          <w:szCs w:val="20"/>
        </w:rPr>
        <w:t>Table 1: Various Biomarkers in Different Cancers</w:t>
      </w:r>
    </w:p>
    <w:p w14:paraId="708FE62D" w14:textId="77777777" w:rsidR="000F4734" w:rsidRPr="00426A10" w:rsidRDefault="000F4734" w:rsidP="000F4734">
      <w:pPr>
        <w:pStyle w:val="NormalWeb"/>
        <w:shd w:val="clear" w:color="auto" w:fill="FFFFFF"/>
        <w:spacing w:before="0" w:beforeAutospacing="0" w:after="0" w:afterAutospacing="0"/>
        <w:jc w:val="center"/>
        <w:rPr>
          <w:b/>
          <w:bCs/>
          <w:color w:val="000000" w:themeColor="text1"/>
          <w:sz w:val="20"/>
          <w:szCs w:val="20"/>
        </w:rPr>
      </w:pPr>
    </w:p>
    <w:tbl>
      <w:tblPr>
        <w:tblStyle w:val="GridTable4-Accent1"/>
        <w:tblW w:w="0" w:type="auto"/>
        <w:tblLook w:val="04A0" w:firstRow="1" w:lastRow="0" w:firstColumn="1" w:lastColumn="0" w:noHBand="0" w:noVBand="1"/>
      </w:tblPr>
      <w:tblGrid>
        <w:gridCol w:w="2093"/>
        <w:gridCol w:w="7152"/>
      </w:tblGrid>
      <w:tr w:rsidR="00426A10" w:rsidRPr="00426A10" w14:paraId="6E7A255A" w14:textId="77777777" w:rsidTr="009011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3CC69268" w14:textId="0723401A" w:rsidR="00373421" w:rsidRPr="00426A10" w:rsidRDefault="00EC7045" w:rsidP="00EC7045">
            <w:pPr>
              <w:pStyle w:val="NormalWeb"/>
              <w:spacing w:before="120" w:beforeAutospacing="0" w:after="120" w:afterAutospacing="0"/>
              <w:jc w:val="center"/>
              <w:rPr>
                <w:b w:val="0"/>
                <w:bCs w:val="0"/>
                <w:color w:val="000000" w:themeColor="text1"/>
                <w:sz w:val="20"/>
                <w:szCs w:val="20"/>
              </w:rPr>
            </w:pPr>
            <w:r w:rsidRPr="00426A10">
              <w:rPr>
                <w:b w:val="0"/>
                <w:bCs w:val="0"/>
                <w:color w:val="000000" w:themeColor="text1"/>
                <w:sz w:val="20"/>
                <w:szCs w:val="20"/>
              </w:rPr>
              <w:t>Cancer Type</w:t>
            </w:r>
          </w:p>
        </w:tc>
        <w:tc>
          <w:tcPr>
            <w:tcW w:w="7152" w:type="dxa"/>
          </w:tcPr>
          <w:p w14:paraId="28EB85D6" w14:textId="6697F46B" w:rsidR="00373421" w:rsidRPr="00426A10" w:rsidRDefault="00EC7045" w:rsidP="00EC7045">
            <w:pPr>
              <w:pStyle w:val="NormalWeb"/>
              <w:spacing w:before="120" w:beforeAutospacing="0" w:after="120" w:afterAutospacing="0"/>
              <w:jc w:val="center"/>
              <w:cnfStyle w:val="100000000000" w:firstRow="1" w:lastRow="0" w:firstColumn="0" w:lastColumn="0" w:oddVBand="0" w:evenVBand="0" w:oddHBand="0" w:evenHBand="0" w:firstRowFirstColumn="0" w:firstRowLastColumn="0" w:lastRowFirstColumn="0" w:lastRowLastColumn="0"/>
              <w:rPr>
                <w:b w:val="0"/>
                <w:bCs w:val="0"/>
                <w:color w:val="000000" w:themeColor="text1"/>
                <w:sz w:val="20"/>
                <w:szCs w:val="20"/>
              </w:rPr>
            </w:pPr>
            <w:r w:rsidRPr="00426A10">
              <w:rPr>
                <w:b w:val="0"/>
                <w:bCs w:val="0"/>
                <w:color w:val="000000" w:themeColor="text1"/>
                <w:sz w:val="20"/>
                <w:szCs w:val="20"/>
              </w:rPr>
              <w:t>Biomarkers</w:t>
            </w:r>
          </w:p>
        </w:tc>
      </w:tr>
      <w:tr w:rsidR="00426A10" w:rsidRPr="00426A10" w14:paraId="6A4AB3A7"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5EF7D9E4" w14:textId="43AE617A"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Breast</w:t>
            </w:r>
          </w:p>
        </w:tc>
        <w:tc>
          <w:tcPr>
            <w:tcW w:w="7152" w:type="dxa"/>
          </w:tcPr>
          <w:p w14:paraId="656EE4C1" w14:textId="1C7581FA" w:rsidR="00373421" w:rsidRPr="00426A10" w:rsidRDefault="00373421"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HER2, BRCA1, BRCA2, CA15-3, miR-155, Mucin-1, ErbB2, EGFR</w:t>
            </w:r>
          </w:p>
        </w:tc>
      </w:tr>
      <w:tr w:rsidR="00426A10" w:rsidRPr="00426A10" w14:paraId="714452E9"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4EDAEAF4" w14:textId="4E129E58"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Ovarian</w:t>
            </w:r>
          </w:p>
        </w:tc>
        <w:tc>
          <w:tcPr>
            <w:tcW w:w="7152" w:type="dxa"/>
          </w:tcPr>
          <w:p w14:paraId="3F7471F3" w14:textId="0DB6EDA4" w:rsidR="00373421" w:rsidRPr="00426A10" w:rsidRDefault="00373421"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CA</w:t>
            </w:r>
            <w:r w:rsidR="00B24771" w:rsidRPr="00426A10">
              <w:rPr>
                <w:color w:val="000000" w:themeColor="text1"/>
                <w:sz w:val="20"/>
                <w:szCs w:val="20"/>
              </w:rPr>
              <w:t xml:space="preserve"> </w:t>
            </w:r>
            <w:r w:rsidRPr="00426A10">
              <w:rPr>
                <w:color w:val="000000" w:themeColor="text1"/>
                <w:sz w:val="20"/>
                <w:szCs w:val="20"/>
              </w:rPr>
              <w:t>125, HE4, miR-126, miR-92, miR-93, Mesothelin</w:t>
            </w:r>
          </w:p>
        </w:tc>
      </w:tr>
      <w:tr w:rsidR="00426A10" w:rsidRPr="00426A10" w14:paraId="7EC985CA"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652DBA77" w14:textId="2B69875A"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Bladder</w:t>
            </w:r>
          </w:p>
        </w:tc>
        <w:tc>
          <w:tcPr>
            <w:tcW w:w="7152" w:type="dxa"/>
          </w:tcPr>
          <w:p w14:paraId="265750F5" w14:textId="49677377" w:rsidR="00373421" w:rsidRPr="00426A10" w:rsidRDefault="00373421"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hOGG1, BTA, COX-2, miR-126, miR-141-3p, IL-8, FDP, NMP22</w:t>
            </w:r>
          </w:p>
        </w:tc>
      </w:tr>
      <w:tr w:rsidR="00426A10" w:rsidRPr="00426A10" w14:paraId="6133E67D"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141E9ED5" w14:textId="38F81987"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Brain</w:t>
            </w:r>
          </w:p>
        </w:tc>
        <w:tc>
          <w:tcPr>
            <w:tcW w:w="7152" w:type="dxa"/>
          </w:tcPr>
          <w:p w14:paraId="75BFFC03" w14:textId="6E09A213"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MGMT, p14arf, COX-2, miR-10b</w:t>
            </w:r>
          </w:p>
        </w:tc>
      </w:tr>
      <w:tr w:rsidR="00426A10" w:rsidRPr="00426A10" w14:paraId="06C91CF4"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1F1E3CBA" w14:textId="384AA06D"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Gastric</w:t>
            </w:r>
          </w:p>
        </w:tc>
        <w:tc>
          <w:tcPr>
            <w:tcW w:w="7152" w:type="dxa"/>
          </w:tcPr>
          <w:p w14:paraId="660C73F3" w14:textId="4F3F4C5F" w:rsidR="00373421"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CEA, CA19-9, miR-29c, miR-148a</w:t>
            </w:r>
          </w:p>
        </w:tc>
      </w:tr>
      <w:tr w:rsidR="00426A10" w:rsidRPr="00426A10" w14:paraId="2B767385"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6C6870CA" w14:textId="418CC595"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Lung</w:t>
            </w:r>
          </w:p>
        </w:tc>
        <w:tc>
          <w:tcPr>
            <w:tcW w:w="7152" w:type="dxa"/>
          </w:tcPr>
          <w:p w14:paraId="7DBBDF67" w14:textId="6B37BAFB"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CEA, miR-106a-5p, miR-10b-5p, miR-141-3p, ALK, KRAS</w:t>
            </w:r>
          </w:p>
        </w:tc>
      </w:tr>
      <w:tr w:rsidR="00426A10" w:rsidRPr="00426A10" w14:paraId="3BF0DD2E"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7A3A8DF4" w14:textId="0E0E4C06"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Liver</w:t>
            </w:r>
          </w:p>
        </w:tc>
        <w:tc>
          <w:tcPr>
            <w:tcW w:w="7152" w:type="dxa"/>
          </w:tcPr>
          <w:p w14:paraId="3364C546" w14:textId="2451B88D" w:rsidR="00373421"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Α-Fetoprotein, miR-100-5p, miR-122, HCCR-1</w:t>
            </w:r>
          </w:p>
        </w:tc>
      </w:tr>
      <w:tr w:rsidR="00426A10" w:rsidRPr="00426A10" w14:paraId="7C184EEF" w14:textId="77777777" w:rsidTr="009011D3">
        <w:tc>
          <w:tcPr>
            <w:cnfStyle w:val="001000000000" w:firstRow="0" w:lastRow="0" w:firstColumn="1" w:lastColumn="0" w:oddVBand="0" w:evenVBand="0" w:oddHBand="0" w:evenHBand="0" w:firstRowFirstColumn="0" w:firstRowLastColumn="0" w:lastRowFirstColumn="0" w:lastRowLastColumn="0"/>
            <w:tcW w:w="2093" w:type="dxa"/>
          </w:tcPr>
          <w:p w14:paraId="226203E1" w14:textId="280C9CAE" w:rsidR="00373421" w:rsidRPr="00426A10" w:rsidRDefault="00373421" w:rsidP="00EC7045">
            <w:pPr>
              <w:pStyle w:val="NormalWeb"/>
              <w:spacing w:before="120" w:beforeAutospacing="0" w:after="120" w:afterAutospacing="0"/>
              <w:rPr>
                <w:color w:val="000000" w:themeColor="text1"/>
                <w:sz w:val="20"/>
                <w:szCs w:val="20"/>
              </w:rPr>
            </w:pPr>
            <w:r w:rsidRPr="00426A10">
              <w:rPr>
                <w:color w:val="000000" w:themeColor="text1"/>
                <w:sz w:val="20"/>
                <w:szCs w:val="20"/>
              </w:rPr>
              <w:t>Prostate</w:t>
            </w:r>
          </w:p>
        </w:tc>
        <w:tc>
          <w:tcPr>
            <w:tcW w:w="7152" w:type="dxa"/>
          </w:tcPr>
          <w:p w14:paraId="253BA43C" w14:textId="741BC7EA" w:rsidR="00373421" w:rsidRPr="00426A10" w:rsidRDefault="005A42CE" w:rsidP="00EC7045">
            <w:pPr>
              <w:pStyle w:val="NormalWeb"/>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color w:val="000000" w:themeColor="text1"/>
                <w:sz w:val="20"/>
                <w:szCs w:val="20"/>
              </w:rPr>
            </w:pPr>
            <w:r w:rsidRPr="00426A10">
              <w:rPr>
                <w:color w:val="000000" w:themeColor="text1"/>
                <w:sz w:val="20"/>
                <w:szCs w:val="20"/>
              </w:rPr>
              <w:t>PSA, PCA3, GSTP1, miR-103a, miR-106a, miR-107, p63</w:t>
            </w:r>
            <w:r w:rsidR="00AE4856" w:rsidRPr="00426A10">
              <w:rPr>
                <w:color w:val="000000" w:themeColor="text1"/>
                <w:sz w:val="20"/>
                <w:szCs w:val="20"/>
              </w:rPr>
              <w:t>, Gleason</w:t>
            </w:r>
          </w:p>
        </w:tc>
      </w:tr>
      <w:tr w:rsidR="00426A10" w:rsidRPr="00426A10" w14:paraId="21FE78BD" w14:textId="77777777" w:rsidTr="009011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tcPr>
          <w:p w14:paraId="2B5DCF5B" w14:textId="6D09A904" w:rsidR="005A42CE" w:rsidRPr="00426A10" w:rsidRDefault="005A42CE" w:rsidP="00EC7045">
            <w:pPr>
              <w:pStyle w:val="NormalWeb"/>
              <w:spacing w:before="120" w:beforeAutospacing="0" w:after="120" w:afterAutospacing="0"/>
              <w:rPr>
                <w:color w:val="000000" w:themeColor="text1"/>
                <w:sz w:val="20"/>
                <w:szCs w:val="20"/>
              </w:rPr>
            </w:pPr>
            <w:r w:rsidRPr="00426A10">
              <w:rPr>
                <w:color w:val="000000" w:themeColor="text1"/>
                <w:sz w:val="20"/>
                <w:szCs w:val="20"/>
              </w:rPr>
              <w:t>Melanoma</w:t>
            </w:r>
          </w:p>
        </w:tc>
        <w:tc>
          <w:tcPr>
            <w:tcW w:w="7152" w:type="dxa"/>
          </w:tcPr>
          <w:p w14:paraId="48E8B1EC" w14:textId="58FFE326" w:rsidR="005A42CE" w:rsidRPr="00426A10" w:rsidRDefault="005A42CE" w:rsidP="00EC7045">
            <w:pPr>
              <w:pStyle w:val="NormalWeb"/>
              <w:spacing w:before="120" w:beforeAutospacing="0" w:after="120" w:afterAutospacing="0"/>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426A10">
              <w:rPr>
                <w:color w:val="000000" w:themeColor="text1"/>
                <w:sz w:val="20"/>
                <w:szCs w:val="20"/>
              </w:rPr>
              <w:t>EGFR, HER3, ERK, NCOA3, miR-221</w:t>
            </w:r>
          </w:p>
        </w:tc>
      </w:tr>
    </w:tbl>
    <w:p w14:paraId="6601CC0C" w14:textId="14CE2716" w:rsidR="00EC7045" w:rsidRPr="00426A10" w:rsidRDefault="00EC7045" w:rsidP="00466548">
      <w:pPr>
        <w:pStyle w:val="BodyText"/>
        <w:spacing w:after="0" w:line="240" w:lineRule="auto"/>
        <w:ind w:firstLine="0"/>
        <w:rPr>
          <w:color w:val="000000" w:themeColor="text1"/>
        </w:rPr>
      </w:pPr>
    </w:p>
    <w:p w14:paraId="725604EB" w14:textId="77777777" w:rsidR="000F4734" w:rsidRPr="00426A10" w:rsidRDefault="000F4734" w:rsidP="00466548">
      <w:pPr>
        <w:pStyle w:val="BodyText"/>
        <w:spacing w:after="0" w:line="240" w:lineRule="auto"/>
        <w:ind w:firstLine="0"/>
        <w:rPr>
          <w:color w:val="000000" w:themeColor="text1"/>
        </w:rPr>
      </w:pPr>
    </w:p>
    <w:p w14:paraId="3FC29D0B" w14:textId="1560A0FF" w:rsidR="00231072" w:rsidRPr="00426A10" w:rsidRDefault="00231072" w:rsidP="00231072">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TYPES OF BIOMARKERS</w:t>
      </w:r>
    </w:p>
    <w:p w14:paraId="280F8F0E" w14:textId="77777777" w:rsidR="00231072" w:rsidRPr="00426A10" w:rsidRDefault="00231072" w:rsidP="00231072">
      <w:pPr>
        <w:rPr>
          <w:rFonts w:eastAsia="MS Mincho"/>
          <w:color w:val="000000" w:themeColor="text1"/>
        </w:rPr>
      </w:pPr>
    </w:p>
    <w:p w14:paraId="024F04C3" w14:textId="161BA455" w:rsidR="00826193" w:rsidRPr="00426A10" w:rsidRDefault="00BF1978" w:rsidP="0050255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U.S. Food and Drug Administration (FDA) and the National Institutes of Health (NIH) jointly defined biomarkers and their types, which are made publicly available through a continuously updated online document-the “Biomarkers, Endpoints, and other Tools” (BEST) resource. The FDA-NIH Biomarker Working Group has classified biomarkers into seven categories based on their clinical applications: susceptibility and risk, diagnostic, monitoring, prognostic, predictive, pharmacodynamic and treatment response, and safety </w:t>
      </w:r>
      <w:r w:rsidR="00D6258B" w:rsidRPr="00426A10">
        <w:rPr>
          <w:color w:val="000000" w:themeColor="text1"/>
        </w:rPr>
        <w:t>(Figure 1)</w:t>
      </w:r>
      <w:r w:rsidR="00663DAB" w:rsidRPr="00426A10">
        <w:rPr>
          <w:color w:val="000000" w:themeColor="text1"/>
        </w:rPr>
        <w:t xml:space="preserve"> [8</w:t>
      </w:r>
      <w:r w:rsidR="00F3414A" w:rsidRPr="00426A10">
        <w:rPr>
          <w:color w:val="000000" w:themeColor="text1"/>
        </w:rPr>
        <w:t>,9</w:t>
      </w:r>
      <w:r w:rsidR="00663DAB" w:rsidRPr="00426A10">
        <w:rPr>
          <w:color w:val="000000" w:themeColor="text1"/>
        </w:rPr>
        <w:t>]</w:t>
      </w:r>
      <w:r w:rsidR="00502551" w:rsidRPr="00426A10">
        <w:rPr>
          <w:color w:val="000000" w:themeColor="text1"/>
        </w:rPr>
        <w:t xml:space="preserve">. </w:t>
      </w:r>
    </w:p>
    <w:p w14:paraId="6A2F4C6E" w14:textId="77777777" w:rsidR="00C324CF" w:rsidRPr="00426A10" w:rsidRDefault="00C324CF" w:rsidP="00502551">
      <w:pPr>
        <w:pStyle w:val="BodyText"/>
        <w:spacing w:after="0" w:line="240" w:lineRule="auto"/>
        <w:ind w:firstLine="0"/>
        <w:rPr>
          <w:color w:val="000000" w:themeColor="text1"/>
        </w:rPr>
      </w:pPr>
    </w:p>
    <w:p w14:paraId="0C95F98C" w14:textId="1CFD0FCA" w:rsidR="00C324CF" w:rsidRPr="00426A10" w:rsidRDefault="0063608C" w:rsidP="00C324CF">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A</w:t>
      </w:r>
      <w:r w:rsidR="000F4734" w:rsidRPr="00426A10">
        <w:rPr>
          <w:color w:val="000000" w:themeColor="text1"/>
          <w:sz w:val="20"/>
          <w:szCs w:val="20"/>
          <w:shd w:val="clear" w:color="auto" w:fill="FFFFFF"/>
        </w:rPr>
        <w:t xml:space="preserve">. </w:t>
      </w:r>
      <w:r w:rsidR="00653C9C" w:rsidRPr="00426A10">
        <w:rPr>
          <w:color w:val="000000" w:themeColor="text1"/>
          <w:sz w:val="20"/>
          <w:szCs w:val="20"/>
          <w:shd w:val="clear" w:color="auto" w:fill="FFFFFF"/>
        </w:rPr>
        <w:t xml:space="preserve">Susceptibility and risk biomarkers: </w:t>
      </w:r>
    </w:p>
    <w:p w14:paraId="5BC039B6" w14:textId="667E80F6" w:rsidR="00621BE0" w:rsidRPr="00426A10" w:rsidRDefault="001F22AB" w:rsidP="00C324CF">
      <w:pPr>
        <w:pStyle w:val="NormalWeb"/>
        <w:shd w:val="clear" w:color="auto" w:fill="FFFFFF"/>
        <w:spacing w:before="0" w:beforeAutospacing="0" w:after="0" w:afterAutospacing="0"/>
        <w:jc w:val="both"/>
        <w:rPr>
          <w:color w:val="000000" w:themeColor="text1"/>
          <w:sz w:val="20"/>
          <w:szCs w:val="20"/>
          <w:shd w:val="clear" w:color="auto" w:fill="FFFFFF"/>
        </w:rPr>
      </w:pPr>
      <w:r w:rsidRPr="00426A10">
        <w:rPr>
          <w:color w:val="000000" w:themeColor="text1"/>
          <w:sz w:val="20"/>
          <w:szCs w:val="20"/>
          <w:shd w:val="clear" w:color="auto" w:fill="FFFFFF"/>
        </w:rPr>
        <w:t>These biomarkers</w:t>
      </w:r>
      <w:r w:rsidR="00653C9C" w:rsidRPr="00426A10">
        <w:rPr>
          <w:color w:val="000000" w:themeColor="text1"/>
          <w:sz w:val="20"/>
          <w:szCs w:val="20"/>
          <w:shd w:val="clear" w:color="auto" w:fill="FFFFFF"/>
        </w:rPr>
        <w:t xml:space="preserve"> indicate the potential for developing a disease or medical condition in an individual who does not currently have </w:t>
      </w:r>
      <w:r w:rsidR="00554A0D" w:rsidRPr="00426A10">
        <w:rPr>
          <w:color w:val="000000" w:themeColor="text1"/>
          <w:sz w:val="20"/>
          <w:szCs w:val="20"/>
          <w:shd w:val="clear" w:color="auto" w:fill="FFFFFF"/>
        </w:rPr>
        <w:t xml:space="preserve">a </w:t>
      </w:r>
      <w:r w:rsidR="00653C9C" w:rsidRPr="00426A10">
        <w:rPr>
          <w:color w:val="000000" w:themeColor="text1"/>
          <w:sz w:val="20"/>
          <w:szCs w:val="20"/>
          <w:shd w:val="clear" w:color="auto" w:fill="FFFFFF"/>
        </w:rPr>
        <w:t xml:space="preserve">clinically apparent disease or medical condition. </w:t>
      </w:r>
      <w:r w:rsidR="00621BE0" w:rsidRPr="00621BE0">
        <w:rPr>
          <w:color w:val="000000" w:themeColor="text1"/>
          <w:sz w:val="20"/>
          <w:szCs w:val="20"/>
          <w:shd w:val="clear" w:color="auto" w:fill="FFFFFF"/>
        </w:rPr>
        <w:t xml:space="preserve">It is associated with an elevated risk, or in certain cases a decreased chance, of developing a disease or medical condition in a person who does not already clinically have that disease or medical condition. Susceptibility/risk biomarkers' main use in clinical </w:t>
      </w:r>
      <w:r w:rsidR="00621BE0">
        <w:rPr>
          <w:color w:val="000000" w:themeColor="text1"/>
          <w:sz w:val="20"/>
          <w:szCs w:val="20"/>
          <w:shd w:val="clear" w:color="auto" w:fill="FFFFFF"/>
        </w:rPr>
        <w:t>practice</w:t>
      </w:r>
      <w:r w:rsidR="00621BE0" w:rsidRPr="00621BE0">
        <w:rPr>
          <w:color w:val="000000" w:themeColor="text1"/>
          <w:sz w:val="20"/>
          <w:szCs w:val="20"/>
          <w:shd w:val="clear" w:color="auto" w:fill="FFFFFF"/>
        </w:rPr>
        <w:t xml:space="preserve"> is to direct preventive measures. The availability of treatments to lower disease risk has an impact on this utility to some extent. Examples of susceptibility/risk biomarkers include cytochrome P450 1A1 (CYP1A1) polymorphisms for the classification of patients at higher risk of gall bladder cancer and urinary concentration of tobacco-specific nitrosamines (TSNAs) for head and neck cancer</w:t>
      </w:r>
      <w:r w:rsidR="00621BE0">
        <w:rPr>
          <w:color w:val="000000" w:themeColor="text1"/>
          <w:sz w:val="20"/>
          <w:szCs w:val="20"/>
          <w:shd w:val="clear" w:color="auto" w:fill="FFFFFF"/>
        </w:rPr>
        <w:t xml:space="preserve"> and </w:t>
      </w:r>
      <w:proofErr w:type="spellStart"/>
      <w:r w:rsidR="00621BE0">
        <w:rPr>
          <w:color w:val="000000" w:themeColor="text1"/>
          <w:sz w:val="20"/>
          <w:szCs w:val="20"/>
          <w:shd w:val="clear" w:color="auto" w:fill="FFFFFF"/>
        </w:rPr>
        <w:t>BRreast</w:t>
      </w:r>
      <w:proofErr w:type="spellEnd"/>
      <w:r w:rsidR="00621BE0">
        <w:rPr>
          <w:color w:val="000000" w:themeColor="text1"/>
          <w:sz w:val="20"/>
          <w:szCs w:val="20"/>
          <w:shd w:val="clear" w:color="auto" w:fill="FFFFFF"/>
        </w:rPr>
        <w:t xml:space="preserve"> </w:t>
      </w:r>
      <w:proofErr w:type="spellStart"/>
      <w:r w:rsidR="00621BE0">
        <w:rPr>
          <w:color w:val="000000" w:themeColor="text1"/>
          <w:sz w:val="20"/>
          <w:szCs w:val="20"/>
          <w:shd w:val="clear" w:color="auto" w:fill="FFFFFF"/>
        </w:rPr>
        <w:t>CAncer</w:t>
      </w:r>
      <w:proofErr w:type="spellEnd"/>
      <w:r w:rsidR="00621BE0">
        <w:rPr>
          <w:color w:val="000000" w:themeColor="text1"/>
          <w:sz w:val="20"/>
          <w:szCs w:val="20"/>
          <w:shd w:val="clear" w:color="auto" w:fill="FFFFFF"/>
        </w:rPr>
        <w:t xml:space="preserve"> gene 1/2 (B</w:t>
      </w:r>
      <w:r w:rsidR="00621BE0" w:rsidRPr="00621BE0">
        <w:rPr>
          <w:color w:val="000000" w:themeColor="text1"/>
          <w:sz w:val="20"/>
          <w:szCs w:val="20"/>
          <w:shd w:val="clear" w:color="auto" w:fill="FFFFFF"/>
        </w:rPr>
        <w:t>RCA1/2</w:t>
      </w:r>
      <w:r w:rsidR="00621BE0">
        <w:rPr>
          <w:color w:val="000000" w:themeColor="text1"/>
          <w:sz w:val="20"/>
          <w:szCs w:val="20"/>
          <w:shd w:val="clear" w:color="auto" w:fill="FFFFFF"/>
        </w:rPr>
        <w:t>)</w:t>
      </w:r>
      <w:r w:rsidR="00621BE0" w:rsidRPr="00621BE0">
        <w:rPr>
          <w:color w:val="000000" w:themeColor="text1"/>
          <w:sz w:val="20"/>
          <w:szCs w:val="20"/>
          <w:shd w:val="clear" w:color="auto" w:fill="FFFFFF"/>
        </w:rPr>
        <w:t xml:space="preserve"> mutation to assess the likelihood of developing breast and ovarian cancers</w:t>
      </w:r>
      <w:r w:rsidR="00621BE0">
        <w:rPr>
          <w:color w:val="000000" w:themeColor="text1"/>
          <w:sz w:val="20"/>
          <w:szCs w:val="20"/>
          <w:shd w:val="clear" w:color="auto" w:fill="FFFFFF"/>
        </w:rPr>
        <w:t xml:space="preserve"> [10,11,12]. </w:t>
      </w:r>
      <w:r w:rsidR="00621BE0" w:rsidRPr="00621BE0">
        <w:rPr>
          <w:color w:val="000000" w:themeColor="text1"/>
          <w:sz w:val="20"/>
          <w:szCs w:val="20"/>
          <w:shd w:val="clear" w:color="auto" w:fill="FFFFFF"/>
        </w:rPr>
        <w:t>These biomarkers could be used to determine the need for dietary, lifestyle, or other preventive therapies. Patients who require more intense disease surveillance, such as more frequent mammograms to check for breast cancer, may also be identified using susceptibility/risk biomarkers [13].</w:t>
      </w:r>
    </w:p>
    <w:p w14:paraId="3F56653E" w14:textId="77777777" w:rsidR="00F00237" w:rsidRPr="00426A10" w:rsidRDefault="00F00237" w:rsidP="00C324CF">
      <w:pPr>
        <w:pStyle w:val="NormalWeb"/>
        <w:shd w:val="clear" w:color="auto" w:fill="FFFFFF"/>
        <w:spacing w:before="0" w:beforeAutospacing="0" w:after="0" w:afterAutospacing="0"/>
        <w:jc w:val="both"/>
        <w:rPr>
          <w:color w:val="000000" w:themeColor="text1"/>
          <w:sz w:val="20"/>
          <w:szCs w:val="20"/>
          <w:shd w:val="clear" w:color="auto" w:fill="FFFFFF"/>
        </w:rPr>
      </w:pPr>
    </w:p>
    <w:p w14:paraId="7F3403EF" w14:textId="0E4FFA10" w:rsidR="00C324CF" w:rsidRPr="00426A10" w:rsidRDefault="0063608C" w:rsidP="00502551">
      <w:pPr>
        <w:pStyle w:val="BodyText"/>
        <w:spacing w:after="0" w:line="240" w:lineRule="auto"/>
        <w:ind w:firstLine="0"/>
        <w:rPr>
          <w:color w:val="000000" w:themeColor="text1"/>
        </w:rPr>
      </w:pPr>
      <w:r w:rsidRPr="00426A10">
        <w:rPr>
          <w:color w:val="000000" w:themeColor="text1"/>
        </w:rPr>
        <w:t>B</w:t>
      </w:r>
      <w:r w:rsidR="007C0105" w:rsidRPr="00426A10">
        <w:rPr>
          <w:color w:val="000000" w:themeColor="text1"/>
        </w:rPr>
        <w:t xml:space="preserve">. </w:t>
      </w:r>
      <w:r w:rsidR="00826193" w:rsidRPr="00426A10">
        <w:rPr>
          <w:color w:val="000000" w:themeColor="text1"/>
        </w:rPr>
        <w:t>Diagnostic</w:t>
      </w:r>
      <w:r w:rsidR="002D5EF2" w:rsidRPr="00426A10">
        <w:rPr>
          <w:color w:val="000000" w:themeColor="text1"/>
        </w:rPr>
        <w:t xml:space="preserve"> biomarkers</w:t>
      </w:r>
      <w:r w:rsidR="00826193" w:rsidRPr="00426A10">
        <w:rPr>
          <w:color w:val="000000" w:themeColor="text1"/>
        </w:rPr>
        <w:t xml:space="preserve">: </w:t>
      </w:r>
    </w:p>
    <w:p w14:paraId="075E6616" w14:textId="1FDF332F" w:rsidR="00424C22" w:rsidRPr="00426A10" w:rsidRDefault="00F66CFC" w:rsidP="00424C22">
      <w:pPr>
        <w:pStyle w:val="BodyText"/>
        <w:spacing w:after="0" w:line="240" w:lineRule="auto"/>
        <w:ind w:firstLine="0"/>
        <w:rPr>
          <w:color w:val="000000" w:themeColor="text1"/>
          <w:shd w:val="clear" w:color="auto" w:fill="FFFFFF"/>
        </w:rPr>
      </w:pPr>
      <w:r w:rsidRPr="00F66CFC">
        <w:rPr>
          <w:color w:val="000000" w:themeColor="text1"/>
          <w:shd w:val="clear" w:color="auto" w:fill="FFFFFF"/>
        </w:rPr>
        <w:t>The proper diagnosis of illnesses and ailments is essential to good medical practi</w:t>
      </w:r>
      <w:r>
        <w:rPr>
          <w:color w:val="000000" w:themeColor="text1"/>
          <w:shd w:val="clear" w:color="auto" w:fill="FFFFFF"/>
        </w:rPr>
        <w:t>c</w:t>
      </w:r>
      <w:r w:rsidRPr="00F66CFC">
        <w:rPr>
          <w:color w:val="000000" w:themeColor="text1"/>
          <w:shd w:val="clear" w:color="auto" w:fill="FFFFFF"/>
        </w:rPr>
        <w:t>e. When an illness or condition is present, a diagnostic biomarker is utili</w:t>
      </w:r>
      <w:r>
        <w:rPr>
          <w:color w:val="000000" w:themeColor="text1"/>
          <w:shd w:val="clear" w:color="auto" w:fill="FFFFFF"/>
        </w:rPr>
        <w:t>z</w:t>
      </w:r>
      <w:r w:rsidRPr="00F66CFC">
        <w:rPr>
          <w:color w:val="000000" w:themeColor="text1"/>
          <w:shd w:val="clear" w:color="auto" w:fill="FFFFFF"/>
        </w:rPr>
        <w:t>ed to either confirm it or to identify individuals who have a particular subtype of the disease</w:t>
      </w:r>
      <w:r w:rsidR="00826193" w:rsidRPr="00426A10">
        <w:rPr>
          <w:color w:val="000000" w:themeColor="text1"/>
          <w:shd w:val="clear" w:color="auto" w:fill="FFFFFF"/>
        </w:rPr>
        <w:t xml:space="preserve">. </w:t>
      </w:r>
      <w:r w:rsidR="00E605F2" w:rsidRPr="00426A10">
        <w:rPr>
          <w:color w:val="000000" w:themeColor="text1"/>
          <w:shd w:val="clear" w:color="auto" w:fill="FFFFFF"/>
        </w:rPr>
        <w:t xml:space="preserve">They </w:t>
      </w:r>
      <w:r w:rsidR="00826193" w:rsidRPr="00426A10">
        <w:rPr>
          <w:color w:val="000000" w:themeColor="text1"/>
          <w:shd w:val="clear" w:color="auto" w:fill="FFFFFF"/>
        </w:rPr>
        <w:t xml:space="preserve">are used </w:t>
      </w:r>
      <w:r w:rsidR="00316590" w:rsidRPr="00426A10">
        <w:rPr>
          <w:color w:val="000000" w:themeColor="text1"/>
          <w:shd w:val="clear" w:color="auto" w:fill="FFFFFF"/>
        </w:rPr>
        <w:t>to determine</w:t>
      </w:r>
      <w:r w:rsidR="00826193" w:rsidRPr="00426A10">
        <w:rPr>
          <w:color w:val="000000" w:themeColor="text1"/>
          <w:shd w:val="clear" w:color="auto" w:fill="FFFFFF"/>
        </w:rPr>
        <w:t xml:space="preserve"> whether a patient has a particular medical condition for which treatment may be indicated or whether an individual should be enrolled in a clinical trial studying a particular disease. </w:t>
      </w:r>
      <w:r w:rsidRPr="00F66CFC">
        <w:rPr>
          <w:color w:val="000000" w:themeColor="text1"/>
          <w:shd w:val="clear" w:color="auto" w:fill="FFFFFF"/>
        </w:rPr>
        <w:t xml:space="preserve">It is crucial to describe the anticipated performance of a diagnostic biomarker test under the predetermined usage circumstances. This necessitates paying attention to the demographic being diagnosed and how the test is being used on that population </w:t>
      </w:r>
      <w:r w:rsidR="00955F05" w:rsidRPr="00426A10">
        <w:rPr>
          <w:color w:val="000000" w:themeColor="text1"/>
          <w:shd w:val="clear" w:color="auto" w:fill="FFFFFF"/>
        </w:rPr>
        <w:t>[14].</w:t>
      </w:r>
      <w:r w:rsidR="00663DAB" w:rsidRPr="00426A10">
        <w:rPr>
          <w:color w:val="000000" w:themeColor="text1"/>
          <w:shd w:val="clear" w:color="auto" w:fill="FFFFFF"/>
        </w:rPr>
        <w:t xml:space="preserve"> </w:t>
      </w:r>
      <w:r w:rsidR="009611C9" w:rsidRPr="00426A10">
        <w:rPr>
          <w:color w:val="000000" w:themeColor="text1"/>
          <w:shd w:val="clear" w:color="auto" w:fill="FFFFFF"/>
        </w:rPr>
        <w:t xml:space="preserve">A few examples of diagnostic biomarkers </w:t>
      </w:r>
      <w:r w:rsidR="009611C9" w:rsidRPr="00426A10">
        <w:rPr>
          <w:color w:val="000000" w:themeColor="text1"/>
          <w:shd w:val="clear" w:color="auto" w:fill="FFFFFF"/>
        </w:rPr>
        <w:lastRenderedPageBreak/>
        <w:t>include estrogen receptor (ER), progesterone receptor (PR) and human epidermal growth factor receptor-2 (HER2) for breast cancer, cancer antigen 125 (CA</w:t>
      </w:r>
      <w:r w:rsidR="00B24771" w:rsidRPr="00426A10">
        <w:rPr>
          <w:color w:val="000000" w:themeColor="text1"/>
          <w:shd w:val="clear" w:color="auto" w:fill="FFFFFF"/>
        </w:rPr>
        <w:t xml:space="preserve"> </w:t>
      </w:r>
      <w:r w:rsidR="009611C9" w:rsidRPr="00426A10">
        <w:rPr>
          <w:color w:val="000000" w:themeColor="text1"/>
          <w:shd w:val="clear" w:color="auto" w:fill="FFFFFF"/>
        </w:rPr>
        <w:t>125) for ovarian cancer</w:t>
      </w:r>
      <w:r w:rsidR="00D22A97" w:rsidRPr="00426A10">
        <w:rPr>
          <w:color w:val="000000" w:themeColor="text1"/>
          <w:shd w:val="clear" w:color="auto" w:fill="FFFFFF"/>
        </w:rPr>
        <w:t xml:space="preserve"> and </w:t>
      </w:r>
      <w:r w:rsidR="002F146E" w:rsidRPr="00426A10">
        <w:rPr>
          <w:color w:val="000000" w:themeColor="text1"/>
          <w:shd w:val="clear" w:color="auto" w:fill="FFFFFF"/>
        </w:rPr>
        <w:t>prostate</w:t>
      </w:r>
      <w:r w:rsidR="00B24771" w:rsidRPr="00426A10">
        <w:rPr>
          <w:color w:val="000000" w:themeColor="text1"/>
          <w:shd w:val="clear" w:color="auto" w:fill="FFFFFF"/>
        </w:rPr>
        <w:t>-</w:t>
      </w:r>
      <w:r w:rsidR="002F146E" w:rsidRPr="00426A10">
        <w:rPr>
          <w:color w:val="000000" w:themeColor="text1"/>
          <w:shd w:val="clear" w:color="auto" w:fill="FFFFFF"/>
        </w:rPr>
        <w:t>specific</w:t>
      </w:r>
      <w:r w:rsidR="00D22A97" w:rsidRPr="00426A10">
        <w:rPr>
          <w:color w:val="000000" w:themeColor="text1"/>
          <w:shd w:val="clear" w:color="auto" w:fill="FFFFFF"/>
        </w:rPr>
        <w:t xml:space="preserve"> antigen (PSA) for prostate cancer</w:t>
      </w:r>
      <w:r w:rsidR="00075767" w:rsidRPr="00426A10">
        <w:rPr>
          <w:color w:val="000000" w:themeColor="text1"/>
          <w:shd w:val="clear" w:color="auto" w:fill="FFFFFF"/>
        </w:rPr>
        <w:t xml:space="preserve"> [15,16</w:t>
      </w:r>
      <w:r w:rsidR="00F3414A" w:rsidRPr="00426A10">
        <w:rPr>
          <w:color w:val="000000" w:themeColor="text1"/>
          <w:shd w:val="clear" w:color="auto" w:fill="FFFFFF"/>
        </w:rPr>
        <w:t>,17</w:t>
      </w:r>
      <w:r w:rsidR="00075767" w:rsidRPr="00426A10">
        <w:rPr>
          <w:color w:val="000000" w:themeColor="text1"/>
          <w:shd w:val="clear" w:color="auto" w:fill="FFFFFF"/>
        </w:rPr>
        <w:t>]</w:t>
      </w:r>
      <w:r w:rsidR="009611C9" w:rsidRPr="00426A10">
        <w:rPr>
          <w:color w:val="000000" w:themeColor="text1"/>
          <w:shd w:val="clear" w:color="auto" w:fill="FFFFFF"/>
        </w:rPr>
        <w:t xml:space="preserve">. </w:t>
      </w:r>
    </w:p>
    <w:p w14:paraId="2A3B6452" w14:textId="77777777" w:rsidR="00424C22" w:rsidRPr="00426A10" w:rsidRDefault="00424C22" w:rsidP="00424C22">
      <w:pPr>
        <w:pStyle w:val="BodyText"/>
        <w:spacing w:after="0" w:line="240" w:lineRule="auto"/>
        <w:ind w:firstLine="0"/>
        <w:rPr>
          <w:color w:val="000000" w:themeColor="text1"/>
          <w:shd w:val="clear" w:color="auto" w:fill="FFFFFF"/>
        </w:rPr>
      </w:pPr>
    </w:p>
    <w:p w14:paraId="1A760C07" w14:textId="3B6D7695" w:rsidR="00D530E8" w:rsidRPr="00426A10" w:rsidRDefault="0063608C"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C</w:t>
      </w:r>
      <w:r w:rsidR="007C0105" w:rsidRPr="00426A10">
        <w:rPr>
          <w:color w:val="000000" w:themeColor="text1"/>
          <w:shd w:val="clear" w:color="auto" w:fill="FFFFFF"/>
        </w:rPr>
        <w:t>.</w:t>
      </w:r>
      <w:r w:rsidRPr="00426A10">
        <w:rPr>
          <w:color w:val="000000" w:themeColor="text1"/>
          <w:shd w:val="clear" w:color="auto" w:fill="FFFFFF"/>
        </w:rPr>
        <w:t xml:space="preserve"> </w:t>
      </w:r>
      <w:r w:rsidR="00826193" w:rsidRPr="00426A10">
        <w:rPr>
          <w:color w:val="000000" w:themeColor="text1"/>
          <w:shd w:val="clear" w:color="auto" w:fill="FFFFFF"/>
        </w:rPr>
        <w:t>Monitoring</w:t>
      </w:r>
      <w:r w:rsidR="002D5EF2" w:rsidRPr="00426A10">
        <w:rPr>
          <w:color w:val="000000" w:themeColor="text1"/>
          <w:shd w:val="clear" w:color="auto" w:fill="FFFFFF"/>
        </w:rPr>
        <w:t xml:space="preserve"> biomarkers</w:t>
      </w:r>
      <w:r w:rsidR="00826193" w:rsidRPr="00426A10">
        <w:rPr>
          <w:color w:val="000000" w:themeColor="text1"/>
          <w:shd w:val="clear" w:color="auto" w:fill="FFFFFF"/>
        </w:rPr>
        <w:t xml:space="preserve">: </w:t>
      </w:r>
    </w:p>
    <w:p w14:paraId="5F8433E5" w14:textId="172A4425" w:rsidR="009138ED" w:rsidRPr="00426A10" w:rsidRDefault="00F66CFC" w:rsidP="009138ED">
      <w:pPr>
        <w:pStyle w:val="BodyText"/>
        <w:spacing w:after="0" w:line="240" w:lineRule="auto"/>
        <w:ind w:firstLine="0"/>
        <w:rPr>
          <w:color w:val="000000" w:themeColor="text1"/>
          <w:shd w:val="clear" w:color="auto" w:fill="FFFFFF"/>
        </w:rPr>
      </w:pPr>
      <w:r w:rsidRPr="00F66CFC">
        <w:rPr>
          <w:color w:val="000000" w:themeColor="text1"/>
        </w:rPr>
        <w:t xml:space="preserve">A monitoring biomarker is a biomarker that is regularly examined to determine the progression of a disease or other medical condition, as well as to show exposure to (or the impact of) a drug or other environmental factor. These biomarkers can be used to monitor disease progression, which includes the appearance of new disease effects, a worsening of already present abnormalities, a change in the severity of the disease, or a change in a particular abnormality, as well as the disease or condition's response to treatment, which may be </w:t>
      </w:r>
      <w:proofErr w:type="spellStart"/>
      <w:r w:rsidRPr="00F66CFC">
        <w:rPr>
          <w:color w:val="000000" w:themeColor="text1"/>
        </w:rPr>
        <w:t>favourable</w:t>
      </w:r>
      <w:proofErr w:type="spellEnd"/>
      <w:r w:rsidRPr="00F66CFC">
        <w:rPr>
          <w:color w:val="000000" w:themeColor="text1"/>
        </w:rPr>
        <w:t xml:space="preserve"> or </w:t>
      </w:r>
      <w:proofErr w:type="spellStart"/>
      <w:r w:rsidRPr="00F66CFC">
        <w:rPr>
          <w:color w:val="000000" w:themeColor="text1"/>
        </w:rPr>
        <w:t>unfavourable</w:t>
      </w:r>
      <w:proofErr w:type="spellEnd"/>
      <w:r w:rsidRPr="00F66CFC">
        <w:rPr>
          <w:color w:val="000000" w:themeColor="text1"/>
        </w:rPr>
        <w:t xml:space="preserve">. </w:t>
      </w:r>
      <w:r w:rsidR="00D530E8" w:rsidRPr="00426A10">
        <w:rPr>
          <w:color w:val="000000" w:themeColor="text1"/>
        </w:rPr>
        <w:t>Monitoring biomarkers during an intervention can be u</w:t>
      </w:r>
      <w:r>
        <w:rPr>
          <w:color w:val="000000" w:themeColor="text1"/>
        </w:rPr>
        <w:t>tilized</w:t>
      </w:r>
      <w:r w:rsidR="00D530E8" w:rsidRPr="00426A10">
        <w:rPr>
          <w:color w:val="000000" w:themeColor="text1"/>
        </w:rPr>
        <w:t xml:space="preserve"> for </w:t>
      </w:r>
      <w:r>
        <w:rPr>
          <w:color w:val="000000" w:themeColor="text1"/>
        </w:rPr>
        <w:t>various</w:t>
      </w:r>
      <w:r w:rsidR="00D530E8" w:rsidRPr="00426A10">
        <w:rPr>
          <w:color w:val="000000" w:themeColor="text1"/>
        </w:rPr>
        <w:t xml:space="preserve"> objectives, including</w:t>
      </w:r>
      <w:r>
        <w:rPr>
          <w:color w:val="000000" w:themeColor="text1"/>
        </w:rPr>
        <w:t xml:space="preserve"> assessing</w:t>
      </w:r>
      <w:r w:rsidR="00D530E8" w:rsidRPr="00426A10">
        <w:rPr>
          <w:color w:val="000000" w:themeColor="text1"/>
        </w:rPr>
        <w:t xml:space="preserve"> how a drug is metabolized by a patient by monitoring drug concentration, detecting therapeutic effects or disease progression while on or post-therapy, and detecting toxicity. Monitoring biomarkers can be used to detect the existence of diseases or medical disorders, as well as the risk of developing them, at the individual or community level. Individuals being monitored</w:t>
      </w:r>
      <w:r w:rsidR="009138ED" w:rsidRPr="009138ED">
        <w:rPr>
          <w:color w:val="000000" w:themeColor="text1"/>
        </w:rPr>
        <w:t xml:space="preserve"> may not exhibit any clinically evident medical illnesses or diseases, or they may have a health issue or history of exposure that makes them more likely to experience the onset of a new disorder or disease [18].</w:t>
      </w:r>
      <w:r w:rsidR="00F01E6B">
        <w:rPr>
          <w:color w:val="000000" w:themeColor="text1"/>
          <w:shd w:val="clear" w:color="auto" w:fill="FFFFFF"/>
        </w:rPr>
        <w:t xml:space="preserve"> </w:t>
      </w:r>
      <w:r w:rsidR="009138ED" w:rsidRPr="009138ED">
        <w:rPr>
          <w:color w:val="000000" w:themeColor="text1"/>
          <w:shd w:val="clear" w:color="auto" w:fill="FFFFFF"/>
        </w:rPr>
        <w:t>For instance, prostate-specific antigen (PSA) is used to assess the disease status or burden in patients with prostate cancer, while cancer antigen 125 (CA 125) is used to assess the disease status or burden in patients with ovarian cancer both during and after treatment</w:t>
      </w:r>
      <w:r w:rsidR="009138ED">
        <w:rPr>
          <w:color w:val="000000" w:themeColor="text1"/>
          <w:shd w:val="clear" w:color="auto" w:fill="FFFFFF"/>
        </w:rPr>
        <w:t xml:space="preserve"> and </w:t>
      </w:r>
      <w:r w:rsidR="009138ED" w:rsidRPr="009138ED">
        <w:rPr>
          <w:color w:val="000000" w:themeColor="text1"/>
          <w:shd w:val="clear" w:color="auto" w:fill="FFFFFF"/>
        </w:rPr>
        <w:t>monoclonal protein (M protein) to assess whether people with monoclonal gammopathy of undetermined significance (MGUS) are displaying symptoms of progression to other conditions</w:t>
      </w:r>
      <w:r w:rsidR="009138ED">
        <w:rPr>
          <w:color w:val="000000" w:themeColor="text1"/>
          <w:shd w:val="clear" w:color="auto" w:fill="FFFFFF"/>
        </w:rPr>
        <w:t xml:space="preserve"> </w:t>
      </w:r>
      <w:r w:rsidR="009138ED" w:rsidRPr="00426A10">
        <w:rPr>
          <w:color w:val="000000" w:themeColor="text1"/>
          <w:shd w:val="clear" w:color="auto" w:fill="FFFFFF"/>
        </w:rPr>
        <w:t>[19,20,21].</w:t>
      </w:r>
    </w:p>
    <w:p w14:paraId="084CC0EA" w14:textId="6DC7C67C" w:rsidR="00424C22" w:rsidRDefault="00424C22" w:rsidP="00466548">
      <w:pPr>
        <w:pStyle w:val="BodyText"/>
        <w:spacing w:after="0" w:line="240" w:lineRule="auto"/>
        <w:ind w:firstLine="0"/>
        <w:rPr>
          <w:color w:val="000000" w:themeColor="text1"/>
          <w:shd w:val="clear" w:color="auto" w:fill="FFFFFF"/>
        </w:rPr>
      </w:pPr>
    </w:p>
    <w:p w14:paraId="18B06ADD" w14:textId="77777777" w:rsidR="009138ED" w:rsidRPr="00426A10" w:rsidRDefault="009138ED" w:rsidP="00466548">
      <w:pPr>
        <w:pStyle w:val="BodyText"/>
        <w:spacing w:after="0" w:line="240" w:lineRule="auto"/>
        <w:ind w:firstLine="0"/>
        <w:rPr>
          <w:color w:val="000000" w:themeColor="text1"/>
          <w:shd w:val="clear" w:color="auto" w:fill="FFFFFF"/>
        </w:rPr>
      </w:pPr>
    </w:p>
    <w:p w14:paraId="3CB29222" w14:textId="1C870BDD" w:rsidR="00424C22" w:rsidRPr="00426A10" w:rsidRDefault="0063608C" w:rsidP="00466548">
      <w:pPr>
        <w:pStyle w:val="BodyText"/>
        <w:spacing w:after="0" w:line="240" w:lineRule="auto"/>
        <w:ind w:firstLine="0"/>
        <w:rPr>
          <w:color w:val="000000" w:themeColor="text1"/>
        </w:rPr>
      </w:pPr>
      <w:r w:rsidRPr="00426A10">
        <w:rPr>
          <w:color w:val="000000" w:themeColor="text1"/>
        </w:rPr>
        <w:t>D</w:t>
      </w:r>
      <w:r w:rsidR="007C0105" w:rsidRPr="00426A10">
        <w:rPr>
          <w:color w:val="000000" w:themeColor="text1"/>
        </w:rPr>
        <w:t>.</w:t>
      </w:r>
      <w:r w:rsidRPr="00426A10">
        <w:rPr>
          <w:color w:val="000000" w:themeColor="text1"/>
        </w:rPr>
        <w:t xml:space="preserve"> </w:t>
      </w:r>
      <w:r w:rsidR="00826193" w:rsidRPr="00426A10">
        <w:rPr>
          <w:color w:val="000000" w:themeColor="text1"/>
        </w:rPr>
        <w:t>Prognostic</w:t>
      </w:r>
      <w:r w:rsidR="002D5EF2" w:rsidRPr="00426A10">
        <w:rPr>
          <w:color w:val="000000" w:themeColor="text1"/>
        </w:rPr>
        <w:t xml:space="preserve"> biomarkers</w:t>
      </w:r>
      <w:r w:rsidR="00826193" w:rsidRPr="00426A10">
        <w:rPr>
          <w:color w:val="000000" w:themeColor="text1"/>
        </w:rPr>
        <w:t>:</w:t>
      </w:r>
    </w:p>
    <w:p w14:paraId="0B70A169" w14:textId="205DA9E3" w:rsidR="00BA4EB6" w:rsidRPr="00F01E6B" w:rsidRDefault="00F01E6B" w:rsidP="00BA4EB6">
      <w:pPr>
        <w:pStyle w:val="BodyText"/>
        <w:spacing w:after="0" w:line="240" w:lineRule="auto"/>
        <w:ind w:firstLine="0"/>
        <w:rPr>
          <w:color w:val="000000" w:themeColor="text1"/>
          <w:shd w:val="clear" w:color="auto" w:fill="FFFFFF"/>
        </w:rPr>
      </w:pPr>
      <w:r w:rsidRPr="00F01E6B">
        <w:rPr>
          <w:color w:val="000000" w:themeColor="text1"/>
          <w:shd w:val="clear" w:color="auto" w:fill="FFFFFF"/>
        </w:rPr>
        <w:t>The chance of a clinical occurrence, illness recurrence, or disease progression in patients with the disease or medical condition of interest is determined by prognostic biomarkers.</w:t>
      </w:r>
      <w:r>
        <w:rPr>
          <w:color w:val="000000" w:themeColor="text1"/>
          <w:shd w:val="clear" w:color="auto" w:fill="FFFFFF"/>
        </w:rPr>
        <w:t xml:space="preserve"> </w:t>
      </w:r>
      <w:r w:rsidRPr="00F01E6B">
        <w:rPr>
          <w:color w:val="000000" w:themeColor="text1"/>
          <w:shd w:val="clear" w:color="auto" w:fill="FFFFFF"/>
        </w:rPr>
        <w:t>It indicates a greater or lesser likelihood of future clinical incidence, disease development, or recurrence in a certain group.</w:t>
      </w:r>
      <w:r>
        <w:rPr>
          <w:color w:val="000000" w:themeColor="text1"/>
          <w:shd w:val="clear" w:color="auto" w:fill="FFFFFF"/>
        </w:rPr>
        <w:t xml:space="preserve"> </w:t>
      </w:r>
      <w:r w:rsidRPr="00F01E6B">
        <w:rPr>
          <w:color w:val="000000" w:themeColor="text1"/>
          <w:shd w:val="clear" w:color="auto" w:fill="FFFFFF"/>
        </w:rPr>
        <w:t>Prognostic biomarkers are evaluated at a pre-established baseline, which may also contain a background therapy. Prognostic biomarkers are frequently used in clinical settings where a patient has been diagnosed with a disease or condition and it is desired to determine the chance of a future clinical occurrence [22]. In clinical trials, prognostic indicators are routinely used as eligibility requirements to identify patients who are more likely to experience clinical events or disease progression.</w:t>
      </w:r>
      <w:r>
        <w:rPr>
          <w:color w:val="000000" w:themeColor="text1"/>
          <w:shd w:val="clear" w:color="auto" w:fill="FFFFFF"/>
        </w:rPr>
        <w:t xml:space="preserve"> </w:t>
      </w:r>
      <w:r w:rsidR="00A6425C" w:rsidRPr="00426A10">
        <w:rPr>
          <w:color w:val="000000" w:themeColor="text1"/>
          <w:shd w:val="clear" w:color="auto" w:fill="FFFFFF"/>
        </w:rPr>
        <w:t xml:space="preserve">According to the United States Food and Drug Administration (2012), </w:t>
      </w:r>
      <w:r w:rsidR="000B7535" w:rsidRPr="00426A10">
        <w:rPr>
          <w:color w:val="000000" w:themeColor="text1"/>
          <w:shd w:val="clear" w:color="auto" w:fill="FFFFFF"/>
        </w:rPr>
        <w:t>prognostic biomarkers</w:t>
      </w:r>
      <w:r w:rsidR="00A6425C" w:rsidRPr="00426A10">
        <w:rPr>
          <w:color w:val="000000" w:themeColor="text1"/>
          <w:shd w:val="clear" w:color="auto" w:fill="FFFFFF"/>
        </w:rPr>
        <w:t xml:space="preserve"> are commonly utilized as enrichment factors in drug development. </w:t>
      </w:r>
      <w:r w:rsidR="00BA4EB6" w:rsidRPr="00426A10">
        <w:rPr>
          <w:color w:val="000000" w:themeColor="text1"/>
          <w:shd w:val="clear" w:color="auto" w:fill="FFFFFF"/>
        </w:rPr>
        <w:t xml:space="preserve">Some examples of prognostic biomarkers include </w:t>
      </w:r>
      <w:proofErr w:type="spellStart"/>
      <w:r w:rsidR="00BA4EB6" w:rsidRPr="00426A10">
        <w:rPr>
          <w:color w:val="000000" w:themeColor="text1"/>
        </w:rPr>
        <w:t>BReast</w:t>
      </w:r>
      <w:proofErr w:type="spellEnd"/>
      <w:r w:rsidR="00BA4EB6" w:rsidRPr="00426A10">
        <w:rPr>
          <w:color w:val="000000" w:themeColor="text1"/>
        </w:rPr>
        <w:t xml:space="preserve"> </w:t>
      </w:r>
      <w:proofErr w:type="spellStart"/>
      <w:r w:rsidR="00BA4EB6" w:rsidRPr="00426A10">
        <w:rPr>
          <w:color w:val="000000" w:themeColor="text1"/>
        </w:rPr>
        <w:t>CAncer</w:t>
      </w:r>
      <w:proofErr w:type="spellEnd"/>
      <w:r w:rsidR="00BA4EB6" w:rsidRPr="00426A10">
        <w:rPr>
          <w:color w:val="000000" w:themeColor="text1"/>
        </w:rPr>
        <w:t xml:space="preserve"> genes 1 and 2 (BRCA1/2) mutations </w:t>
      </w:r>
      <w:r w:rsidR="00A66E80" w:rsidRPr="00426A10">
        <w:rPr>
          <w:color w:val="000000" w:themeColor="text1"/>
        </w:rPr>
        <w:t>for the</w:t>
      </w:r>
      <w:r w:rsidR="00BA4EB6" w:rsidRPr="00426A10">
        <w:rPr>
          <w:color w:val="000000" w:themeColor="text1"/>
        </w:rPr>
        <w:t xml:space="preserve"> evaluat</w:t>
      </w:r>
      <w:r w:rsidR="00A66E80" w:rsidRPr="00426A10">
        <w:rPr>
          <w:color w:val="000000" w:themeColor="text1"/>
        </w:rPr>
        <w:t>ion of</w:t>
      </w:r>
      <w:r w:rsidR="00BA4EB6" w:rsidRPr="00426A10">
        <w:rPr>
          <w:color w:val="000000" w:themeColor="text1"/>
        </w:rPr>
        <w:t xml:space="preserve"> women with breast cancer and </w:t>
      </w:r>
      <w:r w:rsidR="00A66E80" w:rsidRPr="00426A10">
        <w:rPr>
          <w:color w:val="000000" w:themeColor="text1"/>
        </w:rPr>
        <w:t>for</w:t>
      </w:r>
      <w:r w:rsidR="00BA4EB6" w:rsidRPr="00426A10">
        <w:rPr>
          <w:color w:val="000000" w:themeColor="text1"/>
        </w:rPr>
        <w:t xml:space="preserve"> </w:t>
      </w:r>
      <w:r w:rsidR="00A66E80" w:rsidRPr="00426A10">
        <w:rPr>
          <w:color w:val="000000" w:themeColor="text1"/>
        </w:rPr>
        <w:t xml:space="preserve">the </w:t>
      </w:r>
      <w:r w:rsidR="00BA4EB6" w:rsidRPr="00426A10">
        <w:rPr>
          <w:color w:val="000000" w:themeColor="text1"/>
        </w:rPr>
        <w:t>assess</w:t>
      </w:r>
      <w:r w:rsidR="00A66E80" w:rsidRPr="00426A10">
        <w:rPr>
          <w:color w:val="000000" w:themeColor="text1"/>
        </w:rPr>
        <w:t>ment of</w:t>
      </w:r>
      <w:r w:rsidR="00BA4EB6" w:rsidRPr="00426A10">
        <w:rPr>
          <w:color w:val="000000" w:themeColor="text1"/>
        </w:rPr>
        <w:t xml:space="preserve"> the </w:t>
      </w:r>
      <w:r w:rsidR="00A66E80" w:rsidRPr="00426A10">
        <w:rPr>
          <w:color w:val="000000" w:themeColor="text1"/>
        </w:rPr>
        <w:t xml:space="preserve">occurrence </w:t>
      </w:r>
      <w:r w:rsidR="00BA4EB6" w:rsidRPr="00426A10">
        <w:rPr>
          <w:color w:val="000000" w:themeColor="text1"/>
        </w:rPr>
        <w:t>of a second breast cancer</w:t>
      </w:r>
      <w:r w:rsidR="004A6500" w:rsidRPr="00426A10">
        <w:rPr>
          <w:color w:val="000000" w:themeColor="text1"/>
        </w:rPr>
        <w:t xml:space="preserve"> [2</w:t>
      </w:r>
      <w:r w:rsidR="0091147C" w:rsidRPr="00426A10">
        <w:rPr>
          <w:color w:val="000000" w:themeColor="text1"/>
        </w:rPr>
        <w:t>3</w:t>
      </w:r>
      <w:r w:rsidR="004A6500" w:rsidRPr="00426A10">
        <w:rPr>
          <w:color w:val="000000" w:themeColor="text1"/>
        </w:rPr>
        <w:t>]</w:t>
      </w:r>
      <w:r w:rsidR="00BA4EB6" w:rsidRPr="00426A10">
        <w:rPr>
          <w:color w:val="000000" w:themeColor="text1"/>
        </w:rPr>
        <w:t xml:space="preserve">, chromosome 17p deletions and TP53 mutations </w:t>
      </w:r>
      <w:r w:rsidR="00AA1475" w:rsidRPr="00AA1475">
        <w:rPr>
          <w:color w:val="000000" w:themeColor="text1"/>
        </w:rPr>
        <w:t xml:space="preserve">for the evaluation of patients with chronic lymphocytic </w:t>
      </w:r>
      <w:r w:rsidR="00AA1475">
        <w:rPr>
          <w:color w:val="000000" w:themeColor="text1"/>
        </w:rPr>
        <w:t>leukemia</w:t>
      </w:r>
      <w:r w:rsidR="00AA1475" w:rsidRPr="00AA1475">
        <w:rPr>
          <w:color w:val="000000" w:themeColor="text1"/>
        </w:rPr>
        <w:t xml:space="preserve"> and to determine the likelihood of death </w:t>
      </w:r>
      <w:r w:rsidR="004A6500" w:rsidRPr="00426A10">
        <w:rPr>
          <w:color w:val="000000" w:themeColor="text1"/>
        </w:rPr>
        <w:t>[2</w:t>
      </w:r>
      <w:r w:rsidR="006E5CFB" w:rsidRPr="00426A10">
        <w:rPr>
          <w:color w:val="000000" w:themeColor="text1"/>
        </w:rPr>
        <w:t>4</w:t>
      </w:r>
      <w:r w:rsidR="004A6500" w:rsidRPr="00426A10">
        <w:rPr>
          <w:color w:val="000000" w:themeColor="text1"/>
        </w:rPr>
        <w:t>,2</w:t>
      </w:r>
      <w:r w:rsidR="006E5CFB" w:rsidRPr="00426A10">
        <w:rPr>
          <w:color w:val="000000" w:themeColor="text1"/>
        </w:rPr>
        <w:t>5</w:t>
      </w:r>
      <w:r w:rsidR="004A6500" w:rsidRPr="00426A10">
        <w:rPr>
          <w:color w:val="000000" w:themeColor="text1"/>
        </w:rPr>
        <w:t>]</w:t>
      </w:r>
      <w:r w:rsidR="00BA4EB6" w:rsidRPr="00426A10">
        <w:rPr>
          <w:color w:val="000000" w:themeColor="text1"/>
        </w:rPr>
        <w:t xml:space="preserve">, increasing prostate-specific antigen (PSA) and </w:t>
      </w:r>
      <w:r w:rsidR="00A66E80" w:rsidRPr="00426A10">
        <w:rPr>
          <w:color w:val="000000" w:themeColor="text1"/>
        </w:rPr>
        <w:t>Gleason</w:t>
      </w:r>
      <w:r w:rsidR="00BA4EB6" w:rsidRPr="00426A10">
        <w:rPr>
          <w:color w:val="000000" w:themeColor="text1"/>
        </w:rPr>
        <w:t xml:space="preserve"> </w:t>
      </w:r>
      <w:r w:rsidR="00A66E80" w:rsidRPr="00426A10">
        <w:rPr>
          <w:color w:val="000000" w:themeColor="text1"/>
        </w:rPr>
        <w:t>to</w:t>
      </w:r>
      <w:r w:rsidR="00BA4EB6" w:rsidRPr="00426A10">
        <w:rPr>
          <w:color w:val="000000" w:themeColor="text1"/>
        </w:rPr>
        <w:t xml:space="preserve"> evalua</w:t>
      </w:r>
      <w:r w:rsidR="00A66E80" w:rsidRPr="00426A10">
        <w:rPr>
          <w:color w:val="000000" w:themeColor="text1"/>
        </w:rPr>
        <w:t xml:space="preserve">te </w:t>
      </w:r>
      <w:r w:rsidR="00BA4EB6" w:rsidRPr="00426A10">
        <w:rPr>
          <w:color w:val="000000" w:themeColor="text1"/>
        </w:rPr>
        <w:t xml:space="preserve">patients with prostate cancer during </w:t>
      </w:r>
      <w:r w:rsidR="00AA1475">
        <w:rPr>
          <w:color w:val="000000" w:themeColor="text1"/>
        </w:rPr>
        <w:t>check</w:t>
      </w:r>
      <w:r w:rsidR="00BA4EB6" w:rsidRPr="00426A10">
        <w:rPr>
          <w:color w:val="000000" w:themeColor="text1"/>
        </w:rPr>
        <w:t xml:space="preserve">-up and to </w:t>
      </w:r>
      <w:r w:rsidR="00AA1475">
        <w:rPr>
          <w:color w:val="000000" w:themeColor="text1"/>
        </w:rPr>
        <w:t>evaluate</w:t>
      </w:r>
      <w:r w:rsidR="00BA4EB6" w:rsidRPr="00426A10">
        <w:rPr>
          <w:color w:val="000000" w:themeColor="text1"/>
        </w:rPr>
        <w:t xml:space="preserve"> the </w:t>
      </w:r>
      <w:r w:rsidR="00CE4641" w:rsidRPr="00426A10">
        <w:rPr>
          <w:color w:val="000000" w:themeColor="text1"/>
        </w:rPr>
        <w:t xml:space="preserve">likeliness </w:t>
      </w:r>
      <w:r w:rsidR="00BA4EB6" w:rsidRPr="00426A10">
        <w:rPr>
          <w:color w:val="000000" w:themeColor="text1"/>
        </w:rPr>
        <w:t xml:space="preserve">of </w:t>
      </w:r>
      <w:r w:rsidR="00AA1475">
        <w:rPr>
          <w:color w:val="000000" w:themeColor="text1"/>
        </w:rPr>
        <w:t>development of cancer</w:t>
      </w:r>
      <w:r w:rsidR="004A6500" w:rsidRPr="00426A10">
        <w:rPr>
          <w:color w:val="000000" w:themeColor="text1"/>
        </w:rPr>
        <w:t xml:space="preserve"> [2</w:t>
      </w:r>
      <w:r w:rsidR="006E5CFB" w:rsidRPr="00426A10">
        <w:rPr>
          <w:color w:val="000000" w:themeColor="text1"/>
        </w:rPr>
        <w:t>6</w:t>
      </w:r>
      <w:r w:rsidR="004A6500" w:rsidRPr="00426A10">
        <w:rPr>
          <w:color w:val="000000" w:themeColor="text1"/>
        </w:rPr>
        <w:t>,2</w:t>
      </w:r>
      <w:r w:rsidR="006E5CFB" w:rsidRPr="00426A10">
        <w:rPr>
          <w:color w:val="000000" w:themeColor="text1"/>
        </w:rPr>
        <w:t>7</w:t>
      </w:r>
      <w:r w:rsidR="004A6500" w:rsidRPr="00426A10">
        <w:rPr>
          <w:color w:val="000000" w:themeColor="text1"/>
        </w:rPr>
        <w:t>]</w:t>
      </w:r>
      <w:r w:rsidR="00BA4EB6" w:rsidRPr="00426A10">
        <w:rPr>
          <w:color w:val="000000" w:themeColor="text1"/>
        </w:rPr>
        <w:t>.</w:t>
      </w:r>
      <w:r w:rsidR="004C420C" w:rsidRPr="00426A10">
        <w:rPr>
          <w:color w:val="000000" w:themeColor="text1"/>
        </w:rPr>
        <w:t xml:space="preserve"> </w:t>
      </w:r>
    </w:p>
    <w:p w14:paraId="1A95D521" w14:textId="2B5DAD67" w:rsidR="0063608C" w:rsidRPr="00426A10" w:rsidRDefault="0063608C" w:rsidP="00BA4EB6">
      <w:pPr>
        <w:pStyle w:val="BodyText"/>
        <w:spacing w:after="0" w:line="240" w:lineRule="auto"/>
        <w:ind w:firstLine="0"/>
        <w:rPr>
          <w:color w:val="000000" w:themeColor="text1"/>
        </w:rPr>
      </w:pPr>
    </w:p>
    <w:p w14:paraId="1E10FE32" w14:textId="1AB5C411" w:rsidR="0063608C" w:rsidRPr="00426A10" w:rsidRDefault="0063608C" w:rsidP="0063608C">
      <w:pPr>
        <w:pStyle w:val="BodyText"/>
        <w:spacing w:after="0" w:line="240" w:lineRule="auto"/>
        <w:ind w:firstLine="0"/>
        <w:rPr>
          <w:color w:val="000000" w:themeColor="text1"/>
        </w:rPr>
      </w:pPr>
      <w:r w:rsidRPr="00426A10">
        <w:rPr>
          <w:color w:val="000000" w:themeColor="text1"/>
        </w:rPr>
        <w:t>E</w:t>
      </w:r>
      <w:r w:rsidR="007C0105" w:rsidRPr="00426A10">
        <w:rPr>
          <w:color w:val="000000" w:themeColor="text1"/>
        </w:rPr>
        <w:t>.</w:t>
      </w:r>
      <w:r w:rsidRPr="00426A10">
        <w:rPr>
          <w:color w:val="000000" w:themeColor="text1"/>
        </w:rPr>
        <w:t xml:space="preserve"> </w:t>
      </w:r>
      <w:r w:rsidR="000E0BB2" w:rsidRPr="00426A10">
        <w:rPr>
          <w:color w:val="000000" w:themeColor="text1"/>
        </w:rPr>
        <w:t>Predictive</w:t>
      </w:r>
      <w:r w:rsidR="002D5EF2" w:rsidRPr="00426A10">
        <w:rPr>
          <w:color w:val="000000" w:themeColor="text1"/>
        </w:rPr>
        <w:t xml:space="preserve"> biomarkers</w:t>
      </w:r>
      <w:r w:rsidR="000E0BB2" w:rsidRPr="00426A10">
        <w:rPr>
          <w:color w:val="000000" w:themeColor="text1"/>
        </w:rPr>
        <w:t xml:space="preserve">: </w:t>
      </w:r>
    </w:p>
    <w:p w14:paraId="41E6234E" w14:textId="5F3B0E2F" w:rsidR="00424C22" w:rsidRPr="00426A10" w:rsidRDefault="0067385C" w:rsidP="0063608C">
      <w:pPr>
        <w:pStyle w:val="BodyText"/>
        <w:spacing w:after="0" w:line="240" w:lineRule="auto"/>
        <w:ind w:firstLine="0"/>
        <w:rPr>
          <w:color w:val="000000" w:themeColor="text1"/>
          <w:shd w:val="clear" w:color="auto" w:fill="FFFFFF"/>
        </w:rPr>
      </w:pPr>
      <w:r w:rsidRPr="0067385C">
        <w:rPr>
          <w:color w:val="000000" w:themeColor="text1"/>
          <w:shd w:val="clear" w:color="auto" w:fill="FFFFFF"/>
        </w:rPr>
        <w:t xml:space="preserve">Predictive biomarkers are those that are used to identify people who are more likely than similar people without the biomarker to suffer a positive or negative reaction to exposure to a drug or an environmental contaminant. They are employed to pinpoint those who are more likely to respond adversely to a given medicinal product or environmental contaminant. The response could have a positive impact on symptoms, lead to increased survival, or have a negative outcome. The phrase "predictive biomarker" covers a broad range of therapies for the treatment or prevention of diseases or afflictions, including drugs, biologics, medical devices or procedures, as well as </w:t>
      </w:r>
      <w:proofErr w:type="spellStart"/>
      <w:r w:rsidRPr="0067385C">
        <w:rPr>
          <w:color w:val="000000" w:themeColor="text1"/>
          <w:shd w:val="clear" w:color="auto" w:fill="FFFFFF"/>
        </w:rPr>
        <w:t>behavioural</w:t>
      </w:r>
      <w:proofErr w:type="spellEnd"/>
      <w:r w:rsidRPr="0067385C">
        <w:rPr>
          <w:color w:val="000000" w:themeColor="text1"/>
          <w:shd w:val="clear" w:color="auto" w:fill="FFFFFF"/>
        </w:rPr>
        <w:t xml:space="preserve"> or dietary changes. In addition to clinical trials, predictive biomarkers are helpful when making decisions about patient care, such as determining who would benefit from a certain treatment or selecting amongst several approaches. In the latter scenario, evidence demonstrating that a biomarker predicts the relative efficacy of an intervention should be supported by a description of the alternative interventions being contrasted. The biological makeup of the person (their "host characteristics"), the characteristics of the illness process, or other medical disorders may all serve as predictive biomarkers for the impact of interventions [28].</w:t>
      </w:r>
      <w:r>
        <w:rPr>
          <w:color w:val="000000" w:themeColor="text1"/>
          <w:shd w:val="clear" w:color="auto" w:fill="FFFFFF"/>
        </w:rPr>
        <w:t xml:space="preserve"> </w:t>
      </w:r>
      <w:r w:rsidR="00B24466" w:rsidRPr="00426A10">
        <w:rPr>
          <w:color w:val="000000" w:themeColor="text1"/>
        </w:rPr>
        <w:t xml:space="preserve">A few examples include </w:t>
      </w:r>
      <w:r w:rsidR="00A2723C" w:rsidRPr="00426A10">
        <w:rPr>
          <w:color w:val="000000" w:themeColor="text1"/>
        </w:rPr>
        <w:t>squamous differentiation in non-small cell lung cancer</w:t>
      </w:r>
      <w:r w:rsidR="00B52D5D" w:rsidRPr="00426A10">
        <w:rPr>
          <w:color w:val="000000" w:themeColor="text1"/>
        </w:rPr>
        <w:t xml:space="preserve"> (NSCLC)</w:t>
      </w:r>
      <w:r w:rsidR="00A2723C" w:rsidRPr="00426A10">
        <w:rPr>
          <w:color w:val="000000" w:themeColor="text1"/>
        </w:rPr>
        <w:t xml:space="preserve"> to identify patients who should avoid treatment with pemetrexed because it is likely to result in worse survival or progression-free survival outcomes compared with </w:t>
      </w:r>
      <w:r>
        <w:rPr>
          <w:color w:val="000000" w:themeColor="text1"/>
        </w:rPr>
        <w:t>conventional</w:t>
      </w:r>
      <w:r w:rsidR="00A2723C" w:rsidRPr="00426A10">
        <w:rPr>
          <w:color w:val="000000" w:themeColor="text1"/>
        </w:rPr>
        <w:t xml:space="preserve"> chemotherapies </w:t>
      </w:r>
      <w:r>
        <w:rPr>
          <w:color w:val="000000" w:themeColor="text1"/>
        </w:rPr>
        <w:t xml:space="preserve">like </w:t>
      </w:r>
      <w:r w:rsidR="00A2723C" w:rsidRPr="00426A10">
        <w:rPr>
          <w:color w:val="000000" w:themeColor="text1"/>
        </w:rPr>
        <w:t>cisplatin</w:t>
      </w:r>
      <w:r>
        <w:rPr>
          <w:color w:val="000000" w:themeColor="text1"/>
        </w:rPr>
        <w:t xml:space="preserve"> or docetaxel</w:t>
      </w:r>
      <w:r w:rsidR="00A2723C" w:rsidRPr="00426A10">
        <w:rPr>
          <w:color w:val="000000" w:themeColor="text1"/>
        </w:rPr>
        <w:t xml:space="preserve"> in </w:t>
      </w:r>
      <w:r>
        <w:rPr>
          <w:color w:val="000000" w:themeColor="text1"/>
        </w:rPr>
        <w:t xml:space="preserve">combined with </w:t>
      </w:r>
      <w:r w:rsidR="00A2723C" w:rsidRPr="00426A10">
        <w:rPr>
          <w:color w:val="000000" w:themeColor="text1"/>
        </w:rPr>
        <w:t xml:space="preserve">gemcitabine, </w:t>
      </w:r>
      <w:proofErr w:type="spellStart"/>
      <w:r w:rsidR="00B24466" w:rsidRPr="00426A10">
        <w:rPr>
          <w:color w:val="000000" w:themeColor="text1"/>
          <w:shd w:val="clear" w:color="auto" w:fill="FFFFFF"/>
        </w:rPr>
        <w:t>BReast</w:t>
      </w:r>
      <w:proofErr w:type="spellEnd"/>
      <w:r w:rsidR="00B24466" w:rsidRPr="00426A10">
        <w:rPr>
          <w:color w:val="000000" w:themeColor="text1"/>
          <w:shd w:val="clear" w:color="auto" w:fill="FFFFFF"/>
        </w:rPr>
        <w:t xml:space="preserve"> </w:t>
      </w:r>
      <w:proofErr w:type="spellStart"/>
      <w:r w:rsidR="00B24466" w:rsidRPr="00426A10">
        <w:rPr>
          <w:color w:val="000000" w:themeColor="text1"/>
          <w:shd w:val="clear" w:color="auto" w:fill="FFFFFF"/>
        </w:rPr>
        <w:t>CAncer</w:t>
      </w:r>
      <w:proofErr w:type="spellEnd"/>
      <w:r w:rsidR="00B24466" w:rsidRPr="00426A10">
        <w:rPr>
          <w:color w:val="000000" w:themeColor="text1"/>
          <w:shd w:val="clear" w:color="auto" w:fill="FFFFFF"/>
        </w:rPr>
        <w:t xml:space="preserve"> genes 1 and 2 (BRCA1/2) mutations for evaluating women with platinum-sensitive ovarian cancer and to identify patients likely to respond to Poly (ADP-ribose) polymerase (PARP) inhibitors</w:t>
      </w:r>
      <w:r w:rsidR="00000346" w:rsidRPr="00426A10">
        <w:rPr>
          <w:color w:val="000000" w:themeColor="text1"/>
          <w:shd w:val="clear" w:color="auto" w:fill="FFFFFF"/>
        </w:rPr>
        <w:t xml:space="preserve"> [29,30]</w:t>
      </w:r>
      <w:r w:rsidR="00B24466" w:rsidRPr="00426A10">
        <w:rPr>
          <w:color w:val="000000" w:themeColor="text1"/>
          <w:shd w:val="clear" w:color="auto" w:fill="FFFFFF"/>
        </w:rPr>
        <w:t>.</w:t>
      </w:r>
      <w:r w:rsidR="002233A1" w:rsidRPr="00426A10">
        <w:rPr>
          <w:color w:val="000000" w:themeColor="text1"/>
          <w:shd w:val="clear" w:color="auto" w:fill="FFFFFF"/>
        </w:rPr>
        <w:t xml:space="preserve"> </w:t>
      </w:r>
    </w:p>
    <w:p w14:paraId="07A7295F" w14:textId="77777777" w:rsidR="0063608C" w:rsidRPr="00426A10" w:rsidRDefault="0063608C" w:rsidP="0063608C">
      <w:pPr>
        <w:pStyle w:val="BodyText"/>
        <w:spacing w:after="0" w:line="240" w:lineRule="auto"/>
        <w:ind w:firstLine="0"/>
        <w:rPr>
          <w:color w:val="000000" w:themeColor="text1"/>
        </w:rPr>
      </w:pPr>
    </w:p>
    <w:p w14:paraId="234D8FC9" w14:textId="1DD88CC7" w:rsidR="00A56419" w:rsidRPr="00426A10" w:rsidRDefault="0063608C" w:rsidP="00A56419">
      <w:pPr>
        <w:pStyle w:val="BodyText"/>
        <w:spacing w:after="0" w:line="240" w:lineRule="auto"/>
        <w:ind w:firstLine="0"/>
        <w:rPr>
          <w:color w:val="000000" w:themeColor="text1"/>
        </w:rPr>
      </w:pPr>
      <w:r w:rsidRPr="00426A10">
        <w:rPr>
          <w:color w:val="000000" w:themeColor="text1"/>
        </w:rPr>
        <w:t>F</w:t>
      </w:r>
      <w:r w:rsidR="007C0105" w:rsidRPr="00426A10">
        <w:rPr>
          <w:color w:val="000000" w:themeColor="text1"/>
        </w:rPr>
        <w:t>.</w:t>
      </w:r>
      <w:r w:rsidRPr="00426A10">
        <w:rPr>
          <w:color w:val="000000" w:themeColor="text1"/>
        </w:rPr>
        <w:t xml:space="preserve"> </w:t>
      </w:r>
      <w:r w:rsidR="00CF1836" w:rsidRPr="00426A10">
        <w:rPr>
          <w:color w:val="000000" w:themeColor="text1"/>
        </w:rPr>
        <w:t>Response</w:t>
      </w:r>
      <w:r w:rsidR="002D5EF2" w:rsidRPr="00426A10">
        <w:rPr>
          <w:color w:val="000000" w:themeColor="text1"/>
        </w:rPr>
        <w:t xml:space="preserve"> biomarkers</w:t>
      </w:r>
      <w:r w:rsidR="00CF1836" w:rsidRPr="00426A10">
        <w:rPr>
          <w:color w:val="000000" w:themeColor="text1"/>
        </w:rPr>
        <w:t>:</w:t>
      </w:r>
    </w:p>
    <w:p w14:paraId="453DCEA9" w14:textId="47EF0BFC" w:rsidR="00E24DF2" w:rsidRDefault="005B7C1B" w:rsidP="00E24DF2">
      <w:pPr>
        <w:pStyle w:val="BodyText"/>
        <w:spacing w:after="0" w:line="240" w:lineRule="auto"/>
        <w:ind w:firstLine="0"/>
        <w:rPr>
          <w:color w:val="000000" w:themeColor="text1"/>
        </w:rPr>
      </w:pPr>
      <w:r w:rsidRPr="005B7C1B">
        <w:rPr>
          <w:color w:val="000000" w:themeColor="text1"/>
        </w:rPr>
        <w:lastRenderedPageBreak/>
        <w:t xml:space="preserve">It is a biomarker that is used to demonstrate that a biological reaction, which may be advantageous or harmful, has taken place in a person who has been exposed to a drug or an environmental pollutant. They can be divided into two categories: pharmacodynamic biomarkers, which show the biological activity of a drug or environmental agent without necessarily inferring anything about the efficacy or course of a disease or connecting this activity to a known mechanism of action. A pharmacodynamic biomarker could be employed as a proof-of-concept, to help choose the appropriate dose, or to quantify a response to drugs or environmental irritants, including as a gauge of potential danger. Such measurements may occasionally serve as ancillary goals for clinical research and be mentioned in labelling [31]. Examples include measuring the levels of </w:t>
      </w:r>
      <w:proofErr w:type="spellStart"/>
      <w:r w:rsidRPr="005B7C1B">
        <w:rPr>
          <w:color w:val="000000" w:themeColor="text1"/>
        </w:rPr>
        <w:t>fluoroestradiol</w:t>
      </w:r>
      <w:proofErr w:type="spellEnd"/>
      <w:r w:rsidRPr="005B7C1B">
        <w:rPr>
          <w:color w:val="000000" w:themeColor="text1"/>
        </w:rPr>
        <w:t xml:space="preserve"> F-18 by positron emission tomography (PET) to monitor the response of estrogen receptor (ER) positive lesions to endocrine therapy in patients with recurrent or metastatic breast cancer, and measuring the levels of phospho-AKT to monitor the inhibition of downstream phosphoinositide 3-kinase (PI3K) </w:t>
      </w:r>
      <w:proofErr w:type="spellStart"/>
      <w:r w:rsidRPr="005B7C1B">
        <w:rPr>
          <w:color w:val="000000" w:themeColor="text1"/>
        </w:rPr>
        <w:t>signalling</w:t>
      </w:r>
      <w:proofErr w:type="spellEnd"/>
      <w:r w:rsidRPr="005B7C1B">
        <w:rPr>
          <w:color w:val="000000" w:themeColor="text1"/>
        </w:rPr>
        <w:t xml:space="preserve"> in paired tumor samples to assess the target engagement of these drugs [32,33]. </w:t>
      </w:r>
      <w:r w:rsidR="00671CE5" w:rsidRPr="00671CE5">
        <w:rPr>
          <w:color w:val="000000" w:themeColor="text1"/>
        </w:rPr>
        <w:t>As opposed to direct assessments of how a patient feels, performs, or survives, surrogate endpoint biomarkers are endpoints utili</w:t>
      </w:r>
      <w:r w:rsidR="00671CE5">
        <w:rPr>
          <w:color w:val="000000" w:themeColor="text1"/>
        </w:rPr>
        <w:t>z</w:t>
      </w:r>
      <w:r w:rsidR="00671CE5" w:rsidRPr="00671CE5">
        <w:rPr>
          <w:color w:val="000000" w:themeColor="text1"/>
        </w:rPr>
        <w:t>ed in clinical trials. Instead of evaluating the clinical benefit of main interest in and of itself, surrogate endpoints are intended to anticipate clinical benefit or harm in light of epidemiologic, pharmacological, pathophysiologic, or other scientific results. Response biomarkers may be considered candidate, reasonably plausible, or verified surrogate endpoints depending on the strength of the evidence supporting them. In addition to the production of medical products, response biomarkers can be used in clinical care settings. Response biomarkers' main function in clinical practi</w:t>
      </w:r>
      <w:r w:rsidR="00671CE5">
        <w:rPr>
          <w:color w:val="000000" w:themeColor="text1"/>
        </w:rPr>
        <w:t>c</w:t>
      </w:r>
      <w:r w:rsidR="00671CE5" w:rsidRPr="00671CE5">
        <w:rPr>
          <w:color w:val="000000" w:themeColor="text1"/>
        </w:rPr>
        <w:t>e is to suggest a dose or method of administration.</w:t>
      </w:r>
    </w:p>
    <w:p w14:paraId="02E34D89" w14:textId="77777777" w:rsidR="00671CE5" w:rsidRPr="00426A10" w:rsidRDefault="00671CE5" w:rsidP="00E24DF2">
      <w:pPr>
        <w:pStyle w:val="BodyText"/>
        <w:spacing w:after="0" w:line="240" w:lineRule="auto"/>
        <w:ind w:firstLine="0"/>
        <w:rPr>
          <w:color w:val="000000" w:themeColor="text1"/>
        </w:rPr>
      </w:pPr>
    </w:p>
    <w:p w14:paraId="0C09051D" w14:textId="0BA87526" w:rsidR="00E24DF2" w:rsidRPr="00426A10" w:rsidRDefault="0063608C" w:rsidP="00E24DF2">
      <w:pPr>
        <w:pStyle w:val="BodyText"/>
        <w:spacing w:after="0" w:line="240" w:lineRule="auto"/>
        <w:ind w:firstLine="0"/>
        <w:rPr>
          <w:color w:val="000000" w:themeColor="text1"/>
        </w:rPr>
      </w:pPr>
      <w:r w:rsidRPr="00426A10">
        <w:rPr>
          <w:color w:val="000000" w:themeColor="text1"/>
        </w:rPr>
        <w:t>G</w:t>
      </w:r>
      <w:r w:rsidR="007C0105" w:rsidRPr="00426A10">
        <w:rPr>
          <w:color w:val="000000" w:themeColor="text1"/>
        </w:rPr>
        <w:t>.</w:t>
      </w:r>
      <w:r w:rsidRPr="00426A10">
        <w:rPr>
          <w:color w:val="000000" w:themeColor="text1"/>
        </w:rPr>
        <w:t xml:space="preserve"> </w:t>
      </w:r>
      <w:r w:rsidR="005406B5" w:rsidRPr="00426A10">
        <w:rPr>
          <w:color w:val="000000" w:themeColor="text1"/>
        </w:rPr>
        <w:t>Safety</w:t>
      </w:r>
      <w:r w:rsidR="002D5EF2" w:rsidRPr="00426A10">
        <w:rPr>
          <w:color w:val="000000" w:themeColor="text1"/>
        </w:rPr>
        <w:t xml:space="preserve"> biomarkers</w:t>
      </w:r>
      <w:r w:rsidR="00E24DF2" w:rsidRPr="00426A10">
        <w:rPr>
          <w:color w:val="000000" w:themeColor="text1"/>
        </w:rPr>
        <w:t>:</w:t>
      </w:r>
    </w:p>
    <w:p w14:paraId="2F87D378" w14:textId="77EEF652" w:rsidR="00CB5DF2" w:rsidRDefault="00671CE5" w:rsidP="00671CE5">
      <w:pPr>
        <w:pStyle w:val="BodyText"/>
        <w:spacing w:after="0" w:line="240" w:lineRule="auto"/>
        <w:ind w:firstLine="0"/>
        <w:rPr>
          <w:color w:val="000000" w:themeColor="text1"/>
          <w:shd w:val="clear" w:color="auto" w:fill="FFFFFF"/>
        </w:rPr>
      </w:pPr>
      <w:r w:rsidRPr="00671CE5">
        <w:rPr>
          <w:color w:val="000000" w:themeColor="text1"/>
          <w:shd w:val="clear" w:color="auto" w:fill="FFFFFF"/>
        </w:rPr>
        <w:t>In order to determine the possibility, presence, or severity of toxicity as a negative consequence, safety biomarkers are measurements taken before or after exposure to a medical product or an environmental contaminant. All safety biomarkers have the ability to detect or forecast adverse drug or exposure side effects. When a biomarker is found or changes, it may be possible to adjust the dose or stop the treatment before the toxicity gets worse. The safety biomarker could also indicate that a course of action is necessary in other situations. Additionally, safety biomarkers can be used to identify patients for whom a certain therapy shouldn't be started due to significant safety risks. Neutrophil count is used as a safety indicator to assess patients receiving cytotoxic chemotherapy in order to adjust the dose, determine when therapy must be stopped, or investigate the usage of growth factors [34].</w:t>
      </w:r>
    </w:p>
    <w:p w14:paraId="6F559ED5" w14:textId="77777777" w:rsidR="00D576E1" w:rsidRDefault="00D576E1" w:rsidP="00671CE5">
      <w:pPr>
        <w:pStyle w:val="BodyText"/>
        <w:spacing w:after="0" w:line="240" w:lineRule="auto"/>
        <w:ind w:firstLine="0"/>
        <w:rPr>
          <w:color w:val="000000" w:themeColor="text1"/>
          <w:shd w:val="clear" w:color="auto" w:fill="FFFFFF"/>
        </w:rPr>
      </w:pPr>
    </w:p>
    <w:p w14:paraId="270794F2" w14:textId="77777777" w:rsidR="00D576E1" w:rsidRPr="00671CE5" w:rsidRDefault="00D576E1" w:rsidP="00671CE5">
      <w:pPr>
        <w:pStyle w:val="BodyText"/>
        <w:spacing w:after="0" w:line="240" w:lineRule="auto"/>
        <w:ind w:firstLine="0"/>
        <w:rPr>
          <w:color w:val="000000" w:themeColor="text1"/>
          <w:shd w:val="clear" w:color="auto" w:fill="FFFFFF"/>
        </w:rPr>
      </w:pPr>
    </w:p>
    <w:p w14:paraId="55BF6521" w14:textId="367FE606" w:rsidR="00CA6DC9" w:rsidRPr="00426A10" w:rsidRDefault="00CA6DC9" w:rsidP="005406B5">
      <w:pPr>
        <w:pStyle w:val="NormalWeb"/>
        <w:shd w:val="clear" w:color="auto" w:fill="FFFFFF"/>
        <w:spacing w:before="166" w:beforeAutospacing="0" w:after="166" w:afterAutospacing="0"/>
        <w:jc w:val="both"/>
        <w:rPr>
          <w:color w:val="000000" w:themeColor="text1"/>
          <w:sz w:val="20"/>
          <w:szCs w:val="20"/>
          <w:shd w:val="clear" w:color="auto" w:fill="FFFFFF"/>
        </w:rPr>
      </w:pPr>
      <w:r w:rsidRPr="00426A10">
        <w:rPr>
          <w:color w:val="000000" w:themeColor="text1"/>
          <w:sz w:val="20"/>
          <w:szCs w:val="20"/>
          <w:shd w:val="clear" w:color="auto" w:fill="FFFFFF"/>
        </w:rPr>
        <w:t xml:space="preserve">                                </w:t>
      </w:r>
      <w:r w:rsidR="00880C27" w:rsidRPr="00426A10">
        <w:rPr>
          <w:color w:val="000000" w:themeColor="text1"/>
          <w:sz w:val="20"/>
          <w:szCs w:val="20"/>
          <w:shd w:val="clear" w:color="auto" w:fill="FFFFFF"/>
        </w:rPr>
        <w:t xml:space="preserve">    </w:t>
      </w:r>
      <w:r w:rsidRPr="00426A10">
        <w:rPr>
          <w:color w:val="000000" w:themeColor="text1"/>
          <w:sz w:val="20"/>
          <w:szCs w:val="20"/>
          <w:shd w:val="clear" w:color="auto" w:fill="FFFFFF"/>
        </w:rPr>
        <w:t xml:space="preserve">           </w:t>
      </w:r>
      <w:r w:rsidR="00880C27" w:rsidRPr="00426A10">
        <w:rPr>
          <w:noProof/>
          <w:color w:val="000000" w:themeColor="text1"/>
          <w:sz w:val="20"/>
          <w:szCs w:val="20"/>
          <w:shd w:val="clear" w:color="auto" w:fill="FFFFFF"/>
        </w:rPr>
        <w:drawing>
          <wp:inline distT="0" distB="0" distL="0" distR="0" wp14:anchorId="2E45D1C1" wp14:editId="6E0F602C">
            <wp:extent cx="2830161" cy="2712720"/>
            <wp:effectExtent l="0" t="0" r="0" b="0"/>
            <wp:docPr id="19849152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39878" cy="2722034"/>
                    </a:xfrm>
                    <a:prstGeom prst="rect">
                      <a:avLst/>
                    </a:prstGeom>
                    <a:noFill/>
                  </pic:spPr>
                </pic:pic>
              </a:graphicData>
            </a:graphic>
          </wp:inline>
        </w:drawing>
      </w:r>
    </w:p>
    <w:p w14:paraId="5547421C" w14:textId="4EECD35C" w:rsidR="00B8197C" w:rsidRPr="00426A10" w:rsidRDefault="00CA6DC9" w:rsidP="00D21AEE">
      <w:pPr>
        <w:pStyle w:val="NormalWeb"/>
        <w:shd w:val="clear" w:color="auto" w:fill="FFFFFF"/>
        <w:spacing w:before="166" w:beforeAutospacing="0" w:after="166" w:afterAutospacing="0"/>
        <w:jc w:val="center"/>
        <w:rPr>
          <w:b/>
          <w:bCs/>
          <w:color w:val="000000" w:themeColor="text1"/>
          <w:sz w:val="20"/>
          <w:szCs w:val="20"/>
          <w:shd w:val="clear" w:color="auto" w:fill="FFFFFF"/>
        </w:rPr>
      </w:pPr>
      <w:r w:rsidRPr="00426A10">
        <w:rPr>
          <w:b/>
          <w:bCs/>
          <w:color w:val="000000" w:themeColor="text1"/>
          <w:sz w:val="20"/>
          <w:szCs w:val="20"/>
          <w:shd w:val="clear" w:color="auto" w:fill="FFFFFF"/>
        </w:rPr>
        <w:t>Figure 1: Categories of Biomarkers based on Clinical Usage</w:t>
      </w:r>
    </w:p>
    <w:p w14:paraId="6BB1C2CD" w14:textId="77777777" w:rsidR="00466548" w:rsidRPr="00426A10" w:rsidRDefault="00466548" w:rsidP="00466548">
      <w:pPr>
        <w:pStyle w:val="BodyText"/>
        <w:spacing w:after="0" w:line="240" w:lineRule="auto"/>
        <w:ind w:firstLine="0"/>
        <w:rPr>
          <w:color w:val="000000" w:themeColor="text1"/>
        </w:rPr>
      </w:pPr>
    </w:p>
    <w:p w14:paraId="1D8B1382" w14:textId="7D72F198" w:rsidR="008A55B5" w:rsidRPr="00426A10" w:rsidRDefault="001525D0" w:rsidP="00466548">
      <w:pPr>
        <w:pStyle w:val="Heading1"/>
        <w:spacing w:before="0" w:after="0"/>
        <w:ind w:firstLine="0"/>
        <w:rPr>
          <w:rFonts w:ascii="Times New Roman" w:eastAsia="MS Mincho" w:hAnsi="Times New Roman"/>
          <w:color w:val="000000" w:themeColor="text1"/>
        </w:rPr>
      </w:pPr>
      <w:r w:rsidRPr="00426A10">
        <w:rPr>
          <w:rFonts w:ascii="Times New Roman" w:eastAsia="MS Mincho" w:hAnsi="Times New Roman"/>
          <w:color w:val="000000" w:themeColor="text1"/>
          <w:sz w:val="20"/>
          <w:szCs w:val="20"/>
        </w:rPr>
        <w:t>SOURCES OF BIOMARKERS</w:t>
      </w:r>
    </w:p>
    <w:p w14:paraId="7B781E64" w14:textId="77777777" w:rsidR="00466548" w:rsidRPr="00426A10" w:rsidRDefault="00466548" w:rsidP="00466548">
      <w:pPr>
        <w:rPr>
          <w:rFonts w:eastAsia="MS Mincho"/>
          <w:color w:val="000000" w:themeColor="text1"/>
        </w:rPr>
      </w:pPr>
    </w:p>
    <w:p w14:paraId="574C59A2" w14:textId="3D91F986" w:rsidR="00BD30D1" w:rsidRPr="00426A10" w:rsidRDefault="006B403E"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A variety of sample sources can be used to investigate biomarkers for cancer, with the most commonly used being tumor tissue.</w:t>
      </w:r>
      <w:r w:rsidR="00351D16" w:rsidRPr="00426A10">
        <w:rPr>
          <w:color w:val="000000" w:themeColor="text1"/>
          <w:shd w:val="clear" w:color="auto" w:fill="FFFFFF"/>
        </w:rPr>
        <w:t xml:space="preserve"> </w:t>
      </w:r>
      <w:r w:rsidR="0055489A" w:rsidRPr="00426A10">
        <w:rPr>
          <w:color w:val="000000" w:themeColor="text1"/>
          <w:shd w:val="clear" w:color="auto" w:fill="FFFFFF"/>
        </w:rPr>
        <w:t>Liquid biopsies, which are mostly non-invasive, are an alternative to tumor biopsies</w:t>
      </w:r>
      <w:r w:rsidR="00AB4B18" w:rsidRPr="00426A10">
        <w:rPr>
          <w:color w:val="000000" w:themeColor="text1"/>
          <w:shd w:val="clear" w:color="auto" w:fill="FFFFFF"/>
        </w:rPr>
        <w:t xml:space="preserve"> and the </w:t>
      </w:r>
      <w:r w:rsidR="003F7A85" w:rsidRPr="00426A10">
        <w:rPr>
          <w:color w:val="000000" w:themeColor="text1"/>
          <w:shd w:val="clear" w:color="auto" w:fill="FFFFFF"/>
        </w:rPr>
        <w:t>most commonly used specimen types for the analysis of cancer biomarkers</w:t>
      </w:r>
      <w:r w:rsidR="00AB4B18" w:rsidRPr="00426A10">
        <w:rPr>
          <w:color w:val="000000" w:themeColor="text1"/>
          <w:shd w:val="clear" w:color="auto" w:fill="FFFFFF"/>
        </w:rPr>
        <w:t xml:space="preserve"> that </w:t>
      </w:r>
      <w:r w:rsidR="003F7A85" w:rsidRPr="00426A10">
        <w:rPr>
          <w:color w:val="000000" w:themeColor="text1"/>
          <w:shd w:val="clear" w:color="auto" w:fill="FFFFFF"/>
        </w:rPr>
        <w:t xml:space="preserve">include urine, </w:t>
      </w:r>
      <w:r w:rsidR="00457CCD">
        <w:rPr>
          <w:color w:val="000000" w:themeColor="text1"/>
          <w:shd w:val="clear" w:color="auto" w:fill="FFFFFF"/>
        </w:rPr>
        <w:t xml:space="preserve">blood, </w:t>
      </w:r>
      <w:r w:rsidR="003F7A85" w:rsidRPr="00426A10">
        <w:rPr>
          <w:color w:val="000000" w:themeColor="text1"/>
          <w:shd w:val="clear" w:color="auto" w:fill="FFFFFF"/>
        </w:rPr>
        <w:t>stoo</w:t>
      </w:r>
      <w:r w:rsidR="00AB4B18" w:rsidRPr="00426A10">
        <w:rPr>
          <w:color w:val="000000" w:themeColor="text1"/>
          <w:shd w:val="clear" w:color="auto" w:fill="FFFFFF"/>
        </w:rPr>
        <w:t>l</w:t>
      </w:r>
      <w:r w:rsidR="003F7A85" w:rsidRPr="00426A10">
        <w:rPr>
          <w:color w:val="000000" w:themeColor="text1"/>
          <w:shd w:val="clear" w:color="auto" w:fill="FFFFFF"/>
        </w:rPr>
        <w:t xml:space="preserve">, and, </w:t>
      </w:r>
      <w:r w:rsidR="003F7A85" w:rsidRPr="00426A10">
        <w:rPr>
          <w:color w:val="000000" w:themeColor="text1"/>
          <w:shd w:val="clear" w:color="auto" w:fill="FFFFFF"/>
        </w:rPr>
        <w:lastRenderedPageBreak/>
        <w:t xml:space="preserve">in less frequent cases, </w:t>
      </w:r>
      <w:r w:rsidR="00457CCD" w:rsidRPr="00426A10">
        <w:rPr>
          <w:color w:val="000000" w:themeColor="text1"/>
          <w:shd w:val="clear" w:color="auto" w:fill="FFFFFF"/>
        </w:rPr>
        <w:t>cerebrospinal fluid</w:t>
      </w:r>
      <w:r w:rsidR="00457CCD">
        <w:rPr>
          <w:color w:val="000000" w:themeColor="text1"/>
          <w:shd w:val="clear" w:color="auto" w:fill="FFFFFF"/>
        </w:rPr>
        <w:t xml:space="preserve">, </w:t>
      </w:r>
      <w:r w:rsidR="003F7A85" w:rsidRPr="00426A10">
        <w:rPr>
          <w:color w:val="000000" w:themeColor="text1"/>
          <w:shd w:val="clear" w:color="auto" w:fill="FFFFFF"/>
        </w:rPr>
        <w:t>saliva/b</w:t>
      </w:r>
      <w:r w:rsidR="00AB4B18" w:rsidRPr="00426A10">
        <w:rPr>
          <w:color w:val="000000" w:themeColor="text1"/>
          <w:shd w:val="clear" w:color="auto" w:fill="FFFFFF"/>
        </w:rPr>
        <w:t>uccal</w:t>
      </w:r>
      <w:r w:rsidR="003F7A85" w:rsidRPr="00426A10">
        <w:rPr>
          <w:color w:val="000000" w:themeColor="text1"/>
          <w:shd w:val="clear" w:color="auto" w:fill="FFFFFF"/>
        </w:rPr>
        <w:t xml:space="preserve"> swabs, </w:t>
      </w:r>
      <w:r w:rsidR="00457CCD">
        <w:rPr>
          <w:color w:val="000000" w:themeColor="text1"/>
          <w:shd w:val="clear" w:color="auto" w:fill="FFFFFF"/>
        </w:rPr>
        <w:t xml:space="preserve">sputum, exhaled breath, </w:t>
      </w:r>
      <w:r w:rsidR="003F7A85" w:rsidRPr="00426A10">
        <w:rPr>
          <w:color w:val="000000" w:themeColor="text1"/>
          <w:shd w:val="clear" w:color="auto" w:fill="FFFFFF"/>
        </w:rPr>
        <w:t>and other body fluids</w:t>
      </w:r>
      <w:r w:rsidR="00AB4B18" w:rsidRPr="00426A10">
        <w:rPr>
          <w:color w:val="000000" w:themeColor="text1"/>
          <w:shd w:val="clear" w:color="auto" w:fill="FFFFFF"/>
        </w:rPr>
        <w:t xml:space="preserve"> (Figure 2)</w:t>
      </w:r>
      <w:r w:rsidR="003F7A85" w:rsidRPr="00426A10">
        <w:rPr>
          <w:color w:val="000000" w:themeColor="text1"/>
          <w:shd w:val="clear" w:color="auto" w:fill="FFFFFF"/>
        </w:rPr>
        <w:t>.</w:t>
      </w:r>
      <w:r w:rsidR="0055489A" w:rsidRPr="00426A10">
        <w:rPr>
          <w:color w:val="000000" w:themeColor="text1"/>
          <w:shd w:val="clear" w:color="auto" w:fill="FFFFFF"/>
        </w:rPr>
        <w:t xml:space="preserve"> </w:t>
      </w:r>
      <w:r w:rsidR="009C410D" w:rsidRPr="009C410D">
        <w:rPr>
          <w:color w:val="000000" w:themeColor="text1"/>
          <w:shd w:val="clear" w:color="auto" w:fill="FFFFFF"/>
        </w:rPr>
        <w:t>There is currently a focus on "liquid biopsies" because these biomarkers are an excellent substitute for collecting biopsies of specific organs for molecular analysis</w:t>
      </w:r>
      <w:r w:rsidR="009C410D">
        <w:rPr>
          <w:color w:val="000000" w:themeColor="text1"/>
          <w:shd w:val="clear" w:color="auto" w:fill="FFFFFF"/>
        </w:rPr>
        <w:t xml:space="preserve"> </w:t>
      </w:r>
      <w:r w:rsidR="00DF6CDF" w:rsidRPr="00426A10">
        <w:rPr>
          <w:color w:val="000000" w:themeColor="text1"/>
          <w:shd w:val="clear" w:color="auto" w:fill="FFFFFF"/>
        </w:rPr>
        <w:t>[1]</w:t>
      </w:r>
      <w:r w:rsidR="00BE698F" w:rsidRPr="00426A10">
        <w:rPr>
          <w:color w:val="000000" w:themeColor="text1"/>
          <w:shd w:val="clear" w:color="auto" w:fill="FFFFFF"/>
        </w:rPr>
        <w:t>.</w:t>
      </w:r>
    </w:p>
    <w:p w14:paraId="2577A0D3" w14:textId="77777777" w:rsidR="0055489A" w:rsidRPr="00426A10" w:rsidRDefault="0055489A" w:rsidP="00BD30D1">
      <w:pPr>
        <w:pStyle w:val="BodyText"/>
        <w:spacing w:after="0" w:line="240" w:lineRule="auto"/>
        <w:ind w:firstLine="0"/>
        <w:rPr>
          <w:color w:val="000000" w:themeColor="text1"/>
          <w:shd w:val="clear" w:color="auto" w:fill="FFFFFF"/>
        </w:rPr>
      </w:pPr>
    </w:p>
    <w:p w14:paraId="03322486" w14:textId="52404711" w:rsidR="00BD30D1" w:rsidRPr="00426A10" w:rsidRDefault="00BD30D1"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A. </w:t>
      </w:r>
      <w:r w:rsidR="001525D0" w:rsidRPr="00426A10">
        <w:rPr>
          <w:color w:val="000000" w:themeColor="text1"/>
          <w:shd w:val="clear" w:color="auto" w:fill="FFFFFF"/>
        </w:rPr>
        <w:t>Blood</w:t>
      </w:r>
      <w:r w:rsidRPr="00426A10">
        <w:rPr>
          <w:color w:val="000000" w:themeColor="text1"/>
          <w:shd w:val="clear" w:color="auto" w:fill="FFFFFF"/>
        </w:rPr>
        <w:t>:</w:t>
      </w:r>
    </w:p>
    <w:p w14:paraId="2830D841" w14:textId="523ABFC6" w:rsidR="009461DF" w:rsidRPr="00426A10" w:rsidRDefault="009461DF" w:rsidP="00BD30D1">
      <w:pPr>
        <w:pStyle w:val="BodyText"/>
        <w:spacing w:after="0" w:line="240" w:lineRule="auto"/>
        <w:ind w:firstLine="0"/>
        <w:rPr>
          <w:color w:val="000000" w:themeColor="text1"/>
          <w:shd w:val="clear" w:color="auto" w:fill="FFFFFF"/>
        </w:rPr>
      </w:pPr>
      <w:r w:rsidRPr="009461DF">
        <w:rPr>
          <w:color w:val="000000" w:themeColor="text1"/>
          <w:shd w:val="clear" w:color="auto" w:fill="FFFFFF"/>
        </w:rPr>
        <w:t xml:space="preserve">Active secretion or cellular leakage from </w:t>
      </w:r>
      <w:r>
        <w:rPr>
          <w:color w:val="000000" w:themeColor="text1"/>
          <w:shd w:val="clear" w:color="auto" w:fill="FFFFFF"/>
        </w:rPr>
        <w:t>tumor</w:t>
      </w:r>
      <w:r w:rsidRPr="009461DF">
        <w:rPr>
          <w:color w:val="000000" w:themeColor="text1"/>
          <w:shd w:val="clear" w:color="auto" w:fill="FFFFFF"/>
        </w:rPr>
        <w:t xml:space="preserve"> cells or supportive tissues in the tumor surroundings might cause cancer biomarkers to enter the circulation. These circulating biomarkers, which can be used to assess </w:t>
      </w:r>
      <w:r>
        <w:rPr>
          <w:color w:val="000000" w:themeColor="text1"/>
          <w:shd w:val="clear" w:color="auto" w:fill="FFFFFF"/>
        </w:rPr>
        <w:t>tumor</w:t>
      </w:r>
      <w:r w:rsidRPr="009461DF">
        <w:rPr>
          <w:color w:val="000000" w:themeColor="text1"/>
          <w:shd w:val="clear" w:color="auto" w:fill="FFFFFF"/>
        </w:rPr>
        <w:t xml:space="preserve"> burden and spreading potential as well as give insight into molecular alterations in a tumor, include proteins and autoantibodies, nucleic acids such as cell-free DNA and RNA, circulating tumor cells, and </w:t>
      </w:r>
      <w:proofErr w:type="spellStart"/>
      <w:r w:rsidRPr="009461DF">
        <w:rPr>
          <w:color w:val="000000" w:themeColor="text1"/>
          <w:shd w:val="clear" w:color="auto" w:fill="FFFFFF"/>
        </w:rPr>
        <w:t>microvesicles</w:t>
      </w:r>
      <w:proofErr w:type="spellEnd"/>
      <w:r>
        <w:rPr>
          <w:color w:val="000000" w:themeColor="text1"/>
          <w:shd w:val="clear" w:color="auto" w:fill="FFFFFF"/>
        </w:rPr>
        <w:t xml:space="preserve"> [35]</w:t>
      </w:r>
      <w:r w:rsidRPr="009461DF">
        <w:rPr>
          <w:color w:val="000000" w:themeColor="text1"/>
          <w:shd w:val="clear" w:color="auto" w:fill="FFFFFF"/>
        </w:rPr>
        <w:t>.</w:t>
      </w:r>
    </w:p>
    <w:p w14:paraId="5EE2071C" w14:textId="77777777" w:rsidR="00A05C88" w:rsidRPr="00426A10" w:rsidRDefault="00A05C88" w:rsidP="00BD30D1">
      <w:pPr>
        <w:pStyle w:val="BodyText"/>
        <w:spacing w:after="0" w:line="240" w:lineRule="auto"/>
        <w:ind w:firstLine="0"/>
        <w:rPr>
          <w:color w:val="000000" w:themeColor="text1"/>
          <w:shd w:val="clear" w:color="auto" w:fill="FFFFFF"/>
        </w:rPr>
      </w:pPr>
    </w:p>
    <w:p w14:paraId="70387151" w14:textId="1A9FDE5C" w:rsidR="00BD30D1" w:rsidRPr="00426A10" w:rsidRDefault="00BD30D1"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B. </w:t>
      </w:r>
      <w:r w:rsidR="001525D0" w:rsidRPr="00426A10">
        <w:rPr>
          <w:color w:val="000000" w:themeColor="text1"/>
          <w:shd w:val="clear" w:color="auto" w:fill="FFFFFF"/>
        </w:rPr>
        <w:t>Urine:</w:t>
      </w:r>
      <w:r w:rsidR="0067509F" w:rsidRPr="00426A10">
        <w:rPr>
          <w:color w:val="000000" w:themeColor="text1"/>
          <w:shd w:val="clear" w:color="auto" w:fill="FFFFFF"/>
        </w:rPr>
        <w:t xml:space="preserve"> </w:t>
      </w:r>
    </w:p>
    <w:p w14:paraId="49200078" w14:textId="30C61DC0" w:rsidR="00D97A62" w:rsidRPr="00426A10" w:rsidRDefault="00F51E79" w:rsidP="00BD30D1">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Urine has been shown to be a reliable source of biomarkers in urinary tract cancers such as bladder, kidney, and prostate cancer [36]. </w:t>
      </w:r>
      <w:r w:rsidR="00D97A62" w:rsidRPr="00426A10">
        <w:rPr>
          <w:color w:val="000000" w:themeColor="text1"/>
          <w:shd w:val="clear" w:color="auto" w:fill="FFFFFF"/>
        </w:rPr>
        <w:t>Compared to blood biomarkers, which require the ability to relate peripheral markers to the intricate tumor microenvironment, urinary exosomes appear to be more focused as they are derived from relatively proximate cancer tissues and have a common embryonal lineage</w:t>
      </w:r>
      <w:r w:rsidR="000E5040" w:rsidRPr="00426A10">
        <w:rPr>
          <w:color w:val="000000" w:themeColor="text1"/>
          <w:shd w:val="clear" w:color="auto" w:fill="FFFFFF"/>
        </w:rPr>
        <w:t xml:space="preserve"> and </w:t>
      </w:r>
      <w:r w:rsidR="00D63453" w:rsidRPr="00426A10">
        <w:rPr>
          <w:color w:val="000000" w:themeColor="text1"/>
          <w:shd w:val="clear" w:color="auto" w:fill="FFFFFF"/>
        </w:rPr>
        <w:t>are</w:t>
      </w:r>
      <w:r w:rsidR="00D97A62" w:rsidRPr="00426A10">
        <w:rPr>
          <w:color w:val="000000" w:themeColor="text1"/>
          <w:shd w:val="clear" w:color="auto" w:fill="FFFFFF"/>
        </w:rPr>
        <w:t xml:space="preserve"> used to detect membrane proteins from tumors</w:t>
      </w:r>
      <w:r w:rsidR="003724EF" w:rsidRPr="00426A10">
        <w:rPr>
          <w:color w:val="000000" w:themeColor="text1"/>
          <w:shd w:val="clear" w:color="auto" w:fill="FFFFFF"/>
        </w:rPr>
        <w:t xml:space="preserve"> [37]</w:t>
      </w:r>
      <w:r w:rsidR="00D97A62" w:rsidRPr="00426A10">
        <w:rPr>
          <w:color w:val="000000" w:themeColor="text1"/>
          <w:shd w:val="clear" w:color="auto" w:fill="FFFFFF"/>
        </w:rPr>
        <w:t>.</w:t>
      </w:r>
    </w:p>
    <w:p w14:paraId="33E9503A" w14:textId="77777777" w:rsidR="00CE30B5" w:rsidRPr="00426A10" w:rsidRDefault="00CE30B5" w:rsidP="00BD30D1">
      <w:pPr>
        <w:pStyle w:val="BodyText"/>
        <w:spacing w:after="0" w:line="240" w:lineRule="auto"/>
        <w:ind w:firstLine="0"/>
        <w:rPr>
          <w:color w:val="000000" w:themeColor="text1"/>
          <w:shd w:val="clear" w:color="auto" w:fill="FFFFFF"/>
        </w:rPr>
      </w:pPr>
    </w:p>
    <w:p w14:paraId="143989CB" w14:textId="77777777"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C. </w:t>
      </w:r>
      <w:r w:rsidR="001525D0" w:rsidRPr="00426A10">
        <w:rPr>
          <w:color w:val="000000" w:themeColor="text1"/>
          <w:shd w:val="clear" w:color="auto" w:fill="FFFFFF"/>
        </w:rPr>
        <w:t>Stool:</w:t>
      </w:r>
      <w:r w:rsidR="00F97546" w:rsidRPr="00426A10">
        <w:rPr>
          <w:color w:val="000000" w:themeColor="text1"/>
          <w:shd w:val="clear" w:color="auto" w:fill="FFFFFF"/>
        </w:rPr>
        <w:t xml:space="preserve"> </w:t>
      </w:r>
    </w:p>
    <w:p w14:paraId="00FED748" w14:textId="325D7912" w:rsidR="008A12BC" w:rsidRPr="00426A10" w:rsidRDefault="00E81CA5" w:rsidP="008A12BC">
      <w:pPr>
        <w:pStyle w:val="BodyText"/>
        <w:spacing w:after="0" w:line="240" w:lineRule="auto"/>
        <w:ind w:firstLine="0"/>
        <w:rPr>
          <w:color w:val="000000" w:themeColor="text1"/>
          <w:shd w:val="clear" w:color="auto" w:fill="FFFFFF"/>
        </w:rPr>
      </w:pPr>
      <w:r w:rsidRPr="00E81CA5">
        <w:rPr>
          <w:color w:val="000000" w:themeColor="text1"/>
          <w:shd w:val="clear" w:color="auto" w:fill="FFFFFF"/>
        </w:rPr>
        <w:t>For clinical examinations and censuses, a fecal examination is the method that is most frequently employed.</w:t>
      </w:r>
      <w:r w:rsidR="00DA662E" w:rsidRPr="00426A10">
        <w:rPr>
          <w:color w:val="000000" w:themeColor="text1"/>
          <w:shd w:val="clear" w:color="auto" w:fill="FFFFFF"/>
        </w:rPr>
        <w:t xml:space="preserve"> It is </w:t>
      </w:r>
      <w:r>
        <w:rPr>
          <w:color w:val="000000" w:themeColor="text1"/>
          <w:shd w:val="clear" w:color="auto" w:fill="FFFFFF"/>
        </w:rPr>
        <w:t>easy</w:t>
      </w:r>
      <w:r w:rsidR="00DA662E" w:rsidRPr="00426A10">
        <w:rPr>
          <w:color w:val="000000" w:themeColor="text1"/>
          <w:shd w:val="clear" w:color="auto" w:fill="FFFFFF"/>
        </w:rPr>
        <w:t xml:space="preserve">, non-intrusive, and </w:t>
      </w:r>
      <w:r>
        <w:rPr>
          <w:color w:val="000000" w:themeColor="text1"/>
          <w:shd w:val="clear" w:color="auto" w:fill="FFFFFF"/>
        </w:rPr>
        <w:t xml:space="preserve">ideal </w:t>
      </w:r>
      <w:r w:rsidR="00DA662E" w:rsidRPr="00426A10">
        <w:rPr>
          <w:color w:val="000000" w:themeColor="text1"/>
          <w:shd w:val="clear" w:color="auto" w:fill="FFFFFF"/>
        </w:rPr>
        <w:t xml:space="preserve">for extensive population screening. Advancements in molecular biology have led to several attempts to identify novel </w:t>
      </w:r>
      <w:r w:rsidR="00BD261F" w:rsidRPr="00426A10">
        <w:rPr>
          <w:color w:val="000000" w:themeColor="text1"/>
          <w:shd w:val="clear" w:color="auto" w:fill="FFFFFF"/>
        </w:rPr>
        <w:t xml:space="preserve">fecal </w:t>
      </w:r>
      <w:r w:rsidR="00DA662E" w:rsidRPr="00426A10">
        <w:rPr>
          <w:color w:val="000000" w:themeColor="text1"/>
          <w:shd w:val="clear" w:color="auto" w:fill="FFFFFF"/>
        </w:rPr>
        <w:t xml:space="preserve">biomarkers for </w:t>
      </w:r>
      <w:r w:rsidR="00BD261F" w:rsidRPr="00426A10">
        <w:rPr>
          <w:color w:val="000000" w:themeColor="text1"/>
          <w:shd w:val="clear" w:color="auto" w:fill="FFFFFF"/>
        </w:rPr>
        <w:t xml:space="preserve">the </w:t>
      </w:r>
      <w:r w:rsidR="00DA662E" w:rsidRPr="00426A10">
        <w:rPr>
          <w:color w:val="000000" w:themeColor="text1"/>
          <w:shd w:val="clear" w:color="auto" w:fill="FFFFFF"/>
        </w:rPr>
        <w:t>early detection of colo</w:t>
      </w:r>
      <w:r w:rsidR="00273C9F" w:rsidRPr="00426A10">
        <w:rPr>
          <w:color w:val="000000" w:themeColor="text1"/>
          <w:shd w:val="clear" w:color="auto" w:fill="FFFFFF"/>
        </w:rPr>
        <w:t>rectal</w:t>
      </w:r>
      <w:r w:rsidR="00DA662E" w:rsidRPr="00426A10">
        <w:rPr>
          <w:color w:val="000000" w:themeColor="text1"/>
          <w:shd w:val="clear" w:color="auto" w:fill="FFFFFF"/>
        </w:rPr>
        <w:t xml:space="preserve"> cancer</w:t>
      </w:r>
      <w:r w:rsidR="00273C9F" w:rsidRPr="00426A10">
        <w:rPr>
          <w:color w:val="000000" w:themeColor="text1"/>
          <w:shd w:val="clear" w:color="auto" w:fill="FFFFFF"/>
        </w:rPr>
        <w:t xml:space="preserve"> (CRC)</w:t>
      </w:r>
      <w:r w:rsidR="00DA662E" w:rsidRPr="00426A10">
        <w:rPr>
          <w:color w:val="000000" w:themeColor="text1"/>
          <w:shd w:val="clear" w:color="auto" w:fill="FFFFFF"/>
        </w:rPr>
        <w:t xml:space="preserve">. The </w:t>
      </w:r>
      <w:r w:rsidR="00273C9F" w:rsidRPr="00426A10">
        <w:rPr>
          <w:color w:val="000000" w:themeColor="text1"/>
          <w:shd w:val="clear" w:color="auto" w:fill="FFFFFF"/>
        </w:rPr>
        <w:t>Fecal</w:t>
      </w:r>
      <w:r w:rsidR="00DA662E" w:rsidRPr="00426A10">
        <w:rPr>
          <w:color w:val="000000" w:themeColor="text1"/>
          <w:shd w:val="clear" w:color="auto" w:fill="FFFFFF"/>
        </w:rPr>
        <w:t xml:space="preserve"> Occult Blood Test (FOBT), for example, is </w:t>
      </w:r>
      <w:r w:rsidR="005F6AFA">
        <w:rPr>
          <w:color w:val="000000" w:themeColor="text1"/>
          <w:shd w:val="clear" w:color="auto" w:fill="FFFFFF"/>
        </w:rPr>
        <w:t>extensively</w:t>
      </w:r>
      <w:r w:rsidR="00DA662E" w:rsidRPr="00426A10">
        <w:rPr>
          <w:color w:val="000000" w:themeColor="text1"/>
          <w:shd w:val="clear" w:color="auto" w:fill="FFFFFF"/>
        </w:rPr>
        <w:t xml:space="preserve"> </w:t>
      </w:r>
      <w:r w:rsidR="00DC7AB6">
        <w:rPr>
          <w:color w:val="000000" w:themeColor="text1"/>
          <w:shd w:val="clear" w:color="auto" w:fill="FFFFFF"/>
        </w:rPr>
        <w:t xml:space="preserve">used </w:t>
      </w:r>
      <w:r w:rsidR="00DA662E" w:rsidRPr="00426A10">
        <w:rPr>
          <w:color w:val="000000" w:themeColor="text1"/>
          <w:shd w:val="clear" w:color="auto" w:fill="FFFFFF"/>
        </w:rPr>
        <w:t>as a non-</w:t>
      </w:r>
      <w:r w:rsidR="00273C9F" w:rsidRPr="00426A10">
        <w:rPr>
          <w:color w:val="000000" w:themeColor="text1"/>
          <w:shd w:val="clear" w:color="auto" w:fill="FFFFFF"/>
        </w:rPr>
        <w:t>invasive</w:t>
      </w:r>
      <w:r w:rsidR="00DA662E" w:rsidRPr="00426A10">
        <w:rPr>
          <w:color w:val="000000" w:themeColor="text1"/>
          <w:shd w:val="clear" w:color="auto" w:fill="FFFFFF"/>
        </w:rPr>
        <w:t xml:space="preserve"> test in comparison with colonoscopy. Fecal biomarkers have the potential to improve screening acceptance, as they are non-invasive, easy, cost-effective, and safe to use as a screening and diagnostic technique for </w:t>
      </w:r>
      <w:r w:rsidR="0019663A" w:rsidRPr="00426A10">
        <w:rPr>
          <w:color w:val="000000" w:themeColor="text1"/>
          <w:shd w:val="clear" w:color="auto" w:fill="FFFFFF"/>
        </w:rPr>
        <w:t>CRC</w:t>
      </w:r>
      <w:r w:rsidR="00DA662E" w:rsidRPr="00426A10">
        <w:rPr>
          <w:color w:val="000000" w:themeColor="text1"/>
          <w:shd w:val="clear" w:color="auto" w:fill="FFFFFF"/>
        </w:rPr>
        <w:t xml:space="preserve"> screening and diagnosis</w:t>
      </w:r>
      <w:r w:rsidR="0019663A" w:rsidRPr="00426A10">
        <w:rPr>
          <w:color w:val="000000" w:themeColor="text1"/>
          <w:shd w:val="clear" w:color="auto" w:fill="FFFFFF"/>
        </w:rPr>
        <w:t xml:space="preserve"> [38]</w:t>
      </w:r>
      <w:r w:rsidR="00DA662E" w:rsidRPr="00426A10">
        <w:rPr>
          <w:color w:val="000000" w:themeColor="text1"/>
          <w:shd w:val="clear" w:color="auto" w:fill="FFFFFF"/>
        </w:rPr>
        <w:t xml:space="preserve">. </w:t>
      </w:r>
      <w:r w:rsidR="00F178CB" w:rsidRPr="00F178CB">
        <w:rPr>
          <w:color w:val="000000" w:themeColor="text1"/>
          <w:shd w:val="clear" w:color="auto" w:fill="FFFFFF"/>
        </w:rPr>
        <w:t>There has been considerable interest in the possibility of DNA, RNA, proteins, microbes, and volatile chemical compounds in feces as biomarkers for CRC screening and early diagnosis.</w:t>
      </w:r>
      <w:r w:rsidR="00F178CB" w:rsidRPr="00F178CB">
        <w:rPr>
          <w:color w:val="000000" w:themeColor="text1"/>
          <w:shd w:val="clear" w:color="auto" w:fill="FFFFFF"/>
        </w:rPr>
        <w:t xml:space="preserve"> </w:t>
      </w:r>
      <w:r w:rsidR="00F178CB" w:rsidRPr="00F178CB">
        <w:rPr>
          <w:color w:val="000000" w:themeColor="text1"/>
          <w:shd w:val="clear" w:color="auto" w:fill="FFFFFF"/>
        </w:rPr>
        <w:t>Because of their straightforward sampling and low risk, these biomarkers are anticipated to become a new focus for the next generation of CRC screening and early diagnostic tests</w:t>
      </w:r>
      <w:r w:rsidR="00F178CB">
        <w:rPr>
          <w:color w:val="000000" w:themeColor="text1"/>
          <w:shd w:val="clear" w:color="auto" w:fill="FFFFFF"/>
        </w:rPr>
        <w:t xml:space="preserve"> </w:t>
      </w:r>
      <w:r w:rsidR="008A12BC" w:rsidRPr="00426A10">
        <w:rPr>
          <w:color w:val="000000" w:themeColor="text1"/>
          <w:shd w:val="clear" w:color="auto" w:fill="FFFFFF"/>
        </w:rPr>
        <w:t>[39].</w:t>
      </w:r>
    </w:p>
    <w:p w14:paraId="0DBB1C9C" w14:textId="4B959AE1" w:rsidR="00684AF7" w:rsidRPr="00426A10" w:rsidRDefault="00684AF7" w:rsidP="00776C30">
      <w:pPr>
        <w:pStyle w:val="BodyText"/>
        <w:spacing w:after="0" w:line="240" w:lineRule="auto"/>
        <w:ind w:firstLine="0"/>
        <w:rPr>
          <w:color w:val="000000" w:themeColor="text1"/>
          <w:shd w:val="clear" w:color="auto" w:fill="FFFFFF"/>
        </w:rPr>
      </w:pPr>
    </w:p>
    <w:p w14:paraId="754D156B" w14:textId="77777777" w:rsidR="00F97546" w:rsidRPr="00426A10" w:rsidRDefault="00F97546" w:rsidP="00466548">
      <w:pPr>
        <w:pStyle w:val="BodyText"/>
        <w:spacing w:after="0" w:line="240" w:lineRule="auto"/>
        <w:ind w:firstLine="0"/>
        <w:rPr>
          <w:color w:val="000000" w:themeColor="text1"/>
          <w:shd w:val="clear" w:color="auto" w:fill="FFFFFF"/>
        </w:rPr>
      </w:pPr>
    </w:p>
    <w:p w14:paraId="6F11A622" w14:textId="7C94F80F"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D. </w:t>
      </w:r>
      <w:r w:rsidR="001525D0" w:rsidRPr="00426A10">
        <w:rPr>
          <w:color w:val="000000" w:themeColor="text1"/>
          <w:shd w:val="clear" w:color="auto" w:fill="FFFFFF"/>
        </w:rPr>
        <w:t>Breath:</w:t>
      </w:r>
      <w:r w:rsidR="00F97546" w:rsidRPr="00426A10">
        <w:rPr>
          <w:color w:val="000000" w:themeColor="text1"/>
          <w:shd w:val="clear" w:color="auto" w:fill="FFFFFF"/>
        </w:rPr>
        <w:t xml:space="preserve"> </w:t>
      </w:r>
    </w:p>
    <w:p w14:paraId="62A41508" w14:textId="060EAD04" w:rsidR="001515B4" w:rsidRPr="00426A10" w:rsidRDefault="001515B4"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Lung cancer is a major contributor to cancer prevalence and mortality worldwide, and the development of clinically relevant biomarkers to aid in the diagnosis of lung cancer at both the initial and subsequent stages is of paramount importance to the medical community. Despite the progress in treatment and the early detection of the malignancy, the majority of diagnoses are made at a later stage, when numerous genetic and epigenetic alterations have taken place. E</w:t>
      </w:r>
      <w:r w:rsidR="00AE694D" w:rsidRPr="00426A10">
        <w:rPr>
          <w:color w:val="000000" w:themeColor="text1"/>
          <w:shd w:val="clear" w:color="auto" w:fill="FFFFFF"/>
        </w:rPr>
        <w:t>xhaled Breath C</w:t>
      </w:r>
      <w:r w:rsidR="006A66C7" w:rsidRPr="00426A10">
        <w:rPr>
          <w:color w:val="000000" w:themeColor="text1"/>
          <w:shd w:val="clear" w:color="auto" w:fill="FFFFFF"/>
        </w:rPr>
        <w:t>ondensate (EBC)</w:t>
      </w:r>
      <w:r w:rsidRPr="00426A10">
        <w:rPr>
          <w:color w:val="000000" w:themeColor="text1"/>
          <w:shd w:val="clear" w:color="auto" w:fill="FFFFFF"/>
        </w:rPr>
        <w:t>, a bio</w:t>
      </w:r>
      <w:r w:rsidR="00AE694D" w:rsidRPr="00426A10">
        <w:rPr>
          <w:color w:val="000000" w:themeColor="text1"/>
          <w:shd w:val="clear" w:color="auto" w:fill="FFFFFF"/>
        </w:rPr>
        <w:t>logical</w:t>
      </w:r>
      <w:r w:rsidRPr="00426A10">
        <w:rPr>
          <w:color w:val="000000" w:themeColor="text1"/>
          <w:shd w:val="clear" w:color="auto" w:fill="FFFFFF"/>
        </w:rPr>
        <w:t xml:space="preserve"> </w:t>
      </w:r>
      <w:r w:rsidR="00AE694D" w:rsidRPr="00426A10">
        <w:rPr>
          <w:color w:val="000000" w:themeColor="text1"/>
          <w:shd w:val="clear" w:color="auto" w:fill="FFFFFF"/>
        </w:rPr>
        <w:t>flu</w:t>
      </w:r>
      <w:r w:rsidRPr="00426A10">
        <w:rPr>
          <w:color w:val="000000" w:themeColor="text1"/>
          <w:shd w:val="clear" w:color="auto" w:fill="FFFFFF"/>
        </w:rPr>
        <w:t>id, is a potential source of biomarkers that reflect the pat</w:t>
      </w:r>
      <w:r w:rsidR="006A66C7" w:rsidRPr="00426A10">
        <w:rPr>
          <w:color w:val="000000" w:themeColor="text1"/>
          <w:shd w:val="clear" w:color="auto" w:fill="FFFFFF"/>
        </w:rPr>
        <w:t>hophysiology</w:t>
      </w:r>
      <w:r w:rsidRPr="00426A10">
        <w:rPr>
          <w:color w:val="000000" w:themeColor="text1"/>
          <w:shd w:val="clear" w:color="auto" w:fill="FFFFFF"/>
        </w:rPr>
        <w:t xml:space="preserve"> of lung cancer, containing molecules such as DNA, RNA, protein, metabolite, and volatile chemicals. The presence/absence of these molecules or their fluctuation in quantities </w:t>
      </w:r>
      <w:r w:rsidR="00D21D76" w:rsidRPr="00426A10">
        <w:rPr>
          <w:color w:val="000000" w:themeColor="text1"/>
          <w:shd w:val="clear" w:color="auto" w:fill="FFFFFF"/>
        </w:rPr>
        <w:t>are</w:t>
      </w:r>
      <w:r w:rsidRPr="00426A10">
        <w:rPr>
          <w:color w:val="000000" w:themeColor="text1"/>
          <w:shd w:val="clear" w:color="auto" w:fill="FFFFFF"/>
        </w:rPr>
        <w:t xml:space="preserve"> used as biomarkers</w:t>
      </w:r>
      <w:r w:rsidR="00D639B7" w:rsidRPr="00426A10">
        <w:rPr>
          <w:color w:val="000000" w:themeColor="text1"/>
          <w:shd w:val="clear" w:color="auto" w:fill="FFFFFF"/>
        </w:rPr>
        <w:t xml:space="preserve"> [40]</w:t>
      </w:r>
      <w:r w:rsidRPr="00426A10">
        <w:rPr>
          <w:color w:val="000000" w:themeColor="text1"/>
          <w:shd w:val="clear" w:color="auto" w:fill="FFFFFF"/>
        </w:rPr>
        <w:t xml:space="preserve">. EBC is a non-invasive resource for the evaluation of genetic markers and can </w:t>
      </w:r>
      <w:r w:rsidR="00D21D76" w:rsidRPr="00426A10">
        <w:rPr>
          <w:color w:val="000000" w:themeColor="text1"/>
          <w:shd w:val="clear" w:color="auto" w:fill="FFFFFF"/>
        </w:rPr>
        <w:t>are</w:t>
      </w:r>
      <w:r w:rsidRPr="00426A10">
        <w:rPr>
          <w:color w:val="000000" w:themeColor="text1"/>
          <w:shd w:val="clear" w:color="auto" w:fill="FFFFFF"/>
        </w:rPr>
        <w:t xml:space="preserve"> to assist in the diagnosis of illness, as well as in the evaluation of follow-up and/or therapy effectiveness</w:t>
      </w:r>
      <w:r w:rsidR="00D639B7" w:rsidRPr="00426A10">
        <w:rPr>
          <w:color w:val="000000" w:themeColor="text1"/>
          <w:shd w:val="clear" w:color="auto" w:fill="FFFFFF"/>
        </w:rPr>
        <w:t xml:space="preserve"> [41]</w:t>
      </w:r>
      <w:r w:rsidRPr="00426A10">
        <w:rPr>
          <w:color w:val="000000" w:themeColor="text1"/>
          <w:shd w:val="clear" w:color="auto" w:fill="FFFFFF"/>
        </w:rPr>
        <w:t>.</w:t>
      </w:r>
    </w:p>
    <w:p w14:paraId="5BCFC313" w14:textId="77777777" w:rsidR="00882F3C" w:rsidRPr="00426A10" w:rsidRDefault="00882F3C" w:rsidP="00466548">
      <w:pPr>
        <w:pStyle w:val="BodyText"/>
        <w:spacing w:after="0" w:line="240" w:lineRule="auto"/>
        <w:ind w:firstLine="0"/>
        <w:rPr>
          <w:color w:val="000000" w:themeColor="text1"/>
          <w:shd w:val="clear" w:color="auto" w:fill="FFFFFF"/>
        </w:rPr>
      </w:pPr>
    </w:p>
    <w:p w14:paraId="3B5B8DC5" w14:textId="77777777" w:rsidR="00BD30D1" w:rsidRPr="00426A10" w:rsidRDefault="00BD30D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E. </w:t>
      </w:r>
      <w:r w:rsidR="001525D0" w:rsidRPr="00426A10">
        <w:rPr>
          <w:color w:val="000000" w:themeColor="text1"/>
          <w:shd w:val="clear" w:color="auto" w:fill="FFFFFF"/>
        </w:rPr>
        <w:t>Saliva:</w:t>
      </w:r>
      <w:r w:rsidR="00DA398A" w:rsidRPr="00426A10">
        <w:rPr>
          <w:color w:val="000000" w:themeColor="text1"/>
          <w:shd w:val="clear" w:color="auto" w:fill="FFFFFF"/>
        </w:rPr>
        <w:t xml:space="preserve"> </w:t>
      </w:r>
    </w:p>
    <w:p w14:paraId="4114269D" w14:textId="4B406217" w:rsidR="003508E5" w:rsidRPr="00426A10" w:rsidRDefault="00F02D51"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use of saliva for cancer diagnosis prior to the emergence of clinical, histological, and radiological indications </w:t>
      </w:r>
      <w:r w:rsidR="00DB280B" w:rsidRPr="00426A10">
        <w:rPr>
          <w:color w:val="000000" w:themeColor="text1"/>
          <w:shd w:val="clear" w:color="auto" w:fill="FFFFFF"/>
        </w:rPr>
        <w:t xml:space="preserve">is </w:t>
      </w:r>
      <w:r w:rsidRPr="00426A10">
        <w:rPr>
          <w:color w:val="000000" w:themeColor="text1"/>
          <w:shd w:val="clear" w:color="auto" w:fill="FFFFFF"/>
        </w:rPr>
        <w:t xml:space="preserve">a potential method for establishing personalized treatment strategies [42]. Many recent studies have employed saliva, a biofluid that reflects the health of the body, to screen, diagnose, and follow breast cancer patients [43]. Saliva has several advantages, including ease of collection, little staff training, rapid sampling, hassle-free storage, ease of transportation, less susceptibility to clotting, and fewer dangers for health care providers [42,44]. Saliva is a possible non-invasive source of new biomarkers for cancer diagnosis and prognosis. </w:t>
      </w:r>
      <w:r w:rsidR="0043442C" w:rsidRPr="00426A10">
        <w:rPr>
          <w:color w:val="000000" w:themeColor="text1"/>
          <w:shd w:val="clear" w:color="auto" w:fill="FFFFFF"/>
        </w:rPr>
        <w:t>For example, in a study</w:t>
      </w:r>
      <w:r w:rsidR="006727C3" w:rsidRPr="00426A10">
        <w:rPr>
          <w:color w:val="000000" w:themeColor="text1"/>
          <w:shd w:val="clear" w:color="auto" w:fill="FFFFFF"/>
        </w:rPr>
        <w:t>, the meta-analysis of</w:t>
      </w:r>
      <w:r w:rsidR="002D0A8B" w:rsidRPr="00426A10">
        <w:rPr>
          <w:color w:val="000000" w:themeColor="text1"/>
          <w:shd w:val="clear" w:color="auto" w:fill="FFFFFF"/>
        </w:rPr>
        <w:t xml:space="preserve"> </w:t>
      </w:r>
      <w:r w:rsidRPr="00426A10">
        <w:rPr>
          <w:color w:val="000000" w:themeColor="text1"/>
          <w:shd w:val="clear" w:color="auto" w:fill="FFFFFF"/>
        </w:rPr>
        <w:t xml:space="preserve">salivary biomarkers </w:t>
      </w:r>
      <w:r w:rsidR="006727C3" w:rsidRPr="00426A10">
        <w:rPr>
          <w:color w:val="000000" w:themeColor="text1"/>
          <w:shd w:val="clear" w:color="auto" w:fill="FFFFFF"/>
        </w:rPr>
        <w:t xml:space="preserve">helped </w:t>
      </w:r>
      <w:r w:rsidR="00861844" w:rsidRPr="00426A10">
        <w:rPr>
          <w:color w:val="000000" w:themeColor="text1"/>
          <w:shd w:val="clear" w:color="auto" w:fill="FFFFFF"/>
        </w:rPr>
        <w:t>in</w:t>
      </w:r>
      <w:r w:rsidRPr="00426A10">
        <w:rPr>
          <w:color w:val="000000" w:themeColor="text1"/>
          <w:shd w:val="clear" w:color="auto" w:fill="FFFFFF"/>
        </w:rPr>
        <w:t xml:space="preserve"> the diagnosis of malignant non-oral tumors</w:t>
      </w:r>
      <w:r w:rsidR="006C5BEB" w:rsidRPr="00426A10">
        <w:rPr>
          <w:color w:val="000000" w:themeColor="text1"/>
          <w:shd w:val="clear" w:color="auto" w:fill="FFFFFF"/>
        </w:rPr>
        <w:t xml:space="preserve"> </w:t>
      </w:r>
      <w:r w:rsidRPr="00426A10">
        <w:rPr>
          <w:color w:val="000000" w:themeColor="text1"/>
          <w:shd w:val="clear" w:color="auto" w:fill="FFFFFF"/>
        </w:rPr>
        <w:t>[45].</w:t>
      </w:r>
    </w:p>
    <w:p w14:paraId="14952770" w14:textId="77777777" w:rsidR="0080362A" w:rsidRPr="00426A10" w:rsidRDefault="0080362A" w:rsidP="00466548">
      <w:pPr>
        <w:pStyle w:val="BodyText"/>
        <w:spacing w:after="0" w:line="240" w:lineRule="auto"/>
        <w:ind w:firstLine="0"/>
        <w:rPr>
          <w:color w:val="000000" w:themeColor="text1"/>
        </w:rPr>
      </w:pPr>
    </w:p>
    <w:p w14:paraId="37A72A72" w14:textId="255CD9B6" w:rsidR="0080362A" w:rsidRPr="00426A10" w:rsidRDefault="0080362A" w:rsidP="00466548">
      <w:pPr>
        <w:pStyle w:val="BodyText"/>
        <w:spacing w:after="0" w:line="240" w:lineRule="auto"/>
        <w:ind w:firstLine="0"/>
        <w:rPr>
          <w:color w:val="000000" w:themeColor="text1"/>
        </w:rPr>
      </w:pPr>
      <w:r w:rsidRPr="00426A10">
        <w:rPr>
          <w:color w:val="000000" w:themeColor="text1"/>
        </w:rPr>
        <w:lastRenderedPageBreak/>
        <w:t xml:space="preserve">                 </w:t>
      </w:r>
      <w:r w:rsidR="0042077F" w:rsidRPr="00426A10">
        <w:rPr>
          <w:color w:val="000000" w:themeColor="text1"/>
        </w:rPr>
        <w:t xml:space="preserve"> </w:t>
      </w:r>
      <w:r w:rsidRPr="00426A10">
        <w:rPr>
          <w:color w:val="000000" w:themeColor="text1"/>
        </w:rPr>
        <w:t xml:space="preserve">          </w:t>
      </w:r>
      <w:r w:rsidR="005D0D52" w:rsidRPr="00426A10">
        <w:rPr>
          <w:noProof/>
          <w:color w:val="000000" w:themeColor="text1"/>
        </w:rPr>
        <w:drawing>
          <wp:inline distT="0" distB="0" distL="0" distR="0" wp14:anchorId="6AA2AB57" wp14:editId="6AEE795A">
            <wp:extent cx="3821982" cy="2598420"/>
            <wp:effectExtent l="0" t="0" r="0" b="0"/>
            <wp:docPr id="14794155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43602" cy="2613119"/>
                    </a:xfrm>
                    <a:prstGeom prst="rect">
                      <a:avLst/>
                    </a:prstGeom>
                    <a:noFill/>
                  </pic:spPr>
                </pic:pic>
              </a:graphicData>
            </a:graphic>
          </wp:inline>
        </w:drawing>
      </w:r>
    </w:p>
    <w:p w14:paraId="53A668B1" w14:textId="77777777" w:rsidR="0080362A" w:rsidRPr="00426A10" w:rsidRDefault="0080362A" w:rsidP="00466548">
      <w:pPr>
        <w:pStyle w:val="BodyText"/>
        <w:spacing w:after="0" w:line="240" w:lineRule="auto"/>
        <w:ind w:firstLine="0"/>
        <w:rPr>
          <w:color w:val="000000" w:themeColor="text1"/>
        </w:rPr>
      </w:pPr>
    </w:p>
    <w:p w14:paraId="18093BA9" w14:textId="52468627" w:rsidR="007F538E" w:rsidRPr="00426A10" w:rsidRDefault="0080362A" w:rsidP="00D83B06">
      <w:pPr>
        <w:pStyle w:val="BodyText"/>
        <w:spacing w:after="0" w:line="240" w:lineRule="auto"/>
        <w:ind w:firstLine="0"/>
        <w:jc w:val="center"/>
        <w:rPr>
          <w:b/>
          <w:bCs/>
          <w:color w:val="000000" w:themeColor="text1"/>
        </w:rPr>
      </w:pPr>
      <w:r w:rsidRPr="00426A10">
        <w:rPr>
          <w:b/>
          <w:bCs/>
          <w:color w:val="000000" w:themeColor="text1"/>
        </w:rPr>
        <w:t>Figure 2: Sources of Biomarkers</w:t>
      </w:r>
    </w:p>
    <w:p w14:paraId="22476AAF" w14:textId="77777777" w:rsidR="0080362A" w:rsidRPr="00426A10" w:rsidRDefault="0080362A" w:rsidP="00466548">
      <w:pPr>
        <w:pStyle w:val="BodyText"/>
        <w:spacing w:after="0" w:line="240" w:lineRule="auto"/>
        <w:ind w:firstLine="0"/>
        <w:rPr>
          <w:color w:val="000000" w:themeColor="text1"/>
        </w:rPr>
      </w:pPr>
    </w:p>
    <w:p w14:paraId="4B636210" w14:textId="33EC3668" w:rsidR="008A55B5" w:rsidRPr="00426A10" w:rsidRDefault="001525D0" w:rsidP="00466548">
      <w:pPr>
        <w:pStyle w:val="Heading1"/>
        <w:spacing w:before="0" w:after="0"/>
        <w:ind w:firstLine="0"/>
        <w:rPr>
          <w:rFonts w:ascii="Times New Roman" w:eastAsia="MS Mincho" w:hAnsi="Times New Roman"/>
          <w:color w:val="000000" w:themeColor="text1"/>
          <w:sz w:val="20"/>
          <w:szCs w:val="20"/>
        </w:rPr>
      </w:pPr>
      <w:r w:rsidRPr="00426A10">
        <w:rPr>
          <w:rFonts w:ascii="Times New Roman" w:eastAsia="MS Mincho" w:hAnsi="Times New Roman"/>
          <w:color w:val="000000" w:themeColor="text1"/>
          <w:sz w:val="20"/>
          <w:szCs w:val="20"/>
        </w:rPr>
        <w:t>DETECTION OF BIOMARKERS</w:t>
      </w:r>
    </w:p>
    <w:p w14:paraId="3083EF2D" w14:textId="77777777" w:rsidR="000E69AD" w:rsidRPr="00426A10" w:rsidRDefault="000E69AD" w:rsidP="000E69AD">
      <w:pPr>
        <w:jc w:val="left"/>
        <w:rPr>
          <w:rFonts w:eastAsia="MS Mincho"/>
          <w:color w:val="000000" w:themeColor="text1"/>
        </w:rPr>
      </w:pPr>
    </w:p>
    <w:p w14:paraId="277E9C9F" w14:textId="4BFBC8B5" w:rsidR="000E69AD" w:rsidRPr="00426A10" w:rsidRDefault="000E69AD" w:rsidP="000E69AD">
      <w:pPr>
        <w:jc w:val="left"/>
        <w:rPr>
          <w:rFonts w:eastAsia="MS Mincho"/>
          <w:color w:val="000000" w:themeColor="text1"/>
        </w:rPr>
      </w:pPr>
      <w:r w:rsidRPr="00426A10">
        <w:rPr>
          <w:rFonts w:eastAsia="MS Mincho"/>
          <w:color w:val="000000" w:themeColor="text1"/>
        </w:rPr>
        <w:t>Various methods are used for the detection of cancer biomarkers. Some of them are listed below:</w:t>
      </w:r>
    </w:p>
    <w:p w14:paraId="3EB5EB7C" w14:textId="77777777" w:rsidR="00767BF4" w:rsidRPr="00426A10" w:rsidRDefault="00767BF4" w:rsidP="00767BF4">
      <w:pPr>
        <w:rPr>
          <w:rFonts w:eastAsia="MS Mincho"/>
          <w:color w:val="000000" w:themeColor="text1"/>
        </w:rPr>
      </w:pPr>
    </w:p>
    <w:p w14:paraId="3257B6A9" w14:textId="501A7CDD" w:rsidR="0028083D" w:rsidRPr="00426A10" w:rsidRDefault="0028083D" w:rsidP="00D21AEE">
      <w:pPr>
        <w:pStyle w:val="BodyText"/>
        <w:spacing w:after="0" w:line="240" w:lineRule="auto"/>
        <w:ind w:firstLine="0"/>
        <w:rPr>
          <w:color w:val="000000" w:themeColor="text1"/>
        </w:rPr>
      </w:pPr>
      <w:r w:rsidRPr="00426A10">
        <w:rPr>
          <w:color w:val="000000" w:themeColor="text1"/>
        </w:rPr>
        <w:t xml:space="preserve">A. </w:t>
      </w:r>
      <w:r w:rsidR="00217192" w:rsidRPr="00426A10">
        <w:rPr>
          <w:color w:val="000000" w:themeColor="text1"/>
        </w:rPr>
        <w:t>Fluorescence</w:t>
      </w:r>
      <w:r w:rsidR="00471281" w:rsidRPr="00426A10">
        <w:rPr>
          <w:color w:val="000000" w:themeColor="text1"/>
        </w:rPr>
        <w:t xml:space="preserve"> </w:t>
      </w:r>
      <w:proofErr w:type="gramStart"/>
      <w:r w:rsidR="00471281" w:rsidRPr="00426A10">
        <w:rPr>
          <w:color w:val="000000" w:themeColor="text1"/>
        </w:rPr>
        <w:t>In</w:t>
      </w:r>
      <w:proofErr w:type="gramEnd"/>
      <w:r w:rsidR="00471281" w:rsidRPr="00426A10">
        <w:rPr>
          <w:color w:val="000000" w:themeColor="text1"/>
        </w:rPr>
        <w:t xml:space="preserve"> Situ</w:t>
      </w:r>
      <w:r w:rsidR="00471281" w:rsidRPr="00426A10">
        <w:rPr>
          <w:i/>
          <w:iCs/>
          <w:color w:val="000000" w:themeColor="text1"/>
        </w:rPr>
        <w:t xml:space="preserve"> </w:t>
      </w:r>
      <w:r w:rsidR="00471281" w:rsidRPr="00426A10">
        <w:rPr>
          <w:color w:val="000000" w:themeColor="text1"/>
        </w:rPr>
        <w:t>Hybridization (F</w:t>
      </w:r>
      <w:r w:rsidRPr="00426A10">
        <w:rPr>
          <w:color w:val="000000" w:themeColor="text1"/>
        </w:rPr>
        <w:t>ISH</w:t>
      </w:r>
      <w:r w:rsidR="00471281" w:rsidRPr="00426A10">
        <w:rPr>
          <w:color w:val="000000" w:themeColor="text1"/>
        </w:rPr>
        <w:t>)</w:t>
      </w:r>
      <w:r w:rsidRPr="00426A10">
        <w:rPr>
          <w:color w:val="000000" w:themeColor="text1"/>
        </w:rPr>
        <w:t>:</w:t>
      </w:r>
    </w:p>
    <w:p w14:paraId="08FEEDC1" w14:textId="25C31E64" w:rsidR="009B2081" w:rsidRPr="00426A10" w:rsidRDefault="00B558DC" w:rsidP="00466548">
      <w:pPr>
        <w:pStyle w:val="BodyText"/>
        <w:spacing w:after="0" w:line="240" w:lineRule="auto"/>
        <w:ind w:firstLine="0"/>
        <w:rPr>
          <w:color w:val="000000" w:themeColor="text1"/>
        </w:rPr>
      </w:pPr>
      <w:r w:rsidRPr="00426A10">
        <w:rPr>
          <w:color w:val="000000" w:themeColor="text1"/>
        </w:rPr>
        <w:t xml:space="preserve">FISH is a test that "maps" the genetic material in human cells, including individual genes or segments of genes. A FISH test </w:t>
      </w:r>
      <w:r w:rsidR="00D566E6" w:rsidRPr="00426A10">
        <w:rPr>
          <w:color w:val="000000" w:themeColor="text1"/>
        </w:rPr>
        <w:t xml:space="preserve">helps in the discovery and diagnosis of </w:t>
      </w:r>
      <w:r w:rsidRPr="00426A10">
        <w:rPr>
          <w:color w:val="000000" w:themeColor="text1"/>
        </w:rPr>
        <w:t xml:space="preserve">cancer-related genetic alterations. It also provides extra information used to forecast a patient's fate and whether he or she will respond to chemotherapy medications [46,47]. </w:t>
      </w:r>
      <w:r w:rsidR="00F710D7" w:rsidRPr="00426A10">
        <w:rPr>
          <w:color w:val="000000" w:themeColor="text1"/>
          <w:shd w:val="clear" w:color="auto" w:fill="FFFFFF"/>
        </w:rPr>
        <w:t>For example, a</w:t>
      </w:r>
      <w:r w:rsidR="009B2081" w:rsidRPr="00426A10">
        <w:rPr>
          <w:color w:val="000000" w:themeColor="text1"/>
          <w:shd w:val="clear" w:color="auto" w:fill="FFFFFF"/>
        </w:rPr>
        <w:t xml:space="preserve"> FISH tes</w:t>
      </w:r>
      <w:r w:rsidR="00F710D7" w:rsidRPr="00426A10">
        <w:rPr>
          <w:color w:val="000000" w:themeColor="text1"/>
          <w:shd w:val="clear" w:color="auto" w:fill="FFFFFF"/>
        </w:rPr>
        <w:t>t i</w:t>
      </w:r>
      <w:r w:rsidR="009B2081" w:rsidRPr="00426A10">
        <w:rPr>
          <w:color w:val="000000" w:themeColor="text1"/>
          <w:shd w:val="clear" w:color="auto" w:fill="FFFFFF"/>
        </w:rPr>
        <w:t xml:space="preserve">s used to examine breast cancer tissue </w:t>
      </w:r>
      <w:r w:rsidR="00F710D7" w:rsidRPr="00426A10">
        <w:rPr>
          <w:color w:val="000000" w:themeColor="text1"/>
          <w:shd w:val="clear" w:color="auto" w:fill="FFFFFF"/>
        </w:rPr>
        <w:t>for the detection of</w:t>
      </w:r>
      <w:r w:rsidR="009B2081" w:rsidRPr="00426A10">
        <w:rPr>
          <w:color w:val="000000" w:themeColor="text1"/>
          <w:shd w:val="clear" w:color="auto" w:fill="FFFFFF"/>
        </w:rPr>
        <w:t xml:space="preserve"> multiple copies of HER2</w:t>
      </w:r>
      <w:r w:rsidR="00F710D7" w:rsidRPr="00426A10">
        <w:rPr>
          <w:color w:val="000000" w:themeColor="text1"/>
          <w:shd w:val="clear" w:color="auto" w:fill="FFFFFF"/>
        </w:rPr>
        <w:t>/neu</w:t>
      </w:r>
      <w:r w:rsidR="009B2081" w:rsidRPr="00426A10">
        <w:rPr>
          <w:color w:val="000000" w:themeColor="text1"/>
          <w:shd w:val="clear" w:color="auto" w:fill="FFFFFF"/>
        </w:rPr>
        <w:t xml:space="preserve"> gene. </w:t>
      </w:r>
      <w:r w:rsidR="00322487" w:rsidRPr="00426A10">
        <w:rPr>
          <w:color w:val="000000" w:themeColor="text1"/>
        </w:rPr>
        <w:t xml:space="preserve">These cells develop more HER2 receptors, which receive signals that promote breast cancer cell proliferation. </w:t>
      </w:r>
      <w:r w:rsidR="009B2081" w:rsidRPr="00426A10">
        <w:rPr>
          <w:color w:val="000000" w:themeColor="text1"/>
          <w:shd w:val="clear" w:color="auto" w:fill="FFFFFF"/>
        </w:rPr>
        <w:t>Blocking these receptors wit</w:t>
      </w:r>
      <w:r w:rsidR="00193A5E" w:rsidRPr="00426A10">
        <w:rPr>
          <w:color w:val="000000" w:themeColor="text1"/>
          <w:shd w:val="clear" w:color="auto" w:fill="FFFFFF"/>
        </w:rPr>
        <w:t>h trastuzumab (</w:t>
      </w:r>
      <w:r w:rsidR="009B2081" w:rsidRPr="00426A10">
        <w:rPr>
          <w:color w:val="000000" w:themeColor="text1"/>
          <w:shd w:val="clear" w:color="auto" w:fill="FFFFFF"/>
        </w:rPr>
        <w:t>Herceptin</w:t>
      </w:r>
      <w:r w:rsidR="00193A5E" w:rsidRPr="00426A10">
        <w:rPr>
          <w:color w:val="000000" w:themeColor="text1"/>
          <w:shd w:val="clear" w:color="auto" w:fill="FFFFFF"/>
        </w:rPr>
        <w:t>)</w:t>
      </w:r>
      <w:r w:rsidR="009B2081" w:rsidRPr="00426A10">
        <w:rPr>
          <w:color w:val="000000" w:themeColor="text1"/>
          <w:shd w:val="clear" w:color="auto" w:fill="FFFFFF"/>
        </w:rPr>
        <w:t xml:space="preserve"> can be beneficial in treating patients with breast cancer who have multiple copies of the gene [48</w:t>
      </w:r>
      <w:r w:rsidR="00193A5E" w:rsidRPr="00426A10">
        <w:rPr>
          <w:color w:val="000000" w:themeColor="text1"/>
          <w:shd w:val="clear" w:color="auto" w:fill="FFFFFF"/>
        </w:rPr>
        <w:t>,49</w:t>
      </w:r>
      <w:r w:rsidR="009B2081" w:rsidRPr="00426A10">
        <w:rPr>
          <w:color w:val="000000" w:themeColor="text1"/>
          <w:shd w:val="clear" w:color="auto" w:fill="FFFFFF"/>
        </w:rPr>
        <w:t xml:space="preserve">]. Additionally, testing urine cells for FISH is more accurate than a standard test that is used to identify abnormal cells and is intended for the diagnosis of bladder cancer. FISH can </w:t>
      </w:r>
      <w:r w:rsidR="000F1715" w:rsidRPr="00426A10">
        <w:rPr>
          <w:color w:val="000000" w:themeColor="text1"/>
          <w:shd w:val="clear" w:color="auto" w:fill="FFFFFF"/>
        </w:rPr>
        <w:t xml:space="preserve">also </w:t>
      </w:r>
      <w:r w:rsidR="009B2081" w:rsidRPr="00426A10">
        <w:rPr>
          <w:color w:val="000000" w:themeColor="text1"/>
          <w:shd w:val="clear" w:color="auto" w:fill="FFFFFF"/>
        </w:rPr>
        <w:t>detect the recurrence of bladder cancer up</w:t>
      </w:r>
      <w:r w:rsidR="000F1715" w:rsidRPr="00426A10">
        <w:rPr>
          <w:color w:val="000000" w:themeColor="text1"/>
          <w:shd w:val="clear" w:color="auto" w:fill="FFFFFF"/>
        </w:rPr>
        <w:t xml:space="preserve"> </w:t>
      </w:r>
      <w:r w:rsidR="009B2081" w:rsidRPr="00426A10">
        <w:rPr>
          <w:color w:val="000000" w:themeColor="text1"/>
          <w:shd w:val="clear" w:color="auto" w:fill="FFFFFF"/>
        </w:rPr>
        <w:t>to six months earlier</w:t>
      </w:r>
      <w:r w:rsidR="000F1715" w:rsidRPr="00426A10">
        <w:rPr>
          <w:color w:val="000000" w:themeColor="text1"/>
          <w:shd w:val="clear" w:color="auto" w:fill="FFFFFF"/>
        </w:rPr>
        <w:t xml:space="preserve"> [50</w:t>
      </w:r>
      <w:r w:rsidR="009E4903" w:rsidRPr="00426A10">
        <w:rPr>
          <w:color w:val="000000" w:themeColor="text1"/>
          <w:shd w:val="clear" w:color="auto" w:fill="FFFFFF"/>
        </w:rPr>
        <w:t>]</w:t>
      </w:r>
      <w:r w:rsidR="007E6B34" w:rsidRPr="00426A10">
        <w:rPr>
          <w:color w:val="000000" w:themeColor="text1"/>
          <w:shd w:val="clear" w:color="auto" w:fill="FFFFFF"/>
        </w:rPr>
        <w:t xml:space="preserve">. </w:t>
      </w:r>
      <w:r w:rsidR="009B2081" w:rsidRPr="00426A10">
        <w:rPr>
          <w:color w:val="000000" w:themeColor="text1"/>
          <w:shd w:val="clear" w:color="auto" w:fill="FFFFFF"/>
        </w:rPr>
        <w:t>FISH can be used to identify chromosome abnormalities in certain types of leukemia, particularly those associated with more aggressive forms of C</w:t>
      </w:r>
      <w:r w:rsidR="00A82353" w:rsidRPr="00426A10">
        <w:rPr>
          <w:color w:val="000000" w:themeColor="text1"/>
          <w:shd w:val="clear" w:color="auto" w:fill="FFFFFF"/>
        </w:rPr>
        <w:t>hronic Lymphocytic Leukemia (C</w:t>
      </w:r>
      <w:r w:rsidR="009B2081" w:rsidRPr="00426A10">
        <w:rPr>
          <w:color w:val="000000" w:themeColor="text1"/>
          <w:shd w:val="clear" w:color="auto" w:fill="FFFFFF"/>
        </w:rPr>
        <w:t>LL</w:t>
      </w:r>
      <w:r w:rsidR="00A82353" w:rsidRPr="00426A10">
        <w:rPr>
          <w:color w:val="000000" w:themeColor="text1"/>
          <w:shd w:val="clear" w:color="auto" w:fill="FFFFFF"/>
        </w:rPr>
        <w:t>)</w:t>
      </w:r>
      <w:r w:rsidR="009B2081" w:rsidRPr="00426A10">
        <w:rPr>
          <w:color w:val="000000" w:themeColor="text1"/>
          <w:shd w:val="clear" w:color="auto" w:fill="FFFFFF"/>
        </w:rPr>
        <w:t>, which may require immediate treatment</w:t>
      </w:r>
      <w:r w:rsidR="009E4903" w:rsidRPr="00426A10">
        <w:rPr>
          <w:color w:val="000000" w:themeColor="text1"/>
          <w:shd w:val="clear" w:color="auto" w:fill="FFFFFF"/>
        </w:rPr>
        <w:t xml:space="preserve"> [51,52].</w:t>
      </w:r>
    </w:p>
    <w:p w14:paraId="4A4D9403" w14:textId="77777777" w:rsidR="00B558DC" w:rsidRPr="00426A10" w:rsidRDefault="00B558DC" w:rsidP="00466548">
      <w:pPr>
        <w:pStyle w:val="BodyText"/>
        <w:spacing w:after="0" w:line="240" w:lineRule="auto"/>
        <w:ind w:firstLine="0"/>
        <w:rPr>
          <w:color w:val="000000" w:themeColor="text1"/>
        </w:rPr>
      </w:pPr>
    </w:p>
    <w:p w14:paraId="102DC63D" w14:textId="0E7152A9" w:rsidR="00C65F7C" w:rsidRPr="00426A10" w:rsidRDefault="009E38A1" w:rsidP="00466548">
      <w:pPr>
        <w:pStyle w:val="BodyText"/>
        <w:spacing w:after="0" w:line="240" w:lineRule="auto"/>
        <w:ind w:firstLine="0"/>
        <w:rPr>
          <w:color w:val="000000" w:themeColor="text1"/>
        </w:rPr>
      </w:pPr>
      <w:r w:rsidRPr="00426A10">
        <w:rPr>
          <w:color w:val="000000" w:themeColor="text1"/>
        </w:rPr>
        <w:t xml:space="preserve">B. </w:t>
      </w:r>
      <w:r w:rsidR="00C65F7C" w:rsidRPr="00426A10">
        <w:rPr>
          <w:color w:val="000000" w:themeColor="text1"/>
        </w:rPr>
        <w:t>P</w:t>
      </w:r>
      <w:r w:rsidR="00217192" w:rsidRPr="00426A10">
        <w:rPr>
          <w:color w:val="000000" w:themeColor="text1"/>
        </w:rPr>
        <w:t>olymerase Chain Reaction (P</w:t>
      </w:r>
      <w:r w:rsidR="00C65F7C" w:rsidRPr="00426A10">
        <w:rPr>
          <w:color w:val="000000" w:themeColor="text1"/>
        </w:rPr>
        <w:t>CR</w:t>
      </w:r>
      <w:r w:rsidR="00217192" w:rsidRPr="00426A10">
        <w:rPr>
          <w:color w:val="000000" w:themeColor="text1"/>
        </w:rPr>
        <w:t>)</w:t>
      </w:r>
      <w:r w:rsidR="00C65F7C" w:rsidRPr="00426A10">
        <w:rPr>
          <w:color w:val="000000" w:themeColor="text1"/>
        </w:rPr>
        <w:t>:</w:t>
      </w:r>
    </w:p>
    <w:p w14:paraId="6602A578" w14:textId="2CF82E7C" w:rsidR="000B5547" w:rsidRPr="00426A10" w:rsidRDefault="008E3986" w:rsidP="00466548">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The PCR assay has been demonstrated to be capable of detecting a single tumor marker-expressing cell in a population of up to 100 million lymphocytes, and has been used to identify tumor cells in approximately 18 solid tumor forms, the most widely studied being melanoma, breast and prostate carcinoma. </w:t>
      </w:r>
      <w:r w:rsidR="007A5FE4" w:rsidRPr="007A5FE4">
        <w:rPr>
          <w:color w:val="000000" w:themeColor="text1"/>
          <w:shd w:val="clear" w:color="auto" w:fill="FFFFFF"/>
        </w:rPr>
        <w:t>PCR-based techniques have been used to locate cancer cells in biopsy samples of lymph nodes, solid tissue, bone marrow, peripheral blood, and other body fluids. Numerous studies have shown a substantial link between the PCR results and the existence of metastatic illness, as well as a high degree of specificity and sensitivity for tumor marker detection. PCR identifies tumor marker-expressing cells in patients with locali</w:t>
      </w:r>
      <w:r w:rsidR="007E18E2">
        <w:rPr>
          <w:color w:val="000000" w:themeColor="text1"/>
          <w:shd w:val="clear" w:color="auto" w:fill="FFFFFF"/>
        </w:rPr>
        <w:t>z</w:t>
      </w:r>
      <w:r w:rsidR="007A5FE4" w:rsidRPr="007A5FE4">
        <w:rPr>
          <w:color w:val="000000" w:themeColor="text1"/>
          <w:shd w:val="clear" w:color="auto" w:fill="FFFFFF"/>
        </w:rPr>
        <w:t>ed or metastatic cancer that would otherwise go undetected by standard techniques</w:t>
      </w:r>
      <w:r w:rsidR="007A5FE4">
        <w:rPr>
          <w:color w:val="000000" w:themeColor="text1"/>
          <w:shd w:val="clear" w:color="auto" w:fill="FFFFFF"/>
        </w:rPr>
        <w:t xml:space="preserve"> </w:t>
      </w:r>
      <w:r w:rsidR="00B558DC" w:rsidRPr="00426A10">
        <w:rPr>
          <w:color w:val="000000" w:themeColor="text1"/>
          <w:shd w:val="clear" w:color="auto" w:fill="FFFFFF"/>
        </w:rPr>
        <w:t xml:space="preserve">[53]. In one study, for example, the expression of the mammaglobin biomarker was utilized to predict lymph node metastases in breast cancer patients using RT-PCR [54]. </w:t>
      </w:r>
      <w:r w:rsidR="007E18E2" w:rsidRPr="007E18E2">
        <w:rPr>
          <w:color w:val="000000" w:themeColor="text1"/>
          <w:shd w:val="clear" w:color="auto" w:fill="FFFFFF"/>
        </w:rPr>
        <w:t xml:space="preserve">Another study discovered that the CR-LDR-qPCR assay can detect 30 methylated copies of each of the three </w:t>
      </w:r>
      <w:proofErr w:type="spellStart"/>
      <w:r w:rsidR="007E18E2" w:rsidRPr="007E18E2">
        <w:rPr>
          <w:color w:val="000000" w:themeColor="text1"/>
          <w:shd w:val="clear" w:color="auto" w:fill="FFFFFF"/>
        </w:rPr>
        <w:t>BrCa</w:t>
      </w:r>
      <w:proofErr w:type="spellEnd"/>
      <w:r w:rsidR="007E18E2" w:rsidRPr="007E18E2">
        <w:rPr>
          <w:color w:val="000000" w:themeColor="text1"/>
          <w:shd w:val="clear" w:color="auto" w:fill="FFFFFF"/>
        </w:rPr>
        <w:t xml:space="preserve">-specific CpG markers when combined with an excess of unmethylated CpG markers (3000 copies each), which is a reasonable approximation of </w:t>
      </w:r>
      <w:proofErr w:type="spellStart"/>
      <w:r w:rsidR="007E18E2" w:rsidRPr="007E18E2">
        <w:rPr>
          <w:color w:val="000000" w:themeColor="text1"/>
          <w:shd w:val="clear" w:color="auto" w:fill="FFFFFF"/>
        </w:rPr>
        <w:t>BrCa</w:t>
      </w:r>
      <w:proofErr w:type="spellEnd"/>
      <w:r w:rsidR="007E18E2" w:rsidRPr="007E18E2">
        <w:rPr>
          <w:color w:val="000000" w:themeColor="text1"/>
          <w:shd w:val="clear" w:color="auto" w:fill="FFFFFF"/>
        </w:rPr>
        <w:t xml:space="preserve"> </w:t>
      </w:r>
      <w:proofErr w:type="spellStart"/>
      <w:r w:rsidR="007E18E2" w:rsidRPr="007E18E2">
        <w:rPr>
          <w:color w:val="000000" w:themeColor="text1"/>
          <w:shd w:val="clear" w:color="auto" w:fill="FFFFFF"/>
        </w:rPr>
        <w:t>ctDNA</w:t>
      </w:r>
      <w:proofErr w:type="spellEnd"/>
      <w:r w:rsidR="007E18E2" w:rsidRPr="007E18E2">
        <w:rPr>
          <w:color w:val="000000" w:themeColor="text1"/>
          <w:shd w:val="clear" w:color="auto" w:fill="FFFFFF"/>
        </w:rPr>
        <w:t xml:space="preserve"> overloaded with peripheral blood cell-free DNA (cfDNA) when isolated from patient plasma</w:t>
      </w:r>
      <w:r w:rsidR="007E18E2">
        <w:rPr>
          <w:color w:val="000000" w:themeColor="text1"/>
          <w:shd w:val="clear" w:color="auto" w:fill="FFFFFF"/>
        </w:rPr>
        <w:t xml:space="preserve"> </w:t>
      </w:r>
      <w:r w:rsidR="00B558DC" w:rsidRPr="00426A10">
        <w:rPr>
          <w:color w:val="000000" w:themeColor="text1"/>
          <w:shd w:val="clear" w:color="auto" w:fill="FFFFFF"/>
        </w:rPr>
        <w:t>[55].</w:t>
      </w:r>
    </w:p>
    <w:p w14:paraId="43C337F1" w14:textId="77777777" w:rsidR="00A41E3D" w:rsidRPr="00426A10" w:rsidRDefault="00A41E3D" w:rsidP="00466548">
      <w:pPr>
        <w:pStyle w:val="BodyText"/>
        <w:spacing w:after="0" w:line="240" w:lineRule="auto"/>
        <w:ind w:firstLine="0"/>
        <w:rPr>
          <w:color w:val="000000" w:themeColor="text1"/>
        </w:rPr>
      </w:pPr>
    </w:p>
    <w:p w14:paraId="3A48FEE9" w14:textId="675A6215" w:rsidR="00E74780" w:rsidRPr="00426A10" w:rsidRDefault="00A41E3D" w:rsidP="00614A1E">
      <w:pPr>
        <w:pStyle w:val="BodyText"/>
        <w:spacing w:after="0" w:line="240" w:lineRule="auto"/>
        <w:ind w:firstLine="0"/>
        <w:rPr>
          <w:color w:val="000000" w:themeColor="text1"/>
        </w:rPr>
      </w:pPr>
      <w:r w:rsidRPr="00426A10">
        <w:rPr>
          <w:color w:val="000000" w:themeColor="text1"/>
        </w:rPr>
        <w:t xml:space="preserve">C. </w:t>
      </w:r>
      <w:r w:rsidR="00C65F7C" w:rsidRPr="00426A10">
        <w:rPr>
          <w:color w:val="000000" w:themeColor="text1"/>
        </w:rPr>
        <w:t>N</w:t>
      </w:r>
      <w:r w:rsidR="00217192" w:rsidRPr="00426A10">
        <w:rPr>
          <w:color w:val="000000" w:themeColor="text1"/>
        </w:rPr>
        <w:t>ext-Generation Sequencing (N</w:t>
      </w:r>
      <w:r w:rsidR="00C65F7C" w:rsidRPr="00426A10">
        <w:rPr>
          <w:color w:val="000000" w:themeColor="text1"/>
        </w:rPr>
        <w:t>GS</w:t>
      </w:r>
      <w:r w:rsidR="00217192" w:rsidRPr="00426A10">
        <w:rPr>
          <w:color w:val="000000" w:themeColor="text1"/>
        </w:rPr>
        <w:t>)</w:t>
      </w:r>
      <w:r w:rsidR="00C65F7C" w:rsidRPr="00426A10">
        <w:rPr>
          <w:color w:val="000000" w:themeColor="text1"/>
        </w:rPr>
        <w:t>:</w:t>
      </w:r>
    </w:p>
    <w:p w14:paraId="6451FE2D" w14:textId="02461545" w:rsidR="000A76F5" w:rsidRPr="00426A10" w:rsidRDefault="009B657A" w:rsidP="000A76F5">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Next-generation Sequencing (NGS) is a high-throughput </w:t>
      </w:r>
      <w:r w:rsidR="00745512">
        <w:rPr>
          <w:color w:val="000000" w:themeColor="text1"/>
          <w:shd w:val="clear" w:color="auto" w:fill="FFFFFF"/>
        </w:rPr>
        <w:t>approach</w:t>
      </w:r>
      <w:r w:rsidRPr="00426A10">
        <w:rPr>
          <w:color w:val="000000" w:themeColor="text1"/>
          <w:shd w:val="clear" w:color="auto" w:fill="FFFFFF"/>
        </w:rPr>
        <w:t xml:space="preserve"> that efficiently identifies the sequences of millions to billions of DNA fragments. NGS has showed enormous promise not only in detecting early cancer biomarkers, but also in assisting drug discovery efforts and guiding therapy. NGS applications have expanded rapidly, allowing the creation of diagnostic and prognostic biomarkers for a wide range of disease domains [56], including cancer.</w:t>
      </w:r>
      <w:r w:rsidR="000A76F5" w:rsidRPr="00426A10">
        <w:rPr>
          <w:color w:val="000000" w:themeColor="text1"/>
          <w:shd w:val="clear" w:color="auto" w:fill="FFFFFF"/>
        </w:rPr>
        <w:t xml:space="preserve"> </w:t>
      </w:r>
      <w:r w:rsidR="00A60767" w:rsidRPr="00426A10">
        <w:rPr>
          <w:color w:val="000000" w:themeColor="text1"/>
        </w:rPr>
        <w:t>NGS technologies are frequently employed in clinical research initiatives, such as the Cancer Genom Atlas project, to identify patterns of variation that can be used as biomarkers for cancer diagnosis</w:t>
      </w:r>
      <w:r w:rsidR="000A76F5" w:rsidRPr="00426A10">
        <w:rPr>
          <w:color w:val="000000" w:themeColor="text1"/>
        </w:rPr>
        <w:t xml:space="preserve"> [57]</w:t>
      </w:r>
      <w:r w:rsidR="00A60767" w:rsidRPr="00426A10">
        <w:rPr>
          <w:color w:val="000000" w:themeColor="text1"/>
        </w:rPr>
        <w:t xml:space="preserve">. </w:t>
      </w:r>
      <w:r w:rsidR="00A60767" w:rsidRPr="00426A10">
        <w:rPr>
          <w:color w:val="000000" w:themeColor="text1"/>
        </w:rPr>
        <w:lastRenderedPageBreak/>
        <w:t>For instance,</w:t>
      </w:r>
      <w:r w:rsidR="000A76F5" w:rsidRPr="00426A10">
        <w:rPr>
          <w:color w:val="000000" w:themeColor="text1"/>
        </w:rPr>
        <w:t xml:space="preserve"> </w:t>
      </w:r>
      <w:r w:rsidR="00A60767" w:rsidRPr="00426A10">
        <w:rPr>
          <w:color w:val="000000" w:themeColor="text1"/>
        </w:rPr>
        <w:t xml:space="preserve">NGS testing in patients with NSCLC has been demonstrated to be able to detect a low-frequency variant of the EGFR gene, the T490M mutation, which has been shown to be </w:t>
      </w:r>
      <w:r w:rsidR="000A76F5" w:rsidRPr="00426A10">
        <w:rPr>
          <w:color w:val="000000" w:themeColor="text1"/>
          <w:shd w:val="clear" w:color="auto" w:fill="FFFFFF"/>
        </w:rPr>
        <w:t>resistant to gefitinib and erlotinib therapy and can influence medical decisions [58].</w:t>
      </w:r>
    </w:p>
    <w:p w14:paraId="6EE8AD24" w14:textId="77777777" w:rsidR="00614A1E" w:rsidRPr="00426A10" w:rsidRDefault="00614A1E" w:rsidP="00614A1E">
      <w:pPr>
        <w:pStyle w:val="BodyText"/>
        <w:spacing w:after="0" w:line="240" w:lineRule="auto"/>
        <w:ind w:firstLine="0"/>
        <w:rPr>
          <w:color w:val="000000" w:themeColor="text1"/>
          <w:shd w:val="clear" w:color="auto" w:fill="FFFFFF"/>
        </w:rPr>
      </w:pPr>
    </w:p>
    <w:p w14:paraId="47A96D77" w14:textId="4FABDBA0" w:rsidR="00614A1E" w:rsidRPr="00426A10" w:rsidRDefault="00614A1E" w:rsidP="00614A1E">
      <w:pPr>
        <w:pStyle w:val="BodyText"/>
        <w:spacing w:after="0" w:line="240" w:lineRule="auto"/>
        <w:ind w:firstLine="0"/>
        <w:rPr>
          <w:color w:val="000000" w:themeColor="text1"/>
        </w:rPr>
      </w:pPr>
      <w:r w:rsidRPr="00426A10">
        <w:rPr>
          <w:color w:val="000000" w:themeColor="text1"/>
        </w:rPr>
        <w:t xml:space="preserve">D. </w:t>
      </w:r>
      <w:r w:rsidR="00727C02" w:rsidRPr="00426A10">
        <w:rPr>
          <w:color w:val="000000" w:themeColor="text1"/>
        </w:rPr>
        <w:t xml:space="preserve">Flow </w:t>
      </w:r>
      <w:r w:rsidR="00217192" w:rsidRPr="00426A10">
        <w:rPr>
          <w:color w:val="000000" w:themeColor="text1"/>
        </w:rPr>
        <w:t>C</w:t>
      </w:r>
      <w:r w:rsidR="00727C02" w:rsidRPr="00426A10">
        <w:rPr>
          <w:color w:val="000000" w:themeColor="text1"/>
        </w:rPr>
        <w:t>ytometry:</w:t>
      </w:r>
    </w:p>
    <w:p w14:paraId="318CA53E" w14:textId="65392198" w:rsidR="00541990" w:rsidRPr="00426A10" w:rsidRDefault="00745512" w:rsidP="00614A1E">
      <w:pPr>
        <w:pStyle w:val="BodyText"/>
        <w:spacing w:after="0" w:line="240" w:lineRule="auto"/>
        <w:ind w:firstLine="0"/>
        <w:rPr>
          <w:color w:val="000000" w:themeColor="text1"/>
        </w:rPr>
      </w:pPr>
      <w:r w:rsidRPr="00745512">
        <w:rPr>
          <w:color w:val="000000" w:themeColor="text1"/>
          <w:shd w:val="clear" w:color="auto" w:fill="FFFFFF"/>
        </w:rPr>
        <w:t>The study of biomarkers is increasingly using flow cytometry. Due to its multiparametric nature, it can provide incredibly accurate data on every single cell in a heterogeneous population. Both in preclinical and clinical settings, flow cytometry is utili</w:t>
      </w:r>
      <w:r w:rsidR="007A7792">
        <w:rPr>
          <w:color w:val="000000" w:themeColor="text1"/>
          <w:shd w:val="clear" w:color="auto" w:fill="FFFFFF"/>
        </w:rPr>
        <w:t>z</w:t>
      </w:r>
      <w:r w:rsidRPr="00745512">
        <w:rPr>
          <w:color w:val="000000" w:themeColor="text1"/>
          <w:shd w:val="clear" w:color="auto" w:fill="FFFFFF"/>
        </w:rPr>
        <w:t>ed to produce biomarker data that can be used to inform decisions about clinical trial dose selection, cancer patient treatment options, and even a person's suitability for transplantation</w:t>
      </w:r>
      <w:r w:rsidR="009B657A" w:rsidRPr="00426A10">
        <w:rPr>
          <w:color w:val="000000" w:themeColor="text1"/>
          <w:shd w:val="clear" w:color="auto" w:fill="FFFFFF"/>
        </w:rPr>
        <w:t xml:space="preserve"> [59]. With the combination of the two biomarkers, flow cytometry found 0.01% dysplastic cells in a background of normal cervical epithelial cells [60]. In another study, the use of flow cytometry aided in distinguishing breast cancer indicators. Thus, flow cytometry, in conjunction with morphological analysis and IHC, can overcome specific limitations of each technology and offer trustworthy data in a more timely and efficient manner, leading </w:t>
      </w:r>
      <w:r w:rsidR="0076422C" w:rsidRPr="00426A10">
        <w:rPr>
          <w:color w:val="000000" w:themeColor="text1"/>
          <w:shd w:val="clear" w:color="auto" w:fill="FFFFFF"/>
        </w:rPr>
        <w:t>to</w:t>
      </w:r>
      <w:r w:rsidR="009B657A" w:rsidRPr="00426A10">
        <w:rPr>
          <w:color w:val="000000" w:themeColor="text1"/>
          <w:shd w:val="clear" w:color="auto" w:fill="FFFFFF"/>
        </w:rPr>
        <w:t xml:space="preserve"> advances in breast cancer detection and prognosis [61].</w:t>
      </w:r>
    </w:p>
    <w:p w14:paraId="6B8B9C0A" w14:textId="77777777" w:rsidR="00614A1E" w:rsidRPr="00426A10" w:rsidRDefault="00614A1E" w:rsidP="00466548">
      <w:pPr>
        <w:pStyle w:val="BodyText"/>
        <w:spacing w:after="0" w:line="240" w:lineRule="auto"/>
        <w:ind w:firstLine="0"/>
        <w:rPr>
          <w:color w:val="000000" w:themeColor="text1"/>
        </w:rPr>
      </w:pPr>
    </w:p>
    <w:p w14:paraId="2E195E73" w14:textId="7A5A0C02" w:rsidR="00614A1E" w:rsidRPr="00426A10" w:rsidRDefault="00614A1E" w:rsidP="00466548">
      <w:pPr>
        <w:pStyle w:val="BodyText"/>
        <w:spacing w:after="0" w:line="240" w:lineRule="auto"/>
        <w:ind w:firstLine="0"/>
        <w:rPr>
          <w:color w:val="000000" w:themeColor="text1"/>
        </w:rPr>
      </w:pPr>
      <w:r w:rsidRPr="00426A10">
        <w:rPr>
          <w:color w:val="000000" w:themeColor="text1"/>
        </w:rPr>
        <w:t xml:space="preserve">E. </w:t>
      </w:r>
      <w:r w:rsidR="00C65F7C" w:rsidRPr="00426A10">
        <w:rPr>
          <w:color w:val="000000" w:themeColor="text1"/>
        </w:rPr>
        <w:t>Microarray:</w:t>
      </w:r>
      <w:r w:rsidR="001D5967" w:rsidRPr="00426A10">
        <w:rPr>
          <w:color w:val="000000" w:themeColor="text1"/>
        </w:rPr>
        <w:t xml:space="preserve"> </w:t>
      </w:r>
    </w:p>
    <w:p w14:paraId="6F442DB7" w14:textId="23D0E7D1" w:rsidR="00473890" w:rsidRPr="00426A10" w:rsidRDefault="00A11952" w:rsidP="00473890">
      <w:pPr>
        <w:pStyle w:val="BodyText"/>
        <w:spacing w:after="0" w:line="240" w:lineRule="auto"/>
        <w:ind w:firstLine="0"/>
        <w:rPr>
          <w:color w:val="000000" w:themeColor="text1"/>
          <w:shd w:val="clear" w:color="auto" w:fill="FFFFFF"/>
        </w:rPr>
      </w:pPr>
      <w:r w:rsidRPr="00426A10">
        <w:rPr>
          <w:color w:val="000000" w:themeColor="text1"/>
          <w:shd w:val="clear" w:color="auto" w:fill="FFFFFF"/>
        </w:rPr>
        <w:t xml:space="preserve">Microarrays have become a widely used tool for the analysis of tens of </w:t>
      </w:r>
      <w:r w:rsidR="007E7E04" w:rsidRPr="00426A10">
        <w:rPr>
          <w:color w:val="000000" w:themeColor="text1"/>
          <w:shd w:val="clear" w:color="auto" w:fill="FFFFFF"/>
        </w:rPr>
        <w:t>thousands</w:t>
      </w:r>
      <w:r w:rsidRPr="00426A10">
        <w:rPr>
          <w:color w:val="000000" w:themeColor="text1"/>
          <w:shd w:val="clear" w:color="auto" w:fill="FFFFFF"/>
        </w:rPr>
        <w:t xml:space="preserve"> of gene expression levels simultaneously. This has enabled the study of a variety of disorders, including cancer, through the use of microarray data analysis</w:t>
      </w:r>
      <w:r w:rsidR="0036720E" w:rsidRPr="00426A10">
        <w:rPr>
          <w:color w:val="000000" w:themeColor="text1"/>
          <w:shd w:val="clear" w:color="auto" w:fill="FFFFFF"/>
        </w:rPr>
        <w:t xml:space="preserve"> [62]</w:t>
      </w:r>
      <w:r w:rsidRPr="00426A10">
        <w:rPr>
          <w:color w:val="000000" w:themeColor="text1"/>
          <w:shd w:val="clear" w:color="auto" w:fill="FFFFFF"/>
        </w:rPr>
        <w:t>. These patterns can be used</w:t>
      </w:r>
      <w:r w:rsidR="000538DD" w:rsidRPr="00426A10">
        <w:rPr>
          <w:color w:val="000000" w:themeColor="text1"/>
          <w:shd w:val="clear" w:color="auto" w:fill="FFFFFF"/>
        </w:rPr>
        <w:t xml:space="preserve"> in the </w:t>
      </w:r>
      <w:r w:rsidRPr="00426A10">
        <w:rPr>
          <w:color w:val="000000" w:themeColor="text1"/>
          <w:shd w:val="clear" w:color="auto" w:fill="FFFFFF"/>
        </w:rPr>
        <w:t>diagnos</w:t>
      </w:r>
      <w:r w:rsidR="000538DD" w:rsidRPr="00426A10">
        <w:rPr>
          <w:color w:val="000000" w:themeColor="text1"/>
          <w:shd w:val="clear" w:color="auto" w:fill="FFFFFF"/>
        </w:rPr>
        <w:t>is</w:t>
      </w:r>
      <w:r w:rsidRPr="00426A10">
        <w:rPr>
          <w:color w:val="000000" w:themeColor="text1"/>
          <w:shd w:val="clear" w:color="auto" w:fill="FFFFFF"/>
        </w:rPr>
        <w:t xml:space="preserve"> or prognosis </w:t>
      </w:r>
      <w:r w:rsidR="000538DD" w:rsidRPr="00426A10">
        <w:rPr>
          <w:color w:val="000000" w:themeColor="text1"/>
          <w:shd w:val="clear" w:color="auto" w:fill="FFFFFF"/>
        </w:rPr>
        <w:t xml:space="preserve">of </w:t>
      </w:r>
      <w:r w:rsidRPr="00426A10">
        <w:rPr>
          <w:color w:val="000000" w:themeColor="text1"/>
          <w:shd w:val="clear" w:color="auto" w:fill="FFFFFF"/>
        </w:rPr>
        <w:t>a disease, characteri</w:t>
      </w:r>
      <w:r w:rsidR="000538DD" w:rsidRPr="00426A10">
        <w:rPr>
          <w:color w:val="000000" w:themeColor="text1"/>
          <w:shd w:val="clear" w:color="auto" w:fill="FFFFFF"/>
        </w:rPr>
        <w:t>z</w:t>
      </w:r>
      <w:r w:rsidRPr="00426A10">
        <w:rPr>
          <w:color w:val="000000" w:themeColor="text1"/>
          <w:shd w:val="clear" w:color="auto" w:fill="FFFFFF"/>
        </w:rPr>
        <w:t>e a particular stage of the disease, or identify and hypothesize the importance of particular genes in the progression of the disease</w:t>
      </w:r>
      <w:r w:rsidR="002579AC" w:rsidRPr="00426A10">
        <w:rPr>
          <w:color w:val="000000" w:themeColor="text1"/>
          <w:shd w:val="clear" w:color="auto" w:fill="FFFFFF"/>
        </w:rPr>
        <w:t xml:space="preserve"> [63]</w:t>
      </w:r>
      <w:r w:rsidRPr="00426A10">
        <w:rPr>
          <w:color w:val="000000" w:themeColor="text1"/>
          <w:shd w:val="clear" w:color="auto" w:fill="FFFFFF"/>
        </w:rPr>
        <w:t xml:space="preserve">. </w:t>
      </w:r>
      <w:r w:rsidR="00013117" w:rsidRPr="00426A10">
        <w:rPr>
          <w:color w:val="000000" w:themeColor="text1"/>
          <w:shd w:val="clear" w:color="auto" w:fill="FFFFFF"/>
        </w:rPr>
        <w:t>For example, i</w:t>
      </w:r>
      <w:r w:rsidRPr="00426A10">
        <w:rPr>
          <w:color w:val="000000" w:themeColor="text1"/>
          <w:shd w:val="clear" w:color="auto" w:fill="FFFFFF"/>
        </w:rPr>
        <w:t>n a study</w:t>
      </w:r>
      <w:r w:rsidR="00013117" w:rsidRPr="00426A10">
        <w:rPr>
          <w:color w:val="000000" w:themeColor="text1"/>
          <w:shd w:val="clear" w:color="auto" w:fill="FFFFFF"/>
        </w:rPr>
        <w:t>,</w:t>
      </w:r>
      <w:r w:rsidRPr="00426A10">
        <w:rPr>
          <w:color w:val="000000" w:themeColor="text1"/>
          <w:shd w:val="clear" w:color="auto" w:fill="FFFFFF"/>
        </w:rPr>
        <w:t xml:space="preserve"> 44 genes </w:t>
      </w:r>
      <w:r w:rsidR="002E4F5D" w:rsidRPr="00426A10">
        <w:rPr>
          <w:color w:val="000000" w:themeColor="text1"/>
          <w:shd w:val="clear" w:color="auto" w:fill="FFFFFF"/>
        </w:rPr>
        <w:t xml:space="preserve">were </w:t>
      </w:r>
      <w:r w:rsidRPr="00426A10">
        <w:rPr>
          <w:color w:val="000000" w:themeColor="text1"/>
          <w:shd w:val="clear" w:color="auto" w:fill="FFFFFF"/>
        </w:rPr>
        <w:t>upregulated in a group of cancer patients with unknown primary characteristics (CUP), six ribosomal protein (RPS) genes were identified, two of which are well-known for their involvement in the</w:t>
      </w:r>
      <w:r w:rsidR="002579AC" w:rsidRPr="00426A10">
        <w:rPr>
          <w:color w:val="000000" w:themeColor="text1"/>
          <w:shd w:val="clear" w:color="auto" w:fill="FFFFFF"/>
        </w:rPr>
        <w:t xml:space="preserve"> Mdm2-p53</w:t>
      </w:r>
      <w:r w:rsidRPr="00426A10">
        <w:rPr>
          <w:color w:val="000000" w:themeColor="text1"/>
          <w:shd w:val="clear" w:color="auto" w:fill="FFFFFF"/>
        </w:rPr>
        <w:t xml:space="preserve"> pathway. Additionally, several genes related to metastasis and apoptosis were identified, suggesting that CUP may possess a biological property</w:t>
      </w:r>
      <w:r w:rsidR="002579AC" w:rsidRPr="00426A10">
        <w:rPr>
          <w:color w:val="000000" w:themeColor="text1"/>
          <w:shd w:val="clear" w:color="auto" w:fill="FFFFFF"/>
        </w:rPr>
        <w:t xml:space="preserve"> [64]</w:t>
      </w:r>
      <w:r w:rsidRPr="00426A10">
        <w:rPr>
          <w:color w:val="000000" w:themeColor="text1"/>
          <w:shd w:val="clear" w:color="auto" w:fill="FFFFFF"/>
        </w:rPr>
        <w:t>.</w:t>
      </w:r>
      <w:r w:rsidR="00473890" w:rsidRPr="00426A10">
        <w:rPr>
          <w:color w:val="000000" w:themeColor="text1"/>
          <w:shd w:val="clear" w:color="auto" w:fill="FFFFFF"/>
        </w:rPr>
        <w:t xml:space="preserve"> Microarray studies on prostate cancer revealed interesting molecular markers such as AMACR, EZH2, TMPRSS2-ERG, miR-221 and miR-141 [65].</w:t>
      </w:r>
    </w:p>
    <w:p w14:paraId="2D9D4D3E" w14:textId="259ABEB7" w:rsidR="009B657A" w:rsidRPr="00426A10" w:rsidRDefault="009B657A" w:rsidP="00466548">
      <w:pPr>
        <w:pStyle w:val="BodyText"/>
        <w:spacing w:after="0" w:line="240" w:lineRule="auto"/>
        <w:ind w:firstLine="0"/>
        <w:rPr>
          <w:rFonts w:ascii="Ubuntu" w:hAnsi="Ubuntu"/>
          <w:color w:val="000000" w:themeColor="text1"/>
          <w:shd w:val="clear" w:color="auto" w:fill="FFFFFF"/>
        </w:rPr>
      </w:pPr>
    </w:p>
    <w:p w14:paraId="07EC0F49" w14:textId="77777777" w:rsidR="00A11952" w:rsidRPr="00426A10" w:rsidRDefault="00A11952" w:rsidP="00466548">
      <w:pPr>
        <w:pStyle w:val="BodyText"/>
        <w:spacing w:after="0" w:line="240" w:lineRule="auto"/>
        <w:ind w:firstLine="0"/>
        <w:rPr>
          <w:color w:val="000000" w:themeColor="text1"/>
        </w:rPr>
      </w:pPr>
    </w:p>
    <w:p w14:paraId="2E7D88AE" w14:textId="7E64AB10" w:rsidR="00C65F7C" w:rsidRPr="00426A10" w:rsidRDefault="00614A1E" w:rsidP="00466548">
      <w:pPr>
        <w:pStyle w:val="BodyText"/>
        <w:spacing w:after="0" w:line="240" w:lineRule="auto"/>
        <w:ind w:firstLine="0"/>
        <w:rPr>
          <w:color w:val="000000" w:themeColor="text1"/>
        </w:rPr>
      </w:pPr>
      <w:r w:rsidRPr="00426A10">
        <w:rPr>
          <w:color w:val="000000" w:themeColor="text1"/>
        </w:rPr>
        <w:t xml:space="preserve">F. </w:t>
      </w:r>
      <w:r w:rsidR="00C65F7C" w:rsidRPr="00426A10">
        <w:rPr>
          <w:color w:val="000000" w:themeColor="text1"/>
        </w:rPr>
        <w:t>I</w:t>
      </w:r>
      <w:r w:rsidR="00217192" w:rsidRPr="00426A10">
        <w:rPr>
          <w:color w:val="000000" w:themeColor="text1"/>
        </w:rPr>
        <w:t>mmunohistochemistry (I</w:t>
      </w:r>
      <w:r w:rsidR="00C65F7C" w:rsidRPr="00426A10">
        <w:rPr>
          <w:color w:val="000000" w:themeColor="text1"/>
        </w:rPr>
        <w:t>HC</w:t>
      </w:r>
      <w:r w:rsidR="00217192" w:rsidRPr="00426A10">
        <w:rPr>
          <w:color w:val="000000" w:themeColor="text1"/>
        </w:rPr>
        <w:t>)</w:t>
      </w:r>
      <w:r w:rsidR="00C65F7C" w:rsidRPr="00426A10">
        <w:rPr>
          <w:color w:val="000000" w:themeColor="text1"/>
        </w:rPr>
        <w:t>:</w:t>
      </w:r>
    </w:p>
    <w:p w14:paraId="49309C4E" w14:textId="5599EF79" w:rsidR="00E74780" w:rsidRPr="00426A10" w:rsidRDefault="009B657A" w:rsidP="00466548">
      <w:pPr>
        <w:pStyle w:val="BodyText"/>
        <w:spacing w:after="0" w:line="240" w:lineRule="auto"/>
        <w:ind w:firstLine="0"/>
        <w:rPr>
          <w:color w:val="000000" w:themeColor="text1"/>
        </w:rPr>
      </w:pPr>
      <w:r w:rsidRPr="00426A10">
        <w:rPr>
          <w:color w:val="000000" w:themeColor="text1"/>
        </w:rPr>
        <w:t>IHC is more generally available and technically less difficult</w:t>
      </w:r>
      <w:r w:rsidR="004F4644" w:rsidRPr="00426A10">
        <w:rPr>
          <w:color w:val="000000" w:themeColor="text1"/>
        </w:rPr>
        <w:t>, has the ability to</w:t>
      </w:r>
      <w:r w:rsidRPr="00426A10">
        <w:rPr>
          <w:color w:val="000000" w:themeColor="text1"/>
        </w:rPr>
        <w:t xml:space="preserve"> produce clinically meaningful results in a short period of time</w:t>
      </w:r>
      <w:r w:rsidR="004F4644" w:rsidRPr="00426A10">
        <w:rPr>
          <w:color w:val="000000" w:themeColor="text1"/>
        </w:rPr>
        <w:t>. It is less e</w:t>
      </w:r>
      <w:r w:rsidRPr="00426A10">
        <w:rPr>
          <w:color w:val="000000" w:themeColor="text1"/>
        </w:rPr>
        <w:t>xpensive than molecular platforms. Several IHC assays for predictive biomarkers have already been utilized in everyday pathology practice. The most common immunohistochemistry prognostic and therapeutic markers in breast cancer are estrogen receptor</w:t>
      </w:r>
      <w:r w:rsidR="007B2D24" w:rsidRPr="00426A10">
        <w:rPr>
          <w:color w:val="000000" w:themeColor="text1"/>
        </w:rPr>
        <w:t xml:space="preserve"> (ER)</w:t>
      </w:r>
      <w:r w:rsidRPr="00426A10">
        <w:rPr>
          <w:color w:val="000000" w:themeColor="text1"/>
        </w:rPr>
        <w:t>, human epidermal growth factor receptor-2</w:t>
      </w:r>
      <w:r w:rsidR="007B2D24" w:rsidRPr="00426A10">
        <w:rPr>
          <w:color w:val="000000" w:themeColor="text1"/>
        </w:rPr>
        <w:t xml:space="preserve"> (HER2)</w:t>
      </w:r>
      <w:r w:rsidRPr="00426A10">
        <w:rPr>
          <w:color w:val="000000" w:themeColor="text1"/>
        </w:rPr>
        <w:t>, Ki-67, progesterone receptor</w:t>
      </w:r>
      <w:r w:rsidR="007B2D24" w:rsidRPr="00426A10">
        <w:rPr>
          <w:color w:val="000000" w:themeColor="text1"/>
        </w:rPr>
        <w:t xml:space="preserve"> (PR)</w:t>
      </w:r>
      <w:r w:rsidRPr="00426A10">
        <w:rPr>
          <w:color w:val="000000" w:themeColor="text1"/>
        </w:rPr>
        <w:t xml:space="preserve">, and p53 [66]. </w:t>
      </w:r>
      <w:r w:rsidR="00745512" w:rsidRPr="00745512">
        <w:rPr>
          <w:color w:val="000000" w:themeColor="text1"/>
        </w:rPr>
        <w:t>The FDA-approved gold-standard IHC biomarker for the detection of pancreatic cancer among diagnostic IHC biomarkers is carbohydrate antigen 19-9 (CA19-9)</w:t>
      </w:r>
      <w:r w:rsidR="00745512" w:rsidRPr="00745512">
        <w:rPr>
          <w:color w:val="000000" w:themeColor="text1"/>
        </w:rPr>
        <w:t xml:space="preserve"> </w:t>
      </w:r>
      <w:r w:rsidRPr="00426A10">
        <w:rPr>
          <w:color w:val="000000" w:themeColor="text1"/>
        </w:rPr>
        <w:t>[67].</w:t>
      </w:r>
    </w:p>
    <w:p w14:paraId="6B3D4762" w14:textId="77777777" w:rsidR="009B657A" w:rsidRPr="00426A10" w:rsidRDefault="009B657A" w:rsidP="00466548">
      <w:pPr>
        <w:pStyle w:val="BodyText"/>
        <w:spacing w:after="0" w:line="240" w:lineRule="auto"/>
        <w:ind w:firstLine="0"/>
        <w:rPr>
          <w:color w:val="000000" w:themeColor="text1"/>
        </w:rPr>
      </w:pPr>
    </w:p>
    <w:p w14:paraId="3C59F448" w14:textId="11577141" w:rsidR="00E74780" w:rsidRPr="00426A10" w:rsidRDefault="00E74780" w:rsidP="00466548">
      <w:pPr>
        <w:pStyle w:val="BodyText"/>
        <w:spacing w:after="0" w:line="240" w:lineRule="auto"/>
        <w:ind w:firstLine="0"/>
        <w:rPr>
          <w:color w:val="000000" w:themeColor="text1"/>
        </w:rPr>
      </w:pPr>
      <w:r w:rsidRPr="00426A10">
        <w:rPr>
          <w:color w:val="000000" w:themeColor="text1"/>
        </w:rPr>
        <w:t xml:space="preserve">G. </w:t>
      </w:r>
      <w:r w:rsidR="00C65F7C" w:rsidRPr="00426A10">
        <w:rPr>
          <w:color w:val="000000" w:themeColor="text1"/>
        </w:rPr>
        <w:t>E</w:t>
      </w:r>
      <w:r w:rsidR="007C5DBC" w:rsidRPr="00426A10">
        <w:rPr>
          <w:color w:val="000000" w:themeColor="text1"/>
        </w:rPr>
        <w:t xml:space="preserve">nzyme-Linked </w:t>
      </w:r>
      <w:proofErr w:type="spellStart"/>
      <w:r w:rsidR="007C5DBC" w:rsidRPr="00426A10">
        <w:rPr>
          <w:color w:val="000000" w:themeColor="text1"/>
        </w:rPr>
        <w:t>Immuno</w:t>
      </w:r>
      <w:proofErr w:type="spellEnd"/>
      <w:r w:rsidR="007C5DBC" w:rsidRPr="00426A10">
        <w:rPr>
          <w:color w:val="000000" w:themeColor="text1"/>
        </w:rPr>
        <w:t xml:space="preserve"> Sorbent Assay (E</w:t>
      </w:r>
      <w:r w:rsidR="00C65F7C" w:rsidRPr="00426A10">
        <w:rPr>
          <w:color w:val="000000" w:themeColor="text1"/>
        </w:rPr>
        <w:t>LISA</w:t>
      </w:r>
      <w:r w:rsidR="007C5DBC" w:rsidRPr="00426A10">
        <w:rPr>
          <w:color w:val="000000" w:themeColor="text1"/>
        </w:rPr>
        <w:t>)</w:t>
      </w:r>
      <w:r w:rsidR="00C65F7C" w:rsidRPr="00426A10">
        <w:rPr>
          <w:color w:val="000000" w:themeColor="text1"/>
        </w:rPr>
        <w:t>:</w:t>
      </w:r>
    </w:p>
    <w:p w14:paraId="4837A0F2" w14:textId="3DB8B83A" w:rsidR="00466548" w:rsidRPr="00426A10" w:rsidRDefault="00571210" w:rsidP="00466548">
      <w:pPr>
        <w:pStyle w:val="BodyText"/>
        <w:spacing w:after="0" w:line="240" w:lineRule="auto"/>
        <w:ind w:firstLine="0"/>
        <w:rPr>
          <w:color w:val="000000" w:themeColor="text1"/>
        </w:rPr>
      </w:pPr>
      <w:r w:rsidRPr="00571210">
        <w:rPr>
          <w:color w:val="000000" w:themeColor="text1"/>
          <w:shd w:val="clear" w:color="auto" w:fill="FFFFFF"/>
        </w:rPr>
        <w:t xml:space="preserve">ELISA is still </w:t>
      </w:r>
      <w:proofErr w:type="spellStart"/>
      <w:r w:rsidRPr="00571210">
        <w:rPr>
          <w:color w:val="000000" w:themeColor="text1"/>
          <w:shd w:val="clear" w:color="auto" w:fill="FFFFFF"/>
        </w:rPr>
        <w:t>recognised</w:t>
      </w:r>
      <w:proofErr w:type="spellEnd"/>
      <w:r w:rsidRPr="00571210">
        <w:rPr>
          <w:color w:val="000000" w:themeColor="text1"/>
          <w:shd w:val="clear" w:color="auto" w:fill="FFFFFF"/>
        </w:rPr>
        <w:t xml:space="preserve"> as the gold standard for protein identification in physiological samples and has been widely used in routine clinical diagnostics. Because of its greater sensitivity, signal amplification, ease of use, automation potential, ability to be combined with miniature analytical systems, low price, and relative ease of mass manufacture</w:t>
      </w:r>
      <w:r>
        <w:rPr>
          <w:color w:val="000000" w:themeColor="text1"/>
          <w:shd w:val="clear" w:color="auto" w:fill="FFFFFF"/>
        </w:rPr>
        <w:t xml:space="preserve">, </w:t>
      </w:r>
      <w:r w:rsidR="001245FB" w:rsidRPr="00426A10">
        <w:rPr>
          <w:color w:val="000000" w:themeColor="text1"/>
          <w:shd w:val="clear" w:color="auto" w:fill="FFFFFF"/>
        </w:rPr>
        <w:t xml:space="preserve">ELISA-based immunoassays for cancer biomarker detection have recently piqued the interest of many researchers [68]. </w:t>
      </w:r>
      <w:r w:rsidR="00C41AE9" w:rsidRPr="00426A10">
        <w:rPr>
          <w:color w:val="000000" w:themeColor="text1"/>
          <w:shd w:val="clear" w:color="auto" w:fill="FFFFFF"/>
        </w:rPr>
        <w:t>For example</w:t>
      </w:r>
      <w:r w:rsidR="001245FB" w:rsidRPr="00426A10">
        <w:rPr>
          <w:color w:val="000000" w:themeColor="text1"/>
          <w:shd w:val="clear" w:color="auto" w:fill="FFFFFF"/>
        </w:rPr>
        <w:t>,</w:t>
      </w:r>
      <w:r w:rsidR="00C41AE9" w:rsidRPr="00426A10">
        <w:rPr>
          <w:color w:val="000000" w:themeColor="text1"/>
          <w:shd w:val="clear" w:color="auto" w:fill="FFFFFF"/>
        </w:rPr>
        <w:t xml:space="preserve"> </w:t>
      </w:r>
      <w:proofErr w:type="spellStart"/>
      <w:r w:rsidR="00BC3B74" w:rsidRPr="00426A10">
        <w:rPr>
          <w:color w:val="000000" w:themeColor="text1"/>
          <w:shd w:val="clear" w:color="auto" w:fill="FFFFFF"/>
        </w:rPr>
        <w:t>N</w:t>
      </w:r>
      <w:r w:rsidR="00BC3B74" w:rsidRPr="00426A10">
        <w:rPr>
          <w:color w:val="000000" w:themeColor="text1"/>
          <w:shd w:val="clear" w:color="auto" w:fill="FFFFFF"/>
          <w:vertAlign w:val="superscript"/>
        </w:rPr>
        <w:t>w</w:t>
      </w:r>
      <w:proofErr w:type="spellEnd"/>
      <w:r w:rsidR="00BC3B74" w:rsidRPr="00426A10">
        <w:rPr>
          <w:color w:val="000000" w:themeColor="text1"/>
          <w:shd w:val="clear" w:color="auto" w:fill="FFFFFF"/>
        </w:rPr>
        <w:t>-hydroxy L-Arginine (</w:t>
      </w:r>
      <w:r w:rsidR="00C41AE9" w:rsidRPr="00426A10">
        <w:rPr>
          <w:color w:val="000000" w:themeColor="text1"/>
          <w:shd w:val="clear" w:color="auto" w:fill="FFFFFF"/>
        </w:rPr>
        <w:t>NOHA</w:t>
      </w:r>
      <w:r w:rsidR="00BC3B74" w:rsidRPr="00426A10">
        <w:rPr>
          <w:color w:val="000000" w:themeColor="text1"/>
          <w:shd w:val="clear" w:color="auto" w:fill="FFFFFF"/>
        </w:rPr>
        <w:t>)</w:t>
      </w:r>
      <w:r w:rsidR="00C41AE9" w:rsidRPr="00426A10">
        <w:rPr>
          <w:color w:val="000000" w:themeColor="text1"/>
          <w:shd w:val="clear" w:color="auto" w:fill="FFFFFF"/>
        </w:rPr>
        <w:t xml:space="preserve"> was identified as a blood-derived biomarker used to differentiate breast cancer tumors classified as ER</w:t>
      </w:r>
      <w:r w:rsidR="00C41AE9" w:rsidRPr="00426A10">
        <w:rPr>
          <w:color w:val="000000" w:themeColor="text1"/>
          <w:shd w:val="clear" w:color="auto" w:fill="FFFFFF"/>
          <w:vertAlign w:val="superscript"/>
        </w:rPr>
        <w:t>-</w:t>
      </w:r>
      <w:r w:rsidR="00C41AE9" w:rsidRPr="00426A10">
        <w:rPr>
          <w:color w:val="000000" w:themeColor="text1"/>
          <w:shd w:val="clear" w:color="auto" w:fill="FFFFFF"/>
        </w:rPr>
        <w:t xml:space="preserve"> or ER</w:t>
      </w:r>
      <w:r w:rsidR="00C41AE9" w:rsidRPr="00426A10">
        <w:rPr>
          <w:color w:val="000000" w:themeColor="text1"/>
          <w:shd w:val="clear" w:color="auto" w:fill="FFFFFF"/>
          <w:vertAlign w:val="superscript"/>
        </w:rPr>
        <w:t>+</w:t>
      </w:r>
      <w:r w:rsidR="00C41AE9" w:rsidRPr="00426A10">
        <w:rPr>
          <w:color w:val="000000" w:themeColor="text1"/>
          <w:shd w:val="clear" w:color="auto" w:fill="FFFFFF"/>
        </w:rPr>
        <w:t xml:space="preserve"> based on their disease burden, progression rate, and molecular </w:t>
      </w:r>
      <w:r w:rsidR="009F0B5A" w:rsidRPr="00426A10">
        <w:rPr>
          <w:color w:val="000000" w:themeColor="text1"/>
          <w:shd w:val="clear" w:color="auto" w:fill="FFFFFF"/>
        </w:rPr>
        <w:t>profile</w:t>
      </w:r>
      <w:r w:rsidR="00C41AE9" w:rsidRPr="00426A10">
        <w:rPr>
          <w:color w:val="000000" w:themeColor="text1"/>
          <w:shd w:val="clear" w:color="auto" w:fill="FFFFFF"/>
        </w:rPr>
        <w:t xml:space="preserve">. A novel ELISA-based assay utilizing </w:t>
      </w:r>
      <w:r w:rsidR="008557DD" w:rsidRPr="00426A10">
        <w:rPr>
          <w:color w:val="000000" w:themeColor="text1"/>
          <w:shd w:val="clear" w:color="auto" w:fill="FFFFFF"/>
        </w:rPr>
        <w:t>specialized monoclonal antibodies</w:t>
      </w:r>
      <w:r w:rsidR="00C41AE9" w:rsidRPr="00426A10">
        <w:rPr>
          <w:color w:val="000000" w:themeColor="text1"/>
          <w:shd w:val="clear" w:color="auto" w:fill="FFFFFF"/>
        </w:rPr>
        <w:t xml:space="preserve"> (</w:t>
      </w:r>
      <w:proofErr w:type="spellStart"/>
      <w:r w:rsidR="00C41AE9" w:rsidRPr="00426A10">
        <w:rPr>
          <w:color w:val="000000" w:themeColor="text1"/>
          <w:shd w:val="clear" w:color="auto" w:fill="FFFFFF"/>
        </w:rPr>
        <w:t>mAb</w:t>
      </w:r>
      <w:proofErr w:type="spellEnd"/>
      <w:r w:rsidR="00C41AE9" w:rsidRPr="00426A10">
        <w:rPr>
          <w:color w:val="000000" w:themeColor="text1"/>
          <w:shd w:val="clear" w:color="auto" w:fill="FFFFFF"/>
        </w:rPr>
        <w:t>) specifically designed for NOHA was found to be an effective tool for predicting ER-</w:t>
      </w:r>
      <w:r w:rsidR="008557DD" w:rsidRPr="00426A10">
        <w:rPr>
          <w:color w:val="000000" w:themeColor="text1"/>
          <w:shd w:val="clear" w:color="auto" w:fill="FFFFFF"/>
        </w:rPr>
        <w:t>b</w:t>
      </w:r>
      <w:r w:rsidR="00C41AE9" w:rsidRPr="00426A10">
        <w:rPr>
          <w:color w:val="000000" w:themeColor="text1"/>
          <w:shd w:val="clear" w:color="auto" w:fill="FFFFFF"/>
        </w:rPr>
        <w:t xml:space="preserve">reast </w:t>
      </w:r>
      <w:r w:rsidR="008557DD" w:rsidRPr="00426A10">
        <w:rPr>
          <w:color w:val="000000" w:themeColor="text1"/>
          <w:shd w:val="clear" w:color="auto" w:fill="FFFFFF"/>
        </w:rPr>
        <w:t>c</w:t>
      </w:r>
      <w:r w:rsidR="00C41AE9" w:rsidRPr="00426A10">
        <w:rPr>
          <w:color w:val="000000" w:themeColor="text1"/>
          <w:shd w:val="clear" w:color="auto" w:fill="FFFFFF"/>
        </w:rPr>
        <w:t>ancer and monitoring disease progression without the need for costly analytical equipment (LC-M</w:t>
      </w:r>
      <w:r w:rsidR="00BC3B74" w:rsidRPr="00426A10">
        <w:rPr>
          <w:color w:val="000000" w:themeColor="text1"/>
          <w:shd w:val="clear" w:color="auto" w:fill="FFFFFF"/>
        </w:rPr>
        <w:t xml:space="preserve">S), </w:t>
      </w:r>
      <w:r w:rsidR="00C41AE9" w:rsidRPr="00426A10">
        <w:rPr>
          <w:color w:val="000000" w:themeColor="text1"/>
          <w:shd w:val="clear" w:color="auto" w:fill="FFFFFF"/>
        </w:rPr>
        <w:t>large laboratory space, or technical training</w:t>
      </w:r>
      <w:r w:rsidR="00BC3B74" w:rsidRPr="00426A10">
        <w:rPr>
          <w:color w:val="000000" w:themeColor="text1"/>
          <w:shd w:val="clear" w:color="auto" w:fill="FFFFFF"/>
        </w:rPr>
        <w:t xml:space="preserve"> [69]</w:t>
      </w:r>
      <w:r w:rsidR="00C41AE9" w:rsidRPr="00426A10">
        <w:rPr>
          <w:color w:val="000000" w:themeColor="text1"/>
          <w:shd w:val="clear" w:color="auto" w:fill="FFFFFF"/>
        </w:rPr>
        <w:t>.</w:t>
      </w:r>
    </w:p>
    <w:p w14:paraId="20730BF3" w14:textId="77777777" w:rsidR="00C41AE9" w:rsidRPr="00426A10" w:rsidRDefault="00C41AE9" w:rsidP="00466548">
      <w:pPr>
        <w:pStyle w:val="BodyText"/>
        <w:spacing w:after="0" w:line="240" w:lineRule="auto"/>
        <w:ind w:firstLine="0"/>
        <w:rPr>
          <w:color w:val="000000" w:themeColor="text1"/>
        </w:rPr>
      </w:pPr>
    </w:p>
    <w:p w14:paraId="19264B78" w14:textId="6AB1727A" w:rsidR="008A55B5" w:rsidRPr="00426A10" w:rsidRDefault="00EE6BFF" w:rsidP="00466548">
      <w:pPr>
        <w:pStyle w:val="Heading1"/>
        <w:spacing w:before="0" w:after="0"/>
        <w:ind w:firstLine="0"/>
        <w:rPr>
          <w:rFonts w:eastAsia="MS Mincho"/>
          <w:color w:val="000000" w:themeColor="text1"/>
        </w:rPr>
      </w:pPr>
      <w:r w:rsidRPr="00426A10">
        <w:rPr>
          <w:rFonts w:ascii="Times New Roman" w:eastAsia="MS Mincho" w:hAnsi="Times New Roman"/>
          <w:color w:val="000000" w:themeColor="text1"/>
          <w:sz w:val="20"/>
          <w:szCs w:val="20"/>
        </w:rPr>
        <w:t>CLINICAL APPLICATIONS</w:t>
      </w:r>
    </w:p>
    <w:p w14:paraId="6D29EF1E" w14:textId="77777777" w:rsidR="00466548" w:rsidRPr="00426A10" w:rsidRDefault="00466548" w:rsidP="00466548">
      <w:pPr>
        <w:rPr>
          <w:rFonts w:eastAsia="MS Mincho"/>
          <w:color w:val="000000" w:themeColor="text1"/>
        </w:rPr>
      </w:pPr>
    </w:p>
    <w:p w14:paraId="0B975484" w14:textId="347E9115" w:rsidR="005468E0" w:rsidRPr="00426A10" w:rsidRDefault="007A7792" w:rsidP="00926EA8">
      <w:pPr>
        <w:pStyle w:val="BodyText"/>
        <w:spacing w:after="0" w:line="240" w:lineRule="auto"/>
        <w:ind w:firstLine="0"/>
        <w:rPr>
          <w:color w:val="000000" w:themeColor="text1"/>
          <w:shd w:val="clear" w:color="auto" w:fill="FFFFFF"/>
        </w:rPr>
      </w:pPr>
      <w:r w:rsidRPr="007A7792">
        <w:rPr>
          <w:color w:val="000000" w:themeColor="text1"/>
          <w:shd w:val="clear" w:color="auto" w:fill="FFFFFF"/>
        </w:rPr>
        <w:t>Numerous therapeutic uses for cancer biomarkers exist, including risk assessment, screening, early detection, diagnosis, prognosis, response to therapy, cancer surveillance, and response monitoring [1].</w:t>
      </w:r>
      <w:r>
        <w:rPr>
          <w:color w:val="000000" w:themeColor="text1"/>
          <w:shd w:val="clear" w:color="auto" w:fill="FFFFFF"/>
        </w:rPr>
        <w:t xml:space="preserve"> </w:t>
      </w:r>
      <w:r w:rsidRPr="007A7792">
        <w:rPr>
          <w:color w:val="000000" w:themeColor="text1"/>
          <w:shd w:val="clear" w:color="auto" w:fill="FFFFFF"/>
        </w:rPr>
        <w:t xml:space="preserve">These biomarkers can be used to evaluate individuals in a range of clinical situations, including risk assessment, primary cancer screening, identifying benign from malignant tissue, and cancer prognosis prediction. </w:t>
      </w:r>
      <w:r w:rsidR="004F121B" w:rsidRPr="00426A10">
        <w:rPr>
          <w:color w:val="000000" w:themeColor="text1"/>
          <w:shd w:val="clear" w:color="auto" w:fill="FFFFFF"/>
        </w:rPr>
        <w:t>Additionally, they can be used to monitor the status of patients with cancer, either for the purpose of detecting recurrence or to determine the response or progression of therapy</w:t>
      </w:r>
      <w:r w:rsidR="00F93180" w:rsidRPr="00426A10">
        <w:rPr>
          <w:color w:val="000000" w:themeColor="text1"/>
          <w:shd w:val="clear" w:color="auto" w:fill="FFFFFF"/>
        </w:rPr>
        <w:t xml:space="preserve"> [6]</w:t>
      </w:r>
      <w:r w:rsidR="004F121B" w:rsidRPr="00426A10">
        <w:rPr>
          <w:color w:val="000000" w:themeColor="text1"/>
          <w:shd w:val="clear" w:color="auto" w:fill="FFFFFF"/>
        </w:rPr>
        <w:t>. The ultimate goal of biomarkers is to a</w:t>
      </w:r>
      <w:r>
        <w:rPr>
          <w:color w:val="000000" w:themeColor="text1"/>
          <w:shd w:val="clear" w:color="auto" w:fill="FFFFFF"/>
        </w:rPr>
        <w:t>ttain</w:t>
      </w:r>
      <w:r w:rsidR="004F121B" w:rsidRPr="00426A10">
        <w:rPr>
          <w:color w:val="000000" w:themeColor="text1"/>
          <w:shd w:val="clear" w:color="auto" w:fill="FFFFFF"/>
        </w:rPr>
        <w:t xml:space="preserve"> precision medicine,</w:t>
      </w:r>
      <w:r>
        <w:rPr>
          <w:color w:val="000000" w:themeColor="text1"/>
          <w:shd w:val="clear" w:color="auto" w:fill="FFFFFF"/>
        </w:rPr>
        <w:t xml:space="preserve"> </w:t>
      </w:r>
      <w:r w:rsidRPr="007A7792">
        <w:rPr>
          <w:color w:val="000000" w:themeColor="text1"/>
          <w:shd w:val="clear" w:color="auto" w:fill="FFFFFF"/>
        </w:rPr>
        <w:t>which can aid in improving cancer treatment regimens as well as cancer detection and prevention strategies.</w:t>
      </w:r>
      <w:r w:rsidR="004F121B" w:rsidRPr="00426A10">
        <w:rPr>
          <w:color w:val="000000" w:themeColor="text1"/>
          <w:shd w:val="clear" w:color="auto" w:fill="FFFFFF"/>
        </w:rPr>
        <w:t xml:space="preserve"> </w:t>
      </w:r>
    </w:p>
    <w:p w14:paraId="7A658450" w14:textId="77777777" w:rsidR="005468E0" w:rsidRPr="00426A10" w:rsidRDefault="005468E0" w:rsidP="00926EA8">
      <w:pPr>
        <w:pStyle w:val="BodyText"/>
        <w:spacing w:after="0" w:line="240" w:lineRule="auto"/>
        <w:ind w:firstLine="0"/>
        <w:rPr>
          <w:color w:val="000000" w:themeColor="text1"/>
          <w:shd w:val="clear" w:color="auto" w:fill="FFFFFF"/>
        </w:rPr>
      </w:pPr>
    </w:p>
    <w:p w14:paraId="778E3C08" w14:textId="7F78D2AB" w:rsidR="005468E0" w:rsidRPr="00426A10" w:rsidRDefault="005468E0" w:rsidP="005468E0">
      <w:pPr>
        <w:pStyle w:val="Heading1"/>
        <w:spacing w:before="0" w:after="0"/>
        <w:ind w:firstLine="0"/>
        <w:rPr>
          <w:rFonts w:ascii="Times New Roman" w:eastAsia="MS Mincho" w:hAnsi="Times New Roman"/>
          <w:color w:val="000000" w:themeColor="text1"/>
          <w:sz w:val="20"/>
          <w:szCs w:val="20"/>
        </w:rPr>
      </w:pPr>
      <w:r w:rsidRPr="00426A10">
        <w:rPr>
          <w:rFonts w:ascii="Times New Roman" w:eastAsia="MS Mincho" w:hAnsi="Times New Roman"/>
          <w:color w:val="000000" w:themeColor="text1"/>
          <w:sz w:val="20"/>
          <w:szCs w:val="20"/>
        </w:rPr>
        <w:lastRenderedPageBreak/>
        <w:t>CONCLUSION</w:t>
      </w:r>
    </w:p>
    <w:p w14:paraId="4A370BA5" w14:textId="77777777" w:rsidR="005468E0" w:rsidRPr="00426A10" w:rsidRDefault="005468E0" w:rsidP="005468E0">
      <w:pPr>
        <w:rPr>
          <w:rFonts w:eastAsia="MS Mincho"/>
          <w:color w:val="000000" w:themeColor="text1"/>
        </w:rPr>
      </w:pPr>
    </w:p>
    <w:p w14:paraId="703FFBD2" w14:textId="61B4473E" w:rsidR="002312A0" w:rsidRPr="00426A10" w:rsidRDefault="00B47F4F" w:rsidP="00B47F4F">
      <w:pPr>
        <w:jc w:val="both"/>
        <w:rPr>
          <w:color w:val="000000" w:themeColor="text1"/>
          <w:shd w:val="clear" w:color="auto" w:fill="FFFFFF"/>
        </w:rPr>
      </w:pPr>
      <w:r w:rsidRPr="00426A10">
        <w:rPr>
          <w:color w:val="000000" w:themeColor="text1"/>
          <w:shd w:val="clear" w:color="auto" w:fill="FFFFFF"/>
        </w:rPr>
        <w:t xml:space="preserve">Cancer cells </w:t>
      </w:r>
      <w:r w:rsidR="00E7375E">
        <w:rPr>
          <w:color w:val="000000" w:themeColor="text1"/>
          <w:shd w:val="clear" w:color="auto" w:fill="FFFFFF"/>
        </w:rPr>
        <w:t>endure</w:t>
      </w:r>
      <w:r w:rsidRPr="00426A10">
        <w:rPr>
          <w:color w:val="000000" w:themeColor="text1"/>
          <w:shd w:val="clear" w:color="auto" w:fill="FFFFFF"/>
        </w:rPr>
        <w:t xml:space="preserve"> several modifications, and these changes have been utilized as cancer biomarkers for decades, mostly in tumor tissue. </w:t>
      </w:r>
      <w:r w:rsidR="00E7375E" w:rsidRPr="00E7375E">
        <w:rPr>
          <w:color w:val="000000" w:themeColor="text1"/>
          <w:shd w:val="clear" w:color="auto" w:fill="FFFFFF"/>
        </w:rPr>
        <w:t>New cancer biomarkers based on DNA, RNA, and proteins that can be found in readily available body fluids have been developed as a result of recent research on cancer biomarkers.</w:t>
      </w:r>
      <w:r w:rsidR="00E7375E">
        <w:rPr>
          <w:color w:val="000000" w:themeColor="text1"/>
          <w:shd w:val="clear" w:color="auto" w:fill="FFFFFF"/>
        </w:rPr>
        <w:t xml:space="preserve"> </w:t>
      </w:r>
      <w:r w:rsidR="00E7375E" w:rsidRPr="00426A10">
        <w:rPr>
          <w:color w:val="000000" w:themeColor="text1"/>
          <w:shd w:val="clear" w:color="auto" w:fill="FFFFFF"/>
        </w:rPr>
        <w:t>Biomarkers play a</w:t>
      </w:r>
      <w:r w:rsidR="00E7375E">
        <w:rPr>
          <w:color w:val="000000" w:themeColor="text1"/>
          <w:shd w:val="clear" w:color="auto" w:fill="FFFFFF"/>
        </w:rPr>
        <w:t xml:space="preserve"> vital</w:t>
      </w:r>
      <w:r w:rsidR="00E7375E" w:rsidRPr="00426A10">
        <w:rPr>
          <w:color w:val="000000" w:themeColor="text1"/>
          <w:shd w:val="clear" w:color="auto" w:fill="FFFFFF"/>
        </w:rPr>
        <w:t xml:space="preserve"> role in the diagnosis and treatment of nearly every cancer patient. </w:t>
      </w:r>
      <w:r w:rsidRPr="00426A10">
        <w:rPr>
          <w:color w:val="000000" w:themeColor="text1"/>
          <w:shd w:val="clear" w:color="auto" w:fill="FFFFFF"/>
        </w:rPr>
        <w:t xml:space="preserve">Prior to receiving regulatory clearance, new </w:t>
      </w:r>
      <w:r w:rsidR="00072549" w:rsidRPr="00426A10">
        <w:rPr>
          <w:color w:val="000000" w:themeColor="text1"/>
          <w:shd w:val="clear" w:color="auto" w:fill="FFFFFF"/>
        </w:rPr>
        <w:t>drugs</w:t>
      </w:r>
      <w:r w:rsidRPr="00426A10">
        <w:rPr>
          <w:color w:val="000000" w:themeColor="text1"/>
          <w:shd w:val="clear" w:color="auto" w:fill="FFFFFF"/>
        </w:rPr>
        <w:t xml:space="preserve"> must pass stringent scrutiny and be evaluated in properly designed, randomized clinical trials. </w:t>
      </w:r>
      <w:r w:rsidR="00D5663A" w:rsidRPr="00426A10">
        <w:rPr>
          <w:color w:val="000000" w:themeColor="text1"/>
          <w:shd w:val="clear" w:color="auto" w:fill="FFFFFF"/>
        </w:rPr>
        <w:t xml:space="preserve">Unfortunately, despite the fact that biomarkers can have a significant impact on patient outcomes, such regulations do not exist. </w:t>
      </w:r>
      <w:r w:rsidR="002312A0" w:rsidRPr="00426A10">
        <w:rPr>
          <w:color w:val="000000" w:themeColor="text1"/>
          <w:shd w:val="clear" w:color="auto" w:fill="FFFFFF"/>
        </w:rPr>
        <w:t>Clinical, translational and laboratory researchers must therefore be cognizant of the difficulties associated with the development of suitable biomarkers to enable the transfer of clinically relevant biomarkers to the clinical setting, thus avoiding the introduction of non-validated biomarkers that may be ineffective or even detrimental to patient care.</w:t>
      </w:r>
    </w:p>
    <w:bookmarkEnd w:id="1"/>
    <w:p w14:paraId="1AF13080" w14:textId="77777777" w:rsidR="00EE4362" w:rsidRPr="00426A10" w:rsidRDefault="00EE4362" w:rsidP="00466548">
      <w:pPr>
        <w:rPr>
          <w:rFonts w:eastAsia="MS Mincho"/>
          <w:b/>
          <w:color w:val="000000" w:themeColor="text1"/>
        </w:rPr>
      </w:pPr>
    </w:p>
    <w:p w14:paraId="31DE56B3" w14:textId="77777777" w:rsidR="008A55B5" w:rsidRPr="00426A10" w:rsidRDefault="000026B6" w:rsidP="00466548">
      <w:pPr>
        <w:pStyle w:val="Heading5"/>
        <w:spacing w:before="0" w:after="0"/>
        <w:rPr>
          <w:rFonts w:eastAsia="MS Mincho"/>
          <w:color w:val="000000" w:themeColor="text1"/>
        </w:rPr>
      </w:pPr>
      <w:r w:rsidRPr="00426A10">
        <w:rPr>
          <w:rFonts w:ascii="Times New Roman" w:eastAsia="MS Mincho" w:hAnsi="Times New Roman"/>
          <w:i w:val="0"/>
          <w:color w:val="000000" w:themeColor="text1"/>
          <w:sz w:val="20"/>
          <w:szCs w:val="20"/>
        </w:rPr>
        <w:t>REFERENCES</w:t>
      </w:r>
    </w:p>
    <w:p w14:paraId="39B0CD58" w14:textId="77777777" w:rsidR="00466548" w:rsidRPr="00426A10" w:rsidRDefault="00466548" w:rsidP="00466548">
      <w:pPr>
        <w:rPr>
          <w:rFonts w:eastAsia="MS Mincho"/>
          <w:color w:val="000000" w:themeColor="text1"/>
          <w:sz w:val="16"/>
          <w:szCs w:val="16"/>
        </w:rPr>
      </w:pPr>
    </w:p>
    <w:p w14:paraId="62C922A8"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Sarhadi, </w:t>
      </w:r>
      <w:proofErr w:type="spellStart"/>
      <w:r w:rsidRPr="00426A10">
        <w:rPr>
          <w:color w:val="000000" w:themeColor="text1"/>
          <w:sz w:val="16"/>
          <w:szCs w:val="16"/>
        </w:rPr>
        <w:t>Virinder</w:t>
      </w:r>
      <w:proofErr w:type="spellEnd"/>
      <w:r w:rsidRPr="00426A10">
        <w:rPr>
          <w:color w:val="000000" w:themeColor="text1"/>
          <w:sz w:val="16"/>
          <w:szCs w:val="16"/>
        </w:rPr>
        <w:t xml:space="preserve"> Kaur, and Gemma Armengol. “Molecular Biomarkers in Cancer.” </w:t>
      </w:r>
      <w:r w:rsidRPr="00426A10">
        <w:rPr>
          <w:i/>
          <w:iCs/>
          <w:color w:val="000000" w:themeColor="text1"/>
          <w:sz w:val="16"/>
          <w:szCs w:val="16"/>
        </w:rPr>
        <w:t>Biomolecules</w:t>
      </w:r>
      <w:r w:rsidRPr="00426A10">
        <w:rPr>
          <w:color w:val="000000" w:themeColor="text1"/>
          <w:sz w:val="16"/>
          <w:szCs w:val="16"/>
        </w:rPr>
        <w:t xml:space="preserve">, vol. 12, no. 8, July 2022, p. 1021. </w:t>
      </w:r>
      <w:r w:rsidRPr="00426A10">
        <w:rPr>
          <w:i/>
          <w:iCs/>
          <w:color w:val="000000" w:themeColor="text1"/>
          <w:sz w:val="16"/>
          <w:szCs w:val="16"/>
        </w:rPr>
        <w:t>PubMed Central</w:t>
      </w:r>
      <w:r w:rsidRPr="00426A10">
        <w:rPr>
          <w:color w:val="000000" w:themeColor="text1"/>
          <w:sz w:val="16"/>
          <w:szCs w:val="16"/>
        </w:rPr>
        <w:t>, https://doi.org/10.3390/biom12081021.</w:t>
      </w:r>
    </w:p>
    <w:p w14:paraId="59436A89"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Slikker</w:t>
      </w:r>
      <w:proofErr w:type="spellEnd"/>
      <w:r w:rsidRPr="00426A10">
        <w:rPr>
          <w:color w:val="000000" w:themeColor="text1"/>
          <w:sz w:val="16"/>
          <w:szCs w:val="16"/>
        </w:rPr>
        <w:t xml:space="preserve">, William. “Biomarkers and Their Impact on Precision Medicine.” </w:t>
      </w:r>
      <w:r w:rsidRPr="00426A10">
        <w:rPr>
          <w:i/>
          <w:iCs/>
          <w:color w:val="000000" w:themeColor="text1"/>
          <w:sz w:val="16"/>
          <w:szCs w:val="16"/>
        </w:rPr>
        <w:t>Experimental Biology and Medicine</w:t>
      </w:r>
      <w:r w:rsidRPr="00426A10">
        <w:rPr>
          <w:color w:val="000000" w:themeColor="text1"/>
          <w:sz w:val="16"/>
          <w:szCs w:val="16"/>
        </w:rPr>
        <w:t xml:space="preserve">, vol. 243, no. 3, Feb. 2018, pp. 211–12. </w:t>
      </w:r>
      <w:r w:rsidRPr="00426A10">
        <w:rPr>
          <w:i/>
          <w:iCs/>
          <w:color w:val="000000" w:themeColor="text1"/>
          <w:sz w:val="16"/>
          <w:szCs w:val="16"/>
        </w:rPr>
        <w:t>PubMed Central</w:t>
      </w:r>
      <w:r w:rsidRPr="00426A10">
        <w:rPr>
          <w:color w:val="000000" w:themeColor="text1"/>
          <w:sz w:val="16"/>
          <w:szCs w:val="16"/>
        </w:rPr>
        <w:t>, https://doi.org/10.1177/1535370217733426.</w:t>
      </w:r>
    </w:p>
    <w:p w14:paraId="0A5AEC0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Strimbu, Kyle, and Jorge A. Tavel. “What Are Biomarkers?” </w:t>
      </w:r>
      <w:r w:rsidRPr="00426A10">
        <w:rPr>
          <w:i/>
          <w:iCs/>
          <w:color w:val="000000" w:themeColor="text1"/>
          <w:sz w:val="16"/>
          <w:szCs w:val="16"/>
        </w:rPr>
        <w:t>Current Opinion in HIV and AIDS</w:t>
      </w:r>
      <w:r w:rsidRPr="00426A10">
        <w:rPr>
          <w:color w:val="000000" w:themeColor="text1"/>
          <w:sz w:val="16"/>
          <w:szCs w:val="16"/>
        </w:rPr>
        <w:t xml:space="preserve">, vol. 5, no. 6, Nov. 2010, pp. 463–66. </w:t>
      </w:r>
      <w:r w:rsidRPr="00426A10">
        <w:rPr>
          <w:i/>
          <w:iCs/>
          <w:color w:val="000000" w:themeColor="text1"/>
          <w:sz w:val="16"/>
          <w:szCs w:val="16"/>
        </w:rPr>
        <w:t>PubMed Central</w:t>
      </w:r>
      <w:r w:rsidRPr="00426A10">
        <w:rPr>
          <w:color w:val="000000" w:themeColor="text1"/>
          <w:sz w:val="16"/>
          <w:szCs w:val="16"/>
        </w:rPr>
        <w:t>, https://doi.org/10.1097/COH.0b013e32833ed177.</w:t>
      </w:r>
    </w:p>
    <w:p w14:paraId="5D1C9AD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Califf, Robert M. “Biomarker Definitions and Their Applications.” </w:t>
      </w:r>
      <w:r w:rsidRPr="00426A10">
        <w:rPr>
          <w:i/>
          <w:iCs/>
          <w:color w:val="000000" w:themeColor="text1"/>
          <w:sz w:val="16"/>
          <w:szCs w:val="16"/>
        </w:rPr>
        <w:t>Experimental Biology and Medicine</w:t>
      </w:r>
      <w:r w:rsidRPr="00426A10">
        <w:rPr>
          <w:color w:val="000000" w:themeColor="text1"/>
          <w:sz w:val="16"/>
          <w:szCs w:val="16"/>
        </w:rPr>
        <w:t xml:space="preserve">, vol. 243, no. 3, Feb. 2018, pp. 213–21. </w:t>
      </w:r>
      <w:r w:rsidRPr="00426A10">
        <w:rPr>
          <w:i/>
          <w:iCs/>
          <w:color w:val="000000" w:themeColor="text1"/>
          <w:sz w:val="16"/>
          <w:szCs w:val="16"/>
        </w:rPr>
        <w:t>PubMed Central</w:t>
      </w:r>
      <w:r w:rsidRPr="00426A10">
        <w:rPr>
          <w:color w:val="000000" w:themeColor="text1"/>
          <w:sz w:val="16"/>
          <w:szCs w:val="16"/>
        </w:rPr>
        <w:t>, https://doi.org/10.1177/1535370217750088.</w:t>
      </w:r>
    </w:p>
    <w:p w14:paraId="2D6DC21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Biomarkers Definitions Working Group. “Biomarkers and Surrogate Endpoints: Preferred Definitions and Conceptual Framework.” </w:t>
      </w:r>
      <w:r w:rsidRPr="00426A10">
        <w:rPr>
          <w:i/>
          <w:iCs/>
          <w:color w:val="000000" w:themeColor="text1"/>
          <w:sz w:val="16"/>
          <w:szCs w:val="16"/>
        </w:rPr>
        <w:t>Clinical Pharmacology and Therapeutics</w:t>
      </w:r>
      <w:r w:rsidRPr="00426A10">
        <w:rPr>
          <w:color w:val="000000" w:themeColor="text1"/>
          <w:sz w:val="16"/>
          <w:szCs w:val="16"/>
        </w:rPr>
        <w:t xml:space="preserve">, vol. 69, no. 3, Mar. 2001, pp. 89–95. </w:t>
      </w:r>
      <w:r w:rsidRPr="00426A10">
        <w:rPr>
          <w:i/>
          <w:iCs/>
          <w:color w:val="000000" w:themeColor="text1"/>
          <w:sz w:val="16"/>
          <w:szCs w:val="16"/>
        </w:rPr>
        <w:t>PubMed</w:t>
      </w:r>
      <w:r w:rsidRPr="00426A10">
        <w:rPr>
          <w:color w:val="000000" w:themeColor="text1"/>
          <w:sz w:val="16"/>
          <w:szCs w:val="16"/>
        </w:rPr>
        <w:t>, https://doi.org/10.1067/mcp.2001.113989.</w:t>
      </w:r>
    </w:p>
    <w:p w14:paraId="66BCA45B"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Henry, N. Lynn, and Daniel F. Hayes. “Cancer Biomarkers.” </w:t>
      </w:r>
      <w:r w:rsidRPr="00426A10">
        <w:rPr>
          <w:i/>
          <w:iCs/>
          <w:color w:val="000000" w:themeColor="text1"/>
          <w:sz w:val="16"/>
          <w:szCs w:val="16"/>
        </w:rPr>
        <w:t>Molecular Oncology</w:t>
      </w:r>
      <w:r w:rsidRPr="00426A10">
        <w:rPr>
          <w:color w:val="000000" w:themeColor="text1"/>
          <w:sz w:val="16"/>
          <w:szCs w:val="16"/>
        </w:rPr>
        <w:t xml:space="preserve">, vol. 6, no. 2, Apr. 2012, pp. 140–46. </w:t>
      </w:r>
      <w:r w:rsidRPr="00426A10">
        <w:rPr>
          <w:i/>
          <w:iCs/>
          <w:color w:val="000000" w:themeColor="text1"/>
          <w:sz w:val="16"/>
          <w:szCs w:val="16"/>
        </w:rPr>
        <w:t>PubMed Central</w:t>
      </w:r>
      <w:r w:rsidRPr="00426A10">
        <w:rPr>
          <w:color w:val="000000" w:themeColor="text1"/>
          <w:sz w:val="16"/>
          <w:szCs w:val="16"/>
        </w:rPr>
        <w:t>, https://doi.org/10.1016/j.molonc.2012.01.010.</w:t>
      </w:r>
    </w:p>
    <w:p w14:paraId="6DFA1E6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Kimmons, Lany. “How Are Biomarkers Used to Treat Cancer?” </w:t>
      </w:r>
      <w:r w:rsidRPr="00426A10">
        <w:rPr>
          <w:i/>
          <w:iCs/>
          <w:color w:val="000000" w:themeColor="text1"/>
          <w:sz w:val="16"/>
          <w:szCs w:val="16"/>
        </w:rPr>
        <w:t>MD Anderson Cancer Center</w:t>
      </w:r>
      <w:r w:rsidRPr="00426A10">
        <w:rPr>
          <w:color w:val="000000" w:themeColor="text1"/>
          <w:sz w:val="16"/>
          <w:szCs w:val="16"/>
        </w:rPr>
        <w:t>, https://www.mdanderson.org/cancerwise/how-are-biomarkers-used-in-cancer-treatment.h00-159460056.html. Accessed 4 Sept. 2023.</w:t>
      </w:r>
    </w:p>
    <w:p w14:paraId="2F6C81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Shah, Ankeet, et al. “Classification of Molecular Biomarkers.” </w:t>
      </w:r>
      <w:r w:rsidRPr="00426A10">
        <w:rPr>
          <w:i/>
          <w:iCs/>
          <w:color w:val="000000" w:themeColor="text1"/>
          <w:sz w:val="16"/>
          <w:szCs w:val="16"/>
        </w:rPr>
        <w:t xml:space="preserve">Société </w:t>
      </w:r>
      <w:proofErr w:type="spellStart"/>
      <w:r w:rsidRPr="00426A10">
        <w:rPr>
          <w:i/>
          <w:iCs/>
          <w:color w:val="000000" w:themeColor="text1"/>
          <w:sz w:val="16"/>
          <w:szCs w:val="16"/>
        </w:rPr>
        <w:t>Internationale</w:t>
      </w:r>
      <w:proofErr w:type="spellEnd"/>
      <w:r w:rsidRPr="00426A10">
        <w:rPr>
          <w:i/>
          <w:iCs/>
          <w:color w:val="000000" w:themeColor="text1"/>
          <w:sz w:val="16"/>
          <w:szCs w:val="16"/>
        </w:rPr>
        <w:t xml:space="preserve"> </w:t>
      </w:r>
      <w:proofErr w:type="spellStart"/>
      <w:r w:rsidRPr="00426A10">
        <w:rPr>
          <w:i/>
          <w:iCs/>
          <w:color w:val="000000" w:themeColor="text1"/>
          <w:sz w:val="16"/>
          <w:szCs w:val="16"/>
        </w:rPr>
        <w:t>d’Urologie</w:t>
      </w:r>
      <w:proofErr w:type="spellEnd"/>
      <w:r w:rsidRPr="00426A10">
        <w:rPr>
          <w:i/>
          <w:iCs/>
          <w:color w:val="000000" w:themeColor="text1"/>
          <w:sz w:val="16"/>
          <w:szCs w:val="16"/>
        </w:rPr>
        <w:t xml:space="preserve"> Journal</w:t>
      </w:r>
      <w:r w:rsidRPr="00426A10">
        <w:rPr>
          <w:color w:val="000000" w:themeColor="text1"/>
          <w:sz w:val="16"/>
          <w:szCs w:val="16"/>
        </w:rPr>
        <w:t>, vol. 1, no. 1, 1, Oct. 2020, pp. 8–15.</w:t>
      </w:r>
    </w:p>
    <w:p w14:paraId="70C213E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FDA-NIH Biomarker Working Group.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w:t>
      </w:r>
      <w:r w:rsidRPr="00426A10">
        <w:rPr>
          <w:color w:val="000000" w:themeColor="text1"/>
          <w:sz w:val="16"/>
          <w:szCs w:val="16"/>
        </w:rPr>
        <w:t xml:space="preserve">. Food and Drug Administration (US), 2016. </w:t>
      </w:r>
      <w:r w:rsidRPr="00426A10">
        <w:rPr>
          <w:i/>
          <w:iCs/>
          <w:color w:val="000000" w:themeColor="text1"/>
          <w:sz w:val="16"/>
          <w:szCs w:val="16"/>
        </w:rPr>
        <w:t>PubMed</w:t>
      </w:r>
      <w:r w:rsidRPr="00426A10">
        <w:rPr>
          <w:color w:val="000000" w:themeColor="text1"/>
          <w:sz w:val="16"/>
          <w:szCs w:val="16"/>
        </w:rPr>
        <w:t>, http://www.ncbi.nlm.nih.gov/books/NBK326791/.</w:t>
      </w:r>
    </w:p>
    <w:p w14:paraId="6083645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Petrucelli, Nancie, et al. “BRCA1- and BRCA2-Associated Hereditary Breast and Ovarian Cancer.” </w:t>
      </w:r>
      <w:proofErr w:type="spellStart"/>
      <w:r w:rsidRPr="00426A10">
        <w:rPr>
          <w:i/>
          <w:iCs/>
          <w:color w:val="000000" w:themeColor="text1"/>
          <w:sz w:val="16"/>
          <w:szCs w:val="16"/>
        </w:rPr>
        <w:t>GeneReviews</w:t>
      </w:r>
      <w:proofErr w:type="spellEnd"/>
      <w:r w:rsidRPr="00426A10">
        <w:rPr>
          <w:i/>
          <w:iCs/>
          <w:color w:val="000000" w:themeColor="text1"/>
          <w:sz w:val="16"/>
          <w:szCs w:val="16"/>
        </w:rPr>
        <w:t>®</w:t>
      </w:r>
      <w:r w:rsidRPr="00426A10">
        <w:rPr>
          <w:color w:val="000000" w:themeColor="text1"/>
          <w:sz w:val="16"/>
          <w:szCs w:val="16"/>
        </w:rPr>
        <w:t xml:space="preserve">, edited by Margaret P. Adam et al., University of Washington, Seattle, 1993. </w:t>
      </w:r>
      <w:r w:rsidRPr="00426A10">
        <w:rPr>
          <w:i/>
          <w:iCs/>
          <w:color w:val="000000" w:themeColor="text1"/>
          <w:sz w:val="16"/>
          <w:szCs w:val="16"/>
        </w:rPr>
        <w:t>PubMed</w:t>
      </w:r>
      <w:r w:rsidRPr="00426A10">
        <w:rPr>
          <w:color w:val="000000" w:themeColor="text1"/>
          <w:sz w:val="16"/>
          <w:szCs w:val="16"/>
        </w:rPr>
        <w:t>, http://www.ncbi.nlm.nih.gov/books/NBK1247/.</w:t>
      </w:r>
    </w:p>
    <w:p w14:paraId="2BACE6D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García, Patricia, et al. “Current and New Biomarkers for Early Detection, Prognostic Stratification, and Management of Gallbladder Cancer Patients.” </w:t>
      </w:r>
      <w:r w:rsidRPr="00426A10">
        <w:rPr>
          <w:i/>
          <w:iCs/>
          <w:color w:val="000000" w:themeColor="text1"/>
          <w:sz w:val="16"/>
          <w:szCs w:val="16"/>
        </w:rPr>
        <w:t>Cancers</w:t>
      </w:r>
      <w:r w:rsidRPr="00426A10">
        <w:rPr>
          <w:color w:val="000000" w:themeColor="text1"/>
          <w:sz w:val="16"/>
          <w:szCs w:val="16"/>
        </w:rPr>
        <w:t xml:space="preserve">, vol. 12, no. 12, Dec. 2020, p. 3670. </w:t>
      </w:r>
      <w:r w:rsidRPr="00426A10">
        <w:rPr>
          <w:i/>
          <w:iCs/>
          <w:color w:val="000000" w:themeColor="text1"/>
          <w:sz w:val="16"/>
          <w:szCs w:val="16"/>
        </w:rPr>
        <w:t>PubMed</w:t>
      </w:r>
      <w:r w:rsidRPr="00426A10">
        <w:rPr>
          <w:color w:val="000000" w:themeColor="text1"/>
          <w:sz w:val="16"/>
          <w:szCs w:val="16"/>
        </w:rPr>
        <w:t>, https://doi.org/10.3390/cancers12123670.</w:t>
      </w:r>
    </w:p>
    <w:p w14:paraId="231FED3E"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Khariwala</w:t>
      </w:r>
      <w:proofErr w:type="spellEnd"/>
      <w:r w:rsidRPr="00426A10">
        <w:rPr>
          <w:color w:val="000000" w:themeColor="text1"/>
          <w:sz w:val="16"/>
          <w:szCs w:val="16"/>
        </w:rPr>
        <w:t>, Samir S., et al. “Elevated Levels of 1-Hydroxypyrene and N′-</w:t>
      </w:r>
      <w:proofErr w:type="spellStart"/>
      <w:r w:rsidRPr="00426A10">
        <w:rPr>
          <w:color w:val="000000" w:themeColor="text1"/>
          <w:sz w:val="16"/>
          <w:szCs w:val="16"/>
        </w:rPr>
        <w:t>Nitrosonornicotine</w:t>
      </w:r>
      <w:proofErr w:type="spellEnd"/>
      <w:r w:rsidRPr="00426A10">
        <w:rPr>
          <w:color w:val="000000" w:themeColor="text1"/>
          <w:sz w:val="16"/>
          <w:szCs w:val="16"/>
        </w:rPr>
        <w:t xml:space="preserve"> in Smokers with Head and Neck Cancer: A Matched Control Study.” </w:t>
      </w:r>
      <w:r w:rsidRPr="00426A10">
        <w:rPr>
          <w:i/>
          <w:iCs/>
          <w:color w:val="000000" w:themeColor="text1"/>
          <w:sz w:val="16"/>
          <w:szCs w:val="16"/>
        </w:rPr>
        <w:t>Head &amp; Neck</w:t>
      </w:r>
      <w:r w:rsidRPr="00426A10">
        <w:rPr>
          <w:color w:val="000000" w:themeColor="text1"/>
          <w:sz w:val="16"/>
          <w:szCs w:val="16"/>
        </w:rPr>
        <w:t xml:space="preserve">, vol. 35, no. 8, Aug. 2013, pp. 1096–100. </w:t>
      </w:r>
      <w:r w:rsidRPr="00426A10">
        <w:rPr>
          <w:i/>
          <w:iCs/>
          <w:color w:val="000000" w:themeColor="text1"/>
          <w:sz w:val="16"/>
          <w:szCs w:val="16"/>
        </w:rPr>
        <w:t>PubMed Central</w:t>
      </w:r>
      <w:r w:rsidRPr="00426A10">
        <w:rPr>
          <w:color w:val="000000" w:themeColor="text1"/>
          <w:sz w:val="16"/>
          <w:szCs w:val="16"/>
        </w:rPr>
        <w:t>, https://doi.org/10.1002/hed.23085.</w:t>
      </w:r>
    </w:p>
    <w:p w14:paraId="1ADD2D08"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“Susceptibility/Risk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2020. </w:t>
      </w:r>
      <w:r w:rsidRPr="00426A10">
        <w:rPr>
          <w:i/>
          <w:iCs/>
          <w:color w:val="000000" w:themeColor="text1"/>
          <w:sz w:val="16"/>
          <w:szCs w:val="16"/>
        </w:rPr>
        <w:t>www.ncbi.nlm.nih.gov</w:t>
      </w:r>
      <w:r w:rsidRPr="00426A10">
        <w:rPr>
          <w:color w:val="000000" w:themeColor="text1"/>
          <w:sz w:val="16"/>
          <w:szCs w:val="16"/>
        </w:rPr>
        <w:t>, https://www.ncbi.nlm.nih.gov/books/NBK402288/.</w:t>
      </w:r>
    </w:p>
    <w:p w14:paraId="321546A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Group, FDA-NIH Biomarker Working. “Diagnostic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2020. </w:t>
      </w:r>
      <w:r w:rsidRPr="00426A10">
        <w:rPr>
          <w:i/>
          <w:iCs/>
          <w:color w:val="000000" w:themeColor="text1"/>
          <w:sz w:val="16"/>
          <w:szCs w:val="16"/>
        </w:rPr>
        <w:t>www.ncbi.nlm.nih.gov</w:t>
      </w:r>
      <w:r w:rsidRPr="00426A10">
        <w:rPr>
          <w:color w:val="000000" w:themeColor="text1"/>
          <w:sz w:val="16"/>
          <w:szCs w:val="16"/>
        </w:rPr>
        <w:t>, https://www.ncbi.nlm.nih.gov/books/NBK402285/.</w:t>
      </w:r>
    </w:p>
    <w:p w14:paraId="754437BA"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Gamble, Paul, et al. “Determining Breast Cancer Biomarker Status and Associated Morphological Features Using Deep Learning.” </w:t>
      </w:r>
      <w:r w:rsidRPr="00426A10">
        <w:rPr>
          <w:i/>
          <w:iCs/>
          <w:color w:val="000000" w:themeColor="text1"/>
          <w:sz w:val="16"/>
          <w:szCs w:val="16"/>
        </w:rPr>
        <w:t>Communications Medicine</w:t>
      </w:r>
      <w:r w:rsidRPr="00426A10">
        <w:rPr>
          <w:color w:val="000000" w:themeColor="text1"/>
          <w:sz w:val="16"/>
          <w:szCs w:val="16"/>
        </w:rPr>
        <w:t xml:space="preserve">, vol. 1, no. 1, 1, July 2021, pp. 1–12. </w:t>
      </w:r>
      <w:r w:rsidRPr="00426A10">
        <w:rPr>
          <w:i/>
          <w:iCs/>
          <w:color w:val="000000" w:themeColor="text1"/>
          <w:sz w:val="16"/>
          <w:szCs w:val="16"/>
        </w:rPr>
        <w:t>www.nature.com</w:t>
      </w:r>
      <w:r w:rsidRPr="00426A10">
        <w:rPr>
          <w:color w:val="000000" w:themeColor="text1"/>
          <w:sz w:val="16"/>
          <w:szCs w:val="16"/>
        </w:rPr>
        <w:t>, https://doi.org/10.1038/s43856-021-00013-3.</w:t>
      </w:r>
    </w:p>
    <w:p w14:paraId="551ACA36"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Dochez, Vincent, et al. “Biomarkers and Algorithms for Diagnosis of Ovarian Cancer: CA125, HE4, RMI and ROMA, a Review.” </w:t>
      </w:r>
      <w:r w:rsidRPr="00426A10">
        <w:rPr>
          <w:i/>
          <w:iCs/>
          <w:color w:val="000000" w:themeColor="text1"/>
          <w:sz w:val="16"/>
          <w:szCs w:val="16"/>
        </w:rPr>
        <w:t>Journal of Ovarian Research</w:t>
      </w:r>
      <w:r w:rsidRPr="00426A10">
        <w:rPr>
          <w:color w:val="000000" w:themeColor="text1"/>
          <w:sz w:val="16"/>
          <w:szCs w:val="16"/>
        </w:rPr>
        <w:t xml:space="preserve">, vol. 12, no. 1, Mar. 2019, p. 28. </w:t>
      </w:r>
      <w:r w:rsidRPr="00426A10">
        <w:rPr>
          <w:i/>
          <w:iCs/>
          <w:color w:val="000000" w:themeColor="text1"/>
          <w:sz w:val="16"/>
          <w:szCs w:val="16"/>
        </w:rPr>
        <w:t>BioMed Central</w:t>
      </w:r>
      <w:r w:rsidRPr="00426A10">
        <w:rPr>
          <w:color w:val="000000" w:themeColor="text1"/>
          <w:sz w:val="16"/>
          <w:szCs w:val="16"/>
        </w:rPr>
        <w:t xml:space="preserve">, </w:t>
      </w:r>
      <w:hyperlink r:id="rId13" w:history="1">
        <w:r w:rsidRPr="00426A10">
          <w:rPr>
            <w:rStyle w:val="Hyperlink"/>
            <w:color w:val="000000" w:themeColor="text1"/>
            <w:sz w:val="16"/>
            <w:szCs w:val="16"/>
            <w:u w:val="none"/>
          </w:rPr>
          <w:t>https://doi.org/10.1186/s13048-019-0503-7</w:t>
        </w:r>
      </w:hyperlink>
      <w:r w:rsidRPr="00426A10">
        <w:rPr>
          <w:color w:val="000000" w:themeColor="text1"/>
          <w:sz w:val="16"/>
          <w:szCs w:val="16"/>
        </w:rPr>
        <w:t>.</w:t>
      </w:r>
    </w:p>
    <w:p w14:paraId="7FCC6C5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Tkac, Jan, et al. “Prostate-Specific Antigen </w:t>
      </w:r>
      <w:proofErr w:type="spellStart"/>
      <w:r w:rsidRPr="00426A10">
        <w:rPr>
          <w:color w:val="000000" w:themeColor="text1"/>
          <w:sz w:val="16"/>
          <w:szCs w:val="16"/>
        </w:rPr>
        <w:t>Glycoprofiling</w:t>
      </w:r>
      <w:proofErr w:type="spellEnd"/>
      <w:r w:rsidRPr="00426A10">
        <w:rPr>
          <w:color w:val="000000" w:themeColor="text1"/>
          <w:sz w:val="16"/>
          <w:szCs w:val="16"/>
        </w:rPr>
        <w:t xml:space="preserve"> as Diagnostic and Prognostic Biomarker of Prostate Cancer.” </w:t>
      </w:r>
      <w:r w:rsidRPr="00426A10">
        <w:rPr>
          <w:i/>
          <w:iCs/>
          <w:color w:val="000000" w:themeColor="text1"/>
          <w:sz w:val="16"/>
          <w:szCs w:val="16"/>
        </w:rPr>
        <w:t>Interface Focus</w:t>
      </w:r>
      <w:r w:rsidRPr="00426A10">
        <w:rPr>
          <w:color w:val="000000" w:themeColor="text1"/>
          <w:sz w:val="16"/>
          <w:szCs w:val="16"/>
        </w:rPr>
        <w:t xml:space="preserve">, vol. 9, no. 2, Feb. 2019, p. 20180077. </w:t>
      </w:r>
      <w:r w:rsidRPr="00426A10">
        <w:rPr>
          <w:i/>
          <w:iCs/>
          <w:color w:val="000000" w:themeColor="text1"/>
          <w:sz w:val="16"/>
          <w:szCs w:val="16"/>
        </w:rPr>
        <w:t>royalsocietypublishing.org (</w:t>
      </w:r>
      <w:proofErr w:type="spellStart"/>
      <w:r w:rsidRPr="00426A10">
        <w:rPr>
          <w:i/>
          <w:iCs/>
          <w:color w:val="000000" w:themeColor="text1"/>
          <w:sz w:val="16"/>
          <w:szCs w:val="16"/>
        </w:rPr>
        <w:t>Atypon</w:t>
      </w:r>
      <w:proofErr w:type="spellEnd"/>
      <w:r w:rsidRPr="00426A10">
        <w:rPr>
          <w:i/>
          <w:iCs/>
          <w:color w:val="000000" w:themeColor="text1"/>
          <w:sz w:val="16"/>
          <w:szCs w:val="16"/>
        </w:rPr>
        <w:t>)</w:t>
      </w:r>
      <w:r w:rsidRPr="00426A10">
        <w:rPr>
          <w:color w:val="000000" w:themeColor="text1"/>
          <w:sz w:val="16"/>
          <w:szCs w:val="16"/>
        </w:rPr>
        <w:t>, https://doi.org/10.1098/rsfs.2018.0077.</w:t>
      </w:r>
    </w:p>
    <w:p w14:paraId="6064D63D"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“Monitoring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2021. </w:t>
      </w:r>
      <w:r w:rsidRPr="00426A10">
        <w:rPr>
          <w:i/>
          <w:iCs/>
          <w:color w:val="000000" w:themeColor="text1"/>
          <w:sz w:val="16"/>
          <w:szCs w:val="16"/>
        </w:rPr>
        <w:t>www.ncbi.nlm.nih.gov</w:t>
      </w:r>
      <w:r w:rsidRPr="00426A10">
        <w:rPr>
          <w:color w:val="000000" w:themeColor="text1"/>
          <w:sz w:val="16"/>
          <w:szCs w:val="16"/>
        </w:rPr>
        <w:t>, https://www.ncbi.nlm.nih.gov/books/NBK402282/.</w:t>
      </w:r>
    </w:p>
    <w:p w14:paraId="177BC89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Kyle, Robert A., et al. “A Long-Term Study of Prognosis in Monoclonal Gammopathy of Undetermined Significance.” </w:t>
      </w:r>
      <w:r w:rsidRPr="00426A10">
        <w:rPr>
          <w:i/>
          <w:iCs/>
          <w:color w:val="000000" w:themeColor="text1"/>
          <w:sz w:val="16"/>
          <w:szCs w:val="16"/>
        </w:rPr>
        <w:t>The New England Journal of Medicine</w:t>
      </w:r>
      <w:r w:rsidRPr="00426A10">
        <w:rPr>
          <w:color w:val="000000" w:themeColor="text1"/>
          <w:sz w:val="16"/>
          <w:szCs w:val="16"/>
        </w:rPr>
        <w:t xml:space="preserve">, vol. 346, no. 8, Feb. 2002, pp. 564–69. </w:t>
      </w:r>
      <w:r w:rsidRPr="00426A10">
        <w:rPr>
          <w:i/>
          <w:iCs/>
          <w:color w:val="000000" w:themeColor="text1"/>
          <w:sz w:val="16"/>
          <w:szCs w:val="16"/>
        </w:rPr>
        <w:t>PubMed</w:t>
      </w:r>
      <w:r w:rsidRPr="00426A10">
        <w:rPr>
          <w:color w:val="000000" w:themeColor="text1"/>
          <w:sz w:val="16"/>
          <w:szCs w:val="16"/>
        </w:rPr>
        <w:t>, https://doi.org/10.1056/NEJMoa01133202.</w:t>
      </w:r>
    </w:p>
    <w:p w14:paraId="02CB07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Sandler, Howard M., and Mario A. Eisenberger. “Assessing and Treating Patients with Increasing Prostate Specific Antigen Following Radical Prostatectomy.” </w:t>
      </w:r>
      <w:r w:rsidRPr="00426A10">
        <w:rPr>
          <w:i/>
          <w:iCs/>
          <w:color w:val="000000" w:themeColor="text1"/>
          <w:sz w:val="16"/>
          <w:szCs w:val="16"/>
        </w:rPr>
        <w:t>The Journal of Urology</w:t>
      </w:r>
      <w:r w:rsidRPr="00426A10">
        <w:rPr>
          <w:color w:val="000000" w:themeColor="text1"/>
          <w:sz w:val="16"/>
          <w:szCs w:val="16"/>
        </w:rPr>
        <w:t xml:space="preserve">, vol. 178, no. 3 Pt 2, Sept. 2007, pp. S20-24. </w:t>
      </w:r>
      <w:r w:rsidRPr="00426A10">
        <w:rPr>
          <w:i/>
          <w:iCs/>
          <w:color w:val="000000" w:themeColor="text1"/>
          <w:sz w:val="16"/>
          <w:szCs w:val="16"/>
        </w:rPr>
        <w:t>PubMed</w:t>
      </w:r>
      <w:r w:rsidRPr="00426A10">
        <w:rPr>
          <w:color w:val="000000" w:themeColor="text1"/>
          <w:sz w:val="16"/>
          <w:szCs w:val="16"/>
        </w:rPr>
        <w:t>, https://doi.org/10.1016/j.juro.2007.04.034.</w:t>
      </w:r>
    </w:p>
    <w:p w14:paraId="41FCA68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Gundogdu, Fatih, et al. “The Role of Serum CA-125 Levels and CA-125 Tissue Expression Positivity in the Prediction of the Recurrence of Stage III and IV Epithelial Ovarian Tumors (CA-125 Levels and Tissue CA-125 in Ovarian Tumors).” </w:t>
      </w:r>
      <w:r w:rsidRPr="00426A10">
        <w:rPr>
          <w:i/>
          <w:iCs/>
          <w:color w:val="000000" w:themeColor="text1"/>
          <w:sz w:val="16"/>
          <w:szCs w:val="16"/>
        </w:rPr>
        <w:t>Archives of Gynecology and Obstetrics</w:t>
      </w:r>
      <w:r w:rsidRPr="00426A10">
        <w:rPr>
          <w:color w:val="000000" w:themeColor="text1"/>
          <w:sz w:val="16"/>
          <w:szCs w:val="16"/>
        </w:rPr>
        <w:t xml:space="preserve">, vol. 283, no. 6, June 2011, pp. 1397–402. </w:t>
      </w:r>
      <w:r w:rsidRPr="00426A10">
        <w:rPr>
          <w:i/>
          <w:iCs/>
          <w:color w:val="000000" w:themeColor="text1"/>
          <w:sz w:val="16"/>
          <w:szCs w:val="16"/>
        </w:rPr>
        <w:t>PubMed</w:t>
      </w:r>
      <w:r w:rsidRPr="00426A10">
        <w:rPr>
          <w:color w:val="000000" w:themeColor="text1"/>
          <w:sz w:val="16"/>
          <w:szCs w:val="16"/>
        </w:rPr>
        <w:t>, https://doi.org/10.1007/s00404-010-1589-8.</w:t>
      </w:r>
    </w:p>
    <w:p w14:paraId="148C89A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“Prognostic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https://www.ncbi.nlm.nih.gov/books/NBK402289/.</w:t>
      </w:r>
    </w:p>
    <w:p w14:paraId="6E8A37B1"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Basu, N. N., et al. “Risk of Contralateral Breast Cancer in BRCA1 and BRCA2 Mutation Carriers: A 30-Year Semi-Prospective Analysis.” </w:t>
      </w:r>
      <w:r w:rsidRPr="00426A10">
        <w:rPr>
          <w:i/>
          <w:iCs/>
          <w:color w:val="000000" w:themeColor="text1"/>
          <w:sz w:val="16"/>
          <w:szCs w:val="16"/>
        </w:rPr>
        <w:t>Familial Cancer</w:t>
      </w:r>
      <w:r w:rsidRPr="00426A10">
        <w:rPr>
          <w:color w:val="000000" w:themeColor="text1"/>
          <w:sz w:val="16"/>
          <w:szCs w:val="16"/>
        </w:rPr>
        <w:t xml:space="preserve">, vol. 14, no. 4, Dec. 2015, pp. 531–38. </w:t>
      </w:r>
      <w:r w:rsidRPr="00426A10">
        <w:rPr>
          <w:i/>
          <w:iCs/>
          <w:color w:val="000000" w:themeColor="text1"/>
          <w:sz w:val="16"/>
          <w:szCs w:val="16"/>
        </w:rPr>
        <w:t>PubMed</w:t>
      </w:r>
      <w:r w:rsidRPr="00426A10">
        <w:rPr>
          <w:color w:val="000000" w:themeColor="text1"/>
          <w:sz w:val="16"/>
          <w:szCs w:val="16"/>
        </w:rPr>
        <w:t>, https://doi.org/10.1007/s10689-015-9825-9.</w:t>
      </w:r>
    </w:p>
    <w:p w14:paraId="47876195"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Gonzalez, David, et al. “Mutational Status of the TP53 Gene as a Predictor of Response and Survival in Patients with Chronic Lymphocytic Leukemia: Results from the LRF CLL4 Trial.” </w:t>
      </w:r>
      <w:r w:rsidRPr="00426A10">
        <w:rPr>
          <w:i/>
          <w:iCs/>
          <w:color w:val="000000" w:themeColor="text1"/>
          <w:sz w:val="16"/>
          <w:szCs w:val="16"/>
        </w:rPr>
        <w:t>Journal of Clinical Oncology: Official Journal of the American Society of Clinical Oncology</w:t>
      </w:r>
      <w:r w:rsidRPr="00426A10">
        <w:rPr>
          <w:color w:val="000000" w:themeColor="text1"/>
          <w:sz w:val="16"/>
          <w:szCs w:val="16"/>
        </w:rPr>
        <w:t xml:space="preserve">, vol. 29, no. 16, June 2011, pp. 2223–29. </w:t>
      </w:r>
      <w:r w:rsidRPr="00426A10">
        <w:rPr>
          <w:i/>
          <w:iCs/>
          <w:color w:val="000000" w:themeColor="text1"/>
          <w:sz w:val="16"/>
          <w:szCs w:val="16"/>
        </w:rPr>
        <w:t>PubMed</w:t>
      </w:r>
      <w:r w:rsidRPr="00426A10">
        <w:rPr>
          <w:color w:val="000000" w:themeColor="text1"/>
          <w:sz w:val="16"/>
          <w:szCs w:val="16"/>
        </w:rPr>
        <w:t>, https://doi.org/10.1200/JCO.2010.32.0838.</w:t>
      </w:r>
    </w:p>
    <w:p w14:paraId="2FB77AB4"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Shanafelt, Tait D., et al. “Prospective Evaluation of Clonal Evolution during Long-Term Follow-up of Patients with Untreated Early-Stage Chronic Lymphocytic Leukemia.” </w:t>
      </w:r>
      <w:r w:rsidRPr="00426A10">
        <w:rPr>
          <w:i/>
          <w:iCs/>
          <w:color w:val="000000" w:themeColor="text1"/>
          <w:sz w:val="16"/>
          <w:szCs w:val="16"/>
        </w:rPr>
        <w:t>Journal of Clinical Oncology: Official Journal of the American Society of Clinical Oncology</w:t>
      </w:r>
      <w:r w:rsidRPr="00426A10">
        <w:rPr>
          <w:color w:val="000000" w:themeColor="text1"/>
          <w:sz w:val="16"/>
          <w:szCs w:val="16"/>
        </w:rPr>
        <w:t xml:space="preserve">, vol. 24, no. 28, Oct. 2006, pp. 4634–41. </w:t>
      </w:r>
      <w:r w:rsidRPr="00426A10">
        <w:rPr>
          <w:i/>
          <w:iCs/>
          <w:color w:val="000000" w:themeColor="text1"/>
          <w:sz w:val="16"/>
          <w:szCs w:val="16"/>
        </w:rPr>
        <w:t>PubMed</w:t>
      </w:r>
      <w:r w:rsidRPr="00426A10">
        <w:rPr>
          <w:color w:val="000000" w:themeColor="text1"/>
          <w:sz w:val="16"/>
          <w:szCs w:val="16"/>
        </w:rPr>
        <w:t>, https://doi.org/10.1200/JCO.2006.06.9492.</w:t>
      </w:r>
    </w:p>
    <w:p w14:paraId="2CEB229C"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Roberts, S. G., et al. “PSA Doubling Time as a Predictor of Clinical Progression after Biochemical Failure Following Radical Prostatectomy for Prostate Cancer.” </w:t>
      </w:r>
      <w:r w:rsidRPr="00426A10">
        <w:rPr>
          <w:i/>
          <w:iCs/>
          <w:color w:val="000000" w:themeColor="text1"/>
          <w:sz w:val="16"/>
          <w:szCs w:val="16"/>
        </w:rPr>
        <w:t>Mayo Clinic Proceedings</w:t>
      </w:r>
      <w:r w:rsidRPr="00426A10">
        <w:rPr>
          <w:color w:val="000000" w:themeColor="text1"/>
          <w:sz w:val="16"/>
          <w:szCs w:val="16"/>
        </w:rPr>
        <w:t xml:space="preserve">, vol. 76, no. 6, June 2001, pp. 576–81. </w:t>
      </w:r>
      <w:r w:rsidRPr="00426A10">
        <w:rPr>
          <w:i/>
          <w:iCs/>
          <w:color w:val="000000" w:themeColor="text1"/>
          <w:sz w:val="16"/>
          <w:szCs w:val="16"/>
        </w:rPr>
        <w:t>PubMed</w:t>
      </w:r>
      <w:r w:rsidRPr="00426A10">
        <w:rPr>
          <w:color w:val="000000" w:themeColor="text1"/>
          <w:sz w:val="16"/>
          <w:szCs w:val="16"/>
        </w:rPr>
        <w:t xml:space="preserve">, </w:t>
      </w:r>
      <w:r w:rsidRPr="00426A10">
        <w:rPr>
          <w:color w:val="000000" w:themeColor="text1"/>
          <w:sz w:val="16"/>
          <w:szCs w:val="16"/>
        </w:rPr>
        <w:lastRenderedPageBreak/>
        <w:t>https://doi.org/10.4065/76.6.576.</w:t>
      </w:r>
    </w:p>
    <w:p w14:paraId="539B7EA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Epstein, Jonathan I., et al. “The 2014 International Society of Urological Pathology (ISUP) Consensus Conference on Gleason Grading of Prostatic Carcinoma: Definition of Grading Patterns and Proposal for a New Grading System.” </w:t>
      </w:r>
      <w:r w:rsidRPr="00426A10">
        <w:rPr>
          <w:i/>
          <w:iCs/>
          <w:color w:val="000000" w:themeColor="text1"/>
          <w:sz w:val="16"/>
          <w:szCs w:val="16"/>
        </w:rPr>
        <w:t>The American Journal of Surgical Pathology</w:t>
      </w:r>
      <w:r w:rsidRPr="00426A10">
        <w:rPr>
          <w:color w:val="000000" w:themeColor="text1"/>
          <w:sz w:val="16"/>
          <w:szCs w:val="16"/>
        </w:rPr>
        <w:t xml:space="preserve">, vol. 40, no. 2, Feb. 2016, pp. 244–52. </w:t>
      </w:r>
      <w:r w:rsidRPr="00426A10">
        <w:rPr>
          <w:i/>
          <w:iCs/>
          <w:color w:val="000000" w:themeColor="text1"/>
          <w:sz w:val="16"/>
          <w:szCs w:val="16"/>
        </w:rPr>
        <w:t>PubMed</w:t>
      </w:r>
      <w:r w:rsidRPr="00426A10">
        <w:rPr>
          <w:color w:val="000000" w:themeColor="text1"/>
          <w:sz w:val="16"/>
          <w:szCs w:val="16"/>
        </w:rPr>
        <w:t>, https://doi.org/10.1097/PAS.0000000000000530.</w:t>
      </w:r>
    </w:p>
    <w:p w14:paraId="0F55DD0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“Predictive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https://www.ncbi.nlm.nih.gov/books/NBK402283/.</w:t>
      </w:r>
    </w:p>
    <w:p w14:paraId="6C0D16A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Scagliotti, Giorgio, et al. “The Differential Efficacy of Pemetrexed According to NSCLC Histology: A Review of </w:t>
      </w:r>
      <w:proofErr w:type="gramStart"/>
      <w:r w:rsidRPr="00426A10">
        <w:rPr>
          <w:color w:val="000000" w:themeColor="text1"/>
          <w:sz w:val="16"/>
          <w:szCs w:val="16"/>
        </w:rPr>
        <w:t>Two Phase III</w:t>
      </w:r>
      <w:proofErr w:type="gramEnd"/>
      <w:r w:rsidRPr="00426A10">
        <w:rPr>
          <w:color w:val="000000" w:themeColor="text1"/>
          <w:sz w:val="16"/>
          <w:szCs w:val="16"/>
        </w:rPr>
        <w:t xml:space="preserve"> Studies.” </w:t>
      </w:r>
      <w:r w:rsidRPr="00426A10">
        <w:rPr>
          <w:i/>
          <w:iCs/>
          <w:color w:val="000000" w:themeColor="text1"/>
          <w:sz w:val="16"/>
          <w:szCs w:val="16"/>
        </w:rPr>
        <w:t>The Oncologist</w:t>
      </w:r>
      <w:r w:rsidRPr="00426A10">
        <w:rPr>
          <w:color w:val="000000" w:themeColor="text1"/>
          <w:sz w:val="16"/>
          <w:szCs w:val="16"/>
        </w:rPr>
        <w:t xml:space="preserve">, vol. 14, no. 3, Mar. 2009, pp. 253–63. </w:t>
      </w:r>
      <w:r w:rsidRPr="00426A10">
        <w:rPr>
          <w:i/>
          <w:iCs/>
          <w:color w:val="000000" w:themeColor="text1"/>
          <w:sz w:val="16"/>
          <w:szCs w:val="16"/>
        </w:rPr>
        <w:t>PubMed</w:t>
      </w:r>
      <w:r w:rsidRPr="00426A10">
        <w:rPr>
          <w:color w:val="000000" w:themeColor="text1"/>
          <w:sz w:val="16"/>
          <w:szCs w:val="16"/>
        </w:rPr>
        <w:t>, https://doi.org/10.1634/theoncologist.2008-0232.</w:t>
      </w:r>
    </w:p>
    <w:p w14:paraId="4D2AFEF3"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Ledermann, Jonathan, et al. “Olaparib Maintenance Therapy in Platinum-Sensitive Relapsed Ovarian Cancer.” </w:t>
      </w:r>
      <w:r w:rsidRPr="00426A10">
        <w:rPr>
          <w:i/>
          <w:iCs/>
          <w:color w:val="000000" w:themeColor="text1"/>
          <w:sz w:val="16"/>
          <w:szCs w:val="16"/>
        </w:rPr>
        <w:t>The New England Journal of Medicine</w:t>
      </w:r>
      <w:r w:rsidRPr="00426A10">
        <w:rPr>
          <w:color w:val="000000" w:themeColor="text1"/>
          <w:sz w:val="16"/>
          <w:szCs w:val="16"/>
        </w:rPr>
        <w:t xml:space="preserve">, vol. 366, no. 15, Apr. 2012, pp. 1382–92. </w:t>
      </w:r>
      <w:r w:rsidRPr="00426A10">
        <w:rPr>
          <w:i/>
          <w:iCs/>
          <w:color w:val="000000" w:themeColor="text1"/>
          <w:sz w:val="16"/>
          <w:szCs w:val="16"/>
        </w:rPr>
        <w:t>PubMed</w:t>
      </w:r>
      <w:r w:rsidRPr="00426A10">
        <w:rPr>
          <w:color w:val="000000" w:themeColor="text1"/>
          <w:sz w:val="16"/>
          <w:szCs w:val="16"/>
        </w:rPr>
        <w:t>, https://doi.org/10.1056/NEJMoa1105535.</w:t>
      </w:r>
    </w:p>
    <w:p w14:paraId="05839AE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“Response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2021. </w:t>
      </w:r>
      <w:r w:rsidRPr="00426A10">
        <w:rPr>
          <w:i/>
          <w:iCs/>
          <w:color w:val="000000" w:themeColor="text1"/>
          <w:sz w:val="16"/>
          <w:szCs w:val="16"/>
        </w:rPr>
        <w:t>www.ncbi.nlm.nih.gov</w:t>
      </w:r>
      <w:r w:rsidRPr="00426A10">
        <w:rPr>
          <w:color w:val="000000" w:themeColor="text1"/>
          <w:sz w:val="16"/>
          <w:szCs w:val="16"/>
        </w:rPr>
        <w:t>, https://www.ncbi.nlm.nih.gov/books/NBK402286/.</w:t>
      </w:r>
    </w:p>
    <w:p w14:paraId="24DA559A"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Liao, Geraldine J., et al. “18F-Fluoroestradiol PET: Current Status and Potential Future Clinical Applications.” </w:t>
      </w:r>
      <w:r w:rsidRPr="00426A10">
        <w:rPr>
          <w:i/>
          <w:iCs/>
          <w:color w:val="000000" w:themeColor="text1"/>
          <w:sz w:val="16"/>
          <w:szCs w:val="16"/>
        </w:rPr>
        <w:t>Journal of Nuclear Medicine: Official Publication, Society of Nuclear Medicine</w:t>
      </w:r>
      <w:r w:rsidRPr="00426A10">
        <w:rPr>
          <w:color w:val="000000" w:themeColor="text1"/>
          <w:sz w:val="16"/>
          <w:szCs w:val="16"/>
        </w:rPr>
        <w:t xml:space="preserve">, vol. 57, no. 8, Aug. 2016, pp. 1269–75. </w:t>
      </w:r>
      <w:r w:rsidRPr="00426A10">
        <w:rPr>
          <w:i/>
          <w:iCs/>
          <w:color w:val="000000" w:themeColor="text1"/>
          <w:sz w:val="16"/>
          <w:szCs w:val="16"/>
        </w:rPr>
        <w:t>PubMed</w:t>
      </w:r>
      <w:r w:rsidRPr="00426A10">
        <w:rPr>
          <w:color w:val="000000" w:themeColor="text1"/>
          <w:sz w:val="16"/>
          <w:szCs w:val="16"/>
        </w:rPr>
        <w:t>, https://doi.org/10.2967/jnumed.116.175596.</w:t>
      </w:r>
    </w:p>
    <w:p w14:paraId="6712CBEF"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Morschhauser, Franck, et al. “On-Target Pharmacodynamic Activity of the PI3K Inhibitor </w:t>
      </w:r>
      <w:proofErr w:type="spellStart"/>
      <w:r w:rsidRPr="00426A10">
        <w:rPr>
          <w:color w:val="000000" w:themeColor="text1"/>
          <w:sz w:val="16"/>
          <w:szCs w:val="16"/>
        </w:rPr>
        <w:t>Copanlisib</w:t>
      </w:r>
      <w:proofErr w:type="spellEnd"/>
      <w:r w:rsidRPr="00426A10">
        <w:rPr>
          <w:color w:val="000000" w:themeColor="text1"/>
          <w:sz w:val="16"/>
          <w:szCs w:val="16"/>
        </w:rPr>
        <w:t xml:space="preserve"> in Paired Biopsies from Patients with Malignant Lymphoma and Advanced Solid Tumors.” </w:t>
      </w:r>
      <w:r w:rsidRPr="00426A10">
        <w:rPr>
          <w:i/>
          <w:iCs/>
          <w:color w:val="000000" w:themeColor="text1"/>
          <w:sz w:val="16"/>
          <w:szCs w:val="16"/>
        </w:rPr>
        <w:t>Molecular Cancer Therapeutics</w:t>
      </w:r>
      <w:r w:rsidRPr="00426A10">
        <w:rPr>
          <w:color w:val="000000" w:themeColor="text1"/>
          <w:sz w:val="16"/>
          <w:szCs w:val="16"/>
        </w:rPr>
        <w:t xml:space="preserve">, vol. 19, no. 2, Feb. 2020, pp. 468–78. </w:t>
      </w:r>
      <w:r w:rsidRPr="00426A10">
        <w:rPr>
          <w:i/>
          <w:iCs/>
          <w:color w:val="000000" w:themeColor="text1"/>
          <w:sz w:val="16"/>
          <w:szCs w:val="16"/>
        </w:rPr>
        <w:t>PubMed</w:t>
      </w:r>
      <w:r w:rsidRPr="00426A10">
        <w:rPr>
          <w:color w:val="000000" w:themeColor="text1"/>
          <w:sz w:val="16"/>
          <w:szCs w:val="16"/>
        </w:rPr>
        <w:t>, https://doi.org/10.1158/1535-7163.MCT-19-0466.</w:t>
      </w:r>
    </w:p>
    <w:p w14:paraId="57268B9B"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“Safety Biomarker.” </w:t>
      </w:r>
      <w:r w:rsidRPr="00426A10">
        <w:rPr>
          <w:i/>
          <w:iCs/>
          <w:color w:val="000000" w:themeColor="text1"/>
          <w:sz w:val="16"/>
          <w:szCs w:val="16"/>
        </w:rPr>
        <w:t xml:space="preserve">BEST (Biomarkers, </w:t>
      </w:r>
      <w:proofErr w:type="spellStart"/>
      <w:r w:rsidRPr="00426A10">
        <w:rPr>
          <w:i/>
          <w:iCs/>
          <w:color w:val="000000" w:themeColor="text1"/>
          <w:sz w:val="16"/>
          <w:szCs w:val="16"/>
        </w:rPr>
        <w:t>EndpointS</w:t>
      </w:r>
      <w:proofErr w:type="spellEnd"/>
      <w:r w:rsidRPr="00426A10">
        <w:rPr>
          <w:i/>
          <w:iCs/>
          <w:color w:val="000000" w:themeColor="text1"/>
          <w:sz w:val="16"/>
          <w:szCs w:val="16"/>
        </w:rPr>
        <w:t>, and Other Tools) Resource [Internet]</w:t>
      </w:r>
      <w:r w:rsidRPr="00426A10">
        <w:rPr>
          <w:color w:val="000000" w:themeColor="text1"/>
          <w:sz w:val="16"/>
          <w:szCs w:val="16"/>
        </w:rPr>
        <w:t xml:space="preserve">, Food and Drug Administration (US), 2016. </w:t>
      </w:r>
      <w:r w:rsidRPr="00426A10">
        <w:rPr>
          <w:i/>
          <w:iCs/>
          <w:color w:val="000000" w:themeColor="text1"/>
          <w:sz w:val="16"/>
          <w:szCs w:val="16"/>
        </w:rPr>
        <w:t>www.ncbi.nlm.nih.gov</w:t>
      </w:r>
      <w:r w:rsidRPr="00426A10">
        <w:rPr>
          <w:color w:val="000000" w:themeColor="text1"/>
          <w:sz w:val="16"/>
          <w:szCs w:val="16"/>
        </w:rPr>
        <w:t>, https://www.ncbi.nlm.nih.gov/books/NBK402287/.</w:t>
      </w:r>
    </w:p>
    <w:p w14:paraId="7CC695D7"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Marrugo-Ramírez, José, et al. “Blood-Based Cancer Biomarkers in Liquid Biopsy: A Promising Non-Invasive Alternative to Tissue Biopsy.” </w:t>
      </w:r>
      <w:r w:rsidRPr="00426A10">
        <w:rPr>
          <w:i/>
          <w:iCs/>
          <w:color w:val="000000" w:themeColor="text1"/>
          <w:sz w:val="16"/>
          <w:szCs w:val="16"/>
        </w:rPr>
        <w:t>International Journal of Molecular Sciences</w:t>
      </w:r>
      <w:r w:rsidRPr="00426A10">
        <w:rPr>
          <w:color w:val="000000" w:themeColor="text1"/>
          <w:sz w:val="16"/>
          <w:szCs w:val="16"/>
        </w:rPr>
        <w:t xml:space="preserve">, vol. 19, no. 10, Sept. 2018, p. 2877. </w:t>
      </w:r>
      <w:r w:rsidRPr="00426A10">
        <w:rPr>
          <w:i/>
          <w:iCs/>
          <w:color w:val="000000" w:themeColor="text1"/>
          <w:sz w:val="16"/>
          <w:szCs w:val="16"/>
        </w:rPr>
        <w:t>PubMed Central</w:t>
      </w:r>
      <w:r w:rsidRPr="00426A10">
        <w:rPr>
          <w:color w:val="000000" w:themeColor="text1"/>
          <w:sz w:val="16"/>
          <w:szCs w:val="16"/>
        </w:rPr>
        <w:t>, https://doi.org/10.3390/ijms19102877.</w:t>
      </w:r>
    </w:p>
    <w:p w14:paraId="696F65D2" w14:textId="77777777" w:rsidR="0029024D" w:rsidRPr="00426A10" w:rsidRDefault="0029024D" w:rsidP="0029024D">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Pisitkun</w:t>
      </w:r>
      <w:proofErr w:type="spellEnd"/>
      <w:r w:rsidRPr="00426A10">
        <w:rPr>
          <w:color w:val="000000" w:themeColor="text1"/>
          <w:sz w:val="16"/>
          <w:szCs w:val="16"/>
        </w:rPr>
        <w:t xml:space="preserve">, </w:t>
      </w:r>
      <w:proofErr w:type="spellStart"/>
      <w:r w:rsidRPr="00426A10">
        <w:rPr>
          <w:color w:val="000000" w:themeColor="text1"/>
          <w:sz w:val="16"/>
          <w:szCs w:val="16"/>
        </w:rPr>
        <w:t>Trairak</w:t>
      </w:r>
      <w:proofErr w:type="spellEnd"/>
      <w:r w:rsidRPr="00426A10">
        <w:rPr>
          <w:color w:val="000000" w:themeColor="text1"/>
          <w:sz w:val="16"/>
          <w:szCs w:val="16"/>
        </w:rPr>
        <w:t xml:space="preserve">, et al. “Discovery of Urinary Biomarkers.” </w:t>
      </w:r>
      <w:r w:rsidRPr="00426A10">
        <w:rPr>
          <w:i/>
          <w:iCs/>
          <w:color w:val="000000" w:themeColor="text1"/>
          <w:sz w:val="16"/>
          <w:szCs w:val="16"/>
        </w:rPr>
        <w:t>Molecular &amp; Cellular Proteomics: MCP</w:t>
      </w:r>
      <w:r w:rsidRPr="00426A10">
        <w:rPr>
          <w:color w:val="000000" w:themeColor="text1"/>
          <w:sz w:val="16"/>
          <w:szCs w:val="16"/>
        </w:rPr>
        <w:t xml:space="preserve">, vol. 5, no. 10, Oct. 2006, pp. 1760–71. </w:t>
      </w:r>
      <w:r w:rsidRPr="00426A10">
        <w:rPr>
          <w:i/>
          <w:iCs/>
          <w:color w:val="000000" w:themeColor="text1"/>
          <w:sz w:val="16"/>
          <w:szCs w:val="16"/>
        </w:rPr>
        <w:t>PubMed</w:t>
      </w:r>
      <w:r w:rsidRPr="00426A10">
        <w:rPr>
          <w:color w:val="000000" w:themeColor="text1"/>
          <w:sz w:val="16"/>
          <w:szCs w:val="16"/>
        </w:rPr>
        <w:t>, https://doi.org/10.1074/mcp.R600004-MCP200.</w:t>
      </w:r>
    </w:p>
    <w:p w14:paraId="71A207EC"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Panfoli</w:t>
      </w:r>
      <w:proofErr w:type="spellEnd"/>
      <w:r w:rsidRPr="00426A10">
        <w:rPr>
          <w:color w:val="000000" w:themeColor="text1"/>
          <w:sz w:val="16"/>
          <w:szCs w:val="16"/>
        </w:rPr>
        <w:t xml:space="preserve">, Isabella. “Cancer Exosomes in Urine: A Promising Biomarker Source.” </w:t>
      </w:r>
      <w:r w:rsidRPr="00426A10">
        <w:rPr>
          <w:i/>
          <w:iCs/>
          <w:color w:val="000000" w:themeColor="text1"/>
          <w:sz w:val="16"/>
          <w:szCs w:val="16"/>
        </w:rPr>
        <w:t>Translational Cancer Research</w:t>
      </w:r>
      <w:r w:rsidRPr="00426A10">
        <w:rPr>
          <w:color w:val="000000" w:themeColor="text1"/>
          <w:sz w:val="16"/>
          <w:szCs w:val="16"/>
        </w:rPr>
        <w:t xml:space="preserve">, vol. 6, no. Suppl 8, Oct. 2017. </w:t>
      </w:r>
      <w:r w:rsidRPr="00426A10">
        <w:rPr>
          <w:i/>
          <w:iCs/>
          <w:color w:val="000000" w:themeColor="text1"/>
          <w:sz w:val="16"/>
          <w:szCs w:val="16"/>
        </w:rPr>
        <w:t>tcr.amegroups.org</w:t>
      </w:r>
      <w:r w:rsidRPr="00426A10">
        <w:rPr>
          <w:color w:val="000000" w:themeColor="text1"/>
          <w:sz w:val="16"/>
          <w:szCs w:val="16"/>
        </w:rPr>
        <w:t>, https://doi.org/10.21037/tcr.2017.10.17.</w:t>
      </w:r>
    </w:p>
    <w:p w14:paraId="7016D261"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Bresalier</w:t>
      </w:r>
      <w:proofErr w:type="spellEnd"/>
      <w:r w:rsidRPr="00426A10">
        <w:rPr>
          <w:color w:val="000000" w:themeColor="text1"/>
          <w:sz w:val="16"/>
          <w:szCs w:val="16"/>
        </w:rPr>
        <w:t xml:space="preserve">, Robert S., et al. “Biomarkers for Early Detection of Colorectal Cancer: The Early Detection Research Network, a Framework for Clinical Translation.” </w:t>
      </w:r>
      <w:r w:rsidRPr="00426A10">
        <w:rPr>
          <w:i/>
          <w:iCs/>
          <w:color w:val="000000" w:themeColor="text1"/>
          <w:sz w:val="16"/>
          <w:szCs w:val="16"/>
        </w:rPr>
        <w:t xml:space="preserve">Cancer Epidemiology, Biomarkers &amp; </w:t>
      </w:r>
      <w:proofErr w:type="gramStart"/>
      <w:r w:rsidRPr="00426A10">
        <w:rPr>
          <w:i/>
          <w:iCs/>
          <w:color w:val="000000" w:themeColor="text1"/>
          <w:sz w:val="16"/>
          <w:szCs w:val="16"/>
        </w:rPr>
        <w:t>Prevention :</w:t>
      </w:r>
      <w:proofErr w:type="gramEnd"/>
      <w:r w:rsidRPr="00426A10">
        <w:rPr>
          <w:i/>
          <w:iCs/>
          <w:color w:val="000000" w:themeColor="text1"/>
          <w:sz w:val="16"/>
          <w:szCs w:val="16"/>
        </w:rPr>
        <w:t xml:space="preserve"> A Publication of the American Association for Cancer Research, Cosponsored by the American Society of Preventive Oncology</w:t>
      </w:r>
      <w:r w:rsidRPr="00426A10">
        <w:rPr>
          <w:color w:val="000000" w:themeColor="text1"/>
          <w:sz w:val="16"/>
          <w:szCs w:val="16"/>
        </w:rPr>
        <w:t xml:space="preserve">, vol. 29, no. 12, Dec. 2020, pp. 2431–40. </w:t>
      </w:r>
      <w:r w:rsidRPr="00426A10">
        <w:rPr>
          <w:i/>
          <w:iCs/>
          <w:color w:val="000000" w:themeColor="text1"/>
          <w:sz w:val="16"/>
          <w:szCs w:val="16"/>
        </w:rPr>
        <w:t>PubMed Central</w:t>
      </w:r>
      <w:r w:rsidRPr="00426A10">
        <w:rPr>
          <w:color w:val="000000" w:themeColor="text1"/>
          <w:sz w:val="16"/>
          <w:szCs w:val="16"/>
        </w:rPr>
        <w:t xml:space="preserve">, </w:t>
      </w:r>
      <w:hyperlink r:id="rId14" w:history="1">
        <w:r w:rsidRPr="00426A10">
          <w:rPr>
            <w:rStyle w:val="Hyperlink"/>
            <w:color w:val="000000" w:themeColor="text1"/>
            <w:sz w:val="16"/>
            <w:szCs w:val="16"/>
            <w:u w:val="none"/>
          </w:rPr>
          <w:t>https://doi.org/10.1158/1055-9965.EPI-20-0234</w:t>
        </w:r>
      </w:hyperlink>
      <w:r w:rsidRPr="00426A10">
        <w:rPr>
          <w:color w:val="000000" w:themeColor="text1"/>
          <w:sz w:val="16"/>
          <w:szCs w:val="16"/>
        </w:rPr>
        <w:t>.</w:t>
      </w:r>
    </w:p>
    <w:p w14:paraId="3691D7F0"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Ding, Qian, et al. “Fecal Biomarkers: Non-Invasive Diagnosis of Colorectal Cancer.” </w:t>
      </w:r>
      <w:r w:rsidRPr="00426A10">
        <w:rPr>
          <w:i/>
          <w:iCs/>
          <w:color w:val="000000" w:themeColor="text1"/>
          <w:sz w:val="16"/>
          <w:szCs w:val="16"/>
        </w:rPr>
        <w:t>Frontiers in Oncology</w:t>
      </w:r>
      <w:r w:rsidRPr="00426A10">
        <w:rPr>
          <w:color w:val="000000" w:themeColor="text1"/>
          <w:sz w:val="16"/>
          <w:szCs w:val="16"/>
        </w:rPr>
        <w:t xml:space="preserve">, vol. 12, Sept. 2022, p. 971930. </w:t>
      </w:r>
      <w:r w:rsidRPr="00426A10">
        <w:rPr>
          <w:i/>
          <w:iCs/>
          <w:color w:val="000000" w:themeColor="text1"/>
          <w:sz w:val="16"/>
          <w:szCs w:val="16"/>
        </w:rPr>
        <w:t>PubMed Central</w:t>
      </w:r>
      <w:r w:rsidRPr="00426A10">
        <w:rPr>
          <w:color w:val="000000" w:themeColor="text1"/>
          <w:sz w:val="16"/>
          <w:szCs w:val="16"/>
        </w:rPr>
        <w:t>, https://doi.org/10.3389/fonc.2022.971930.</w:t>
      </w:r>
    </w:p>
    <w:p w14:paraId="1415E00A"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Campanella, Annalisa, et al. “Exhaled Breath Condensate Biomarkers for Lung Cancer.” </w:t>
      </w:r>
      <w:r w:rsidRPr="00426A10">
        <w:rPr>
          <w:i/>
          <w:iCs/>
          <w:color w:val="000000" w:themeColor="text1"/>
          <w:sz w:val="16"/>
          <w:szCs w:val="16"/>
        </w:rPr>
        <w:t>Journal of Breath Research</w:t>
      </w:r>
      <w:r w:rsidRPr="00426A10">
        <w:rPr>
          <w:color w:val="000000" w:themeColor="text1"/>
          <w:sz w:val="16"/>
          <w:szCs w:val="16"/>
        </w:rPr>
        <w:t xml:space="preserve">, vol. 13, no. 4, Aug. 2019, p. 044002. </w:t>
      </w:r>
      <w:r w:rsidRPr="00426A10">
        <w:rPr>
          <w:i/>
          <w:iCs/>
          <w:color w:val="000000" w:themeColor="text1"/>
          <w:sz w:val="16"/>
          <w:szCs w:val="16"/>
        </w:rPr>
        <w:t>PubMed</w:t>
      </w:r>
      <w:r w:rsidRPr="00426A10">
        <w:rPr>
          <w:color w:val="000000" w:themeColor="text1"/>
          <w:sz w:val="16"/>
          <w:szCs w:val="16"/>
        </w:rPr>
        <w:t>, https://doi.org/10.1088/1752-7163/ab2f9f.</w:t>
      </w:r>
    </w:p>
    <w:p w14:paraId="2640AEE9"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Youssef, Omar, et al. “Exhaled Breath Condensate as a Source of Biomarkers for Lung Carcinomas. A Focus on Genetic and Epigenetic Markers-A Mini-Review.” </w:t>
      </w:r>
      <w:r w:rsidRPr="00426A10">
        <w:rPr>
          <w:i/>
          <w:iCs/>
          <w:color w:val="000000" w:themeColor="text1"/>
          <w:sz w:val="16"/>
          <w:szCs w:val="16"/>
        </w:rPr>
        <w:t>Genes, Chromosomes &amp; Cancer</w:t>
      </w:r>
      <w:r w:rsidRPr="00426A10">
        <w:rPr>
          <w:color w:val="000000" w:themeColor="text1"/>
          <w:sz w:val="16"/>
          <w:szCs w:val="16"/>
        </w:rPr>
        <w:t xml:space="preserve">, vol. 55, no. 12, Dec. 2016, pp. 905–14. </w:t>
      </w:r>
      <w:r w:rsidRPr="00426A10">
        <w:rPr>
          <w:i/>
          <w:iCs/>
          <w:color w:val="000000" w:themeColor="text1"/>
          <w:sz w:val="16"/>
          <w:szCs w:val="16"/>
        </w:rPr>
        <w:t>PubMed</w:t>
      </w:r>
      <w:r w:rsidRPr="00426A10">
        <w:rPr>
          <w:color w:val="000000" w:themeColor="text1"/>
          <w:sz w:val="16"/>
          <w:szCs w:val="16"/>
        </w:rPr>
        <w:t>, https://doi.org/10.1002/gcc.22399.</w:t>
      </w:r>
    </w:p>
    <w:p w14:paraId="1A82DADE"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Kaczor-Urbanowicz, Karolina Elżbieta, et al. “Clinical Validity of Saliva and Novel Technology for Cancer Detection.” </w:t>
      </w:r>
      <w:proofErr w:type="spellStart"/>
      <w:r w:rsidRPr="00426A10">
        <w:rPr>
          <w:i/>
          <w:iCs/>
          <w:color w:val="000000" w:themeColor="text1"/>
          <w:sz w:val="16"/>
          <w:szCs w:val="16"/>
        </w:rPr>
        <w:t>Biochimica</w:t>
      </w:r>
      <w:proofErr w:type="spellEnd"/>
      <w:r w:rsidRPr="00426A10">
        <w:rPr>
          <w:i/>
          <w:iCs/>
          <w:color w:val="000000" w:themeColor="text1"/>
          <w:sz w:val="16"/>
          <w:szCs w:val="16"/>
        </w:rPr>
        <w:t xml:space="preserve"> et </w:t>
      </w:r>
      <w:proofErr w:type="spellStart"/>
      <w:r w:rsidRPr="00426A10">
        <w:rPr>
          <w:i/>
          <w:iCs/>
          <w:color w:val="000000" w:themeColor="text1"/>
          <w:sz w:val="16"/>
          <w:szCs w:val="16"/>
        </w:rPr>
        <w:t>Biophysica</w:t>
      </w:r>
      <w:proofErr w:type="spellEnd"/>
      <w:r w:rsidRPr="00426A10">
        <w:rPr>
          <w:i/>
          <w:iCs/>
          <w:color w:val="000000" w:themeColor="text1"/>
          <w:sz w:val="16"/>
          <w:szCs w:val="16"/>
        </w:rPr>
        <w:t xml:space="preserve"> Acta (BBA) - Reviews on Cancer</w:t>
      </w:r>
      <w:r w:rsidRPr="00426A10">
        <w:rPr>
          <w:color w:val="000000" w:themeColor="text1"/>
          <w:sz w:val="16"/>
          <w:szCs w:val="16"/>
        </w:rPr>
        <w:t xml:space="preserve">, vol. 1872, no. 1, Aug. 2019, pp. 49–59. </w:t>
      </w:r>
      <w:r w:rsidRPr="00426A10">
        <w:rPr>
          <w:i/>
          <w:iCs/>
          <w:color w:val="000000" w:themeColor="text1"/>
          <w:sz w:val="16"/>
          <w:szCs w:val="16"/>
        </w:rPr>
        <w:t>ScienceDirect</w:t>
      </w:r>
      <w:r w:rsidRPr="00426A10">
        <w:rPr>
          <w:color w:val="000000" w:themeColor="text1"/>
          <w:sz w:val="16"/>
          <w:szCs w:val="16"/>
        </w:rPr>
        <w:t>, https://doi.org/10.1016/j.bbcan.2019.05.007.</w:t>
      </w:r>
    </w:p>
    <w:p w14:paraId="29132F4C"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Koopaie</w:t>
      </w:r>
      <w:proofErr w:type="spellEnd"/>
      <w:r w:rsidRPr="00426A10">
        <w:rPr>
          <w:color w:val="000000" w:themeColor="text1"/>
          <w:sz w:val="16"/>
          <w:szCs w:val="16"/>
        </w:rPr>
        <w:t xml:space="preserve">, Maryam, Fatemeh </w:t>
      </w:r>
      <w:proofErr w:type="spellStart"/>
      <w:r w:rsidRPr="00426A10">
        <w:rPr>
          <w:color w:val="000000" w:themeColor="text1"/>
          <w:sz w:val="16"/>
          <w:szCs w:val="16"/>
        </w:rPr>
        <w:t>Abedinejad</w:t>
      </w:r>
      <w:proofErr w:type="spellEnd"/>
      <w:r w:rsidRPr="00426A10">
        <w:rPr>
          <w:color w:val="000000" w:themeColor="text1"/>
          <w:sz w:val="16"/>
          <w:szCs w:val="16"/>
        </w:rPr>
        <w:t xml:space="preserve">, et al. “Salivary MiRNA-21 Expression as a Potential Non-Invasive Diagnostic Biomarker in Breast Cancer.” </w:t>
      </w:r>
      <w:r w:rsidRPr="00426A10">
        <w:rPr>
          <w:i/>
          <w:iCs/>
          <w:color w:val="000000" w:themeColor="text1"/>
          <w:sz w:val="16"/>
          <w:szCs w:val="16"/>
        </w:rPr>
        <w:t>Gene Reports</w:t>
      </w:r>
      <w:r w:rsidRPr="00426A10">
        <w:rPr>
          <w:color w:val="000000" w:themeColor="text1"/>
          <w:sz w:val="16"/>
          <w:szCs w:val="16"/>
        </w:rPr>
        <w:t xml:space="preserve">, vol. 25, Dec. 2021, p. 101317. </w:t>
      </w:r>
      <w:r w:rsidRPr="00426A10">
        <w:rPr>
          <w:i/>
          <w:iCs/>
          <w:color w:val="000000" w:themeColor="text1"/>
          <w:sz w:val="16"/>
          <w:szCs w:val="16"/>
        </w:rPr>
        <w:t>ScienceDirect</w:t>
      </w:r>
      <w:r w:rsidRPr="00426A10">
        <w:rPr>
          <w:color w:val="000000" w:themeColor="text1"/>
          <w:sz w:val="16"/>
          <w:szCs w:val="16"/>
        </w:rPr>
        <w:t>, https://doi.org/10.1016/j.genrep.2021.101317.</w:t>
      </w:r>
    </w:p>
    <w:p w14:paraId="600A365F"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Koopaie</w:t>
      </w:r>
      <w:proofErr w:type="spellEnd"/>
      <w:r w:rsidRPr="00426A10">
        <w:rPr>
          <w:color w:val="000000" w:themeColor="text1"/>
          <w:sz w:val="16"/>
          <w:szCs w:val="16"/>
        </w:rPr>
        <w:t xml:space="preserve">, Maryam, Sajad </w:t>
      </w:r>
      <w:proofErr w:type="spellStart"/>
      <w:r w:rsidRPr="00426A10">
        <w:rPr>
          <w:color w:val="000000" w:themeColor="text1"/>
          <w:sz w:val="16"/>
          <w:szCs w:val="16"/>
        </w:rPr>
        <w:t>Kolahdooz</w:t>
      </w:r>
      <w:proofErr w:type="spellEnd"/>
      <w:r w:rsidRPr="00426A10">
        <w:rPr>
          <w:color w:val="000000" w:themeColor="text1"/>
          <w:sz w:val="16"/>
          <w:szCs w:val="16"/>
        </w:rPr>
        <w:t xml:space="preserve">, et al. “Salivary Biomarkers in Breast Cancer Diagnosis: A Systematic Review and Diagnostic Meta-Analysis.” </w:t>
      </w:r>
      <w:r w:rsidRPr="00426A10">
        <w:rPr>
          <w:i/>
          <w:iCs/>
          <w:color w:val="000000" w:themeColor="text1"/>
          <w:sz w:val="16"/>
          <w:szCs w:val="16"/>
        </w:rPr>
        <w:t>Cancer Medicine</w:t>
      </w:r>
      <w:r w:rsidRPr="00426A10">
        <w:rPr>
          <w:color w:val="000000" w:themeColor="text1"/>
          <w:sz w:val="16"/>
          <w:szCs w:val="16"/>
        </w:rPr>
        <w:t xml:space="preserve">, vol. 11, no. 13, 2022, pp. 2644–61. </w:t>
      </w:r>
      <w:r w:rsidRPr="00426A10">
        <w:rPr>
          <w:i/>
          <w:iCs/>
          <w:color w:val="000000" w:themeColor="text1"/>
          <w:sz w:val="16"/>
          <w:szCs w:val="16"/>
        </w:rPr>
        <w:t>Wiley Online Library</w:t>
      </w:r>
      <w:r w:rsidRPr="00426A10">
        <w:rPr>
          <w:color w:val="000000" w:themeColor="text1"/>
          <w:sz w:val="16"/>
          <w:szCs w:val="16"/>
        </w:rPr>
        <w:t xml:space="preserve">, </w:t>
      </w:r>
      <w:hyperlink r:id="rId15" w:history="1">
        <w:r w:rsidRPr="00426A10">
          <w:rPr>
            <w:rStyle w:val="Hyperlink"/>
            <w:color w:val="000000" w:themeColor="text1"/>
            <w:sz w:val="16"/>
            <w:szCs w:val="16"/>
            <w:u w:val="none"/>
          </w:rPr>
          <w:t>https://doi.org/10.1002/cam4.4640</w:t>
        </w:r>
      </w:hyperlink>
      <w:r w:rsidRPr="00426A10">
        <w:rPr>
          <w:color w:val="000000" w:themeColor="text1"/>
          <w:sz w:val="16"/>
          <w:szCs w:val="16"/>
        </w:rPr>
        <w:t>.</w:t>
      </w:r>
    </w:p>
    <w:p w14:paraId="02D4CA75" w14:textId="77777777" w:rsidR="0029024D"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Rapado</w:t>
      </w:r>
      <w:proofErr w:type="spellEnd"/>
      <w:r w:rsidRPr="00426A10">
        <w:rPr>
          <w:color w:val="000000" w:themeColor="text1"/>
          <w:sz w:val="16"/>
          <w:szCs w:val="16"/>
        </w:rPr>
        <w:t xml:space="preserve">-González, Óscar, et al. “Salivary Biomarkers for Cancer Diagnosis: A Meta-Analysis.” </w:t>
      </w:r>
      <w:r w:rsidRPr="00426A10">
        <w:rPr>
          <w:i/>
          <w:iCs/>
          <w:color w:val="000000" w:themeColor="text1"/>
          <w:sz w:val="16"/>
          <w:szCs w:val="16"/>
        </w:rPr>
        <w:t>Annals of Medicine</w:t>
      </w:r>
      <w:r w:rsidRPr="00426A10">
        <w:rPr>
          <w:color w:val="000000" w:themeColor="text1"/>
          <w:sz w:val="16"/>
          <w:szCs w:val="16"/>
        </w:rPr>
        <w:t xml:space="preserve">, vol. 52, no. 3–4, 2020, pp. 131–44. </w:t>
      </w:r>
      <w:r w:rsidRPr="00426A10">
        <w:rPr>
          <w:i/>
          <w:iCs/>
          <w:color w:val="000000" w:themeColor="text1"/>
          <w:sz w:val="16"/>
          <w:szCs w:val="16"/>
        </w:rPr>
        <w:t>PubMed</w:t>
      </w:r>
      <w:r w:rsidRPr="00426A10">
        <w:rPr>
          <w:color w:val="000000" w:themeColor="text1"/>
          <w:sz w:val="16"/>
          <w:szCs w:val="16"/>
        </w:rPr>
        <w:t>, https://doi.org/10.1080/07853890.2020.1730431.</w:t>
      </w:r>
    </w:p>
    <w:p w14:paraId="3663210C" w14:textId="77777777" w:rsidR="00041920" w:rsidRPr="00426A10" w:rsidRDefault="0029024D"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Ansorge, Rick. “FISH Test for Cancer.” </w:t>
      </w:r>
      <w:r w:rsidRPr="00426A10">
        <w:rPr>
          <w:i/>
          <w:iCs/>
          <w:color w:val="000000" w:themeColor="text1"/>
          <w:sz w:val="16"/>
          <w:szCs w:val="16"/>
        </w:rPr>
        <w:t>WebMD</w:t>
      </w:r>
      <w:r w:rsidRPr="00426A10">
        <w:rPr>
          <w:color w:val="000000" w:themeColor="text1"/>
          <w:sz w:val="16"/>
          <w:szCs w:val="16"/>
        </w:rPr>
        <w:t>, https://www.webmd.com/cancer/fish-cancer-test. Accessed 4 Sept. 2023.</w:t>
      </w:r>
    </w:p>
    <w:p w14:paraId="0DB9764B" w14:textId="28FADABE"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Cui, </w:t>
      </w:r>
      <w:proofErr w:type="spellStart"/>
      <w:r w:rsidRPr="00426A10">
        <w:rPr>
          <w:color w:val="000000" w:themeColor="text1"/>
          <w:sz w:val="16"/>
          <w:szCs w:val="16"/>
        </w:rPr>
        <w:t>Chenghua</w:t>
      </w:r>
      <w:proofErr w:type="spellEnd"/>
      <w:r w:rsidRPr="00426A10">
        <w:rPr>
          <w:color w:val="000000" w:themeColor="text1"/>
          <w:sz w:val="16"/>
          <w:szCs w:val="16"/>
        </w:rPr>
        <w:t xml:space="preserve">, et al. “Fluorescence </w:t>
      </w:r>
      <w:proofErr w:type="gramStart"/>
      <w:r w:rsidRPr="00426A10">
        <w:rPr>
          <w:color w:val="000000" w:themeColor="text1"/>
          <w:sz w:val="16"/>
          <w:szCs w:val="16"/>
        </w:rPr>
        <w:t>In</w:t>
      </w:r>
      <w:proofErr w:type="gramEnd"/>
      <w:r w:rsidRPr="00426A10">
        <w:rPr>
          <w:color w:val="000000" w:themeColor="text1"/>
          <w:sz w:val="16"/>
          <w:szCs w:val="16"/>
        </w:rPr>
        <w:t xml:space="preserve"> Situ Hybridization: Cell-Based Genetic Diagnostic and Research Applications.” </w:t>
      </w:r>
      <w:r w:rsidRPr="00426A10">
        <w:rPr>
          <w:i/>
          <w:iCs/>
          <w:color w:val="000000" w:themeColor="text1"/>
          <w:sz w:val="16"/>
          <w:szCs w:val="16"/>
        </w:rPr>
        <w:t>Frontiers in Cell and Developmental Biology</w:t>
      </w:r>
      <w:r w:rsidRPr="00426A10">
        <w:rPr>
          <w:color w:val="000000" w:themeColor="text1"/>
          <w:sz w:val="16"/>
          <w:szCs w:val="16"/>
        </w:rPr>
        <w:t xml:space="preserve">, vol. 4, Sept. 2016, p. 89. </w:t>
      </w:r>
      <w:r w:rsidRPr="00426A10">
        <w:rPr>
          <w:i/>
          <w:iCs/>
          <w:color w:val="000000" w:themeColor="text1"/>
          <w:sz w:val="16"/>
          <w:szCs w:val="16"/>
        </w:rPr>
        <w:t>PubMed Central</w:t>
      </w:r>
      <w:r w:rsidRPr="00426A10">
        <w:rPr>
          <w:color w:val="000000" w:themeColor="text1"/>
          <w:sz w:val="16"/>
          <w:szCs w:val="16"/>
        </w:rPr>
        <w:t xml:space="preserve">, </w:t>
      </w:r>
      <w:hyperlink r:id="rId16" w:history="1">
        <w:r w:rsidRPr="00426A10">
          <w:rPr>
            <w:rStyle w:val="Hyperlink"/>
            <w:color w:val="000000" w:themeColor="text1"/>
            <w:sz w:val="16"/>
            <w:szCs w:val="16"/>
            <w:u w:val="none"/>
          </w:rPr>
          <w:t>https://doi.org/10.3389/fcell.2016.00089</w:t>
        </w:r>
      </w:hyperlink>
      <w:r w:rsidRPr="00426A10">
        <w:rPr>
          <w:color w:val="000000" w:themeColor="text1"/>
          <w:sz w:val="16"/>
          <w:szCs w:val="16"/>
        </w:rPr>
        <w:t>.</w:t>
      </w:r>
    </w:p>
    <w:p w14:paraId="469DD69E" w14:textId="03B4B24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Gutierrez, Carolina, and Rachel Schiff. “HER 2: Biology, Detection, and Clinical Implications.” </w:t>
      </w:r>
      <w:r w:rsidRPr="00426A10">
        <w:rPr>
          <w:i/>
          <w:iCs/>
          <w:color w:val="000000" w:themeColor="text1"/>
          <w:sz w:val="16"/>
          <w:szCs w:val="16"/>
        </w:rPr>
        <w:t>Archives of Pathology &amp; Laboratory Medicine</w:t>
      </w:r>
      <w:r w:rsidRPr="00426A10">
        <w:rPr>
          <w:color w:val="000000" w:themeColor="text1"/>
          <w:sz w:val="16"/>
          <w:szCs w:val="16"/>
        </w:rPr>
        <w:t xml:space="preserve">, vol. 135, no. 1, Jan. 2011, pp. 55–62. </w:t>
      </w:r>
      <w:r w:rsidRPr="00426A10">
        <w:rPr>
          <w:i/>
          <w:iCs/>
          <w:color w:val="000000" w:themeColor="text1"/>
          <w:sz w:val="16"/>
          <w:szCs w:val="16"/>
        </w:rPr>
        <w:t>PubMed Central</w:t>
      </w:r>
      <w:r w:rsidRPr="00426A10">
        <w:rPr>
          <w:color w:val="000000" w:themeColor="text1"/>
          <w:sz w:val="16"/>
          <w:szCs w:val="16"/>
        </w:rPr>
        <w:t xml:space="preserve">, </w:t>
      </w:r>
      <w:hyperlink r:id="rId17" w:history="1">
        <w:r w:rsidRPr="00426A10">
          <w:rPr>
            <w:rStyle w:val="Hyperlink"/>
            <w:color w:val="000000" w:themeColor="text1"/>
            <w:sz w:val="16"/>
            <w:szCs w:val="16"/>
            <w:u w:val="none"/>
          </w:rPr>
          <w:t>https://doi.org/10.1043/2010-0454-RAR.1</w:t>
        </w:r>
      </w:hyperlink>
      <w:r w:rsidRPr="00426A10">
        <w:rPr>
          <w:color w:val="000000" w:themeColor="text1"/>
          <w:sz w:val="16"/>
          <w:szCs w:val="16"/>
        </w:rPr>
        <w:t>.</w:t>
      </w:r>
    </w:p>
    <w:p w14:paraId="03ED7F4B" w14:textId="6FEC18A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Iqbal, Nida, and Naveed Iqbal. “Human Epidermal Growth Factor Receptor 2 (HER2) in Cancers: Overexpression and Therapeutic Implications.” </w:t>
      </w:r>
      <w:r w:rsidRPr="00426A10">
        <w:rPr>
          <w:i/>
          <w:iCs/>
          <w:color w:val="000000" w:themeColor="text1"/>
          <w:sz w:val="16"/>
          <w:szCs w:val="16"/>
        </w:rPr>
        <w:t>Molecular Biology International</w:t>
      </w:r>
      <w:r w:rsidRPr="00426A10">
        <w:rPr>
          <w:color w:val="000000" w:themeColor="text1"/>
          <w:sz w:val="16"/>
          <w:szCs w:val="16"/>
        </w:rPr>
        <w:t xml:space="preserve">, vol. 2014, 2014, p. 852748. </w:t>
      </w:r>
      <w:r w:rsidRPr="00426A10">
        <w:rPr>
          <w:i/>
          <w:iCs/>
          <w:color w:val="000000" w:themeColor="text1"/>
          <w:sz w:val="16"/>
          <w:szCs w:val="16"/>
        </w:rPr>
        <w:t>PubMed Central</w:t>
      </w:r>
      <w:r w:rsidRPr="00426A10">
        <w:rPr>
          <w:color w:val="000000" w:themeColor="text1"/>
          <w:sz w:val="16"/>
          <w:szCs w:val="16"/>
        </w:rPr>
        <w:t xml:space="preserve">, </w:t>
      </w:r>
      <w:hyperlink r:id="rId18" w:history="1">
        <w:r w:rsidRPr="00426A10">
          <w:rPr>
            <w:rStyle w:val="Hyperlink"/>
            <w:color w:val="000000" w:themeColor="text1"/>
            <w:sz w:val="16"/>
            <w:szCs w:val="16"/>
            <w:u w:val="none"/>
          </w:rPr>
          <w:t>https://doi.org/10.1155/2014/852748</w:t>
        </w:r>
      </w:hyperlink>
      <w:r w:rsidRPr="00426A10">
        <w:rPr>
          <w:color w:val="000000" w:themeColor="text1"/>
          <w:sz w:val="16"/>
          <w:szCs w:val="16"/>
        </w:rPr>
        <w:t>.</w:t>
      </w:r>
    </w:p>
    <w:p w14:paraId="13C595D9" w14:textId="6E67F84C"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Caraway, Nancy P., et al. “Fluorescence in Situ Hybridization for Detecting Urothelial Carcinoma: A Clinicopathological Study.” </w:t>
      </w:r>
      <w:r w:rsidRPr="00426A10">
        <w:rPr>
          <w:i/>
          <w:iCs/>
          <w:color w:val="000000" w:themeColor="text1"/>
          <w:sz w:val="16"/>
          <w:szCs w:val="16"/>
        </w:rPr>
        <w:t>Cancer Cytopathology</w:t>
      </w:r>
      <w:r w:rsidRPr="00426A10">
        <w:rPr>
          <w:color w:val="000000" w:themeColor="text1"/>
          <w:sz w:val="16"/>
          <w:szCs w:val="16"/>
        </w:rPr>
        <w:t xml:space="preserve">, vol. 118, no. 5, Oct. 2010, pp. 259–68. </w:t>
      </w:r>
      <w:r w:rsidRPr="00426A10">
        <w:rPr>
          <w:i/>
          <w:iCs/>
          <w:color w:val="000000" w:themeColor="text1"/>
          <w:sz w:val="16"/>
          <w:szCs w:val="16"/>
        </w:rPr>
        <w:t>PubMed Central</w:t>
      </w:r>
      <w:r w:rsidRPr="00426A10">
        <w:rPr>
          <w:color w:val="000000" w:themeColor="text1"/>
          <w:sz w:val="16"/>
          <w:szCs w:val="16"/>
        </w:rPr>
        <w:t xml:space="preserve">, </w:t>
      </w:r>
      <w:hyperlink r:id="rId19" w:history="1">
        <w:r w:rsidRPr="00426A10">
          <w:rPr>
            <w:rStyle w:val="Hyperlink"/>
            <w:color w:val="000000" w:themeColor="text1"/>
            <w:sz w:val="16"/>
            <w:szCs w:val="16"/>
            <w:u w:val="none"/>
          </w:rPr>
          <w:t>https://doi.org/10.1002/cncy.20099</w:t>
        </w:r>
      </w:hyperlink>
      <w:r w:rsidRPr="00426A10">
        <w:rPr>
          <w:color w:val="000000" w:themeColor="text1"/>
          <w:sz w:val="16"/>
          <w:szCs w:val="16"/>
        </w:rPr>
        <w:t>.</w:t>
      </w:r>
    </w:p>
    <w:p w14:paraId="55D5FBCC" w14:textId="3AF49157"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Reddy, K. S. “Chronic Lymphocytic </w:t>
      </w:r>
      <w:proofErr w:type="spellStart"/>
      <w:r w:rsidRPr="00426A10">
        <w:rPr>
          <w:color w:val="000000" w:themeColor="text1"/>
          <w:sz w:val="16"/>
          <w:szCs w:val="16"/>
        </w:rPr>
        <w:t>Leukaemia</w:t>
      </w:r>
      <w:proofErr w:type="spellEnd"/>
      <w:r w:rsidRPr="00426A10">
        <w:rPr>
          <w:color w:val="000000" w:themeColor="text1"/>
          <w:sz w:val="16"/>
          <w:szCs w:val="16"/>
        </w:rPr>
        <w:t xml:space="preserve"> Profiled for Prognosis Using a Fluorescence in Situ </w:t>
      </w:r>
      <w:proofErr w:type="spellStart"/>
      <w:r w:rsidRPr="00426A10">
        <w:rPr>
          <w:color w:val="000000" w:themeColor="text1"/>
          <w:sz w:val="16"/>
          <w:szCs w:val="16"/>
        </w:rPr>
        <w:t>Hybridisation</w:t>
      </w:r>
      <w:proofErr w:type="spellEnd"/>
      <w:r w:rsidRPr="00426A10">
        <w:rPr>
          <w:color w:val="000000" w:themeColor="text1"/>
          <w:sz w:val="16"/>
          <w:szCs w:val="16"/>
        </w:rPr>
        <w:t xml:space="preserve"> Panel.” </w:t>
      </w:r>
      <w:r w:rsidRPr="00426A10">
        <w:rPr>
          <w:i/>
          <w:iCs/>
          <w:color w:val="000000" w:themeColor="text1"/>
          <w:sz w:val="16"/>
          <w:szCs w:val="16"/>
        </w:rPr>
        <w:t xml:space="preserve">British Journal of </w:t>
      </w:r>
      <w:proofErr w:type="spellStart"/>
      <w:r w:rsidRPr="00426A10">
        <w:rPr>
          <w:i/>
          <w:iCs/>
          <w:color w:val="000000" w:themeColor="text1"/>
          <w:sz w:val="16"/>
          <w:szCs w:val="16"/>
        </w:rPr>
        <w:t>Haematology</w:t>
      </w:r>
      <w:proofErr w:type="spellEnd"/>
      <w:r w:rsidRPr="00426A10">
        <w:rPr>
          <w:color w:val="000000" w:themeColor="text1"/>
          <w:sz w:val="16"/>
          <w:szCs w:val="16"/>
        </w:rPr>
        <w:t xml:space="preserve">, vol. 132, no. 6, Mar. 2006, pp. 705–22. </w:t>
      </w:r>
      <w:r w:rsidRPr="00426A10">
        <w:rPr>
          <w:i/>
          <w:iCs/>
          <w:color w:val="000000" w:themeColor="text1"/>
          <w:sz w:val="16"/>
          <w:szCs w:val="16"/>
        </w:rPr>
        <w:t>PubMed</w:t>
      </w:r>
      <w:r w:rsidRPr="00426A10">
        <w:rPr>
          <w:color w:val="000000" w:themeColor="text1"/>
          <w:sz w:val="16"/>
          <w:szCs w:val="16"/>
        </w:rPr>
        <w:t xml:space="preserve">, </w:t>
      </w:r>
      <w:hyperlink r:id="rId20" w:history="1">
        <w:r w:rsidRPr="00426A10">
          <w:rPr>
            <w:rStyle w:val="Hyperlink"/>
            <w:color w:val="000000" w:themeColor="text1"/>
            <w:sz w:val="16"/>
            <w:szCs w:val="16"/>
            <w:u w:val="none"/>
          </w:rPr>
          <w:t>https://doi.org/10.1111/j.1365-2141.2005.05919.x</w:t>
        </w:r>
      </w:hyperlink>
      <w:r w:rsidRPr="00426A10">
        <w:rPr>
          <w:color w:val="000000" w:themeColor="text1"/>
          <w:sz w:val="16"/>
          <w:szCs w:val="16"/>
        </w:rPr>
        <w:t>.</w:t>
      </w:r>
    </w:p>
    <w:p w14:paraId="21BFF332" w14:textId="71925EAC"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Mukkamalla</w:t>
      </w:r>
      <w:proofErr w:type="spellEnd"/>
      <w:r w:rsidRPr="00426A10">
        <w:rPr>
          <w:color w:val="000000" w:themeColor="text1"/>
          <w:sz w:val="16"/>
          <w:szCs w:val="16"/>
        </w:rPr>
        <w:t xml:space="preserve">, Shiva Kumar R., et al. “Chronic Lymphocytic Leukemia.” </w:t>
      </w:r>
      <w:proofErr w:type="spellStart"/>
      <w:r w:rsidRPr="00426A10">
        <w:rPr>
          <w:i/>
          <w:iCs/>
          <w:color w:val="000000" w:themeColor="text1"/>
          <w:sz w:val="16"/>
          <w:szCs w:val="16"/>
        </w:rPr>
        <w:t>StatPearls</w:t>
      </w:r>
      <w:proofErr w:type="spellEnd"/>
      <w:r w:rsidRPr="00426A10">
        <w:rPr>
          <w:color w:val="000000" w:themeColor="text1"/>
          <w:sz w:val="16"/>
          <w:szCs w:val="16"/>
        </w:rPr>
        <w:t xml:space="preserve">, </w:t>
      </w:r>
      <w:proofErr w:type="spellStart"/>
      <w:r w:rsidRPr="00426A10">
        <w:rPr>
          <w:color w:val="000000" w:themeColor="text1"/>
          <w:sz w:val="16"/>
          <w:szCs w:val="16"/>
        </w:rPr>
        <w:t>StatPearls</w:t>
      </w:r>
      <w:proofErr w:type="spellEnd"/>
      <w:r w:rsidRPr="00426A10">
        <w:rPr>
          <w:color w:val="000000" w:themeColor="text1"/>
          <w:sz w:val="16"/>
          <w:szCs w:val="16"/>
        </w:rPr>
        <w:t xml:space="preserve"> Publishing, 2023. </w:t>
      </w:r>
      <w:r w:rsidRPr="00426A10">
        <w:rPr>
          <w:i/>
          <w:iCs/>
          <w:color w:val="000000" w:themeColor="text1"/>
          <w:sz w:val="16"/>
          <w:szCs w:val="16"/>
        </w:rPr>
        <w:t>PubMed</w:t>
      </w:r>
      <w:r w:rsidRPr="00426A10">
        <w:rPr>
          <w:color w:val="000000" w:themeColor="text1"/>
          <w:sz w:val="16"/>
          <w:szCs w:val="16"/>
        </w:rPr>
        <w:t xml:space="preserve">, </w:t>
      </w:r>
      <w:hyperlink r:id="rId21" w:history="1">
        <w:r w:rsidRPr="00426A10">
          <w:rPr>
            <w:rStyle w:val="Hyperlink"/>
            <w:color w:val="000000" w:themeColor="text1"/>
            <w:sz w:val="16"/>
            <w:szCs w:val="16"/>
            <w:u w:val="none"/>
          </w:rPr>
          <w:t>http://www.ncbi.nlm.nih.gov/books/NBK470433/</w:t>
        </w:r>
      </w:hyperlink>
      <w:r w:rsidRPr="00426A10">
        <w:rPr>
          <w:color w:val="000000" w:themeColor="text1"/>
          <w:sz w:val="16"/>
          <w:szCs w:val="16"/>
        </w:rPr>
        <w:t>.</w:t>
      </w:r>
    </w:p>
    <w:p w14:paraId="297E44DC" w14:textId="77777777"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Raj, G. V., et al. “Utilization of Polymerase Chain Reaction Technology in the Detection of Solid Tumors.” </w:t>
      </w:r>
      <w:r w:rsidRPr="00426A10">
        <w:rPr>
          <w:i/>
          <w:iCs/>
          <w:color w:val="000000" w:themeColor="text1"/>
          <w:sz w:val="16"/>
          <w:szCs w:val="16"/>
        </w:rPr>
        <w:t>Cancer</w:t>
      </w:r>
      <w:r w:rsidRPr="00426A10">
        <w:rPr>
          <w:color w:val="000000" w:themeColor="text1"/>
          <w:sz w:val="16"/>
          <w:szCs w:val="16"/>
        </w:rPr>
        <w:t xml:space="preserve">, vol. 82, no. 8, Apr. 1998, pp. 1419–42. </w:t>
      </w:r>
      <w:r w:rsidRPr="00426A10">
        <w:rPr>
          <w:i/>
          <w:iCs/>
          <w:color w:val="000000" w:themeColor="text1"/>
          <w:sz w:val="16"/>
          <w:szCs w:val="16"/>
        </w:rPr>
        <w:t>PubMed</w:t>
      </w:r>
      <w:r w:rsidRPr="00426A10">
        <w:rPr>
          <w:color w:val="000000" w:themeColor="text1"/>
          <w:sz w:val="16"/>
          <w:szCs w:val="16"/>
        </w:rPr>
        <w:t xml:space="preserve">, </w:t>
      </w:r>
      <w:hyperlink r:id="rId22" w:history="1">
        <w:r w:rsidRPr="00426A10">
          <w:rPr>
            <w:rStyle w:val="Hyperlink"/>
            <w:color w:val="000000" w:themeColor="text1"/>
            <w:sz w:val="16"/>
            <w:szCs w:val="16"/>
            <w:u w:val="none"/>
          </w:rPr>
          <w:t>https://doi.org/10.1002/(sici)1097-0142(19980415)82:8&lt;1419::aid-cncr1&gt;3.0.co;2-4</w:t>
        </w:r>
      </w:hyperlink>
      <w:r w:rsidRPr="00426A10">
        <w:rPr>
          <w:color w:val="000000" w:themeColor="text1"/>
          <w:sz w:val="16"/>
          <w:szCs w:val="16"/>
        </w:rPr>
        <w:t>.</w:t>
      </w:r>
    </w:p>
    <w:p w14:paraId="2C8B2870" w14:textId="3DFBC186"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Monsalve-Lancheros, Ana, et al. “Detection of </w:t>
      </w:r>
      <w:proofErr w:type="spellStart"/>
      <w:r w:rsidRPr="00426A10">
        <w:rPr>
          <w:color w:val="000000" w:themeColor="text1"/>
          <w:sz w:val="16"/>
          <w:szCs w:val="16"/>
        </w:rPr>
        <w:t>Mammagloblin</w:t>
      </w:r>
      <w:proofErr w:type="spellEnd"/>
      <w:r w:rsidRPr="00426A10">
        <w:rPr>
          <w:color w:val="000000" w:themeColor="text1"/>
          <w:sz w:val="16"/>
          <w:szCs w:val="16"/>
        </w:rPr>
        <w:t xml:space="preserve"> by RT-PCR as a Biomarker for Lymph Node Metastasis in Breast Cancer Patients: A Systematic Review and Meta-Analysis.” </w:t>
      </w:r>
      <w:proofErr w:type="spellStart"/>
      <w:r w:rsidRPr="00426A10">
        <w:rPr>
          <w:i/>
          <w:iCs/>
          <w:color w:val="000000" w:themeColor="text1"/>
          <w:sz w:val="16"/>
          <w:szCs w:val="16"/>
        </w:rPr>
        <w:t>PLoS</w:t>
      </w:r>
      <w:proofErr w:type="spellEnd"/>
      <w:r w:rsidRPr="00426A10">
        <w:rPr>
          <w:i/>
          <w:iCs/>
          <w:color w:val="000000" w:themeColor="text1"/>
          <w:sz w:val="16"/>
          <w:szCs w:val="16"/>
        </w:rPr>
        <w:t xml:space="preserve"> ONE</w:t>
      </w:r>
      <w:r w:rsidRPr="00426A10">
        <w:rPr>
          <w:color w:val="000000" w:themeColor="text1"/>
          <w:sz w:val="16"/>
          <w:szCs w:val="16"/>
        </w:rPr>
        <w:t xml:space="preserve">, vol. 14, no. 5, May 2019, p. e0216989. </w:t>
      </w:r>
      <w:r w:rsidRPr="00426A10">
        <w:rPr>
          <w:i/>
          <w:iCs/>
          <w:color w:val="000000" w:themeColor="text1"/>
          <w:sz w:val="16"/>
          <w:szCs w:val="16"/>
        </w:rPr>
        <w:t>PubMed Central</w:t>
      </w:r>
      <w:r w:rsidRPr="00426A10">
        <w:rPr>
          <w:color w:val="000000" w:themeColor="text1"/>
          <w:sz w:val="16"/>
          <w:szCs w:val="16"/>
        </w:rPr>
        <w:t xml:space="preserve">, </w:t>
      </w:r>
      <w:hyperlink r:id="rId23" w:history="1">
        <w:r w:rsidRPr="00426A10">
          <w:rPr>
            <w:rStyle w:val="Hyperlink"/>
            <w:color w:val="000000" w:themeColor="text1"/>
            <w:sz w:val="16"/>
            <w:szCs w:val="16"/>
            <w:u w:val="none"/>
          </w:rPr>
          <w:t>https://doi.org/10.1371/journal.pone.0216989</w:t>
        </w:r>
      </w:hyperlink>
      <w:r w:rsidRPr="00426A10">
        <w:rPr>
          <w:color w:val="000000" w:themeColor="text1"/>
          <w:sz w:val="16"/>
          <w:szCs w:val="16"/>
        </w:rPr>
        <w:t>.</w:t>
      </w:r>
    </w:p>
    <w:p w14:paraId="7E599B09" w14:textId="4DD1ED65"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Bacolod, Manny D., et al. “Prediction of Blood-Based Biomarkers and Subsequent Design of Bisulfite PCR-LDR-QPCR Assay for Breast Cancer Detection.” </w:t>
      </w:r>
      <w:r w:rsidRPr="00426A10">
        <w:rPr>
          <w:i/>
          <w:iCs/>
          <w:color w:val="000000" w:themeColor="text1"/>
          <w:sz w:val="16"/>
          <w:szCs w:val="16"/>
        </w:rPr>
        <w:t>BMC Cancer</w:t>
      </w:r>
      <w:r w:rsidRPr="00426A10">
        <w:rPr>
          <w:color w:val="000000" w:themeColor="text1"/>
          <w:sz w:val="16"/>
          <w:szCs w:val="16"/>
        </w:rPr>
        <w:t xml:space="preserve">, vol. 20, no. 1, Jan. 2020, p. 85. </w:t>
      </w:r>
      <w:r w:rsidRPr="00426A10">
        <w:rPr>
          <w:i/>
          <w:iCs/>
          <w:color w:val="000000" w:themeColor="text1"/>
          <w:sz w:val="16"/>
          <w:szCs w:val="16"/>
        </w:rPr>
        <w:t>BioMed Central</w:t>
      </w:r>
      <w:r w:rsidRPr="00426A10">
        <w:rPr>
          <w:color w:val="000000" w:themeColor="text1"/>
          <w:sz w:val="16"/>
          <w:szCs w:val="16"/>
        </w:rPr>
        <w:t xml:space="preserve">, </w:t>
      </w:r>
      <w:hyperlink r:id="rId24" w:history="1">
        <w:r w:rsidRPr="00426A10">
          <w:rPr>
            <w:rStyle w:val="Hyperlink"/>
            <w:color w:val="000000" w:themeColor="text1"/>
            <w:sz w:val="16"/>
            <w:szCs w:val="16"/>
            <w:u w:val="none"/>
          </w:rPr>
          <w:t>https://doi.org/10.1186/s12885-020-6574-4</w:t>
        </w:r>
      </w:hyperlink>
      <w:r w:rsidRPr="00426A10">
        <w:rPr>
          <w:color w:val="000000" w:themeColor="text1"/>
          <w:sz w:val="16"/>
          <w:szCs w:val="16"/>
        </w:rPr>
        <w:t>.</w:t>
      </w:r>
    </w:p>
    <w:p w14:paraId="53DE9173" w14:textId="0CC8700E"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Vuksanaj</w:t>
      </w:r>
      <w:proofErr w:type="spellEnd"/>
      <w:r w:rsidRPr="00426A10">
        <w:rPr>
          <w:color w:val="000000" w:themeColor="text1"/>
          <w:sz w:val="16"/>
          <w:szCs w:val="16"/>
        </w:rPr>
        <w:t xml:space="preserve">, Kathy. “Sequencing Assays for Biomarker Discovery and Pharmacodynamics in Oncology Studies.” </w:t>
      </w:r>
      <w:r w:rsidRPr="00426A10">
        <w:rPr>
          <w:i/>
          <w:iCs/>
          <w:color w:val="000000" w:themeColor="text1"/>
          <w:sz w:val="16"/>
          <w:szCs w:val="16"/>
        </w:rPr>
        <w:t>GEN - Genetic Engineering and Biotechnology News</w:t>
      </w:r>
      <w:r w:rsidRPr="00426A10">
        <w:rPr>
          <w:color w:val="000000" w:themeColor="text1"/>
          <w:sz w:val="16"/>
          <w:szCs w:val="16"/>
        </w:rPr>
        <w:t xml:space="preserve">, 11 Oct. 2022, </w:t>
      </w:r>
      <w:hyperlink r:id="rId25" w:history="1">
        <w:r w:rsidRPr="00426A10">
          <w:rPr>
            <w:rStyle w:val="Hyperlink"/>
            <w:color w:val="000000" w:themeColor="text1"/>
            <w:sz w:val="16"/>
            <w:szCs w:val="16"/>
            <w:u w:val="none"/>
          </w:rPr>
          <w:t>https://www.genengnews.com/resources/sequencing-assays-for-biomarker-discovery-and-pharmacodynamics-in-oncology-studies/</w:t>
        </w:r>
      </w:hyperlink>
      <w:r w:rsidRPr="00426A10">
        <w:rPr>
          <w:color w:val="000000" w:themeColor="text1"/>
          <w:sz w:val="16"/>
          <w:szCs w:val="16"/>
        </w:rPr>
        <w:t>.</w:t>
      </w:r>
    </w:p>
    <w:p w14:paraId="579872BA" w14:textId="193264B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Tomczak, Katarzyna, et al. “The Cancer Genome Atlas (TCGA): An Immeasurable Source of Knowledge.” </w:t>
      </w:r>
      <w:r w:rsidRPr="00426A10">
        <w:rPr>
          <w:i/>
          <w:iCs/>
          <w:color w:val="000000" w:themeColor="text1"/>
          <w:sz w:val="16"/>
          <w:szCs w:val="16"/>
        </w:rPr>
        <w:t>Contemporary Oncology</w:t>
      </w:r>
      <w:r w:rsidRPr="00426A10">
        <w:rPr>
          <w:color w:val="000000" w:themeColor="text1"/>
          <w:sz w:val="16"/>
          <w:szCs w:val="16"/>
        </w:rPr>
        <w:t xml:space="preserve">, vol. 19, no. 1A, 2015, pp. A68–77. </w:t>
      </w:r>
      <w:r w:rsidRPr="00426A10">
        <w:rPr>
          <w:i/>
          <w:iCs/>
          <w:color w:val="000000" w:themeColor="text1"/>
          <w:sz w:val="16"/>
          <w:szCs w:val="16"/>
        </w:rPr>
        <w:t>PubMed Central</w:t>
      </w:r>
      <w:r w:rsidRPr="00426A10">
        <w:rPr>
          <w:color w:val="000000" w:themeColor="text1"/>
          <w:sz w:val="16"/>
          <w:szCs w:val="16"/>
        </w:rPr>
        <w:t xml:space="preserve">, </w:t>
      </w:r>
      <w:hyperlink r:id="rId26" w:history="1">
        <w:r w:rsidRPr="00426A10">
          <w:rPr>
            <w:rStyle w:val="Hyperlink"/>
            <w:color w:val="000000" w:themeColor="text1"/>
            <w:sz w:val="16"/>
            <w:szCs w:val="16"/>
            <w:u w:val="none"/>
          </w:rPr>
          <w:t>https://doi.org/10.5114/wo.2014.47136</w:t>
        </w:r>
      </w:hyperlink>
      <w:r w:rsidRPr="00426A10">
        <w:rPr>
          <w:color w:val="000000" w:themeColor="text1"/>
          <w:sz w:val="16"/>
          <w:szCs w:val="16"/>
        </w:rPr>
        <w:t>.</w:t>
      </w:r>
    </w:p>
    <w:p w14:paraId="18899D28" w14:textId="36FB09D8"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Kobayashi, Susumu, et al. “EGFR Mutation and Resistance of Non-Small-Cell Lung Cancer to Gefitinib.” </w:t>
      </w:r>
      <w:r w:rsidRPr="00426A10">
        <w:rPr>
          <w:i/>
          <w:iCs/>
          <w:color w:val="000000" w:themeColor="text1"/>
          <w:sz w:val="16"/>
          <w:szCs w:val="16"/>
        </w:rPr>
        <w:t>The New England Journal of Medicine</w:t>
      </w:r>
      <w:r w:rsidRPr="00426A10">
        <w:rPr>
          <w:color w:val="000000" w:themeColor="text1"/>
          <w:sz w:val="16"/>
          <w:szCs w:val="16"/>
        </w:rPr>
        <w:t xml:space="preserve">, vol. 352, no. 8, Feb. 2005, pp. 786–92. </w:t>
      </w:r>
      <w:r w:rsidRPr="00426A10">
        <w:rPr>
          <w:i/>
          <w:iCs/>
          <w:color w:val="000000" w:themeColor="text1"/>
          <w:sz w:val="16"/>
          <w:szCs w:val="16"/>
        </w:rPr>
        <w:t>PubMed</w:t>
      </w:r>
      <w:r w:rsidRPr="00426A10">
        <w:rPr>
          <w:color w:val="000000" w:themeColor="text1"/>
          <w:sz w:val="16"/>
          <w:szCs w:val="16"/>
        </w:rPr>
        <w:t xml:space="preserve">, </w:t>
      </w:r>
      <w:hyperlink r:id="rId27" w:history="1">
        <w:r w:rsidRPr="00426A10">
          <w:rPr>
            <w:rStyle w:val="Hyperlink"/>
            <w:color w:val="000000" w:themeColor="text1"/>
            <w:sz w:val="16"/>
            <w:szCs w:val="16"/>
            <w:u w:val="none"/>
          </w:rPr>
          <w:t>https://doi.org/10.1056/NEJMoa044238</w:t>
        </w:r>
      </w:hyperlink>
      <w:r w:rsidRPr="00426A10">
        <w:rPr>
          <w:color w:val="000000" w:themeColor="text1"/>
          <w:sz w:val="16"/>
          <w:szCs w:val="16"/>
        </w:rPr>
        <w:t>.</w:t>
      </w:r>
    </w:p>
    <w:p w14:paraId="65CA211E" w14:textId="1A184F2D"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Barnard, Ruth M. “Flow Cytometry: A Flexible Tool for Biomarker Research.” </w:t>
      </w:r>
      <w:r w:rsidRPr="00426A10">
        <w:rPr>
          <w:i/>
          <w:iCs/>
          <w:color w:val="000000" w:themeColor="text1"/>
          <w:sz w:val="16"/>
          <w:szCs w:val="16"/>
        </w:rPr>
        <w:t>Bioanalysis</w:t>
      </w:r>
      <w:r w:rsidRPr="00426A10">
        <w:rPr>
          <w:color w:val="000000" w:themeColor="text1"/>
          <w:sz w:val="16"/>
          <w:szCs w:val="16"/>
        </w:rPr>
        <w:t xml:space="preserve">, vol. 4, no. 20, Oct. 2012, pp. 2471–83. </w:t>
      </w:r>
      <w:r w:rsidRPr="00426A10">
        <w:rPr>
          <w:i/>
          <w:iCs/>
          <w:color w:val="000000" w:themeColor="text1"/>
          <w:sz w:val="16"/>
          <w:szCs w:val="16"/>
        </w:rPr>
        <w:lastRenderedPageBreak/>
        <w:t>PubMed</w:t>
      </w:r>
      <w:r w:rsidRPr="00426A10">
        <w:rPr>
          <w:color w:val="000000" w:themeColor="text1"/>
          <w:sz w:val="16"/>
          <w:szCs w:val="16"/>
        </w:rPr>
        <w:t xml:space="preserve">, </w:t>
      </w:r>
      <w:hyperlink r:id="rId28" w:history="1">
        <w:r w:rsidRPr="00426A10">
          <w:rPr>
            <w:rStyle w:val="Hyperlink"/>
            <w:color w:val="000000" w:themeColor="text1"/>
            <w:sz w:val="16"/>
            <w:szCs w:val="16"/>
            <w:u w:val="none"/>
          </w:rPr>
          <w:t>https://doi.org/10.4155/bio.12.225</w:t>
        </w:r>
      </w:hyperlink>
      <w:r w:rsidRPr="00426A10">
        <w:rPr>
          <w:color w:val="000000" w:themeColor="text1"/>
          <w:sz w:val="16"/>
          <w:szCs w:val="16"/>
        </w:rPr>
        <w:t>.</w:t>
      </w:r>
    </w:p>
    <w:p w14:paraId="34CE7444" w14:textId="3A12A251"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Ling, Jian, et al. “Application of Flow Cytometry for Biomarker-Based Cervical Cancer Cells Detection.” </w:t>
      </w:r>
      <w:r w:rsidRPr="00426A10">
        <w:rPr>
          <w:i/>
          <w:iCs/>
          <w:color w:val="000000" w:themeColor="text1"/>
          <w:sz w:val="16"/>
          <w:szCs w:val="16"/>
        </w:rPr>
        <w:t>Diagnostic Cytopathology</w:t>
      </w:r>
      <w:r w:rsidRPr="00426A10">
        <w:rPr>
          <w:color w:val="000000" w:themeColor="text1"/>
          <w:sz w:val="16"/>
          <w:szCs w:val="16"/>
        </w:rPr>
        <w:t xml:space="preserve">, vol. 36, Feb. 2008, pp. 76–84. </w:t>
      </w:r>
      <w:r w:rsidRPr="00426A10">
        <w:rPr>
          <w:i/>
          <w:iCs/>
          <w:color w:val="000000" w:themeColor="text1"/>
          <w:sz w:val="16"/>
          <w:szCs w:val="16"/>
        </w:rPr>
        <w:t>ResearchGate</w:t>
      </w:r>
      <w:r w:rsidRPr="00426A10">
        <w:rPr>
          <w:color w:val="000000" w:themeColor="text1"/>
          <w:sz w:val="16"/>
          <w:szCs w:val="16"/>
        </w:rPr>
        <w:t xml:space="preserve">, </w:t>
      </w:r>
      <w:hyperlink r:id="rId29" w:history="1">
        <w:r w:rsidRPr="00426A10">
          <w:rPr>
            <w:rStyle w:val="Hyperlink"/>
            <w:color w:val="000000" w:themeColor="text1"/>
            <w:sz w:val="16"/>
            <w:szCs w:val="16"/>
            <w:u w:val="none"/>
          </w:rPr>
          <w:t>https://doi.org/10.1002/dc.20763</w:t>
        </w:r>
      </w:hyperlink>
      <w:r w:rsidRPr="00426A10">
        <w:rPr>
          <w:color w:val="000000" w:themeColor="text1"/>
          <w:sz w:val="16"/>
          <w:szCs w:val="16"/>
        </w:rPr>
        <w:t>.</w:t>
      </w:r>
    </w:p>
    <w:p w14:paraId="4541CD14" w14:textId="38FE90AA"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Wopereis</w:t>
      </w:r>
      <w:proofErr w:type="spellEnd"/>
      <w:r w:rsidRPr="00426A10">
        <w:rPr>
          <w:color w:val="000000" w:themeColor="text1"/>
          <w:sz w:val="16"/>
          <w:szCs w:val="16"/>
        </w:rPr>
        <w:t xml:space="preserve">, Sandro, et al. “Evaluation of ER, PR and HER2 Markers by Flow Cytometry for Breast Cancer Diagnosis and Prognosis.” </w:t>
      </w:r>
      <w:proofErr w:type="spellStart"/>
      <w:r w:rsidRPr="00426A10">
        <w:rPr>
          <w:i/>
          <w:iCs/>
          <w:color w:val="000000" w:themeColor="text1"/>
          <w:sz w:val="16"/>
          <w:szCs w:val="16"/>
        </w:rPr>
        <w:t>Clinica</w:t>
      </w:r>
      <w:proofErr w:type="spellEnd"/>
      <w:r w:rsidRPr="00426A10">
        <w:rPr>
          <w:i/>
          <w:iCs/>
          <w:color w:val="000000" w:themeColor="text1"/>
          <w:sz w:val="16"/>
          <w:szCs w:val="16"/>
        </w:rPr>
        <w:t xml:space="preserve"> </w:t>
      </w:r>
      <w:proofErr w:type="spellStart"/>
      <w:r w:rsidRPr="00426A10">
        <w:rPr>
          <w:i/>
          <w:iCs/>
          <w:color w:val="000000" w:themeColor="text1"/>
          <w:sz w:val="16"/>
          <w:szCs w:val="16"/>
        </w:rPr>
        <w:t>Chimica</w:t>
      </w:r>
      <w:proofErr w:type="spellEnd"/>
      <w:r w:rsidRPr="00426A10">
        <w:rPr>
          <w:i/>
          <w:iCs/>
          <w:color w:val="000000" w:themeColor="text1"/>
          <w:sz w:val="16"/>
          <w:szCs w:val="16"/>
        </w:rPr>
        <w:t xml:space="preserve"> Acta; International Journal of Clinical Chemistry</w:t>
      </w:r>
      <w:r w:rsidRPr="00426A10">
        <w:rPr>
          <w:color w:val="000000" w:themeColor="text1"/>
          <w:sz w:val="16"/>
          <w:szCs w:val="16"/>
        </w:rPr>
        <w:t xml:space="preserve">, vol. 523, Dec. 2021, pp. 504–12. </w:t>
      </w:r>
      <w:r w:rsidRPr="00426A10">
        <w:rPr>
          <w:i/>
          <w:iCs/>
          <w:color w:val="000000" w:themeColor="text1"/>
          <w:sz w:val="16"/>
          <w:szCs w:val="16"/>
        </w:rPr>
        <w:t>PubMed</w:t>
      </w:r>
      <w:r w:rsidRPr="00426A10">
        <w:rPr>
          <w:color w:val="000000" w:themeColor="text1"/>
          <w:sz w:val="16"/>
          <w:szCs w:val="16"/>
        </w:rPr>
        <w:t xml:space="preserve">, </w:t>
      </w:r>
      <w:hyperlink r:id="rId30" w:history="1">
        <w:r w:rsidRPr="00426A10">
          <w:rPr>
            <w:rStyle w:val="Hyperlink"/>
            <w:color w:val="000000" w:themeColor="text1"/>
            <w:sz w:val="16"/>
            <w:szCs w:val="16"/>
            <w:u w:val="none"/>
          </w:rPr>
          <w:t>https://doi.org/10.1016/j.cca.2021.11.005</w:t>
        </w:r>
      </w:hyperlink>
      <w:r w:rsidRPr="00426A10">
        <w:rPr>
          <w:color w:val="000000" w:themeColor="text1"/>
          <w:sz w:val="16"/>
          <w:szCs w:val="16"/>
        </w:rPr>
        <w:t>.</w:t>
      </w:r>
    </w:p>
    <w:p w14:paraId="039A9138" w14:textId="2C23515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Riker, Adam I., et al. “The Gene Expression Profiles of Primary and Metastatic Melanoma Yields a Transition Point of Tumor Progression and Metastasis.” </w:t>
      </w:r>
      <w:r w:rsidRPr="00426A10">
        <w:rPr>
          <w:i/>
          <w:iCs/>
          <w:color w:val="000000" w:themeColor="text1"/>
          <w:sz w:val="16"/>
          <w:szCs w:val="16"/>
        </w:rPr>
        <w:t>BMC Medical Genomics</w:t>
      </w:r>
      <w:r w:rsidRPr="00426A10">
        <w:rPr>
          <w:color w:val="000000" w:themeColor="text1"/>
          <w:sz w:val="16"/>
          <w:szCs w:val="16"/>
        </w:rPr>
        <w:t xml:space="preserve">, vol. 1, Apr. 2008, p. 13. </w:t>
      </w:r>
      <w:r w:rsidRPr="00426A10">
        <w:rPr>
          <w:i/>
          <w:iCs/>
          <w:color w:val="000000" w:themeColor="text1"/>
          <w:sz w:val="16"/>
          <w:szCs w:val="16"/>
        </w:rPr>
        <w:t>PubMed Central</w:t>
      </w:r>
      <w:r w:rsidRPr="00426A10">
        <w:rPr>
          <w:color w:val="000000" w:themeColor="text1"/>
          <w:sz w:val="16"/>
          <w:szCs w:val="16"/>
        </w:rPr>
        <w:t xml:space="preserve">, </w:t>
      </w:r>
      <w:hyperlink r:id="rId31" w:history="1">
        <w:r w:rsidRPr="00426A10">
          <w:rPr>
            <w:rStyle w:val="Hyperlink"/>
            <w:color w:val="000000" w:themeColor="text1"/>
            <w:sz w:val="16"/>
            <w:szCs w:val="16"/>
            <w:u w:val="none"/>
          </w:rPr>
          <w:t>https://doi.org/10.1186/1755-8794-1-13</w:t>
        </w:r>
      </w:hyperlink>
      <w:r w:rsidRPr="00426A10">
        <w:rPr>
          <w:color w:val="000000" w:themeColor="text1"/>
          <w:sz w:val="16"/>
          <w:szCs w:val="16"/>
        </w:rPr>
        <w:t>.</w:t>
      </w:r>
    </w:p>
    <w:p w14:paraId="3F3E4F14" w14:textId="67ABA0F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Sánchez-Peña, Matilde L., et al. “Identification of Potential Biomarkers from Microarray Experiments Using Multiple Criteria Optimization.” </w:t>
      </w:r>
      <w:r w:rsidRPr="00426A10">
        <w:rPr>
          <w:i/>
          <w:iCs/>
          <w:color w:val="000000" w:themeColor="text1"/>
          <w:sz w:val="16"/>
          <w:szCs w:val="16"/>
        </w:rPr>
        <w:t>Cancer Medicine</w:t>
      </w:r>
      <w:r w:rsidRPr="00426A10">
        <w:rPr>
          <w:color w:val="000000" w:themeColor="text1"/>
          <w:sz w:val="16"/>
          <w:szCs w:val="16"/>
        </w:rPr>
        <w:t xml:space="preserve">, vol. 2, no. 2, Apr. 2013, pp. 253–65. </w:t>
      </w:r>
      <w:r w:rsidRPr="00426A10">
        <w:rPr>
          <w:i/>
          <w:iCs/>
          <w:color w:val="000000" w:themeColor="text1"/>
          <w:sz w:val="16"/>
          <w:szCs w:val="16"/>
        </w:rPr>
        <w:t>PubMed Central</w:t>
      </w:r>
      <w:r w:rsidRPr="00426A10">
        <w:rPr>
          <w:color w:val="000000" w:themeColor="text1"/>
          <w:sz w:val="16"/>
          <w:szCs w:val="16"/>
        </w:rPr>
        <w:t xml:space="preserve">, </w:t>
      </w:r>
      <w:hyperlink r:id="rId32" w:history="1">
        <w:r w:rsidRPr="00426A10">
          <w:rPr>
            <w:rStyle w:val="Hyperlink"/>
            <w:color w:val="000000" w:themeColor="text1"/>
            <w:sz w:val="16"/>
            <w:szCs w:val="16"/>
            <w:u w:val="none"/>
          </w:rPr>
          <w:t>https://doi.org/10.1002/cam4.69</w:t>
        </w:r>
      </w:hyperlink>
      <w:r w:rsidRPr="00426A10">
        <w:rPr>
          <w:color w:val="000000" w:themeColor="text1"/>
          <w:sz w:val="16"/>
          <w:szCs w:val="16"/>
        </w:rPr>
        <w:t>.</w:t>
      </w:r>
    </w:p>
    <w:p w14:paraId="34D3F108" w14:textId="603DCF80"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Kurahashi, Issei, et al. “A Microarray-Based Gene Expression Analysis to Identify Diagnostic Biomarkers for Unknown Primary Cancer.” </w:t>
      </w:r>
      <w:r w:rsidRPr="00426A10">
        <w:rPr>
          <w:i/>
          <w:iCs/>
          <w:color w:val="000000" w:themeColor="text1"/>
          <w:sz w:val="16"/>
          <w:szCs w:val="16"/>
        </w:rPr>
        <w:t>PLOS ONE</w:t>
      </w:r>
      <w:r w:rsidRPr="00426A10">
        <w:rPr>
          <w:color w:val="000000" w:themeColor="text1"/>
          <w:sz w:val="16"/>
          <w:szCs w:val="16"/>
        </w:rPr>
        <w:t xml:space="preserve">, vol. 8, no. 5, May 2013, p. e63249. </w:t>
      </w:r>
      <w:proofErr w:type="spellStart"/>
      <w:r w:rsidRPr="00426A10">
        <w:rPr>
          <w:i/>
          <w:iCs/>
          <w:color w:val="000000" w:themeColor="text1"/>
          <w:sz w:val="16"/>
          <w:szCs w:val="16"/>
        </w:rPr>
        <w:t>PLoS</w:t>
      </w:r>
      <w:proofErr w:type="spellEnd"/>
      <w:r w:rsidRPr="00426A10">
        <w:rPr>
          <w:i/>
          <w:iCs/>
          <w:color w:val="000000" w:themeColor="text1"/>
          <w:sz w:val="16"/>
          <w:szCs w:val="16"/>
        </w:rPr>
        <w:t xml:space="preserve"> Journals</w:t>
      </w:r>
      <w:r w:rsidRPr="00426A10">
        <w:rPr>
          <w:color w:val="000000" w:themeColor="text1"/>
          <w:sz w:val="16"/>
          <w:szCs w:val="16"/>
        </w:rPr>
        <w:t xml:space="preserve">, </w:t>
      </w:r>
      <w:hyperlink r:id="rId33" w:history="1">
        <w:r w:rsidRPr="00426A10">
          <w:rPr>
            <w:rStyle w:val="Hyperlink"/>
            <w:color w:val="000000" w:themeColor="text1"/>
            <w:sz w:val="16"/>
            <w:szCs w:val="16"/>
            <w:u w:val="none"/>
          </w:rPr>
          <w:t>https://doi.org/10.1371/journal.pone.0063249</w:t>
        </w:r>
      </w:hyperlink>
      <w:r w:rsidRPr="00426A10">
        <w:rPr>
          <w:color w:val="000000" w:themeColor="text1"/>
          <w:sz w:val="16"/>
          <w:szCs w:val="16"/>
        </w:rPr>
        <w:t>.</w:t>
      </w:r>
    </w:p>
    <w:p w14:paraId="267A3C16" w14:textId="3643A673"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Sørensen, Karina Dalsgaard, and Torben Falck Ørntoft. “Discovery of Prostate Cancer Biomarkers by Microarray Gene Expression Profiling.” </w:t>
      </w:r>
      <w:r w:rsidRPr="00426A10">
        <w:rPr>
          <w:i/>
          <w:iCs/>
          <w:color w:val="000000" w:themeColor="text1"/>
          <w:sz w:val="16"/>
          <w:szCs w:val="16"/>
        </w:rPr>
        <w:t>Expert Review of Molecular Diagnostics</w:t>
      </w:r>
      <w:r w:rsidRPr="00426A10">
        <w:rPr>
          <w:color w:val="000000" w:themeColor="text1"/>
          <w:sz w:val="16"/>
          <w:szCs w:val="16"/>
        </w:rPr>
        <w:t xml:space="preserve">, vol. 10, no. 1, Jan. 2010, pp. 49–64. </w:t>
      </w:r>
      <w:r w:rsidRPr="00426A10">
        <w:rPr>
          <w:i/>
          <w:iCs/>
          <w:color w:val="000000" w:themeColor="text1"/>
          <w:sz w:val="16"/>
          <w:szCs w:val="16"/>
        </w:rPr>
        <w:t xml:space="preserve">Taylor and </w:t>
      </w:r>
      <w:proofErr w:type="spellStart"/>
      <w:r w:rsidRPr="00426A10">
        <w:rPr>
          <w:i/>
          <w:iCs/>
          <w:color w:val="000000" w:themeColor="text1"/>
          <w:sz w:val="16"/>
          <w:szCs w:val="16"/>
        </w:rPr>
        <w:t>Francis+NEJM</w:t>
      </w:r>
      <w:proofErr w:type="spellEnd"/>
      <w:r w:rsidRPr="00426A10">
        <w:rPr>
          <w:color w:val="000000" w:themeColor="text1"/>
          <w:sz w:val="16"/>
          <w:szCs w:val="16"/>
        </w:rPr>
        <w:t xml:space="preserve">, </w:t>
      </w:r>
      <w:hyperlink r:id="rId34" w:history="1">
        <w:r w:rsidRPr="00426A10">
          <w:rPr>
            <w:rStyle w:val="Hyperlink"/>
            <w:color w:val="000000" w:themeColor="text1"/>
            <w:sz w:val="16"/>
            <w:szCs w:val="16"/>
            <w:u w:val="none"/>
          </w:rPr>
          <w:t>https://doi.org/10.1586/erm.09.74</w:t>
        </w:r>
      </w:hyperlink>
      <w:r w:rsidRPr="00426A10">
        <w:rPr>
          <w:color w:val="000000" w:themeColor="text1"/>
          <w:sz w:val="16"/>
          <w:szCs w:val="16"/>
        </w:rPr>
        <w:t>.</w:t>
      </w:r>
    </w:p>
    <w:p w14:paraId="54FF2791" w14:textId="5C25985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Zaha, Dana Carmen. “Significance of Immunohistochemistry in Breast Cancer.” </w:t>
      </w:r>
      <w:r w:rsidRPr="00426A10">
        <w:rPr>
          <w:i/>
          <w:iCs/>
          <w:color w:val="000000" w:themeColor="text1"/>
          <w:sz w:val="16"/>
          <w:szCs w:val="16"/>
        </w:rPr>
        <w:t>World Journal of Clinical Oncology</w:t>
      </w:r>
      <w:r w:rsidRPr="00426A10">
        <w:rPr>
          <w:color w:val="000000" w:themeColor="text1"/>
          <w:sz w:val="16"/>
          <w:szCs w:val="16"/>
        </w:rPr>
        <w:t xml:space="preserve">, vol. 5, no. 3, Aug. 2014, pp. 382–92. </w:t>
      </w:r>
      <w:r w:rsidRPr="00426A10">
        <w:rPr>
          <w:i/>
          <w:iCs/>
          <w:color w:val="000000" w:themeColor="text1"/>
          <w:sz w:val="16"/>
          <w:szCs w:val="16"/>
        </w:rPr>
        <w:t>PubMed Central</w:t>
      </w:r>
      <w:r w:rsidRPr="00426A10">
        <w:rPr>
          <w:color w:val="000000" w:themeColor="text1"/>
          <w:sz w:val="16"/>
          <w:szCs w:val="16"/>
        </w:rPr>
        <w:t xml:space="preserve">, </w:t>
      </w:r>
      <w:hyperlink r:id="rId35" w:history="1">
        <w:r w:rsidRPr="00426A10">
          <w:rPr>
            <w:rStyle w:val="Hyperlink"/>
            <w:color w:val="000000" w:themeColor="text1"/>
            <w:sz w:val="16"/>
            <w:szCs w:val="16"/>
            <w:u w:val="none"/>
          </w:rPr>
          <w:t>https://doi.org/10.5306/wjco.v5.i3.382</w:t>
        </w:r>
      </w:hyperlink>
      <w:r w:rsidRPr="00426A10">
        <w:rPr>
          <w:color w:val="000000" w:themeColor="text1"/>
          <w:sz w:val="16"/>
          <w:szCs w:val="16"/>
        </w:rPr>
        <w:t>.</w:t>
      </w:r>
    </w:p>
    <w:p w14:paraId="1F37F224" w14:textId="5A3EDAA5"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proofErr w:type="spellStart"/>
      <w:r w:rsidRPr="00426A10">
        <w:rPr>
          <w:color w:val="000000" w:themeColor="text1"/>
          <w:sz w:val="16"/>
          <w:szCs w:val="16"/>
        </w:rPr>
        <w:t>Igbinigie</w:t>
      </w:r>
      <w:proofErr w:type="spellEnd"/>
      <w:r w:rsidRPr="00426A10">
        <w:rPr>
          <w:color w:val="000000" w:themeColor="text1"/>
          <w:sz w:val="16"/>
          <w:szCs w:val="16"/>
        </w:rPr>
        <w:t xml:space="preserve">, </w:t>
      </w:r>
      <w:proofErr w:type="spellStart"/>
      <w:r w:rsidRPr="00426A10">
        <w:rPr>
          <w:color w:val="000000" w:themeColor="text1"/>
          <w:sz w:val="16"/>
          <w:szCs w:val="16"/>
        </w:rPr>
        <w:t>Eseosaserea</w:t>
      </w:r>
      <w:proofErr w:type="spellEnd"/>
      <w:r w:rsidRPr="00426A10">
        <w:rPr>
          <w:color w:val="000000" w:themeColor="text1"/>
          <w:sz w:val="16"/>
          <w:szCs w:val="16"/>
        </w:rPr>
        <w:t xml:space="preserve">, et al. “Dkk1 Involvement and Its Potential as a Biomarker in Pancreatic Ductal Adenocarcinoma.” </w:t>
      </w:r>
      <w:proofErr w:type="spellStart"/>
      <w:r w:rsidRPr="00426A10">
        <w:rPr>
          <w:i/>
          <w:iCs/>
          <w:color w:val="000000" w:themeColor="text1"/>
          <w:sz w:val="16"/>
          <w:szCs w:val="16"/>
        </w:rPr>
        <w:t>Clinica</w:t>
      </w:r>
      <w:proofErr w:type="spellEnd"/>
      <w:r w:rsidRPr="00426A10">
        <w:rPr>
          <w:i/>
          <w:iCs/>
          <w:color w:val="000000" w:themeColor="text1"/>
          <w:sz w:val="16"/>
          <w:szCs w:val="16"/>
        </w:rPr>
        <w:t xml:space="preserve"> </w:t>
      </w:r>
      <w:proofErr w:type="spellStart"/>
      <w:r w:rsidRPr="00426A10">
        <w:rPr>
          <w:i/>
          <w:iCs/>
          <w:color w:val="000000" w:themeColor="text1"/>
          <w:sz w:val="16"/>
          <w:szCs w:val="16"/>
        </w:rPr>
        <w:t>Chimica</w:t>
      </w:r>
      <w:proofErr w:type="spellEnd"/>
      <w:r w:rsidRPr="00426A10">
        <w:rPr>
          <w:i/>
          <w:iCs/>
          <w:color w:val="000000" w:themeColor="text1"/>
          <w:sz w:val="16"/>
          <w:szCs w:val="16"/>
        </w:rPr>
        <w:t xml:space="preserve"> Acta; International Journal of Clinical Chemistry</w:t>
      </w:r>
      <w:r w:rsidRPr="00426A10">
        <w:rPr>
          <w:color w:val="000000" w:themeColor="text1"/>
          <w:sz w:val="16"/>
          <w:szCs w:val="16"/>
        </w:rPr>
        <w:t xml:space="preserve">, vol. 488, Jan. 2019, pp. 226–34. </w:t>
      </w:r>
      <w:r w:rsidRPr="00426A10">
        <w:rPr>
          <w:i/>
          <w:iCs/>
          <w:color w:val="000000" w:themeColor="text1"/>
          <w:sz w:val="16"/>
          <w:szCs w:val="16"/>
        </w:rPr>
        <w:t>PubMed</w:t>
      </w:r>
      <w:r w:rsidRPr="00426A10">
        <w:rPr>
          <w:color w:val="000000" w:themeColor="text1"/>
          <w:sz w:val="16"/>
          <w:szCs w:val="16"/>
        </w:rPr>
        <w:t xml:space="preserve">, </w:t>
      </w:r>
      <w:hyperlink r:id="rId36" w:history="1">
        <w:r w:rsidRPr="00426A10">
          <w:rPr>
            <w:rStyle w:val="Hyperlink"/>
            <w:color w:val="000000" w:themeColor="text1"/>
            <w:sz w:val="16"/>
            <w:szCs w:val="16"/>
            <w:u w:val="none"/>
          </w:rPr>
          <w:t>https://doi.org/10.1016/j.cca.2018.11.023</w:t>
        </w:r>
      </w:hyperlink>
      <w:r w:rsidRPr="00426A10">
        <w:rPr>
          <w:color w:val="000000" w:themeColor="text1"/>
          <w:sz w:val="16"/>
          <w:szCs w:val="16"/>
        </w:rPr>
        <w:t>.</w:t>
      </w:r>
    </w:p>
    <w:p w14:paraId="00E2DBA2" w14:textId="37BEBC99" w:rsidR="00041920" w:rsidRPr="00426A10" w:rsidRDefault="00041920" w:rsidP="00041920">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Arya, Sunil K., and Pedro Estrela. “Recent Advances in Enhancement Strategies for Electrochemical ELISA-Based Immunoassays for Cancer Biomarker Detection.” </w:t>
      </w:r>
      <w:r w:rsidRPr="00426A10">
        <w:rPr>
          <w:i/>
          <w:iCs/>
          <w:color w:val="000000" w:themeColor="text1"/>
          <w:sz w:val="16"/>
          <w:szCs w:val="16"/>
        </w:rPr>
        <w:t>Sensors</w:t>
      </w:r>
      <w:r w:rsidRPr="00426A10">
        <w:rPr>
          <w:color w:val="000000" w:themeColor="text1"/>
          <w:sz w:val="16"/>
          <w:szCs w:val="16"/>
        </w:rPr>
        <w:t xml:space="preserve">, vol. 18, no. 7, 7, July 2018, p. 2010. </w:t>
      </w:r>
      <w:r w:rsidRPr="00426A10">
        <w:rPr>
          <w:i/>
          <w:iCs/>
          <w:color w:val="000000" w:themeColor="text1"/>
          <w:sz w:val="16"/>
          <w:szCs w:val="16"/>
        </w:rPr>
        <w:t>www.mdpi.com</w:t>
      </w:r>
      <w:r w:rsidRPr="00426A10">
        <w:rPr>
          <w:color w:val="000000" w:themeColor="text1"/>
          <w:sz w:val="16"/>
          <w:szCs w:val="16"/>
        </w:rPr>
        <w:t xml:space="preserve">, </w:t>
      </w:r>
      <w:hyperlink r:id="rId37" w:history="1">
        <w:r w:rsidRPr="00426A10">
          <w:rPr>
            <w:rStyle w:val="Hyperlink"/>
            <w:color w:val="000000" w:themeColor="text1"/>
            <w:sz w:val="16"/>
            <w:szCs w:val="16"/>
            <w:u w:val="none"/>
          </w:rPr>
          <w:t>https://doi.org/10.3390/s18072010</w:t>
        </w:r>
      </w:hyperlink>
      <w:r w:rsidRPr="00426A10">
        <w:rPr>
          <w:color w:val="000000" w:themeColor="text1"/>
          <w:sz w:val="16"/>
          <w:szCs w:val="16"/>
        </w:rPr>
        <w:t>.</w:t>
      </w:r>
    </w:p>
    <w:p w14:paraId="78E2FCDE" w14:textId="1EB9C600" w:rsidR="00041920" w:rsidRPr="00426A10" w:rsidRDefault="00041920" w:rsidP="009522B6">
      <w:pPr>
        <w:widowControl w:val="0"/>
        <w:numPr>
          <w:ilvl w:val="0"/>
          <w:numId w:val="22"/>
        </w:numPr>
        <w:autoSpaceDE w:val="0"/>
        <w:autoSpaceDN w:val="0"/>
        <w:adjustRightInd w:val="0"/>
        <w:ind w:left="360"/>
        <w:jc w:val="both"/>
        <w:rPr>
          <w:color w:val="000000" w:themeColor="text1"/>
          <w:sz w:val="16"/>
          <w:szCs w:val="16"/>
        </w:rPr>
      </w:pPr>
      <w:r w:rsidRPr="00426A10">
        <w:rPr>
          <w:color w:val="000000" w:themeColor="text1"/>
          <w:sz w:val="16"/>
          <w:szCs w:val="16"/>
        </w:rPr>
        <w:t xml:space="preserve">Mohan, </w:t>
      </w:r>
      <w:proofErr w:type="spellStart"/>
      <w:r w:rsidRPr="00426A10">
        <w:rPr>
          <w:color w:val="000000" w:themeColor="text1"/>
          <w:sz w:val="16"/>
          <w:szCs w:val="16"/>
        </w:rPr>
        <w:t>Srinidi</w:t>
      </w:r>
      <w:proofErr w:type="spellEnd"/>
      <w:r w:rsidRPr="00426A10">
        <w:rPr>
          <w:color w:val="000000" w:themeColor="text1"/>
          <w:sz w:val="16"/>
          <w:szCs w:val="16"/>
        </w:rPr>
        <w:t xml:space="preserve">, et al. “Competitive ELISA Method for Novel Estrogen-Negative Breast Cancer Biomarker Quantitation.” </w:t>
      </w:r>
      <w:r w:rsidRPr="00426A10">
        <w:rPr>
          <w:i/>
          <w:iCs/>
          <w:color w:val="000000" w:themeColor="text1"/>
          <w:sz w:val="16"/>
          <w:szCs w:val="16"/>
        </w:rPr>
        <w:t>Journal of Immunological Methods</w:t>
      </w:r>
      <w:r w:rsidRPr="00426A10">
        <w:rPr>
          <w:color w:val="000000" w:themeColor="text1"/>
          <w:sz w:val="16"/>
          <w:szCs w:val="16"/>
        </w:rPr>
        <w:t xml:space="preserve">, vol. 474, Nov. 2019, p. 112671. </w:t>
      </w:r>
      <w:r w:rsidRPr="00426A10">
        <w:rPr>
          <w:i/>
          <w:iCs/>
          <w:color w:val="000000" w:themeColor="text1"/>
          <w:sz w:val="16"/>
          <w:szCs w:val="16"/>
        </w:rPr>
        <w:t>PubMed</w:t>
      </w:r>
      <w:r w:rsidRPr="00426A10">
        <w:rPr>
          <w:color w:val="000000" w:themeColor="text1"/>
          <w:sz w:val="16"/>
          <w:szCs w:val="16"/>
        </w:rPr>
        <w:t>, https://doi.org/10.1016/j.jim.2019.112671.</w:t>
      </w:r>
    </w:p>
    <w:p w14:paraId="45ED5D79" w14:textId="25BD1B32" w:rsidR="000B5B2F" w:rsidRPr="00426A10" w:rsidRDefault="000B5B2F" w:rsidP="0029024D">
      <w:pPr>
        <w:pStyle w:val="BodyText"/>
        <w:spacing w:after="0" w:line="240" w:lineRule="auto"/>
        <w:ind w:firstLine="0"/>
        <w:rPr>
          <w:color w:val="000000" w:themeColor="text1"/>
        </w:rPr>
      </w:pPr>
    </w:p>
    <w:p w14:paraId="3E27B86F" w14:textId="77777777" w:rsidR="000B5B2F" w:rsidRPr="00426A10" w:rsidRDefault="000B5B2F" w:rsidP="0029024D">
      <w:pPr>
        <w:rPr>
          <w:rFonts w:eastAsia="MS Mincho"/>
          <w:color w:val="000000" w:themeColor="text1"/>
        </w:rPr>
      </w:pPr>
    </w:p>
    <w:p w14:paraId="14DB4D1F" w14:textId="77777777" w:rsidR="000B5B2F" w:rsidRPr="00426A10" w:rsidRDefault="000B5B2F" w:rsidP="0029024D">
      <w:pPr>
        <w:rPr>
          <w:rFonts w:eastAsia="MS Mincho"/>
          <w:color w:val="000000" w:themeColor="text1"/>
        </w:rPr>
      </w:pPr>
    </w:p>
    <w:p w14:paraId="3C2A6D16" w14:textId="77777777" w:rsidR="000B5B2F" w:rsidRPr="00426A10" w:rsidRDefault="000B5B2F" w:rsidP="0029024D">
      <w:pPr>
        <w:rPr>
          <w:rFonts w:eastAsia="MS Mincho"/>
          <w:color w:val="000000" w:themeColor="text1"/>
        </w:rPr>
      </w:pPr>
    </w:p>
    <w:p w14:paraId="42A7C221" w14:textId="77777777" w:rsidR="000B5B2F" w:rsidRPr="00426A10" w:rsidRDefault="000B5B2F" w:rsidP="0029024D">
      <w:pPr>
        <w:rPr>
          <w:rFonts w:eastAsia="MS Mincho"/>
          <w:color w:val="000000" w:themeColor="text1"/>
        </w:rPr>
      </w:pPr>
    </w:p>
    <w:p w14:paraId="38CF3D5C" w14:textId="77777777" w:rsidR="008A55B5" w:rsidRPr="00426A10" w:rsidRDefault="000B5B2F" w:rsidP="0029024D">
      <w:pPr>
        <w:tabs>
          <w:tab w:val="left" w:pos="2235"/>
          <w:tab w:val="center" w:pos="4514"/>
        </w:tabs>
        <w:jc w:val="left"/>
        <w:rPr>
          <w:rFonts w:eastAsia="MS Mincho"/>
          <w:color w:val="000000" w:themeColor="text1"/>
        </w:rPr>
      </w:pPr>
      <w:r w:rsidRPr="00426A10">
        <w:rPr>
          <w:rFonts w:eastAsia="MS Mincho"/>
          <w:color w:val="000000" w:themeColor="text1"/>
        </w:rPr>
        <w:tab/>
      </w:r>
      <w:r w:rsidRPr="00426A10">
        <w:rPr>
          <w:rFonts w:eastAsia="MS Mincho"/>
          <w:color w:val="000000" w:themeColor="text1"/>
        </w:rPr>
        <w:tab/>
      </w:r>
      <w:r w:rsidRPr="00426A10">
        <w:rPr>
          <w:rFonts w:eastAsia="MS Mincho"/>
          <w:color w:val="000000" w:themeColor="text1"/>
        </w:rPr>
        <w:tab/>
      </w:r>
    </w:p>
    <w:sectPr w:rsidR="008A55B5" w:rsidRPr="00426A1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6C3EF" w14:textId="77777777" w:rsidR="00936634" w:rsidRDefault="00936634" w:rsidP="001E64C4">
      <w:r>
        <w:separator/>
      </w:r>
    </w:p>
  </w:endnote>
  <w:endnote w:type="continuationSeparator" w:id="0">
    <w:p w14:paraId="30ACBB92" w14:textId="77777777" w:rsidR="00936634" w:rsidRDefault="0093663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F1FE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729DB" w14:textId="77777777" w:rsidR="00936634" w:rsidRDefault="00936634" w:rsidP="001E64C4">
      <w:r>
        <w:separator/>
      </w:r>
    </w:p>
  </w:footnote>
  <w:footnote w:type="continuationSeparator" w:id="0">
    <w:p w14:paraId="14BCB853" w14:textId="77777777" w:rsidR="00936634" w:rsidRDefault="0093663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3363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DE4305"/>
    <w:multiLevelType w:val="hybridMultilevel"/>
    <w:tmpl w:val="FFFFFFFF"/>
    <w:lvl w:ilvl="0" w:tplc="93082246">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1E362505"/>
    <w:multiLevelType w:val="multilevel"/>
    <w:tmpl w:val="E12AB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3A35B5F"/>
    <w:multiLevelType w:val="multilevel"/>
    <w:tmpl w:val="3136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C67255B"/>
    <w:multiLevelType w:val="multilevel"/>
    <w:tmpl w:val="7852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C401827"/>
    <w:multiLevelType w:val="multilevel"/>
    <w:tmpl w:val="ABC88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04925C3"/>
    <w:multiLevelType w:val="multilevel"/>
    <w:tmpl w:val="C030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9C0609"/>
    <w:multiLevelType w:val="multilevel"/>
    <w:tmpl w:val="59322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2712C9"/>
    <w:multiLevelType w:val="multilevel"/>
    <w:tmpl w:val="97DE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6D175463"/>
    <w:multiLevelType w:val="multilevel"/>
    <w:tmpl w:val="403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539829090">
    <w:abstractNumId w:val="7"/>
  </w:num>
  <w:num w:numId="2" w16cid:durableId="1378704791">
    <w:abstractNumId w:val="15"/>
  </w:num>
  <w:num w:numId="3" w16cid:durableId="42753524">
    <w:abstractNumId w:val="5"/>
  </w:num>
  <w:num w:numId="4" w16cid:durableId="22556899">
    <w:abstractNumId w:val="10"/>
  </w:num>
  <w:num w:numId="5" w16cid:durableId="255408702">
    <w:abstractNumId w:val="10"/>
  </w:num>
  <w:num w:numId="6" w16cid:durableId="1291937790">
    <w:abstractNumId w:val="10"/>
  </w:num>
  <w:num w:numId="7" w16cid:durableId="1598514548">
    <w:abstractNumId w:val="10"/>
  </w:num>
  <w:num w:numId="8" w16cid:durableId="273289302">
    <w:abstractNumId w:val="11"/>
  </w:num>
  <w:num w:numId="9" w16cid:durableId="557860889">
    <w:abstractNumId w:val="16"/>
  </w:num>
  <w:num w:numId="10" w16cid:durableId="1909076575">
    <w:abstractNumId w:val="8"/>
  </w:num>
  <w:num w:numId="11" w16cid:durableId="302195711">
    <w:abstractNumId w:val="3"/>
  </w:num>
  <w:num w:numId="12" w16cid:durableId="2084641662">
    <w:abstractNumId w:val="18"/>
  </w:num>
  <w:num w:numId="13" w16cid:durableId="2135369882">
    <w:abstractNumId w:val="0"/>
  </w:num>
  <w:num w:numId="14" w16cid:durableId="348798162">
    <w:abstractNumId w:val="2"/>
  </w:num>
  <w:num w:numId="15" w16cid:durableId="1567688774">
    <w:abstractNumId w:val="4"/>
  </w:num>
  <w:num w:numId="16" w16cid:durableId="1444685342">
    <w:abstractNumId w:val="13"/>
  </w:num>
  <w:num w:numId="17" w16cid:durableId="377704209">
    <w:abstractNumId w:val="17"/>
  </w:num>
  <w:num w:numId="18" w16cid:durableId="1035621140">
    <w:abstractNumId w:val="12"/>
  </w:num>
  <w:num w:numId="19" w16cid:durableId="987249481">
    <w:abstractNumId w:val="14"/>
  </w:num>
  <w:num w:numId="20" w16cid:durableId="830831945">
    <w:abstractNumId w:val="9"/>
  </w:num>
  <w:num w:numId="21" w16cid:durableId="1770927692">
    <w:abstractNumId w:val="6"/>
  </w:num>
  <w:num w:numId="22" w16cid:durableId="118182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0346"/>
    <w:rsid w:val="00001C77"/>
    <w:rsid w:val="000026B6"/>
    <w:rsid w:val="000065D2"/>
    <w:rsid w:val="00007DA1"/>
    <w:rsid w:val="00012DED"/>
    <w:rsid w:val="00013117"/>
    <w:rsid w:val="00036715"/>
    <w:rsid w:val="00041920"/>
    <w:rsid w:val="00041FC0"/>
    <w:rsid w:val="0004390D"/>
    <w:rsid w:val="000538DD"/>
    <w:rsid w:val="00064037"/>
    <w:rsid w:val="000707DE"/>
    <w:rsid w:val="00070FAB"/>
    <w:rsid w:val="00072549"/>
    <w:rsid w:val="00073EF9"/>
    <w:rsid w:val="00075767"/>
    <w:rsid w:val="0007639E"/>
    <w:rsid w:val="00084E21"/>
    <w:rsid w:val="00091036"/>
    <w:rsid w:val="00095DA0"/>
    <w:rsid w:val="00097726"/>
    <w:rsid w:val="000A0865"/>
    <w:rsid w:val="000A2352"/>
    <w:rsid w:val="000A55C3"/>
    <w:rsid w:val="000A76F5"/>
    <w:rsid w:val="000B1A80"/>
    <w:rsid w:val="000B3A69"/>
    <w:rsid w:val="000B4641"/>
    <w:rsid w:val="000B5315"/>
    <w:rsid w:val="000B5360"/>
    <w:rsid w:val="000B5547"/>
    <w:rsid w:val="000B5B2F"/>
    <w:rsid w:val="000B7535"/>
    <w:rsid w:val="000C69A7"/>
    <w:rsid w:val="000D1ECD"/>
    <w:rsid w:val="000D5355"/>
    <w:rsid w:val="000E0BB2"/>
    <w:rsid w:val="000E5040"/>
    <w:rsid w:val="000E69AD"/>
    <w:rsid w:val="000E70F5"/>
    <w:rsid w:val="000F1715"/>
    <w:rsid w:val="000F456A"/>
    <w:rsid w:val="000F4734"/>
    <w:rsid w:val="0010711E"/>
    <w:rsid w:val="001109B2"/>
    <w:rsid w:val="0011312B"/>
    <w:rsid w:val="00115C3E"/>
    <w:rsid w:val="001160D3"/>
    <w:rsid w:val="001245FB"/>
    <w:rsid w:val="00125E34"/>
    <w:rsid w:val="0012707A"/>
    <w:rsid w:val="00127EDD"/>
    <w:rsid w:val="0013359D"/>
    <w:rsid w:val="00133A61"/>
    <w:rsid w:val="00135693"/>
    <w:rsid w:val="00136C8E"/>
    <w:rsid w:val="001515B4"/>
    <w:rsid w:val="001525D0"/>
    <w:rsid w:val="00152638"/>
    <w:rsid w:val="001558E4"/>
    <w:rsid w:val="00162435"/>
    <w:rsid w:val="00171A56"/>
    <w:rsid w:val="00175BAC"/>
    <w:rsid w:val="0018330F"/>
    <w:rsid w:val="00184F1D"/>
    <w:rsid w:val="0019027A"/>
    <w:rsid w:val="00191D75"/>
    <w:rsid w:val="00193A5E"/>
    <w:rsid w:val="0019663A"/>
    <w:rsid w:val="001A7DFA"/>
    <w:rsid w:val="001B1A42"/>
    <w:rsid w:val="001B2549"/>
    <w:rsid w:val="001B2DFB"/>
    <w:rsid w:val="001B677D"/>
    <w:rsid w:val="001C5698"/>
    <w:rsid w:val="001D2353"/>
    <w:rsid w:val="001D4437"/>
    <w:rsid w:val="001D4508"/>
    <w:rsid w:val="001D4A81"/>
    <w:rsid w:val="001D5967"/>
    <w:rsid w:val="001D6285"/>
    <w:rsid w:val="001E48C1"/>
    <w:rsid w:val="001E5536"/>
    <w:rsid w:val="001E64C4"/>
    <w:rsid w:val="001E677A"/>
    <w:rsid w:val="001F22AB"/>
    <w:rsid w:val="001F3D8D"/>
    <w:rsid w:val="002004F2"/>
    <w:rsid w:val="00201559"/>
    <w:rsid w:val="00206346"/>
    <w:rsid w:val="002114BD"/>
    <w:rsid w:val="002165A6"/>
    <w:rsid w:val="00217192"/>
    <w:rsid w:val="002233A1"/>
    <w:rsid w:val="00225366"/>
    <w:rsid w:val="00226FC0"/>
    <w:rsid w:val="00231072"/>
    <w:rsid w:val="002312A0"/>
    <w:rsid w:val="00237505"/>
    <w:rsid w:val="00240391"/>
    <w:rsid w:val="00245347"/>
    <w:rsid w:val="00252092"/>
    <w:rsid w:val="0025365F"/>
    <w:rsid w:val="002569A8"/>
    <w:rsid w:val="002579AC"/>
    <w:rsid w:val="00270773"/>
    <w:rsid w:val="00273C9F"/>
    <w:rsid w:val="00275E90"/>
    <w:rsid w:val="00276735"/>
    <w:rsid w:val="00280068"/>
    <w:rsid w:val="0028083D"/>
    <w:rsid w:val="0028386F"/>
    <w:rsid w:val="00284C20"/>
    <w:rsid w:val="002864A3"/>
    <w:rsid w:val="00286732"/>
    <w:rsid w:val="0029024D"/>
    <w:rsid w:val="00292EF9"/>
    <w:rsid w:val="00295678"/>
    <w:rsid w:val="00295D14"/>
    <w:rsid w:val="00296792"/>
    <w:rsid w:val="00296FC0"/>
    <w:rsid w:val="002B3B81"/>
    <w:rsid w:val="002B7398"/>
    <w:rsid w:val="002C0426"/>
    <w:rsid w:val="002C1EB7"/>
    <w:rsid w:val="002D0A8B"/>
    <w:rsid w:val="002D49CD"/>
    <w:rsid w:val="002D5EF2"/>
    <w:rsid w:val="002D7DBD"/>
    <w:rsid w:val="002E1666"/>
    <w:rsid w:val="002E17E9"/>
    <w:rsid w:val="002E4197"/>
    <w:rsid w:val="002E4F5D"/>
    <w:rsid w:val="002F146E"/>
    <w:rsid w:val="002F3208"/>
    <w:rsid w:val="002F3B3B"/>
    <w:rsid w:val="002F7482"/>
    <w:rsid w:val="00305F82"/>
    <w:rsid w:val="00316590"/>
    <w:rsid w:val="003201AB"/>
    <w:rsid w:val="00320FB7"/>
    <w:rsid w:val="00322487"/>
    <w:rsid w:val="00326BEB"/>
    <w:rsid w:val="00330CB7"/>
    <w:rsid w:val="00334101"/>
    <w:rsid w:val="003469C6"/>
    <w:rsid w:val="003508E5"/>
    <w:rsid w:val="00351D16"/>
    <w:rsid w:val="00352607"/>
    <w:rsid w:val="0036720E"/>
    <w:rsid w:val="003724EF"/>
    <w:rsid w:val="00373421"/>
    <w:rsid w:val="00390F41"/>
    <w:rsid w:val="00393513"/>
    <w:rsid w:val="00395281"/>
    <w:rsid w:val="0039587D"/>
    <w:rsid w:val="003A47B5"/>
    <w:rsid w:val="003A59A6"/>
    <w:rsid w:val="003A7643"/>
    <w:rsid w:val="003B2CFB"/>
    <w:rsid w:val="003C5E12"/>
    <w:rsid w:val="003D6960"/>
    <w:rsid w:val="003E40C1"/>
    <w:rsid w:val="003E49E2"/>
    <w:rsid w:val="003E4D14"/>
    <w:rsid w:val="003F1D52"/>
    <w:rsid w:val="003F606E"/>
    <w:rsid w:val="003F7A85"/>
    <w:rsid w:val="00402841"/>
    <w:rsid w:val="00402C25"/>
    <w:rsid w:val="004048A7"/>
    <w:rsid w:val="00404E82"/>
    <w:rsid w:val="004059FE"/>
    <w:rsid w:val="004171C7"/>
    <w:rsid w:val="0042077F"/>
    <w:rsid w:val="00424977"/>
    <w:rsid w:val="00424C22"/>
    <w:rsid w:val="00426A10"/>
    <w:rsid w:val="00430355"/>
    <w:rsid w:val="004320F8"/>
    <w:rsid w:val="0043442C"/>
    <w:rsid w:val="00440EF1"/>
    <w:rsid w:val="004416B3"/>
    <w:rsid w:val="004445B3"/>
    <w:rsid w:val="004562BA"/>
    <w:rsid w:val="00457CCD"/>
    <w:rsid w:val="0046220E"/>
    <w:rsid w:val="00466548"/>
    <w:rsid w:val="004708B5"/>
    <w:rsid w:val="00471281"/>
    <w:rsid w:val="00473890"/>
    <w:rsid w:val="00476A25"/>
    <w:rsid w:val="00483181"/>
    <w:rsid w:val="004A0A9B"/>
    <w:rsid w:val="004A210A"/>
    <w:rsid w:val="004A32A8"/>
    <w:rsid w:val="004A6500"/>
    <w:rsid w:val="004B1FE5"/>
    <w:rsid w:val="004C04C8"/>
    <w:rsid w:val="004C3DF5"/>
    <w:rsid w:val="004C420C"/>
    <w:rsid w:val="004E0B04"/>
    <w:rsid w:val="004E7372"/>
    <w:rsid w:val="004F121B"/>
    <w:rsid w:val="004F2361"/>
    <w:rsid w:val="004F4644"/>
    <w:rsid w:val="004F54EF"/>
    <w:rsid w:val="00502551"/>
    <w:rsid w:val="00503671"/>
    <w:rsid w:val="00503C91"/>
    <w:rsid w:val="00504378"/>
    <w:rsid w:val="005052C1"/>
    <w:rsid w:val="005107B6"/>
    <w:rsid w:val="005129CB"/>
    <w:rsid w:val="00520886"/>
    <w:rsid w:val="00521400"/>
    <w:rsid w:val="00524255"/>
    <w:rsid w:val="0052514D"/>
    <w:rsid w:val="00525FAE"/>
    <w:rsid w:val="00530820"/>
    <w:rsid w:val="00534EB2"/>
    <w:rsid w:val="005406B5"/>
    <w:rsid w:val="00541986"/>
    <w:rsid w:val="00541990"/>
    <w:rsid w:val="005468E0"/>
    <w:rsid w:val="00546BB6"/>
    <w:rsid w:val="00552F05"/>
    <w:rsid w:val="0055489A"/>
    <w:rsid w:val="00554A0D"/>
    <w:rsid w:val="0055539E"/>
    <w:rsid w:val="00566EB7"/>
    <w:rsid w:val="00571210"/>
    <w:rsid w:val="00574B02"/>
    <w:rsid w:val="005818F8"/>
    <w:rsid w:val="00590CC1"/>
    <w:rsid w:val="005915E6"/>
    <w:rsid w:val="005918B3"/>
    <w:rsid w:val="005957E3"/>
    <w:rsid w:val="005974A7"/>
    <w:rsid w:val="00597CDD"/>
    <w:rsid w:val="005A42CE"/>
    <w:rsid w:val="005A4EFF"/>
    <w:rsid w:val="005A75BB"/>
    <w:rsid w:val="005B520E"/>
    <w:rsid w:val="005B535B"/>
    <w:rsid w:val="005B7C1B"/>
    <w:rsid w:val="005C1954"/>
    <w:rsid w:val="005C24B6"/>
    <w:rsid w:val="005D0D52"/>
    <w:rsid w:val="005D1DC4"/>
    <w:rsid w:val="005D3C62"/>
    <w:rsid w:val="005F10BD"/>
    <w:rsid w:val="005F3022"/>
    <w:rsid w:val="005F6AFA"/>
    <w:rsid w:val="005F7EDB"/>
    <w:rsid w:val="006108A4"/>
    <w:rsid w:val="006114BD"/>
    <w:rsid w:val="006122E9"/>
    <w:rsid w:val="00614A1E"/>
    <w:rsid w:val="00621BE0"/>
    <w:rsid w:val="00632825"/>
    <w:rsid w:val="00632F75"/>
    <w:rsid w:val="0063434F"/>
    <w:rsid w:val="0063608C"/>
    <w:rsid w:val="0065094C"/>
    <w:rsid w:val="006531CD"/>
    <w:rsid w:val="00653C9C"/>
    <w:rsid w:val="00653D8D"/>
    <w:rsid w:val="0065478F"/>
    <w:rsid w:val="00655A28"/>
    <w:rsid w:val="0065787C"/>
    <w:rsid w:val="00663DAB"/>
    <w:rsid w:val="00666754"/>
    <w:rsid w:val="00667AE5"/>
    <w:rsid w:val="00671CE5"/>
    <w:rsid w:val="006727C3"/>
    <w:rsid w:val="0067385C"/>
    <w:rsid w:val="0067509F"/>
    <w:rsid w:val="00684A31"/>
    <w:rsid w:val="00684AF7"/>
    <w:rsid w:val="00695DD2"/>
    <w:rsid w:val="0069740E"/>
    <w:rsid w:val="006A3834"/>
    <w:rsid w:val="006A66C7"/>
    <w:rsid w:val="006B403E"/>
    <w:rsid w:val="006B4CA8"/>
    <w:rsid w:val="006B4E46"/>
    <w:rsid w:val="006B577B"/>
    <w:rsid w:val="006C4648"/>
    <w:rsid w:val="006C5BEB"/>
    <w:rsid w:val="006C7B3F"/>
    <w:rsid w:val="006E116E"/>
    <w:rsid w:val="006E245A"/>
    <w:rsid w:val="006E5CFB"/>
    <w:rsid w:val="006E6BE4"/>
    <w:rsid w:val="006E7837"/>
    <w:rsid w:val="006F0530"/>
    <w:rsid w:val="006F495A"/>
    <w:rsid w:val="006F4FBE"/>
    <w:rsid w:val="0070334B"/>
    <w:rsid w:val="007046CC"/>
    <w:rsid w:val="00705409"/>
    <w:rsid w:val="007110C2"/>
    <w:rsid w:val="007201B6"/>
    <w:rsid w:val="0072064C"/>
    <w:rsid w:val="00727C02"/>
    <w:rsid w:val="00732E7D"/>
    <w:rsid w:val="007442B3"/>
    <w:rsid w:val="00745512"/>
    <w:rsid w:val="007467D9"/>
    <w:rsid w:val="00751419"/>
    <w:rsid w:val="00752857"/>
    <w:rsid w:val="00753F7B"/>
    <w:rsid w:val="007633D0"/>
    <w:rsid w:val="0076422C"/>
    <w:rsid w:val="00767BF4"/>
    <w:rsid w:val="007733D6"/>
    <w:rsid w:val="0077496A"/>
    <w:rsid w:val="00776C30"/>
    <w:rsid w:val="00782BAC"/>
    <w:rsid w:val="00783D67"/>
    <w:rsid w:val="00785F00"/>
    <w:rsid w:val="00786008"/>
    <w:rsid w:val="00787C5A"/>
    <w:rsid w:val="00790C81"/>
    <w:rsid w:val="007919DE"/>
    <w:rsid w:val="007A33FD"/>
    <w:rsid w:val="007A5FE4"/>
    <w:rsid w:val="007A6946"/>
    <w:rsid w:val="007A7792"/>
    <w:rsid w:val="007B2D24"/>
    <w:rsid w:val="007C0105"/>
    <w:rsid w:val="007C0308"/>
    <w:rsid w:val="007C0697"/>
    <w:rsid w:val="007C5DBC"/>
    <w:rsid w:val="007D00C3"/>
    <w:rsid w:val="007D04A8"/>
    <w:rsid w:val="007D081C"/>
    <w:rsid w:val="007D08E9"/>
    <w:rsid w:val="007D310A"/>
    <w:rsid w:val="007E18E2"/>
    <w:rsid w:val="007E6B34"/>
    <w:rsid w:val="007E6E3C"/>
    <w:rsid w:val="007E7E04"/>
    <w:rsid w:val="007F00F0"/>
    <w:rsid w:val="007F0E32"/>
    <w:rsid w:val="007F538E"/>
    <w:rsid w:val="008014D2"/>
    <w:rsid w:val="0080362A"/>
    <w:rsid w:val="008054BC"/>
    <w:rsid w:val="00806A0E"/>
    <w:rsid w:val="00813B8F"/>
    <w:rsid w:val="00823839"/>
    <w:rsid w:val="0082402E"/>
    <w:rsid w:val="00825AAF"/>
    <w:rsid w:val="00825BDF"/>
    <w:rsid w:val="00826193"/>
    <w:rsid w:val="0083235F"/>
    <w:rsid w:val="0083766B"/>
    <w:rsid w:val="00840E9F"/>
    <w:rsid w:val="0084282D"/>
    <w:rsid w:val="00851FC8"/>
    <w:rsid w:val="008557DD"/>
    <w:rsid w:val="00856550"/>
    <w:rsid w:val="008609CA"/>
    <w:rsid w:val="00861844"/>
    <w:rsid w:val="00863FA9"/>
    <w:rsid w:val="00880C27"/>
    <w:rsid w:val="00882677"/>
    <w:rsid w:val="00882F3C"/>
    <w:rsid w:val="008859E0"/>
    <w:rsid w:val="00886395"/>
    <w:rsid w:val="00895911"/>
    <w:rsid w:val="00897275"/>
    <w:rsid w:val="008A12BC"/>
    <w:rsid w:val="008A55B5"/>
    <w:rsid w:val="008A75C8"/>
    <w:rsid w:val="008B5270"/>
    <w:rsid w:val="008C50C2"/>
    <w:rsid w:val="008D5086"/>
    <w:rsid w:val="008E3986"/>
    <w:rsid w:val="008F1005"/>
    <w:rsid w:val="009011D3"/>
    <w:rsid w:val="00907F54"/>
    <w:rsid w:val="0091147C"/>
    <w:rsid w:val="009120B0"/>
    <w:rsid w:val="009138ED"/>
    <w:rsid w:val="00924FB9"/>
    <w:rsid w:val="0092568F"/>
    <w:rsid w:val="00926EA8"/>
    <w:rsid w:val="0092744D"/>
    <w:rsid w:val="009277C0"/>
    <w:rsid w:val="00936634"/>
    <w:rsid w:val="009461DF"/>
    <w:rsid w:val="00947546"/>
    <w:rsid w:val="00950789"/>
    <w:rsid w:val="009522B6"/>
    <w:rsid w:val="00955F05"/>
    <w:rsid w:val="009611C9"/>
    <w:rsid w:val="0097508D"/>
    <w:rsid w:val="00976477"/>
    <w:rsid w:val="0098426A"/>
    <w:rsid w:val="0099102F"/>
    <w:rsid w:val="00996DF7"/>
    <w:rsid w:val="009A57C1"/>
    <w:rsid w:val="009B2081"/>
    <w:rsid w:val="009B3A56"/>
    <w:rsid w:val="009B657A"/>
    <w:rsid w:val="009C19A8"/>
    <w:rsid w:val="009C410D"/>
    <w:rsid w:val="009C5BD6"/>
    <w:rsid w:val="009D170D"/>
    <w:rsid w:val="009D6863"/>
    <w:rsid w:val="009E38A1"/>
    <w:rsid w:val="009E4903"/>
    <w:rsid w:val="009E6935"/>
    <w:rsid w:val="009F0B5A"/>
    <w:rsid w:val="00A05440"/>
    <w:rsid w:val="00A05B27"/>
    <w:rsid w:val="00A05C88"/>
    <w:rsid w:val="00A11952"/>
    <w:rsid w:val="00A2319B"/>
    <w:rsid w:val="00A236A0"/>
    <w:rsid w:val="00A2723C"/>
    <w:rsid w:val="00A35F71"/>
    <w:rsid w:val="00A41E3D"/>
    <w:rsid w:val="00A4473C"/>
    <w:rsid w:val="00A510F7"/>
    <w:rsid w:val="00A52418"/>
    <w:rsid w:val="00A536DB"/>
    <w:rsid w:val="00A53FBD"/>
    <w:rsid w:val="00A56419"/>
    <w:rsid w:val="00A60767"/>
    <w:rsid w:val="00A609E0"/>
    <w:rsid w:val="00A62471"/>
    <w:rsid w:val="00A6425C"/>
    <w:rsid w:val="00A66E80"/>
    <w:rsid w:val="00A71F6F"/>
    <w:rsid w:val="00A77A69"/>
    <w:rsid w:val="00A80552"/>
    <w:rsid w:val="00A82353"/>
    <w:rsid w:val="00A87287"/>
    <w:rsid w:val="00A92E27"/>
    <w:rsid w:val="00A97012"/>
    <w:rsid w:val="00AA0700"/>
    <w:rsid w:val="00AA1475"/>
    <w:rsid w:val="00AB3DDA"/>
    <w:rsid w:val="00AB4B18"/>
    <w:rsid w:val="00AC23A3"/>
    <w:rsid w:val="00AC6519"/>
    <w:rsid w:val="00AD601F"/>
    <w:rsid w:val="00AE010E"/>
    <w:rsid w:val="00AE4856"/>
    <w:rsid w:val="00AE4BCF"/>
    <w:rsid w:val="00AE694D"/>
    <w:rsid w:val="00AF32A8"/>
    <w:rsid w:val="00B0160B"/>
    <w:rsid w:val="00B0457D"/>
    <w:rsid w:val="00B20C8E"/>
    <w:rsid w:val="00B242F4"/>
    <w:rsid w:val="00B24466"/>
    <w:rsid w:val="00B24771"/>
    <w:rsid w:val="00B263E0"/>
    <w:rsid w:val="00B2720B"/>
    <w:rsid w:val="00B44B78"/>
    <w:rsid w:val="00B47F4F"/>
    <w:rsid w:val="00B52083"/>
    <w:rsid w:val="00B52D5D"/>
    <w:rsid w:val="00B558DC"/>
    <w:rsid w:val="00B61734"/>
    <w:rsid w:val="00B62E35"/>
    <w:rsid w:val="00B664EE"/>
    <w:rsid w:val="00B678AF"/>
    <w:rsid w:val="00B75AE9"/>
    <w:rsid w:val="00B77F0E"/>
    <w:rsid w:val="00B8197C"/>
    <w:rsid w:val="00BA3C9E"/>
    <w:rsid w:val="00BA4EB6"/>
    <w:rsid w:val="00BC3B74"/>
    <w:rsid w:val="00BD261F"/>
    <w:rsid w:val="00BD30D1"/>
    <w:rsid w:val="00BE2BFD"/>
    <w:rsid w:val="00BE698F"/>
    <w:rsid w:val="00BF1361"/>
    <w:rsid w:val="00BF1978"/>
    <w:rsid w:val="00BF6D84"/>
    <w:rsid w:val="00C0280F"/>
    <w:rsid w:val="00C05F7C"/>
    <w:rsid w:val="00C14673"/>
    <w:rsid w:val="00C22C32"/>
    <w:rsid w:val="00C324CF"/>
    <w:rsid w:val="00C33452"/>
    <w:rsid w:val="00C3557F"/>
    <w:rsid w:val="00C41AE9"/>
    <w:rsid w:val="00C41C76"/>
    <w:rsid w:val="00C456AC"/>
    <w:rsid w:val="00C65842"/>
    <w:rsid w:val="00C65AD3"/>
    <w:rsid w:val="00C65F7C"/>
    <w:rsid w:val="00C703F9"/>
    <w:rsid w:val="00C7189E"/>
    <w:rsid w:val="00C7752A"/>
    <w:rsid w:val="00C808E1"/>
    <w:rsid w:val="00C80942"/>
    <w:rsid w:val="00C825F1"/>
    <w:rsid w:val="00CA6DC9"/>
    <w:rsid w:val="00CA7958"/>
    <w:rsid w:val="00CB0271"/>
    <w:rsid w:val="00CB5DF2"/>
    <w:rsid w:val="00CB66E6"/>
    <w:rsid w:val="00CB7920"/>
    <w:rsid w:val="00CC28E5"/>
    <w:rsid w:val="00CD03E0"/>
    <w:rsid w:val="00CD1258"/>
    <w:rsid w:val="00CD4879"/>
    <w:rsid w:val="00CE30B5"/>
    <w:rsid w:val="00CE4641"/>
    <w:rsid w:val="00CF1836"/>
    <w:rsid w:val="00CF25D6"/>
    <w:rsid w:val="00CF5CE9"/>
    <w:rsid w:val="00D01167"/>
    <w:rsid w:val="00D05267"/>
    <w:rsid w:val="00D1407D"/>
    <w:rsid w:val="00D21AEE"/>
    <w:rsid w:val="00D21D76"/>
    <w:rsid w:val="00D22A97"/>
    <w:rsid w:val="00D26B36"/>
    <w:rsid w:val="00D31226"/>
    <w:rsid w:val="00D32A7F"/>
    <w:rsid w:val="00D35859"/>
    <w:rsid w:val="00D4094F"/>
    <w:rsid w:val="00D442D4"/>
    <w:rsid w:val="00D478F0"/>
    <w:rsid w:val="00D50F5F"/>
    <w:rsid w:val="00D51C47"/>
    <w:rsid w:val="00D530E8"/>
    <w:rsid w:val="00D55F0A"/>
    <w:rsid w:val="00D5663A"/>
    <w:rsid w:val="00D566E6"/>
    <w:rsid w:val="00D576E1"/>
    <w:rsid w:val="00D6227A"/>
    <w:rsid w:val="00D6258B"/>
    <w:rsid w:val="00D63453"/>
    <w:rsid w:val="00D639B7"/>
    <w:rsid w:val="00D7116D"/>
    <w:rsid w:val="00D73E8D"/>
    <w:rsid w:val="00D73F24"/>
    <w:rsid w:val="00D75D30"/>
    <w:rsid w:val="00D7627B"/>
    <w:rsid w:val="00D83B06"/>
    <w:rsid w:val="00D86FF9"/>
    <w:rsid w:val="00D9156D"/>
    <w:rsid w:val="00D97A62"/>
    <w:rsid w:val="00D97DAE"/>
    <w:rsid w:val="00DA1667"/>
    <w:rsid w:val="00DA398A"/>
    <w:rsid w:val="00DA662E"/>
    <w:rsid w:val="00DB1363"/>
    <w:rsid w:val="00DB280B"/>
    <w:rsid w:val="00DB42A0"/>
    <w:rsid w:val="00DC7AB6"/>
    <w:rsid w:val="00DD1851"/>
    <w:rsid w:val="00DE0B14"/>
    <w:rsid w:val="00DE7F47"/>
    <w:rsid w:val="00DF5065"/>
    <w:rsid w:val="00DF58F5"/>
    <w:rsid w:val="00DF6CDF"/>
    <w:rsid w:val="00E053E4"/>
    <w:rsid w:val="00E061FC"/>
    <w:rsid w:val="00E11872"/>
    <w:rsid w:val="00E148EB"/>
    <w:rsid w:val="00E20359"/>
    <w:rsid w:val="00E22563"/>
    <w:rsid w:val="00E24DF2"/>
    <w:rsid w:val="00E32BCE"/>
    <w:rsid w:val="00E40E5F"/>
    <w:rsid w:val="00E415AC"/>
    <w:rsid w:val="00E605F2"/>
    <w:rsid w:val="00E616F3"/>
    <w:rsid w:val="00E62F18"/>
    <w:rsid w:val="00E65368"/>
    <w:rsid w:val="00E66C4C"/>
    <w:rsid w:val="00E7375E"/>
    <w:rsid w:val="00E73F47"/>
    <w:rsid w:val="00E74780"/>
    <w:rsid w:val="00E81CA5"/>
    <w:rsid w:val="00E85456"/>
    <w:rsid w:val="00E91219"/>
    <w:rsid w:val="00E97E42"/>
    <w:rsid w:val="00EA506F"/>
    <w:rsid w:val="00EA53DF"/>
    <w:rsid w:val="00EB1D29"/>
    <w:rsid w:val="00EB223C"/>
    <w:rsid w:val="00EC6857"/>
    <w:rsid w:val="00EC7045"/>
    <w:rsid w:val="00ED0C1B"/>
    <w:rsid w:val="00ED4B1D"/>
    <w:rsid w:val="00EE0783"/>
    <w:rsid w:val="00EE4362"/>
    <w:rsid w:val="00EE6BFF"/>
    <w:rsid w:val="00EF0633"/>
    <w:rsid w:val="00EF18D7"/>
    <w:rsid w:val="00EF1E8A"/>
    <w:rsid w:val="00EF3A1A"/>
    <w:rsid w:val="00EF55CC"/>
    <w:rsid w:val="00F00237"/>
    <w:rsid w:val="00F01E6B"/>
    <w:rsid w:val="00F02D51"/>
    <w:rsid w:val="00F1050D"/>
    <w:rsid w:val="00F1101D"/>
    <w:rsid w:val="00F17172"/>
    <w:rsid w:val="00F178CB"/>
    <w:rsid w:val="00F23229"/>
    <w:rsid w:val="00F23D37"/>
    <w:rsid w:val="00F267F7"/>
    <w:rsid w:val="00F3414A"/>
    <w:rsid w:val="00F37CA2"/>
    <w:rsid w:val="00F51E79"/>
    <w:rsid w:val="00F531E1"/>
    <w:rsid w:val="00F54846"/>
    <w:rsid w:val="00F55671"/>
    <w:rsid w:val="00F56D16"/>
    <w:rsid w:val="00F57B38"/>
    <w:rsid w:val="00F648B6"/>
    <w:rsid w:val="00F66CFC"/>
    <w:rsid w:val="00F710D7"/>
    <w:rsid w:val="00F74C4E"/>
    <w:rsid w:val="00F80DFE"/>
    <w:rsid w:val="00F84771"/>
    <w:rsid w:val="00F93180"/>
    <w:rsid w:val="00F96FDF"/>
    <w:rsid w:val="00F97546"/>
    <w:rsid w:val="00FA3121"/>
    <w:rsid w:val="00FA3271"/>
    <w:rsid w:val="00FA5537"/>
    <w:rsid w:val="00FA7465"/>
    <w:rsid w:val="00FB0705"/>
    <w:rsid w:val="00FB374C"/>
    <w:rsid w:val="00FB4AE7"/>
    <w:rsid w:val="00FC034B"/>
    <w:rsid w:val="00FD3C32"/>
    <w:rsid w:val="00FD5DF1"/>
    <w:rsid w:val="00FD7E81"/>
    <w:rsid w:val="00FE2DDA"/>
    <w:rsid w:val="00FE48DB"/>
    <w:rsid w:val="00FF25AF"/>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DDE6F3"/>
  <w15:docId w15:val="{EF1D8EC1-59ED-4A63-B989-9796CDE98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826193"/>
    <w:pPr>
      <w:spacing w:before="100" w:beforeAutospacing="1" w:after="100" w:afterAutospacing="1"/>
      <w:jc w:val="left"/>
    </w:pPr>
    <w:rPr>
      <w:sz w:val="24"/>
      <w:szCs w:val="24"/>
    </w:rPr>
  </w:style>
  <w:style w:type="paragraph" w:customStyle="1" w:styleId="halfrhythm">
    <w:name w:val="half_rhythm"/>
    <w:basedOn w:val="Normal"/>
    <w:rsid w:val="00826193"/>
    <w:pPr>
      <w:spacing w:before="100" w:beforeAutospacing="1" w:after="100" w:afterAutospacing="1"/>
      <w:jc w:val="left"/>
    </w:pPr>
    <w:rPr>
      <w:sz w:val="24"/>
      <w:szCs w:val="24"/>
    </w:rPr>
  </w:style>
  <w:style w:type="character" w:styleId="Strong">
    <w:name w:val="Strong"/>
    <w:basedOn w:val="DefaultParagraphFont"/>
    <w:uiPriority w:val="22"/>
    <w:qFormat/>
    <w:rsid w:val="00F97546"/>
    <w:rPr>
      <w:b/>
      <w:bCs/>
    </w:rPr>
  </w:style>
  <w:style w:type="table" w:styleId="TableGrid">
    <w:name w:val="Table Grid"/>
    <w:basedOn w:val="TableNormal"/>
    <w:uiPriority w:val="59"/>
    <w:rsid w:val="00373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9011D3"/>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Emphasis">
    <w:name w:val="Emphasis"/>
    <w:basedOn w:val="DefaultParagraphFont"/>
    <w:uiPriority w:val="20"/>
    <w:qFormat/>
    <w:rsid w:val="005D3C62"/>
    <w:rPr>
      <w:i/>
      <w:iCs/>
    </w:rPr>
  </w:style>
  <w:style w:type="paragraph" w:styleId="ListParagraph">
    <w:name w:val="List Paragraph"/>
    <w:basedOn w:val="Normal"/>
    <w:uiPriority w:val="34"/>
    <w:qFormat/>
    <w:rsid w:val="00041920"/>
    <w:pPr>
      <w:ind w:left="720"/>
      <w:contextualSpacing/>
    </w:pPr>
  </w:style>
  <w:style w:type="character" w:styleId="UnresolvedMention">
    <w:name w:val="Unresolved Mention"/>
    <w:basedOn w:val="DefaultParagraphFont"/>
    <w:uiPriority w:val="99"/>
    <w:semiHidden/>
    <w:unhideWhenUsed/>
    <w:rsid w:val="00041920"/>
    <w:rPr>
      <w:color w:val="605E5C"/>
      <w:shd w:val="clear" w:color="auto" w:fill="E1DFDD"/>
    </w:rPr>
  </w:style>
  <w:style w:type="paragraph" w:customStyle="1" w:styleId="stextldbu9gch-pg">
    <w:name w:val="___stext_ldbu9_gch-pg_"/>
    <w:basedOn w:val="Normal"/>
    <w:rsid w:val="00A60767"/>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37721">
      <w:bodyDiv w:val="1"/>
      <w:marLeft w:val="0"/>
      <w:marRight w:val="0"/>
      <w:marTop w:val="0"/>
      <w:marBottom w:val="0"/>
      <w:divBdr>
        <w:top w:val="none" w:sz="0" w:space="0" w:color="auto"/>
        <w:left w:val="none" w:sz="0" w:space="0" w:color="auto"/>
        <w:bottom w:val="none" w:sz="0" w:space="0" w:color="auto"/>
        <w:right w:val="none" w:sz="0" w:space="0" w:color="auto"/>
      </w:divBdr>
    </w:div>
    <w:div w:id="329797346">
      <w:bodyDiv w:val="1"/>
      <w:marLeft w:val="0"/>
      <w:marRight w:val="0"/>
      <w:marTop w:val="0"/>
      <w:marBottom w:val="0"/>
      <w:divBdr>
        <w:top w:val="none" w:sz="0" w:space="0" w:color="auto"/>
        <w:left w:val="none" w:sz="0" w:space="0" w:color="auto"/>
        <w:bottom w:val="none" w:sz="0" w:space="0" w:color="auto"/>
        <w:right w:val="none" w:sz="0" w:space="0" w:color="auto"/>
      </w:divBdr>
    </w:div>
    <w:div w:id="422996797">
      <w:bodyDiv w:val="1"/>
      <w:marLeft w:val="0"/>
      <w:marRight w:val="0"/>
      <w:marTop w:val="0"/>
      <w:marBottom w:val="0"/>
      <w:divBdr>
        <w:top w:val="none" w:sz="0" w:space="0" w:color="auto"/>
        <w:left w:val="none" w:sz="0" w:space="0" w:color="auto"/>
        <w:bottom w:val="none" w:sz="0" w:space="0" w:color="auto"/>
        <w:right w:val="none" w:sz="0" w:space="0" w:color="auto"/>
      </w:divBdr>
      <w:divsChild>
        <w:div w:id="633875239">
          <w:marLeft w:val="0"/>
          <w:marRight w:val="0"/>
          <w:marTop w:val="0"/>
          <w:marBottom w:val="0"/>
          <w:divBdr>
            <w:top w:val="none" w:sz="0" w:space="0" w:color="auto"/>
            <w:left w:val="none" w:sz="0" w:space="0" w:color="auto"/>
            <w:bottom w:val="none" w:sz="0" w:space="0" w:color="auto"/>
            <w:right w:val="none" w:sz="0" w:space="0" w:color="auto"/>
          </w:divBdr>
        </w:div>
      </w:divsChild>
    </w:div>
    <w:div w:id="498083083">
      <w:bodyDiv w:val="1"/>
      <w:marLeft w:val="0"/>
      <w:marRight w:val="0"/>
      <w:marTop w:val="0"/>
      <w:marBottom w:val="0"/>
      <w:divBdr>
        <w:top w:val="none" w:sz="0" w:space="0" w:color="auto"/>
        <w:left w:val="none" w:sz="0" w:space="0" w:color="auto"/>
        <w:bottom w:val="none" w:sz="0" w:space="0" w:color="auto"/>
        <w:right w:val="none" w:sz="0" w:space="0" w:color="auto"/>
      </w:divBdr>
    </w:div>
    <w:div w:id="680622385">
      <w:bodyDiv w:val="1"/>
      <w:marLeft w:val="0"/>
      <w:marRight w:val="0"/>
      <w:marTop w:val="0"/>
      <w:marBottom w:val="0"/>
      <w:divBdr>
        <w:top w:val="none" w:sz="0" w:space="0" w:color="auto"/>
        <w:left w:val="none" w:sz="0" w:space="0" w:color="auto"/>
        <w:bottom w:val="none" w:sz="0" w:space="0" w:color="auto"/>
        <w:right w:val="none" w:sz="0" w:space="0" w:color="auto"/>
      </w:divBdr>
      <w:divsChild>
        <w:div w:id="87045443">
          <w:marLeft w:val="0"/>
          <w:marRight w:val="0"/>
          <w:marTop w:val="0"/>
          <w:marBottom w:val="0"/>
          <w:divBdr>
            <w:top w:val="none" w:sz="0" w:space="0" w:color="auto"/>
            <w:left w:val="none" w:sz="0" w:space="0" w:color="auto"/>
            <w:bottom w:val="none" w:sz="0" w:space="0" w:color="auto"/>
            <w:right w:val="none" w:sz="0" w:space="0" w:color="auto"/>
          </w:divBdr>
        </w:div>
        <w:div w:id="1537691628">
          <w:marLeft w:val="0"/>
          <w:marRight w:val="0"/>
          <w:marTop w:val="0"/>
          <w:marBottom w:val="0"/>
          <w:divBdr>
            <w:top w:val="none" w:sz="0" w:space="0" w:color="auto"/>
            <w:left w:val="none" w:sz="0" w:space="0" w:color="auto"/>
            <w:bottom w:val="none" w:sz="0" w:space="0" w:color="auto"/>
            <w:right w:val="none" w:sz="0" w:space="0" w:color="auto"/>
          </w:divBdr>
        </w:div>
        <w:div w:id="876237059">
          <w:marLeft w:val="0"/>
          <w:marRight w:val="0"/>
          <w:marTop w:val="0"/>
          <w:marBottom w:val="0"/>
          <w:divBdr>
            <w:top w:val="none" w:sz="0" w:space="0" w:color="auto"/>
            <w:left w:val="none" w:sz="0" w:space="0" w:color="auto"/>
            <w:bottom w:val="none" w:sz="0" w:space="0" w:color="auto"/>
            <w:right w:val="none" w:sz="0" w:space="0" w:color="auto"/>
          </w:divBdr>
        </w:div>
        <w:div w:id="83965301">
          <w:marLeft w:val="0"/>
          <w:marRight w:val="0"/>
          <w:marTop w:val="0"/>
          <w:marBottom w:val="0"/>
          <w:divBdr>
            <w:top w:val="none" w:sz="0" w:space="0" w:color="auto"/>
            <w:left w:val="none" w:sz="0" w:space="0" w:color="auto"/>
            <w:bottom w:val="none" w:sz="0" w:space="0" w:color="auto"/>
            <w:right w:val="none" w:sz="0" w:space="0" w:color="auto"/>
          </w:divBdr>
        </w:div>
        <w:div w:id="1460562343">
          <w:marLeft w:val="0"/>
          <w:marRight w:val="0"/>
          <w:marTop w:val="0"/>
          <w:marBottom w:val="0"/>
          <w:divBdr>
            <w:top w:val="none" w:sz="0" w:space="0" w:color="auto"/>
            <w:left w:val="none" w:sz="0" w:space="0" w:color="auto"/>
            <w:bottom w:val="none" w:sz="0" w:space="0" w:color="auto"/>
            <w:right w:val="none" w:sz="0" w:space="0" w:color="auto"/>
          </w:divBdr>
        </w:div>
        <w:div w:id="1160536282">
          <w:marLeft w:val="0"/>
          <w:marRight w:val="0"/>
          <w:marTop w:val="0"/>
          <w:marBottom w:val="0"/>
          <w:divBdr>
            <w:top w:val="none" w:sz="0" w:space="0" w:color="auto"/>
            <w:left w:val="none" w:sz="0" w:space="0" w:color="auto"/>
            <w:bottom w:val="none" w:sz="0" w:space="0" w:color="auto"/>
            <w:right w:val="none" w:sz="0" w:space="0" w:color="auto"/>
          </w:divBdr>
        </w:div>
      </w:divsChild>
    </w:div>
    <w:div w:id="694891263">
      <w:bodyDiv w:val="1"/>
      <w:marLeft w:val="0"/>
      <w:marRight w:val="0"/>
      <w:marTop w:val="0"/>
      <w:marBottom w:val="0"/>
      <w:divBdr>
        <w:top w:val="none" w:sz="0" w:space="0" w:color="auto"/>
        <w:left w:val="none" w:sz="0" w:space="0" w:color="auto"/>
        <w:bottom w:val="none" w:sz="0" w:space="0" w:color="auto"/>
        <w:right w:val="none" w:sz="0" w:space="0" w:color="auto"/>
      </w:divBdr>
      <w:divsChild>
        <w:div w:id="678120346">
          <w:marLeft w:val="0"/>
          <w:marRight w:val="0"/>
          <w:marTop w:val="0"/>
          <w:marBottom w:val="0"/>
          <w:divBdr>
            <w:top w:val="none" w:sz="0" w:space="0" w:color="auto"/>
            <w:left w:val="none" w:sz="0" w:space="0" w:color="auto"/>
            <w:bottom w:val="none" w:sz="0" w:space="0" w:color="auto"/>
            <w:right w:val="none" w:sz="0" w:space="0" w:color="auto"/>
          </w:divBdr>
        </w:div>
        <w:div w:id="2009945465">
          <w:marLeft w:val="0"/>
          <w:marRight w:val="0"/>
          <w:marTop w:val="0"/>
          <w:marBottom w:val="0"/>
          <w:divBdr>
            <w:top w:val="none" w:sz="0" w:space="0" w:color="auto"/>
            <w:left w:val="none" w:sz="0" w:space="0" w:color="auto"/>
            <w:bottom w:val="none" w:sz="0" w:space="0" w:color="auto"/>
            <w:right w:val="none" w:sz="0" w:space="0" w:color="auto"/>
          </w:divBdr>
        </w:div>
      </w:divsChild>
    </w:div>
    <w:div w:id="782000818">
      <w:bodyDiv w:val="1"/>
      <w:marLeft w:val="0"/>
      <w:marRight w:val="0"/>
      <w:marTop w:val="0"/>
      <w:marBottom w:val="0"/>
      <w:divBdr>
        <w:top w:val="none" w:sz="0" w:space="0" w:color="auto"/>
        <w:left w:val="none" w:sz="0" w:space="0" w:color="auto"/>
        <w:bottom w:val="none" w:sz="0" w:space="0" w:color="auto"/>
        <w:right w:val="none" w:sz="0" w:space="0" w:color="auto"/>
      </w:divBdr>
    </w:div>
    <w:div w:id="838692472">
      <w:bodyDiv w:val="1"/>
      <w:marLeft w:val="0"/>
      <w:marRight w:val="0"/>
      <w:marTop w:val="0"/>
      <w:marBottom w:val="0"/>
      <w:divBdr>
        <w:top w:val="none" w:sz="0" w:space="0" w:color="auto"/>
        <w:left w:val="none" w:sz="0" w:space="0" w:color="auto"/>
        <w:bottom w:val="none" w:sz="0" w:space="0" w:color="auto"/>
        <w:right w:val="none" w:sz="0" w:space="0" w:color="auto"/>
      </w:divBdr>
    </w:div>
    <w:div w:id="852455574">
      <w:bodyDiv w:val="1"/>
      <w:marLeft w:val="0"/>
      <w:marRight w:val="0"/>
      <w:marTop w:val="0"/>
      <w:marBottom w:val="0"/>
      <w:divBdr>
        <w:top w:val="none" w:sz="0" w:space="0" w:color="auto"/>
        <w:left w:val="none" w:sz="0" w:space="0" w:color="auto"/>
        <w:bottom w:val="none" w:sz="0" w:space="0" w:color="auto"/>
        <w:right w:val="none" w:sz="0" w:space="0" w:color="auto"/>
      </w:divBdr>
    </w:div>
    <w:div w:id="873271042">
      <w:bodyDiv w:val="1"/>
      <w:marLeft w:val="0"/>
      <w:marRight w:val="0"/>
      <w:marTop w:val="0"/>
      <w:marBottom w:val="0"/>
      <w:divBdr>
        <w:top w:val="none" w:sz="0" w:space="0" w:color="auto"/>
        <w:left w:val="none" w:sz="0" w:space="0" w:color="auto"/>
        <w:bottom w:val="none" w:sz="0" w:space="0" w:color="auto"/>
        <w:right w:val="none" w:sz="0" w:space="0" w:color="auto"/>
      </w:divBdr>
      <w:divsChild>
        <w:div w:id="433942677">
          <w:marLeft w:val="0"/>
          <w:marRight w:val="0"/>
          <w:marTop w:val="0"/>
          <w:marBottom w:val="0"/>
          <w:divBdr>
            <w:top w:val="none" w:sz="0" w:space="0" w:color="auto"/>
            <w:left w:val="none" w:sz="0" w:space="0" w:color="auto"/>
            <w:bottom w:val="none" w:sz="0" w:space="0" w:color="auto"/>
            <w:right w:val="none" w:sz="0" w:space="0" w:color="auto"/>
          </w:divBdr>
        </w:div>
        <w:div w:id="995576351">
          <w:marLeft w:val="0"/>
          <w:marRight w:val="0"/>
          <w:marTop w:val="0"/>
          <w:marBottom w:val="0"/>
          <w:divBdr>
            <w:top w:val="none" w:sz="0" w:space="0" w:color="auto"/>
            <w:left w:val="none" w:sz="0" w:space="0" w:color="auto"/>
            <w:bottom w:val="none" w:sz="0" w:space="0" w:color="auto"/>
            <w:right w:val="none" w:sz="0" w:space="0" w:color="auto"/>
          </w:divBdr>
        </w:div>
      </w:divsChild>
    </w:div>
    <w:div w:id="1151941083">
      <w:bodyDiv w:val="1"/>
      <w:marLeft w:val="0"/>
      <w:marRight w:val="0"/>
      <w:marTop w:val="0"/>
      <w:marBottom w:val="0"/>
      <w:divBdr>
        <w:top w:val="none" w:sz="0" w:space="0" w:color="auto"/>
        <w:left w:val="none" w:sz="0" w:space="0" w:color="auto"/>
        <w:bottom w:val="none" w:sz="0" w:space="0" w:color="auto"/>
        <w:right w:val="none" w:sz="0" w:space="0" w:color="auto"/>
      </w:divBdr>
      <w:divsChild>
        <w:div w:id="1500000578">
          <w:marLeft w:val="0"/>
          <w:marRight w:val="0"/>
          <w:marTop w:val="0"/>
          <w:marBottom w:val="0"/>
          <w:divBdr>
            <w:top w:val="none" w:sz="0" w:space="0" w:color="auto"/>
            <w:left w:val="none" w:sz="0" w:space="0" w:color="auto"/>
            <w:bottom w:val="none" w:sz="0" w:space="0" w:color="auto"/>
            <w:right w:val="none" w:sz="0" w:space="0" w:color="auto"/>
          </w:divBdr>
        </w:div>
        <w:div w:id="1045790237">
          <w:marLeft w:val="0"/>
          <w:marRight w:val="0"/>
          <w:marTop w:val="0"/>
          <w:marBottom w:val="0"/>
          <w:divBdr>
            <w:top w:val="none" w:sz="0" w:space="0" w:color="auto"/>
            <w:left w:val="none" w:sz="0" w:space="0" w:color="auto"/>
            <w:bottom w:val="none" w:sz="0" w:space="0" w:color="auto"/>
            <w:right w:val="none" w:sz="0" w:space="0" w:color="auto"/>
          </w:divBdr>
        </w:div>
        <w:div w:id="1371150730">
          <w:marLeft w:val="0"/>
          <w:marRight w:val="0"/>
          <w:marTop w:val="0"/>
          <w:marBottom w:val="0"/>
          <w:divBdr>
            <w:top w:val="none" w:sz="0" w:space="0" w:color="auto"/>
            <w:left w:val="none" w:sz="0" w:space="0" w:color="auto"/>
            <w:bottom w:val="none" w:sz="0" w:space="0" w:color="auto"/>
            <w:right w:val="none" w:sz="0" w:space="0" w:color="auto"/>
          </w:divBdr>
        </w:div>
        <w:div w:id="1316909685">
          <w:marLeft w:val="0"/>
          <w:marRight w:val="0"/>
          <w:marTop w:val="0"/>
          <w:marBottom w:val="0"/>
          <w:divBdr>
            <w:top w:val="none" w:sz="0" w:space="0" w:color="auto"/>
            <w:left w:val="none" w:sz="0" w:space="0" w:color="auto"/>
            <w:bottom w:val="none" w:sz="0" w:space="0" w:color="auto"/>
            <w:right w:val="none" w:sz="0" w:space="0" w:color="auto"/>
          </w:divBdr>
        </w:div>
        <w:div w:id="316081175">
          <w:marLeft w:val="0"/>
          <w:marRight w:val="0"/>
          <w:marTop w:val="0"/>
          <w:marBottom w:val="0"/>
          <w:divBdr>
            <w:top w:val="none" w:sz="0" w:space="0" w:color="auto"/>
            <w:left w:val="none" w:sz="0" w:space="0" w:color="auto"/>
            <w:bottom w:val="none" w:sz="0" w:space="0" w:color="auto"/>
            <w:right w:val="none" w:sz="0" w:space="0" w:color="auto"/>
          </w:divBdr>
        </w:div>
        <w:div w:id="814660">
          <w:marLeft w:val="0"/>
          <w:marRight w:val="0"/>
          <w:marTop w:val="0"/>
          <w:marBottom w:val="0"/>
          <w:divBdr>
            <w:top w:val="none" w:sz="0" w:space="0" w:color="auto"/>
            <w:left w:val="none" w:sz="0" w:space="0" w:color="auto"/>
            <w:bottom w:val="none" w:sz="0" w:space="0" w:color="auto"/>
            <w:right w:val="none" w:sz="0" w:space="0" w:color="auto"/>
          </w:divBdr>
        </w:div>
      </w:divsChild>
    </w:div>
    <w:div w:id="1236168076">
      <w:bodyDiv w:val="1"/>
      <w:marLeft w:val="0"/>
      <w:marRight w:val="0"/>
      <w:marTop w:val="0"/>
      <w:marBottom w:val="0"/>
      <w:divBdr>
        <w:top w:val="none" w:sz="0" w:space="0" w:color="auto"/>
        <w:left w:val="none" w:sz="0" w:space="0" w:color="auto"/>
        <w:bottom w:val="none" w:sz="0" w:space="0" w:color="auto"/>
        <w:right w:val="none" w:sz="0" w:space="0" w:color="auto"/>
      </w:divBdr>
      <w:divsChild>
        <w:div w:id="1609312423">
          <w:marLeft w:val="0"/>
          <w:marRight w:val="0"/>
          <w:marTop w:val="0"/>
          <w:marBottom w:val="0"/>
          <w:divBdr>
            <w:top w:val="none" w:sz="0" w:space="0" w:color="auto"/>
            <w:left w:val="none" w:sz="0" w:space="0" w:color="auto"/>
            <w:bottom w:val="none" w:sz="0" w:space="0" w:color="auto"/>
            <w:right w:val="none" w:sz="0" w:space="0" w:color="auto"/>
          </w:divBdr>
        </w:div>
        <w:div w:id="848300935">
          <w:marLeft w:val="0"/>
          <w:marRight w:val="0"/>
          <w:marTop w:val="0"/>
          <w:marBottom w:val="0"/>
          <w:divBdr>
            <w:top w:val="none" w:sz="0" w:space="0" w:color="auto"/>
            <w:left w:val="none" w:sz="0" w:space="0" w:color="auto"/>
            <w:bottom w:val="none" w:sz="0" w:space="0" w:color="auto"/>
            <w:right w:val="none" w:sz="0" w:space="0" w:color="auto"/>
          </w:divBdr>
        </w:div>
      </w:divsChild>
    </w:div>
    <w:div w:id="1348404538">
      <w:bodyDiv w:val="1"/>
      <w:marLeft w:val="0"/>
      <w:marRight w:val="0"/>
      <w:marTop w:val="0"/>
      <w:marBottom w:val="0"/>
      <w:divBdr>
        <w:top w:val="none" w:sz="0" w:space="0" w:color="auto"/>
        <w:left w:val="none" w:sz="0" w:space="0" w:color="auto"/>
        <w:bottom w:val="none" w:sz="0" w:space="0" w:color="auto"/>
        <w:right w:val="none" w:sz="0" w:space="0" w:color="auto"/>
      </w:divBdr>
    </w:div>
    <w:div w:id="1648171745">
      <w:bodyDiv w:val="1"/>
      <w:marLeft w:val="0"/>
      <w:marRight w:val="0"/>
      <w:marTop w:val="0"/>
      <w:marBottom w:val="0"/>
      <w:divBdr>
        <w:top w:val="none" w:sz="0" w:space="0" w:color="auto"/>
        <w:left w:val="none" w:sz="0" w:space="0" w:color="auto"/>
        <w:bottom w:val="none" w:sz="0" w:space="0" w:color="auto"/>
        <w:right w:val="none" w:sz="0" w:space="0" w:color="auto"/>
      </w:divBdr>
    </w:div>
    <w:div w:id="1702390241">
      <w:bodyDiv w:val="1"/>
      <w:marLeft w:val="0"/>
      <w:marRight w:val="0"/>
      <w:marTop w:val="0"/>
      <w:marBottom w:val="0"/>
      <w:divBdr>
        <w:top w:val="none" w:sz="0" w:space="0" w:color="auto"/>
        <w:left w:val="none" w:sz="0" w:space="0" w:color="auto"/>
        <w:bottom w:val="none" w:sz="0" w:space="0" w:color="auto"/>
        <w:right w:val="none" w:sz="0" w:space="0" w:color="auto"/>
      </w:divBdr>
    </w:div>
    <w:div w:id="1927490590">
      <w:bodyDiv w:val="1"/>
      <w:marLeft w:val="0"/>
      <w:marRight w:val="0"/>
      <w:marTop w:val="0"/>
      <w:marBottom w:val="0"/>
      <w:divBdr>
        <w:top w:val="none" w:sz="0" w:space="0" w:color="auto"/>
        <w:left w:val="none" w:sz="0" w:space="0" w:color="auto"/>
        <w:bottom w:val="none" w:sz="0" w:space="0" w:color="auto"/>
        <w:right w:val="none" w:sz="0" w:space="0" w:color="auto"/>
      </w:divBdr>
    </w:div>
    <w:div w:id="1966226947">
      <w:bodyDiv w:val="1"/>
      <w:marLeft w:val="0"/>
      <w:marRight w:val="0"/>
      <w:marTop w:val="0"/>
      <w:marBottom w:val="0"/>
      <w:divBdr>
        <w:top w:val="none" w:sz="0" w:space="0" w:color="auto"/>
        <w:left w:val="none" w:sz="0" w:space="0" w:color="auto"/>
        <w:bottom w:val="none" w:sz="0" w:space="0" w:color="auto"/>
        <w:right w:val="none" w:sz="0" w:space="0" w:color="auto"/>
      </w:divBdr>
    </w:div>
    <w:div w:id="1982733290">
      <w:bodyDiv w:val="1"/>
      <w:marLeft w:val="0"/>
      <w:marRight w:val="0"/>
      <w:marTop w:val="0"/>
      <w:marBottom w:val="0"/>
      <w:divBdr>
        <w:top w:val="none" w:sz="0" w:space="0" w:color="auto"/>
        <w:left w:val="none" w:sz="0" w:space="0" w:color="auto"/>
        <w:bottom w:val="none" w:sz="0" w:space="0" w:color="auto"/>
        <w:right w:val="none" w:sz="0" w:space="0" w:color="auto"/>
      </w:divBdr>
      <w:divsChild>
        <w:div w:id="2337839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3048-019-0503-7" TargetMode="External"/><Relationship Id="rId18" Type="http://schemas.openxmlformats.org/officeDocument/2006/relationships/hyperlink" Target="https://doi.org/10.1155/2014/852748" TargetMode="External"/><Relationship Id="rId26" Type="http://schemas.openxmlformats.org/officeDocument/2006/relationships/hyperlink" Target="https://doi.org/10.5114/wo.2014.47136" TargetMode="External"/><Relationship Id="rId39" Type="http://schemas.openxmlformats.org/officeDocument/2006/relationships/theme" Target="theme/theme1.xml"/><Relationship Id="rId21" Type="http://schemas.openxmlformats.org/officeDocument/2006/relationships/hyperlink" Target="http://www.ncbi.nlm.nih.gov/books/NBK470433/" TargetMode="External"/><Relationship Id="rId34" Type="http://schemas.openxmlformats.org/officeDocument/2006/relationships/hyperlink" Target="https://doi.org/10.1586/erm.09.7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043/2010-0454-RAR.1" TargetMode="External"/><Relationship Id="rId25" Type="http://schemas.openxmlformats.org/officeDocument/2006/relationships/hyperlink" Target="https://www.genengnews.com/resources/sequencing-assays-for-biomarker-discovery-and-pharmacodynamics-in-oncology-studies/" TargetMode="External"/><Relationship Id="rId33" Type="http://schemas.openxmlformats.org/officeDocument/2006/relationships/hyperlink" Target="https://doi.org/10.1371/journal.pone.006324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389/fcell.2016.00089" TargetMode="External"/><Relationship Id="rId20" Type="http://schemas.openxmlformats.org/officeDocument/2006/relationships/hyperlink" Target="https://doi.org/10.1111/j.1365-2141.2005.05919.x" TargetMode="External"/><Relationship Id="rId29" Type="http://schemas.openxmlformats.org/officeDocument/2006/relationships/hyperlink" Target="https://doi.org/10.1002/dc.207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doi.org/10.1186/s12885-020-6574-4" TargetMode="External"/><Relationship Id="rId32" Type="http://schemas.openxmlformats.org/officeDocument/2006/relationships/hyperlink" Target="https://doi.org/10.1002/cam4.69" TargetMode="External"/><Relationship Id="rId37" Type="http://schemas.openxmlformats.org/officeDocument/2006/relationships/hyperlink" Target="https://doi.org/10.3390/s18072010" TargetMode="External"/><Relationship Id="rId5" Type="http://schemas.openxmlformats.org/officeDocument/2006/relationships/webSettings" Target="webSettings.xml"/><Relationship Id="rId15" Type="http://schemas.openxmlformats.org/officeDocument/2006/relationships/hyperlink" Target="https://doi.org/10.1002/cam4.4640" TargetMode="External"/><Relationship Id="rId23" Type="http://schemas.openxmlformats.org/officeDocument/2006/relationships/hyperlink" Target="https://doi.org/10.1371/journal.pone.0216989" TargetMode="External"/><Relationship Id="rId28" Type="http://schemas.openxmlformats.org/officeDocument/2006/relationships/hyperlink" Target="https://doi.org/10.4155/bio.12.225" TargetMode="External"/><Relationship Id="rId36" Type="http://schemas.openxmlformats.org/officeDocument/2006/relationships/hyperlink" Target="https://doi.org/10.1016/j.cca.2018.11.023" TargetMode="External"/><Relationship Id="rId10" Type="http://schemas.openxmlformats.org/officeDocument/2006/relationships/hyperlink" Target="https://en.wikipedia.org/wiki/National_Institutes_of_Health" TargetMode="External"/><Relationship Id="rId19" Type="http://schemas.openxmlformats.org/officeDocument/2006/relationships/hyperlink" Target="https://doi.org/10.1002/cncy.20099" TargetMode="External"/><Relationship Id="rId31" Type="http://schemas.openxmlformats.org/officeDocument/2006/relationships/hyperlink" Target="https://doi.org/10.1186/1755-8794-1-1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58/1055-9965.EPI-20-0234" TargetMode="External"/><Relationship Id="rId22" Type="http://schemas.openxmlformats.org/officeDocument/2006/relationships/hyperlink" Target="https://doi.org/10.1002/(sici)1097-0142(19980415)82:8%3c1419::aid-cncr1%3e3.0.co;2-4" TargetMode="External"/><Relationship Id="rId27" Type="http://schemas.openxmlformats.org/officeDocument/2006/relationships/hyperlink" Target="https://doi.org/10.1056/NEJMoa044238" TargetMode="External"/><Relationship Id="rId30" Type="http://schemas.openxmlformats.org/officeDocument/2006/relationships/hyperlink" Target="https://doi.org/10.1016/j.cca.2021.11.005" TargetMode="External"/><Relationship Id="rId35" Type="http://schemas.openxmlformats.org/officeDocument/2006/relationships/hyperlink" Target="https://doi.org/10.5306/wjco.v5.i3.382" TargetMode="Externa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E3B83-1208-4824-BFD7-5B6A4E26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3815</TotalTime>
  <Pages>1</Pages>
  <Words>7105</Words>
  <Characters>41357</Characters>
  <Application>Microsoft Office Word</Application>
  <DocSecurity>0</DocSecurity>
  <Lines>599</Lines>
  <Paragraphs>145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Siri Chandana Gampa</cp:lastModifiedBy>
  <cp:revision>490</cp:revision>
  <cp:lastPrinted>2014-07-26T15:11:00Z</cp:lastPrinted>
  <dcterms:created xsi:type="dcterms:W3CDTF">2022-06-17T12:11:00Z</dcterms:created>
  <dcterms:modified xsi:type="dcterms:W3CDTF">2023-10-14T18:42:00Z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81d1983843c3645653e864556626eca620ac56990b10539a51f01f0acecf9567</vt:lpwstr>
  </property>
</Properties>
</file>