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355" w:rsidRDefault="00FF6355" w:rsidP="000709B0">
      <w:pPr>
        <w:pStyle w:val="papertitle"/>
        <w:spacing w:after="0"/>
        <w:jc w:val="both"/>
        <w:rPr>
          <w:rFonts w:eastAsia="MS Mincho"/>
        </w:rPr>
      </w:pPr>
    </w:p>
    <w:p w:rsidR="00856408" w:rsidRPr="00FD782A" w:rsidRDefault="00AD24D3" w:rsidP="00FD782A">
      <w:pPr>
        <w:rPr>
          <w:b/>
          <w:sz w:val="48"/>
          <w:szCs w:val="48"/>
        </w:rPr>
        <w:sectPr w:rsidR="00856408" w:rsidRPr="00FD782A" w:rsidSect="00AA0700">
          <w:headerReference w:type="default" r:id="rId7"/>
          <w:footerReference w:type="default" r:id="rId8"/>
          <w:pgSz w:w="11909" w:h="16834" w:code="9"/>
          <w:pgMar w:top="1440" w:right="1440" w:bottom="1440" w:left="1440" w:header="720" w:footer="720" w:gutter="0"/>
          <w:pgNumType w:start="1"/>
          <w:cols w:space="720"/>
          <w:docGrid w:linePitch="360"/>
        </w:sectPr>
      </w:pPr>
      <w:r w:rsidRPr="00AD24D3">
        <w:rPr>
          <w:b/>
          <w:sz w:val="48"/>
          <w:szCs w:val="48"/>
        </w:rPr>
        <w:t xml:space="preserve">Sustainable </w:t>
      </w:r>
      <w:r w:rsidR="000709B0">
        <w:rPr>
          <w:b/>
          <w:sz w:val="48"/>
          <w:szCs w:val="48"/>
        </w:rPr>
        <w:t xml:space="preserve">Agricultural </w:t>
      </w:r>
      <w:r w:rsidRPr="00AD24D3">
        <w:rPr>
          <w:b/>
          <w:sz w:val="48"/>
          <w:szCs w:val="48"/>
        </w:rPr>
        <w:t xml:space="preserve">Solid Waste Management Through </w:t>
      </w:r>
      <w:proofErr w:type="spellStart"/>
      <w:r w:rsidRPr="00AD24D3">
        <w:rPr>
          <w:b/>
          <w:sz w:val="48"/>
          <w:szCs w:val="48"/>
        </w:rPr>
        <w:t>Phyllosphere</w:t>
      </w:r>
      <w:proofErr w:type="spellEnd"/>
      <w:r w:rsidRPr="00AD24D3">
        <w:rPr>
          <w:b/>
          <w:sz w:val="48"/>
          <w:szCs w:val="48"/>
        </w:rPr>
        <w:t xml:space="preserve"> Microbes</w:t>
      </w:r>
    </w:p>
    <w:p w:rsidR="008A55B5" w:rsidRPr="00466548" w:rsidRDefault="008A55B5" w:rsidP="00FD782A">
      <w:pPr>
        <w:jc w:val="both"/>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856408">
          <w:type w:val="continuous"/>
          <w:pgSz w:w="11909" w:h="16834" w:code="9"/>
          <w:pgMar w:top="1440" w:right="1440" w:bottom="1440" w:left="1440" w:header="720" w:footer="720" w:gutter="0"/>
          <w:pgNumType w:start="1"/>
          <w:cols w:space="720"/>
          <w:docGrid w:linePitch="360"/>
        </w:sectPr>
      </w:pPr>
    </w:p>
    <w:p w:rsidR="008A55B5" w:rsidRPr="00466548" w:rsidRDefault="003B010C" w:rsidP="00466548">
      <w:pPr>
        <w:pStyle w:val="Author"/>
        <w:spacing w:before="0" w:after="0"/>
        <w:rPr>
          <w:rFonts w:eastAsia="MS Mincho"/>
          <w:sz w:val="20"/>
          <w:szCs w:val="20"/>
        </w:rPr>
      </w:pPr>
      <w:r>
        <w:rPr>
          <w:rFonts w:eastAsia="MS Mincho"/>
          <w:sz w:val="20"/>
          <w:szCs w:val="20"/>
        </w:rPr>
        <w:lastRenderedPageBreak/>
        <w:t xml:space="preserve">Dr. </w:t>
      </w:r>
      <w:r w:rsidR="00856408">
        <w:rPr>
          <w:rFonts w:eastAsia="MS Mincho"/>
          <w:sz w:val="20"/>
          <w:szCs w:val="20"/>
        </w:rPr>
        <w:t>Bipasha Mridha Ghosh</w:t>
      </w:r>
    </w:p>
    <w:p w:rsidR="008A55B5" w:rsidRPr="00466548" w:rsidRDefault="00856408" w:rsidP="00466548">
      <w:pPr>
        <w:pStyle w:val="Affiliation"/>
        <w:rPr>
          <w:rFonts w:eastAsia="MS Mincho"/>
        </w:rPr>
      </w:pPr>
      <w:r>
        <w:rPr>
          <w:rFonts w:eastAsia="MS Mincho"/>
        </w:rPr>
        <w:t>Department of Environmental Science</w:t>
      </w:r>
    </w:p>
    <w:p w:rsidR="008A55B5" w:rsidRPr="00466548" w:rsidRDefault="00856408" w:rsidP="00466548">
      <w:pPr>
        <w:pStyle w:val="Affiliation"/>
        <w:rPr>
          <w:rFonts w:eastAsia="MS Mincho"/>
        </w:rPr>
      </w:pPr>
      <w:r>
        <w:rPr>
          <w:rFonts w:eastAsia="MS Mincho"/>
        </w:rPr>
        <w:t>NSHM Knowledge Campus</w:t>
      </w:r>
    </w:p>
    <w:p w:rsidR="008A55B5" w:rsidRPr="00466548" w:rsidRDefault="00856408" w:rsidP="00466548">
      <w:pPr>
        <w:pStyle w:val="Affiliation"/>
        <w:rPr>
          <w:rFonts w:eastAsia="MS Mincho"/>
        </w:rPr>
      </w:pPr>
      <w:r>
        <w:rPr>
          <w:rFonts w:eastAsia="MS Mincho"/>
        </w:rPr>
        <w:t>Durgapur</w:t>
      </w:r>
      <w:r w:rsidR="008A55B5" w:rsidRPr="00466548">
        <w:rPr>
          <w:rFonts w:eastAsia="MS Mincho"/>
        </w:rPr>
        <w:t xml:space="preserve">, </w:t>
      </w:r>
      <w:r>
        <w:rPr>
          <w:rFonts w:eastAsia="MS Mincho"/>
        </w:rPr>
        <w:t>India</w:t>
      </w:r>
    </w:p>
    <w:p w:rsidR="008A55B5" w:rsidRDefault="004F79F3" w:rsidP="00466548">
      <w:pPr>
        <w:pStyle w:val="Affiliation"/>
        <w:rPr>
          <w:rFonts w:eastAsia="MS Mincho"/>
        </w:rPr>
      </w:pPr>
      <w:hyperlink r:id="rId9" w:history="1">
        <w:r w:rsidR="00856408" w:rsidRPr="00EC027E">
          <w:rPr>
            <w:rStyle w:val="Hyperlink"/>
            <w:rFonts w:eastAsia="MS Mincho"/>
          </w:rPr>
          <w:t>bipasha.mghosh@gmail.com</w:t>
        </w:r>
      </w:hyperlink>
    </w:p>
    <w:p w:rsidR="00FD782A" w:rsidRDefault="00FD782A" w:rsidP="00466548">
      <w:pPr>
        <w:pStyle w:val="Affiliation"/>
        <w:rPr>
          <w:rFonts w:eastAsia="MS Mincho"/>
        </w:rPr>
        <w:sectPr w:rsidR="00FD782A" w:rsidSect="00FD782A">
          <w:type w:val="continuous"/>
          <w:pgSz w:w="11909" w:h="16834" w:code="9"/>
          <w:pgMar w:top="1440" w:right="1440" w:bottom="1440" w:left="1440" w:header="720" w:footer="720" w:gutter="0"/>
          <w:cols w:space="720"/>
          <w:docGrid w:linePitch="360"/>
        </w:sectPr>
      </w:pPr>
    </w:p>
    <w:p w:rsidR="00856408" w:rsidRDefault="00856408" w:rsidP="00466548">
      <w:pPr>
        <w:pStyle w:val="Affiliation"/>
        <w:rPr>
          <w:rFonts w:eastAsia="MS Mincho"/>
        </w:rPr>
      </w:pPr>
    </w:p>
    <w:p w:rsidR="00FD782A" w:rsidRDefault="00FD782A" w:rsidP="00466548">
      <w:pPr>
        <w:pStyle w:val="Affiliation"/>
        <w:rPr>
          <w:rFonts w:eastAsia="MS Mincho"/>
        </w:rPr>
        <w:sectPr w:rsidR="00FD782A" w:rsidSect="00FD782A">
          <w:type w:val="continuous"/>
          <w:pgSz w:w="11909" w:h="16834" w:code="9"/>
          <w:pgMar w:top="1440" w:right="1440" w:bottom="1440" w:left="1440" w:header="720" w:footer="720" w:gutter="0"/>
          <w:cols w:space="720"/>
          <w:docGrid w:linePitch="360"/>
        </w:sectPr>
      </w:pPr>
    </w:p>
    <w:p w:rsidR="00466548" w:rsidRPr="00466548" w:rsidRDefault="00466548" w:rsidP="00466548">
      <w:pPr>
        <w:pStyle w:val="Affiliation"/>
        <w:rPr>
          <w:rFonts w:eastAsia="MS Mincho"/>
        </w:rPr>
      </w:pPr>
      <w:bookmarkStart w:id="0" w:name="_GoBack"/>
      <w:bookmarkEnd w:id="0"/>
    </w:p>
    <w:p w:rsidR="00856408" w:rsidRDefault="00856408" w:rsidP="00856408">
      <w:pPr>
        <w:pStyle w:val="Affiliation"/>
        <w:jc w:val="both"/>
        <w:rPr>
          <w:rFonts w:eastAsia="MS Mincho"/>
        </w:rPr>
        <w:sectPr w:rsidR="00856408" w:rsidSect="00856408">
          <w:type w:val="continuous"/>
          <w:pgSz w:w="11909" w:h="16834" w:code="9"/>
          <w:pgMar w:top="1440" w:right="1440" w:bottom="1440" w:left="1440" w:header="720" w:footer="720" w:gutter="0"/>
          <w:cols w:space="720"/>
          <w:docGrid w:linePitch="360"/>
        </w:sectPr>
      </w:pPr>
    </w:p>
    <w:p w:rsidR="00466548" w:rsidRDefault="00466548" w:rsidP="00466548">
      <w:pPr>
        <w:pStyle w:val="Affiliation"/>
        <w:rPr>
          <w:rFonts w:eastAsia="MS Mincho"/>
        </w:rPr>
      </w:pPr>
    </w:p>
    <w:p w:rsidR="00466548" w:rsidRDefault="00466548" w:rsidP="00856408">
      <w:pPr>
        <w:pStyle w:val="Affiliation"/>
        <w:jc w:val="both"/>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856408">
      <w:pPr>
        <w:pStyle w:val="Affiliation"/>
        <w:jc w:val="both"/>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466548" w:rsidRDefault="00856408" w:rsidP="004D1BD4">
      <w:pPr>
        <w:pStyle w:val="Abstract"/>
        <w:spacing w:after="0"/>
        <w:ind w:firstLine="720"/>
        <w:rPr>
          <w:b w:val="0"/>
          <w:sz w:val="20"/>
          <w:szCs w:val="20"/>
        </w:rPr>
      </w:pPr>
      <w:r>
        <w:rPr>
          <w:b w:val="0"/>
          <w:sz w:val="20"/>
          <w:szCs w:val="20"/>
        </w:rPr>
        <w:t xml:space="preserve">All over the </w:t>
      </w:r>
      <w:r w:rsidR="00B85FCE">
        <w:rPr>
          <w:b w:val="0"/>
          <w:sz w:val="20"/>
          <w:szCs w:val="20"/>
        </w:rPr>
        <w:t xml:space="preserve">world </w:t>
      </w:r>
      <w:r w:rsidR="00535606">
        <w:rPr>
          <w:b w:val="0"/>
          <w:sz w:val="20"/>
          <w:szCs w:val="20"/>
        </w:rPr>
        <w:t xml:space="preserve">researchers are working on development and upgradation of sustainable technologies for </w:t>
      </w:r>
      <w:r w:rsidR="00FD782A">
        <w:rPr>
          <w:b w:val="0"/>
          <w:sz w:val="20"/>
          <w:szCs w:val="20"/>
        </w:rPr>
        <w:t xml:space="preserve">solid </w:t>
      </w:r>
      <w:r w:rsidR="00535606">
        <w:rPr>
          <w:b w:val="0"/>
          <w:sz w:val="20"/>
          <w:szCs w:val="20"/>
        </w:rPr>
        <w:t xml:space="preserve">waste </w:t>
      </w:r>
      <w:r w:rsidR="00196ACD">
        <w:rPr>
          <w:b w:val="0"/>
          <w:sz w:val="20"/>
          <w:szCs w:val="20"/>
        </w:rPr>
        <w:t xml:space="preserve">management either through </w:t>
      </w:r>
      <w:r w:rsidR="00535606">
        <w:rPr>
          <w:b w:val="0"/>
          <w:sz w:val="20"/>
          <w:szCs w:val="20"/>
        </w:rPr>
        <w:t>deg</w:t>
      </w:r>
      <w:r w:rsidR="00196ACD">
        <w:rPr>
          <w:b w:val="0"/>
          <w:sz w:val="20"/>
          <w:szCs w:val="20"/>
        </w:rPr>
        <w:t>radation or</w:t>
      </w:r>
      <w:r w:rsidR="00535606">
        <w:rPr>
          <w:b w:val="0"/>
          <w:sz w:val="20"/>
          <w:szCs w:val="20"/>
        </w:rPr>
        <w:t xml:space="preserve"> </w:t>
      </w:r>
      <w:r w:rsidR="00B85FCE">
        <w:rPr>
          <w:b w:val="0"/>
          <w:sz w:val="20"/>
          <w:szCs w:val="20"/>
        </w:rPr>
        <w:t>volume reduction</w:t>
      </w:r>
      <w:r w:rsidR="00535606">
        <w:rPr>
          <w:b w:val="0"/>
          <w:sz w:val="20"/>
          <w:szCs w:val="20"/>
        </w:rPr>
        <w:t xml:space="preserve"> </w:t>
      </w:r>
      <w:r w:rsidR="007007C5">
        <w:rPr>
          <w:b w:val="0"/>
          <w:sz w:val="20"/>
          <w:szCs w:val="20"/>
        </w:rPr>
        <w:t>or</w:t>
      </w:r>
      <w:r w:rsidR="00535606">
        <w:rPr>
          <w:b w:val="0"/>
          <w:sz w:val="20"/>
          <w:szCs w:val="20"/>
        </w:rPr>
        <w:t xml:space="preserve"> conversion </w:t>
      </w:r>
      <w:r w:rsidR="00B85FCE">
        <w:rPr>
          <w:b w:val="0"/>
          <w:sz w:val="20"/>
          <w:szCs w:val="20"/>
        </w:rPr>
        <w:t>of waste</w:t>
      </w:r>
      <w:r w:rsidR="00535606">
        <w:rPr>
          <w:b w:val="0"/>
          <w:sz w:val="20"/>
          <w:szCs w:val="20"/>
        </w:rPr>
        <w:t xml:space="preserve"> </w:t>
      </w:r>
      <w:r w:rsidR="00B85FCE">
        <w:rPr>
          <w:b w:val="0"/>
          <w:sz w:val="20"/>
          <w:szCs w:val="20"/>
        </w:rPr>
        <w:t>to us</w:t>
      </w:r>
      <w:r w:rsidR="00FD782A">
        <w:rPr>
          <w:b w:val="0"/>
          <w:sz w:val="20"/>
          <w:szCs w:val="20"/>
        </w:rPr>
        <w:t>eful</w:t>
      </w:r>
      <w:r w:rsidR="00535606">
        <w:rPr>
          <w:b w:val="0"/>
          <w:sz w:val="20"/>
          <w:szCs w:val="20"/>
        </w:rPr>
        <w:t xml:space="preserve"> product.</w:t>
      </w:r>
      <w:r w:rsidR="00FD782A" w:rsidRPr="00FD782A">
        <w:t xml:space="preserve"> </w:t>
      </w:r>
      <w:r w:rsidR="00FD782A" w:rsidRPr="00FD782A">
        <w:rPr>
          <w:b w:val="0"/>
          <w:sz w:val="20"/>
          <w:szCs w:val="20"/>
        </w:rPr>
        <w:t xml:space="preserve">Solid Waste Management </w:t>
      </w:r>
      <w:r w:rsidR="007007C5">
        <w:rPr>
          <w:b w:val="0"/>
          <w:sz w:val="20"/>
          <w:szCs w:val="20"/>
        </w:rPr>
        <w:t xml:space="preserve">(SWM) </w:t>
      </w:r>
      <w:r w:rsidR="00FD782A" w:rsidRPr="00FD782A">
        <w:rPr>
          <w:b w:val="0"/>
          <w:sz w:val="20"/>
          <w:szCs w:val="20"/>
        </w:rPr>
        <w:t>by sustainable technologies</w:t>
      </w:r>
      <w:r w:rsidR="000709B0">
        <w:rPr>
          <w:b w:val="0"/>
          <w:sz w:val="20"/>
          <w:szCs w:val="20"/>
        </w:rPr>
        <w:t xml:space="preserve"> in agricultural field</w:t>
      </w:r>
      <w:r w:rsidR="00FD782A" w:rsidRPr="00FD782A">
        <w:rPr>
          <w:b w:val="0"/>
          <w:sz w:val="20"/>
          <w:szCs w:val="20"/>
        </w:rPr>
        <w:t xml:space="preserve"> are need of hours. </w:t>
      </w:r>
      <w:r w:rsidR="00C057B3">
        <w:rPr>
          <w:b w:val="0"/>
          <w:sz w:val="20"/>
          <w:szCs w:val="20"/>
        </w:rPr>
        <w:t>Literature reveals that</w:t>
      </w:r>
      <w:r w:rsidR="00B47AC8">
        <w:rPr>
          <w:b w:val="0"/>
          <w:sz w:val="20"/>
          <w:szCs w:val="20"/>
        </w:rPr>
        <w:t xml:space="preserve"> use </w:t>
      </w:r>
      <w:r w:rsidR="003B7011">
        <w:rPr>
          <w:b w:val="0"/>
          <w:sz w:val="20"/>
          <w:szCs w:val="20"/>
        </w:rPr>
        <w:t>of microbial strain (</w:t>
      </w:r>
      <w:r w:rsidR="00B47AC8">
        <w:rPr>
          <w:b w:val="0"/>
          <w:sz w:val="20"/>
          <w:szCs w:val="20"/>
        </w:rPr>
        <w:t xml:space="preserve">bacteria </w:t>
      </w:r>
      <w:r w:rsidR="003B7011">
        <w:rPr>
          <w:b w:val="0"/>
          <w:sz w:val="20"/>
          <w:szCs w:val="20"/>
        </w:rPr>
        <w:t>and/</w:t>
      </w:r>
      <w:r w:rsidR="00B47AC8">
        <w:rPr>
          <w:b w:val="0"/>
          <w:sz w:val="20"/>
          <w:szCs w:val="20"/>
        </w:rPr>
        <w:t xml:space="preserve">or </w:t>
      </w:r>
      <w:r w:rsidR="003B7011">
        <w:rPr>
          <w:b w:val="0"/>
          <w:sz w:val="20"/>
          <w:szCs w:val="20"/>
        </w:rPr>
        <w:t xml:space="preserve">fungus) </w:t>
      </w:r>
      <w:r w:rsidR="00FD782A">
        <w:rPr>
          <w:b w:val="0"/>
          <w:sz w:val="20"/>
          <w:szCs w:val="20"/>
        </w:rPr>
        <w:t xml:space="preserve">is </w:t>
      </w:r>
      <w:r w:rsidR="000709B0">
        <w:rPr>
          <w:b w:val="0"/>
          <w:sz w:val="20"/>
          <w:szCs w:val="20"/>
        </w:rPr>
        <w:t xml:space="preserve">in </w:t>
      </w:r>
      <w:r w:rsidR="008D2858">
        <w:rPr>
          <w:b w:val="0"/>
          <w:sz w:val="20"/>
          <w:szCs w:val="20"/>
        </w:rPr>
        <w:t>practice</w:t>
      </w:r>
      <w:r w:rsidR="00567164">
        <w:rPr>
          <w:b w:val="0"/>
          <w:sz w:val="20"/>
          <w:szCs w:val="20"/>
        </w:rPr>
        <w:t xml:space="preserve"> but more study requires to explore efficient application of knowledge in agricultural field</w:t>
      </w:r>
      <w:r w:rsidR="008D2858">
        <w:rPr>
          <w:b w:val="0"/>
          <w:sz w:val="20"/>
          <w:szCs w:val="20"/>
        </w:rPr>
        <w:t>. The</w:t>
      </w:r>
      <w:r w:rsidR="00FD782A">
        <w:rPr>
          <w:b w:val="0"/>
          <w:sz w:val="20"/>
          <w:szCs w:val="20"/>
        </w:rPr>
        <w:t xml:space="preserve"> </w:t>
      </w:r>
      <w:r w:rsidR="008D2858">
        <w:rPr>
          <w:b w:val="0"/>
          <w:sz w:val="20"/>
          <w:szCs w:val="20"/>
        </w:rPr>
        <w:t xml:space="preserve">situation </w:t>
      </w:r>
      <w:r w:rsidR="008A776A">
        <w:rPr>
          <w:b w:val="0"/>
          <w:sz w:val="20"/>
          <w:szCs w:val="20"/>
        </w:rPr>
        <w:t>desires</w:t>
      </w:r>
      <w:r w:rsidR="008D2858">
        <w:rPr>
          <w:b w:val="0"/>
          <w:sz w:val="20"/>
          <w:szCs w:val="20"/>
        </w:rPr>
        <w:t xml:space="preserve"> novel strain</w:t>
      </w:r>
      <w:r w:rsidR="008A776A">
        <w:rPr>
          <w:b w:val="0"/>
          <w:sz w:val="20"/>
          <w:szCs w:val="20"/>
        </w:rPr>
        <w:t>s</w:t>
      </w:r>
      <w:r w:rsidR="008D2858">
        <w:rPr>
          <w:b w:val="0"/>
          <w:sz w:val="20"/>
          <w:szCs w:val="20"/>
        </w:rPr>
        <w:t xml:space="preserve"> </w:t>
      </w:r>
      <w:r w:rsidR="00A711D9">
        <w:rPr>
          <w:b w:val="0"/>
          <w:sz w:val="20"/>
          <w:szCs w:val="20"/>
        </w:rPr>
        <w:t>with better</w:t>
      </w:r>
      <w:r w:rsidR="008D2858">
        <w:rPr>
          <w:b w:val="0"/>
          <w:sz w:val="20"/>
          <w:szCs w:val="20"/>
        </w:rPr>
        <w:t xml:space="preserve"> capacit</w:t>
      </w:r>
      <w:r w:rsidR="008A776A">
        <w:rPr>
          <w:b w:val="0"/>
          <w:sz w:val="20"/>
          <w:szCs w:val="20"/>
        </w:rPr>
        <w:t>ies</w:t>
      </w:r>
      <w:r w:rsidR="008D2858">
        <w:rPr>
          <w:b w:val="0"/>
          <w:sz w:val="20"/>
          <w:szCs w:val="20"/>
        </w:rPr>
        <w:t xml:space="preserve"> to degrade </w:t>
      </w:r>
      <w:r w:rsidR="00A711D9">
        <w:rPr>
          <w:b w:val="0"/>
          <w:sz w:val="20"/>
          <w:szCs w:val="20"/>
        </w:rPr>
        <w:t xml:space="preserve">solid </w:t>
      </w:r>
      <w:r w:rsidR="008D2858">
        <w:rPr>
          <w:b w:val="0"/>
          <w:sz w:val="20"/>
          <w:szCs w:val="20"/>
        </w:rPr>
        <w:t>waste material</w:t>
      </w:r>
      <w:r w:rsidR="00A711D9">
        <w:rPr>
          <w:b w:val="0"/>
          <w:sz w:val="20"/>
          <w:szCs w:val="20"/>
        </w:rPr>
        <w:t>s</w:t>
      </w:r>
      <w:r w:rsidR="008D2858">
        <w:rPr>
          <w:b w:val="0"/>
          <w:sz w:val="20"/>
          <w:szCs w:val="20"/>
        </w:rPr>
        <w:t xml:space="preserve"> </w:t>
      </w:r>
      <w:r w:rsidR="00BE087B">
        <w:rPr>
          <w:b w:val="0"/>
          <w:sz w:val="20"/>
          <w:szCs w:val="20"/>
        </w:rPr>
        <w:t xml:space="preserve">quicker </w:t>
      </w:r>
      <w:r w:rsidR="008D2858">
        <w:rPr>
          <w:b w:val="0"/>
          <w:sz w:val="20"/>
          <w:szCs w:val="20"/>
        </w:rPr>
        <w:t>than the available strains</w:t>
      </w:r>
      <w:r w:rsidR="00A711D9">
        <w:rPr>
          <w:b w:val="0"/>
          <w:sz w:val="20"/>
          <w:szCs w:val="20"/>
        </w:rPr>
        <w:t xml:space="preserve">. This </w:t>
      </w:r>
      <w:r w:rsidR="00FD782A">
        <w:rPr>
          <w:b w:val="0"/>
          <w:sz w:val="20"/>
          <w:szCs w:val="20"/>
        </w:rPr>
        <w:t xml:space="preserve">work emphasis </w:t>
      </w:r>
      <w:r w:rsidR="00A711D9">
        <w:rPr>
          <w:b w:val="0"/>
          <w:sz w:val="20"/>
          <w:szCs w:val="20"/>
        </w:rPr>
        <w:t>on finding of microb</w:t>
      </w:r>
      <w:r w:rsidR="00BE087B">
        <w:rPr>
          <w:b w:val="0"/>
          <w:sz w:val="20"/>
          <w:szCs w:val="20"/>
        </w:rPr>
        <w:t>iota, specifically fungi</w:t>
      </w:r>
      <w:r w:rsidR="00A711D9">
        <w:rPr>
          <w:b w:val="0"/>
          <w:sz w:val="20"/>
          <w:szCs w:val="20"/>
        </w:rPr>
        <w:t xml:space="preserve"> and apply different isolated strains on waste materials</w:t>
      </w:r>
      <w:r w:rsidR="00BE087B">
        <w:rPr>
          <w:b w:val="0"/>
          <w:sz w:val="20"/>
          <w:szCs w:val="20"/>
        </w:rPr>
        <w:t xml:space="preserve"> to examined decomposition capabilities</w:t>
      </w:r>
      <w:r w:rsidR="00FD782A">
        <w:rPr>
          <w:b w:val="0"/>
          <w:sz w:val="20"/>
          <w:szCs w:val="20"/>
        </w:rPr>
        <w:t>.</w:t>
      </w:r>
      <w:r w:rsidR="00A711D9">
        <w:rPr>
          <w:b w:val="0"/>
          <w:sz w:val="20"/>
          <w:szCs w:val="20"/>
        </w:rPr>
        <w:t xml:space="preserve"> In search of novel strain</w:t>
      </w:r>
      <w:r w:rsidR="00BE087B">
        <w:rPr>
          <w:b w:val="0"/>
          <w:sz w:val="20"/>
          <w:szCs w:val="20"/>
        </w:rPr>
        <w:t xml:space="preserve"> </w:t>
      </w:r>
      <w:r w:rsidR="005D0202">
        <w:rPr>
          <w:b w:val="0"/>
          <w:sz w:val="20"/>
          <w:szCs w:val="20"/>
        </w:rPr>
        <w:t xml:space="preserve">of fungi, </w:t>
      </w:r>
      <w:proofErr w:type="spellStart"/>
      <w:r w:rsidR="00BE087B">
        <w:rPr>
          <w:b w:val="0"/>
          <w:sz w:val="20"/>
          <w:szCs w:val="20"/>
        </w:rPr>
        <w:t>phyllosphere</w:t>
      </w:r>
      <w:proofErr w:type="spellEnd"/>
      <w:r w:rsidR="00BE087B">
        <w:rPr>
          <w:b w:val="0"/>
          <w:sz w:val="20"/>
          <w:szCs w:val="20"/>
        </w:rPr>
        <w:t xml:space="preserve"> of</w:t>
      </w:r>
      <w:r w:rsidR="00A711D9">
        <w:rPr>
          <w:b w:val="0"/>
          <w:sz w:val="20"/>
          <w:szCs w:val="20"/>
        </w:rPr>
        <w:t xml:space="preserve"> mangrove </w:t>
      </w:r>
      <w:r w:rsidR="00BE087B">
        <w:rPr>
          <w:b w:val="0"/>
          <w:sz w:val="20"/>
          <w:szCs w:val="20"/>
        </w:rPr>
        <w:t xml:space="preserve">leaves are selected and samples were </w:t>
      </w:r>
      <w:r w:rsidR="00A711D9">
        <w:rPr>
          <w:b w:val="0"/>
          <w:sz w:val="20"/>
          <w:szCs w:val="20"/>
        </w:rPr>
        <w:t xml:space="preserve">collected in three different seasons from the </w:t>
      </w:r>
      <w:r w:rsidR="00196ACD">
        <w:rPr>
          <w:b w:val="0"/>
          <w:sz w:val="20"/>
          <w:szCs w:val="20"/>
        </w:rPr>
        <w:t>Sundarbans</w:t>
      </w:r>
      <w:r w:rsidR="00A711D9">
        <w:rPr>
          <w:b w:val="0"/>
          <w:sz w:val="20"/>
          <w:szCs w:val="20"/>
        </w:rPr>
        <w:t xml:space="preserve"> region </w:t>
      </w:r>
      <w:r w:rsidR="00196ACD">
        <w:rPr>
          <w:b w:val="0"/>
          <w:sz w:val="20"/>
          <w:szCs w:val="20"/>
        </w:rPr>
        <w:t xml:space="preserve">of West Bengal, India. </w:t>
      </w:r>
      <w:r w:rsidR="007007C5">
        <w:rPr>
          <w:b w:val="0"/>
          <w:sz w:val="20"/>
          <w:szCs w:val="20"/>
        </w:rPr>
        <w:t xml:space="preserve"> The isolated pure culture </w:t>
      </w:r>
      <w:r w:rsidR="004F6E9D">
        <w:rPr>
          <w:b w:val="0"/>
          <w:sz w:val="20"/>
          <w:szCs w:val="20"/>
        </w:rPr>
        <w:t>of microbial strains</w:t>
      </w:r>
      <w:r w:rsidR="007007C5">
        <w:rPr>
          <w:b w:val="0"/>
          <w:sz w:val="20"/>
          <w:szCs w:val="20"/>
        </w:rPr>
        <w:t xml:space="preserve"> </w:t>
      </w:r>
      <w:r w:rsidR="0017007E">
        <w:rPr>
          <w:b w:val="0"/>
          <w:sz w:val="20"/>
          <w:szCs w:val="20"/>
        </w:rPr>
        <w:t>is</w:t>
      </w:r>
      <w:r w:rsidR="007007C5">
        <w:rPr>
          <w:b w:val="0"/>
          <w:sz w:val="20"/>
          <w:szCs w:val="20"/>
        </w:rPr>
        <w:t xml:space="preserve"> preserved in laboratory environment and pure cultures are applied to different</w:t>
      </w:r>
      <w:r w:rsidR="004F6E9D">
        <w:rPr>
          <w:b w:val="0"/>
          <w:sz w:val="20"/>
          <w:szCs w:val="20"/>
        </w:rPr>
        <w:t xml:space="preserve"> types of waste materials to know their capabilities of </w:t>
      </w:r>
      <w:r w:rsidR="004D1BD4">
        <w:rPr>
          <w:b w:val="0"/>
          <w:sz w:val="20"/>
          <w:szCs w:val="20"/>
        </w:rPr>
        <w:t>degradation and enzyme assay method also applied.</w:t>
      </w:r>
      <w:r w:rsidR="00BE087B">
        <w:rPr>
          <w:b w:val="0"/>
          <w:sz w:val="20"/>
          <w:szCs w:val="20"/>
        </w:rPr>
        <w:t xml:space="preserve"> </w:t>
      </w:r>
      <w:r w:rsidR="004D1BD4">
        <w:rPr>
          <w:b w:val="0"/>
          <w:sz w:val="20"/>
          <w:szCs w:val="20"/>
        </w:rPr>
        <w:t>The study reveals that</w:t>
      </w:r>
      <w:r w:rsidR="00867E88">
        <w:rPr>
          <w:b w:val="0"/>
          <w:sz w:val="20"/>
          <w:szCs w:val="20"/>
        </w:rPr>
        <w:t xml:space="preserve"> among all isolated fungal </w:t>
      </w:r>
      <w:r w:rsidR="00567164">
        <w:rPr>
          <w:b w:val="0"/>
          <w:sz w:val="20"/>
          <w:szCs w:val="20"/>
        </w:rPr>
        <w:t xml:space="preserve">strains produces different categories </w:t>
      </w:r>
      <w:proofErr w:type="gramStart"/>
      <w:r w:rsidR="00567164">
        <w:rPr>
          <w:b w:val="0"/>
          <w:sz w:val="20"/>
          <w:szCs w:val="20"/>
        </w:rPr>
        <w:t>of  enzyme</w:t>
      </w:r>
      <w:proofErr w:type="gramEnd"/>
      <w:r w:rsidR="00567164">
        <w:rPr>
          <w:b w:val="0"/>
          <w:sz w:val="20"/>
          <w:szCs w:val="20"/>
        </w:rPr>
        <w:t>,  among them</w:t>
      </w:r>
      <w:r w:rsidR="00867E88">
        <w:rPr>
          <w:b w:val="0"/>
          <w:sz w:val="20"/>
          <w:szCs w:val="20"/>
        </w:rPr>
        <w:t xml:space="preserve"> amylase enzyme, catalase enzyme</w:t>
      </w:r>
      <w:r w:rsidR="00567164">
        <w:rPr>
          <w:b w:val="0"/>
          <w:sz w:val="20"/>
          <w:szCs w:val="20"/>
        </w:rPr>
        <w:t xml:space="preserve"> and </w:t>
      </w:r>
      <w:r w:rsidR="005A62D5">
        <w:rPr>
          <w:b w:val="0"/>
          <w:sz w:val="20"/>
          <w:szCs w:val="20"/>
        </w:rPr>
        <w:t>polyphenol oxidase enzyme</w:t>
      </w:r>
      <w:r w:rsidR="00567164">
        <w:rPr>
          <w:b w:val="0"/>
          <w:sz w:val="20"/>
          <w:szCs w:val="20"/>
        </w:rPr>
        <w:t xml:space="preserve"> production  capabilities are examined here</w:t>
      </w:r>
      <w:r w:rsidR="005A62D5">
        <w:rPr>
          <w:b w:val="0"/>
          <w:sz w:val="20"/>
          <w:szCs w:val="20"/>
        </w:rPr>
        <w:t>.</w:t>
      </w:r>
      <w:r w:rsidR="00567164">
        <w:rPr>
          <w:b w:val="0"/>
          <w:sz w:val="20"/>
          <w:szCs w:val="20"/>
        </w:rPr>
        <w:t xml:space="preserve"> Study suggests</w:t>
      </w:r>
      <w:r w:rsidR="005A62D5">
        <w:rPr>
          <w:b w:val="0"/>
          <w:sz w:val="20"/>
          <w:szCs w:val="20"/>
        </w:rPr>
        <w:t xml:space="preserve"> </w:t>
      </w:r>
      <w:r w:rsidR="00567164">
        <w:rPr>
          <w:b w:val="0"/>
          <w:sz w:val="20"/>
          <w:szCs w:val="20"/>
        </w:rPr>
        <w:t>a</w:t>
      </w:r>
      <w:r w:rsidR="00DA7708">
        <w:rPr>
          <w:b w:val="0"/>
          <w:sz w:val="20"/>
          <w:szCs w:val="20"/>
        </w:rPr>
        <w:t xml:space="preserve">pplication of </w:t>
      </w:r>
      <w:r w:rsidR="00567164">
        <w:rPr>
          <w:b w:val="0"/>
          <w:sz w:val="20"/>
          <w:szCs w:val="20"/>
        </w:rPr>
        <w:t>more than one</w:t>
      </w:r>
      <w:r w:rsidR="005A62D5">
        <w:rPr>
          <w:b w:val="0"/>
          <w:sz w:val="20"/>
          <w:szCs w:val="20"/>
        </w:rPr>
        <w:t xml:space="preserve"> fung</w:t>
      </w:r>
      <w:r w:rsidR="00DA7708">
        <w:rPr>
          <w:b w:val="0"/>
          <w:sz w:val="20"/>
          <w:szCs w:val="20"/>
        </w:rPr>
        <w:t>al strains</w:t>
      </w:r>
      <w:r w:rsidR="00B103CF">
        <w:rPr>
          <w:b w:val="0"/>
          <w:sz w:val="20"/>
          <w:szCs w:val="20"/>
        </w:rPr>
        <w:t xml:space="preserve"> </w:t>
      </w:r>
      <w:r w:rsidR="00567164">
        <w:rPr>
          <w:b w:val="0"/>
          <w:sz w:val="20"/>
          <w:szCs w:val="20"/>
        </w:rPr>
        <w:t>together</w:t>
      </w:r>
      <w:r w:rsidR="00B103CF">
        <w:rPr>
          <w:b w:val="0"/>
          <w:sz w:val="20"/>
          <w:szCs w:val="20"/>
        </w:rPr>
        <w:t xml:space="preserve"> are effective to </w:t>
      </w:r>
      <w:r w:rsidR="00567164">
        <w:rPr>
          <w:b w:val="0"/>
          <w:sz w:val="20"/>
          <w:szCs w:val="20"/>
        </w:rPr>
        <w:t xml:space="preserve">agricultural </w:t>
      </w:r>
      <w:r w:rsidR="00B103CF">
        <w:rPr>
          <w:b w:val="0"/>
          <w:sz w:val="20"/>
          <w:szCs w:val="20"/>
        </w:rPr>
        <w:t>solid waste management and sustainable bioremediation technology for future generation.</w:t>
      </w:r>
    </w:p>
    <w:p w:rsidR="006833C0" w:rsidRDefault="006833C0" w:rsidP="004D1BD4">
      <w:pPr>
        <w:pStyle w:val="Abstract"/>
        <w:spacing w:after="0"/>
        <w:ind w:firstLine="720"/>
        <w:rPr>
          <w:b w:val="0"/>
          <w:sz w:val="20"/>
          <w:szCs w:val="20"/>
        </w:rPr>
      </w:pPr>
    </w:p>
    <w:p w:rsidR="004D1BD4" w:rsidRPr="00466548" w:rsidRDefault="004D1BD4" w:rsidP="004D1BD4">
      <w:pPr>
        <w:pStyle w:val="Abstract"/>
        <w:spacing w:after="0"/>
        <w:ind w:firstLine="72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4F6E9D">
        <w:rPr>
          <w:rFonts w:eastAsia="MS Mincho"/>
          <w:b w:val="0"/>
          <w:i w:val="0"/>
          <w:sz w:val="20"/>
          <w:szCs w:val="20"/>
        </w:rPr>
        <w:t>solid waste management</w:t>
      </w:r>
      <w:r w:rsidR="008A55B5" w:rsidRPr="00466548">
        <w:rPr>
          <w:rFonts w:eastAsia="MS Mincho"/>
          <w:b w:val="0"/>
          <w:i w:val="0"/>
          <w:sz w:val="20"/>
          <w:szCs w:val="20"/>
        </w:rPr>
        <w:t>;</w:t>
      </w:r>
      <w:r w:rsidR="00867E88">
        <w:rPr>
          <w:rFonts w:eastAsia="MS Mincho"/>
          <w:b w:val="0"/>
          <w:i w:val="0"/>
          <w:sz w:val="20"/>
          <w:szCs w:val="20"/>
        </w:rPr>
        <w:t>fungi;</w:t>
      </w:r>
      <w:r w:rsidR="00567164">
        <w:rPr>
          <w:rFonts w:eastAsia="MS Mincho"/>
          <w:b w:val="0"/>
          <w:i w:val="0"/>
          <w:sz w:val="20"/>
          <w:szCs w:val="20"/>
        </w:rPr>
        <w:t>agriculture,</w:t>
      </w:r>
      <w:r w:rsidR="0017007E">
        <w:rPr>
          <w:rFonts w:eastAsia="MS Mincho"/>
          <w:b w:val="0"/>
          <w:i w:val="0"/>
          <w:sz w:val="20"/>
          <w:szCs w:val="20"/>
        </w:rPr>
        <w:t xml:space="preserve"> phyllosphere</w:t>
      </w:r>
      <w:r w:rsidR="008A55B5" w:rsidRPr="00466548">
        <w:rPr>
          <w:rFonts w:eastAsia="MS Mincho"/>
          <w:b w:val="0"/>
          <w:i w:val="0"/>
          <w:sz w:val="20"/>
          <w:szCs w:val="20"/>
        </w:rPr>
        <w:t>;</w:t>
      </w:r>
      <w:r w:rsidR="0017007E">
        <w:rPr>
          <w:rFonts w:eastAsia="MS Mincho"/>
          <w:b w:val="0"/>
          <w:i w:val="0"/>
          <w:sz w:val="20"/>
          <w:szCs w:val="20"/>
        </w:rPr>
        <w:t xml:space="preserve"> bioremidiation</w:t>
      </w:r>
      <w:r w:rsidR="008A55B5" w:rsidRPr="00466548">
        <w:rPr>
          <w:rFonts w:eastAsia="MS Mincho"/>
          <w:b w:val="0"/>
          <w:i w:val="0"/>
          <w:sz w:val="20"/>
          <w:szCs w:val="20"/>
        </w:rPr>
        <w:t xml:space="preserve"> (key words)</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48384B" w:rsidRDefault="006B577B" w:rsidP="004C0377">
      <w:pPr>
        <w:pStyle w:val="BodyText"/>
        <w:rPr>
          <w:rFonts w:ascii="Arial" w:hAnsi="Arial" w:cs="Arial"/>
          <w:color w:val="222222"/>
          <w:shd w:val="clear" w:color="auto" w:fill="FFFFFF"/>
        </w:rPr>
      </w:pPr>
      <w:r>
        <w:tab/>
      </w:r>
      <w:r>
        <w:tab/>
      </w:r>
      <w:r w:rsidR="00A3074F">
        <w:t xml:space="preserve">Bioremediation is a </w:t>
      </w:r>
      <w:r w:rsidR="00C5784C">
        <w:t>good</w:t>
      </w:r>
      <w:r w:rsidR="00A3074F">
        <w:t xml:space="preserve"> solution for</w:t>
      </w:r>
      <w:r w:rsidR="00C5784C">
        <w:t xml:space="preserve"> solid waste management</w:t>
      </w:r>
      <w:r w:rsidR="006C228B">
        <w:t xml:space="preserve"> [1]</w:t>
      </w:r>
      <w:r w:rsidR="00C5784C">
        <w:t>. Across the globe</w:t>
      </w:r>
      <w:r w:rsidR="00A3074F">
        <w:t xml:space="preserve"> </w:t>
      </w:r>
      <w:r w:rsidR="00C5784C">
        <w:t>researchers are working to find out better to the best solution and remedial measures. This study also attempted to find out novel technology for solid waste degradation in a sustainable way.</w:t>
      </w:r>
      <w:r w:rsidR="00FC030A">
        <w:t xml:space="preserve"> In </w:t>
      </w:r>
      <w:r w:rsidR="00C5784C">
        <w:t>se</w:t>
      </w:r>
      <w:r w:rsidR="00CB41C1">
        <w:t>arch of novel strain</w:t>
      </w:r>
      <w:r w:rsidR="00FC030A">
        <w:t xml:space="preserve">, the mangrove forest of West Bengal is selected as that area has minimum interference of anthropogenic </w:t>
      </w:r>
      <w:r w:rsidR="006C228B">
        <w:t>activities, therefore</w:t>
      </w:r>
      <w:r w:rsidR="00FC030A">
        <w:t xml:space="preserve"> </w:t>
      </w:r>
      <w:r w:rsidR="006C228B">
        <w:t>possibilities to find out new strains of microbes are h</w:t>
      </w:r>
      <w:r w:rsidR="008C4D4F">
        <w:t xml:space="preserve">igher than any other area. Moreover, phyllo sphere microbiota (fungi) has given emphasis because </w:t>
      </w:r>
      <w:r w:rsidR="0048384B">
        <w:t>many researchers</w:t>
      </w:r>
      <w:r w:rsidR="008C4D4F">
        <w:t xml:space="preserve"> already worked </w:t>
      </w:r>
      <w:r w:rsidR="0048384B">
        <w:t>on</w:t>
      </w:r>
      <w:r w:rsidR="008C4D4F">
        <w:t xml:space="preserve"> rhizosphere </w:t>
      </w:r>
      <w:r w:rsidR="0048384B">
        <w:t>of mangroves, in comparison to</w:t>
      </w:r>
      <w:r w:rsidR="008C4D4F">
        <w:t xml:space="preserve"> that phyllo sphere is </w:t>
      </w:r>
      <w:r w:rsidR="0048384B">
        <w:t>less explored [2]</w:t>
      </w:r>
      <w:r w:rsidR="0048384B" w:rsidRPr="0048384B">
        <w:rPr>
          <w:rFonts w:ascii="Arial" w:hAnsi="Arial" w:cs="Arial"/>
          <w:color w:val="222222"/>
          <w:shd w:val="clear" w:color="auto" w:fill="FFFFFF"/>
        </w:rPr>
        <w:t>.</w:t>
      </w:r>
      <w:r w:rsidR="004C0377" w:rsidRPr="004C0377">
        <w:t xml:space="preserve"> </w:t>
      </w:r>
      <w:r w:rsidR="004C0377" w:rsidRPr="004C0377">
        <w:rPr>
          <w:color w:val="222222"/>
          <w:shd w:val="clear" w:color="auto" w:fill="FFFFFF"/>
        </w:rPr>
        <w:t>The microbial groups of leaves are varied and include many diverse species of bacteria, yeasts,</w:t>
      </w:r>
      <w:r w:rsidR="004C0377" w:rsidRPr="004C0377">
        <w:t xml:space="preserve"> </w:t>
      </w:r>
      <w:r w:rsidR="004C0377" w:rsidRPr="004C0377">
        <w:rPr>
          <w:color w:val="222222"/>
          <w:shd w:val="clear" w:color="auto" w:fill="FFFFFF"/>
        </w:rPr>
        <w:t>filamentous fungi, less commonly, protozoa and nematodes. Filamentous fungi are predominantly</w:t>
      </w:r>
      <w:r w:rsidR="004C0377" w:rsidRPr="004C0377">
        <w:t xml:space="preserve"> </w:t>
      </w:r>
      <w:r w:rsidR="004C0377" w:rsidRPr="004C0377">
        <w:rPr>
          <w:color w:val="222222"/>
          <w:shd w:val="clear" w:color="auto" w:fill="FFFFFF"/>
        </w:rPr>
        <w:t xml:space="preserve">considered transient inhabitants of leaf </w:t>
      </w:r>
      <w:r w:rsidR="00CC34EB" w:rsidRPr="004C0377">
        <w:rPr>
          <w:color w:val="222222"/>
          <w:shd w:val="clear" w:color="auto" w:fill="FFFFFF"/>
        </w:rPr>
        <w:t>surfaces</w:t>
      </w:r>
      <w:r w:rsidR="00CC34EB">
        <w:rPr>
          <w:color w:val="222222"/>
          <w:shd w:val="clear" w:color="auto" w:fill="FFFFFF"/>
        </w:rPr>
        <w:t xml:space="preserve"> [</w:t>
      </w:r>
      <w:r w:rsidR="008914DA">
        <w:rPr>
          <w:color w:val="222222"/>
          <w:shd w:val="clear" w:color="auto" w:fill="FFFFFF"/>
        </w:rPr>
        <w:t>3]</w:t>
      </w:r>
      <w:r w:rsidR="004C0377">
        <w:rPr>
          <w:color w:val="222222"/>
          <w:shd w:val="clear" w:color="auto" w:fill="FFFFFF"/>
        </w:rPr>
        <w:t>.</w:t>
      </w:r>
    </w:p>
    <w:p w:rsidR="0048384B" w:rsidRPr="00466548" w:rsidRDefault="0048384B" w:rsidP="00466548">
      <w:pPr>
        <w:pStyle w:val="BodyText"/>
        <w:spacing w:after="0" w:line="240" w:lineRule="auto"/>
        <w:ind w:firstLine="0"/>
      </w:pPr>
    </w:p>
    <w:p w:rsidR="008A55B5" w:rsidRPr="00402841" w:rsidRDefault="00CC34EB" w:rsidP="00466548">
      <w:pPr>
        <w:pStyle w:val="Heading1"/>
        <w:spacing w:before="0" w:after="0"/>
        <w:ind w:firstLine="0"/>
        <w:rPr>
          <w:rFonts w:eastAsia="MS Mincho"/>
        </w:rPr>
      </w:pPr>
      <w:r>
        <w:rPr>
          <w:rFonts w:ascii="Times New Roman" w:eastAsia="MS Mincho" w:hAnsi="Times New Roman"/>
          <w:sz w:val="20"/>
          <w:szCs w:val="20"/>
        </w:rPr>
        <w:t>Material &amp;Methods</w:t>
      </w:r>
    </w:p>
    <w:p w:rsidR="00466548" w:rsidRPr="00466548" w:rsidRDefault="00466548" w:rsidP="00466548">
      <w:pPr>
        <w:rPr>
          <w:rFonts w:eastAsia="MS Mincho"/>
        </w:rPr>
      </w:pPr>
    </w:p>
    <w:p w:rsidR="00767BF4" w:rsidRPr="00767BF4" w:rsidRDefault="00CC34EB" w:rsidP="00767BF4">
      <w:pPr>
        <w:pStyle w:val="Heading2"/>
        <w:spacing w:before="0" w:after="0"/>
        <w:ind w:left="0" w:firstLine="0"/>
        <w:rPr>
          <w:b/>
          <w:i w:val="0"/>
        </w:rPr>
      </w:pPr>
      <w:r>
        <w:rPr>
          <w:b/>
          <w:i w:val="0"/>
        </w:rPr>
        <w:t>Study site</w:t>
      </w:r>
    </w:p>
    <w:p w:rsidR="00767BF4" w:rsidRPr="006F2F23" w:rsidRDefault="006B577B" w:rsidP="00466548">
      <w:pPr>
        <w:pStyle w:val="BodyText"/>
        <w:spacing w:after="0" w:line="240" w:lineRule="auto"/>
        <w:ind w:firstLine="0"/>
        <w:rPr>
          <w:vertAlign w:val="superscript"/>
        </w:rPr>
      </w:pPr>
      <w:r>
        <w:tab/>
      </w:r>
      <w:r>
        <w:tab/>
      </w:r>
      <w:r w:rsidR="00CC34EB">
        <w:t xml:space="preserve">The coastal zone of West Bengal </w:t>
      </w:r>
      <w:r w:rsidR="006F2F23">
        <w:t>in the</w:t>
      </w:r>
      <w:r w:rsidR="00CC34EB">
        <w:t xml:space="preserve"> lower ‘Bengal Basin’</w:t>
      </w:r>
      <w:r w:rsidR="006F2F23">
        <w:t xml:space="preserve"> comprises of the district </w:t>
      </w:r>
      <w:proofErr w:type="spellStart"/>
      <w:r w:rsidR="006F2F23">
        <w:t>paraganas</w:t>
      </w:r>
      <w:proofErr w:type="spellEnd"/>
      <w:r w:rsidR="006F2F23">
        <w:t xml:space="preserve"> </w:t>
      </w:r>
      <w:r w:rsidR="00F54560">
        <w:t>both south</w:t>
      </w:r>
      <w:r w:rsidR="006F2F23">
        <w:t xml:space="preserve"> </w:t>
      </w:r>
      <w:r w:rsidR="00F54560">
        <w:t>and north</w:t>
      </w:r>
      <w:r w:rsidR="006F2F23">
        <w:t xml:space="preserve"> and partly</w:t>
      </w:r>
      <w:r w:rsidR="00A55FD5">
        <w:t xml:space="preserve"> </w:t>
      </w:r>
      <w:proofErr w:type="spellStart"/>
      <w:r w:rsidR="00A55FD5">
        <w:t>Medina</w:t>
      </w:r>
      <w:r w:rsidR="006F2F23">
        <w:t>pore</w:t>
      </w:r>
      <w:proofErr w:type="spellEnd"/>
      <w:r w:rsidR="00F54560">
        <w:t xml:space="preserve">, </w:t>
      </w:r>
      <w:r w:rsidR="00A55FD5">
        <w:t xml:space="preserve">which </w:t>
      </w:r>
      <w:r w:rsidR="006F2F23">
        <w:t>lies 73% area within W.B lie between longitude 86</w:t>
      </w:r>
      <w:r w:rsidR="006F2F23">
        <w:rPr>
          <w:vertAlign w:val="superscript"/>
        </w:rPr>
        <w:t xml:space="preserve">0 </w:t>
      </w:r>
      <w:r w:rsidR="006F2F23">
        <w:t>E &amp; 89</w:t>
      </w:r>
      <w:r w:rsidR="006F2F23">
        <w:rPr>
          <w:vertAlign w:val="superscript"/>
        </w:rPr>
        <w:t xml:space="preserve">0 </w:t>
      </w:r>
      <w:r w:rsidR="006F2F23" w:rsidRPr="006F2F23">
        <w:t>10</w:t>
      </w:r>
      <w:r w:rsidR="006F2F23">
        <w:rPr>
          <w:vertAlign w:val="superscript"/>
        </w:rPr>
        <w:t xml:space="preserve">’ </w:t>
      </w:r>
      <w:r w:rsidR="006F2F23">
        <w:t xml:space="preserve">E </w:t>
      </w:r>
      <w:r w:rsidR="00A55FD5">
        <w:t>and latitude</w:t>
      </w:r>
      <w:r w:rsidR="006F2F23">
        <w:t xml:space="preserve"> 21</w:t>
      </w:r>
      <w:r w:rsidR="006F2F23">
        <w:rPr>
          <w:vertAlign w:val="superscript"/>
        </w:rPr>
        <w:t>0</w:t>
      </w:r>
      <w:r w:rsidR="006F2F23" w:rsidRPr="006F2F23">
        <w:t>30</w:t>
      </w:r>
      <w:r w:rsidR="006F2F23">
        <w:t>’N to 22</w:t>
      </w:r>
      <w:r w:rsidR="006F2F23">
        <w:rPr>
          <w:vertAlign w:val="superscript"/>
        </w:rPr>
        <w:t>0</w:t>
      </w:r>
      <w:r w:rsidR="006F2F23" w:rsidRPr="006F2F23">
        <w:t>30</w:t>
      </w:r>
      <w:r w:rsidR="006F2F23">
        <w:t xml:space="preserve">’N. This entire mangrove habitat area is demarcated as the CRZ-1. Out of this region four regions are selected and </w:t>
      </w:r>
      <w:r w:rsidR="00F54560">
        <w:t>they are</w:t>
      </w:r>
      <w:r w:rsidR="006F2F23">
        <w:t xml:space="preserve"> </w:t>
      </w:r>
      <w:proofErr w:type="spellStart"/>
      <w:r w:rsidR="006F2F23">
        <w:t>Bakkhali</w:t>
      </w:r>
      <w:proofErr w:type="spellEnd"/>
      <w:r w:rsidR="006F2F23">
        <w:t xml:space="preserve">, </w:t>
      </w:r>
      <w:proofErr w:type="spellStart"/>
      <w:r w:rsidR="006F2F23">
        <w:t>Purandar</w:t>
      </w:r>
      <w:proofErr w:type="spellEnd"/>
      <w:r w:rsidR="006F2F23">
        <w:t xml:space="preserve">, </w:t>
      </w:r>
      <w:proofErr w:type="spellStart"/>
      <w:r w:rsidR="006F2F23">
        <w:t>Pakhiralaya</w:t>
      </w:r>
      <w:proofErr w:type="spellEnd"/>
      <w:r w:rsidR="006F2F23">
        <w:t xml:space="preserve"> and </w:t>
      </w:r>
      <w:proofErr w:type="spellStart"/>
      <w:r w:rsidR="006F2F23">
        <w:t>Gosaba</w:t>
      </w:r>
      <w:proofErr w:type="spellEnd"/>
      <w:r w:rsidR="006F2F23">
        <w:t>.</w:t>
      </w:r>
    </w:p>
    <w:p w:rsidR="004171C7" w:rsidRPr="00466548" w:rsidRDefault="004171C7" w:rsidP="00466548">
      <w:pPr>
        <w:pStyle w:val="BodyText"/>
        <w:spacing w:after="0" w:line="240" w:lineRule="auto"/>
        <w:ind w:firstLine="0"/>
      </w:pPr>
    </w:p>
    <w:p w:rsidR="00767BF4" w:rsidRPr="00767BF4" w:rsidRDefault="006F2F23" w:rsidP="00767BF4">
      <w:pPr>
        <w:pStyle w:val="Heading2"/>
        <w:spacing w:before="0" w:after="0"/>
        <w:ind w:left="0" w:firstLine="0"/>
        <w:rPr>
          <w:b/>
          <w:i w:val="0"/>
        </w:rPr>
      </w:pPr>
      <w:r>
        <w:rPr>
          <w:b/>
          <w:i w:val="0"/>
        </w:rPr>
        <w:lastRenderedPageBreak/>
        <w:t>Collection</w:t>
      </w:r>
      <w:r w:rsidR="00F54560">
        <w:rPr>
          <w:b/>
          <w:i w:val="0"/>
        </w:rPr>
        <w:t xml:space="preserve"> Procedure</w:t>
      </w:r>
    </w:p>
    <w:p w:rsidR="00767BF4" w:rsidRDefault="006B577B" w:rsidP="00466548">
      <w:pPr>
        <w:pStyle w:val="BodyText"/>
        <w:spacing w:after="0" w:line="240" w:lineRule="auto"/>
        <w:ind w:firstLine="0"/>
      </w:pPr>
      <w:r>
        <w:tab/>
      </w:r>
      <w:r>
        <w:tab/>
      </w:r>
      <w:r w:rsidR="00F54560">
        <w:t xml:space="preserve">Samples are collected by reaching the required location by boat and after an extensive walk from the intertidal virgin forest region mangrove leaves are collected. Appropriate foot wears are necessary to save foot from injuries. Throughout the year three times samples are collected to find out microbiological diversity. The plants selected for study are </w:t>
      </w:r>
      <w:proofErr w:type="spellStart"/>
      <w:r w:rsidR="00A55FD5">
        <w:rPr>
          <w:i/>
        </w:rPr>
        <w:t>Avicennia</w:t>
      </w:r>
      <w:proofErr w:type="spellEnd"/>
      <w:r w:rsidR="00A55FD5">
        <w:rPr>
          <w:i/>
        </w:rPr>
        <w:t xml:space="preserve"> </w:t>
      </w:r>
      <w:proofErr w:type="spellStart"/>
      <w:r w:rsidR="00A55FD5">
        <w:rPr>
          <w:i/>
        </w:rPr>
        <w:t>officinalis</w:t>
      </w:r>
      <w:proofErr w:type="spellEnd"/>
      <w:r w:rsidR="00A55FD5">
        <w:rPr>
          <w:i/>
        </w:rPr>
        <w:t xml:space="preserve">, </w:t>
      </w:r>
      <w:proofErr w:type="spellStart"/>
      <w:r w:rsidR="00F54560" w:rsidRPr="00073A96">
        <w:rPr>
          <w:i/>
        </w:rPr>
        <w:t>Exocaria</w:t>
      </w:r>
      <w:proofErr w:type="spellEnd"/>
      <w:r w:rsidR="00F54560" w:rsidRPr="00073A96">
        <w:rPr>
          <w:i/>
        </w:rPr>
        <w:t xml:space="preserve"> </w:t>
      </w:r>
      <w:proofErr w:type="spellStart"/>
      <w:r w:rsidR="00F54560" w:rsidRPr="00073A96">
        <w:rPr>
          <w:i/>
        </w:rPr>
        <w:t>agallocha</w:t>
      </w:r>
      <w:proofErr w:type="spellEnd"/>
      <w:r w:rsidR="00F54560" w:rsidRPr="00073A96">
        <w:rPr>
          <w:i/>
        </w:rPr>
        <w:t xml:space="preserve">, </w:t>
      </w:r>
      <w:proofErr w:type="spellStart"/>
      <w:r w:rsidR="00073A96" w:rsidRPr="00073A96">
        <w:rPr>
          <w:i/>
        </w:rPr>
        <w:t>Heritaria</w:t>
      </w:r>
      <w:proofErr w:type="spellEnd"/>
      <w:r w:rsidR="00073A96" w:rsidRPr="00073A96">
        <w:rPr>
          <w:i/>
        </w:rPr>
        <w:t xml:space="preserve"> globose, Acanthus </w:t>
      </w:r>
      <w:proofErr w:type="spellStart"/>
      <w:proofErr w:type="gramStart"/>
      <w:r w:rsidR="00073A96" w:rsidRPr="00073A96">
        <w:rPr>
          <w:i/>
        </w:rPr>
        <w:t>ilicifolius</w:t>
      </w:r>
      <w:proofErr w:type="spellEnd"/>
      <w:r w:rsidR="00073A96" w:rsidRPr="00073A96">
        <w:rPr>
          <w:i/>
        </w:rPr>
        <w:t xml:space="preserve">,  </w:t>
      </w:r>
      <w:proofErr w:type="spellStart"/>
      <w:r w:rsidR="008C0589">
        <w:rPr>
          <w:i/>
        </w:rPr>
        <w:t>Brugeria</w:t>
      </w:r>
      <w:proofErr w:type="spellEnd"/>
      <w:proofErr w:type="gramEnd"/>
      <w:r w:rsidR="008C0589">
        <w:rPr>
          <w:i/>
        </w:rPr>
        <w:t xml:space="preserve"> </w:t>
      </w:r>
      <w:proofErr w:type="spellStart"/>
      <w:r w:rsidR="008C0589">
        <w:rPr>
          <w:i/>
        </w:rPr>
        <w:t>gymnoriza</w:t>
      </w:r>
      <w:proofErr w:type="spellEnd"/>
      <w:r w:rsidR="008C0589">
        <w:rPr>
          <w:i/>
        </w:rPr>
        <w:t xml:space="preserve">, </w:t>
      </w:r>
      <w:proofErr w:type="spellStart"/>
      <w:r w:rsidR="00887196">
        <w:rPr>
          <w:i/>
        </w:rPr>
        <w:t>Xyllocarpus</w:t>
      </w:r>
      <w:proofErr w:type="spellEnd"/>
      <w:r w:rsidR="00887196">
        <w:rPr>
          <w:i/>
        </w:rPr>
        <w:t xml:space="preserve"> </w:t>
      </w:r>
      <w:proofErr w:type="spellStart"/>
      <w:r w:rsidR="00887196">
        <w:rPr>
          <w:i/>
        </w:rPr>
        <w:t>obovatus</w:t>
      </w:r>
      <w:proofErr w:type="spellEnd"/>
      <w:r w:rsidR="00887196">
        <w:rPr>
          <w:i/>
        </w:rPr>
        <w:t xml:space="preserve">, </w:t>
      </w:r>
      <w:proofErr w:type="spellStart"/>
      <w:r w:rsidR="00073A96" w:rsidRPr="00073A96">
        <w:rPr>
          <w:i/>
        </w:rPr>
        <w:t>Pseropsus</w:t>
      </w:r>
      <w:proofErr w:type="spellEnd"/>
      <w:r w:rsidR="00073A96" w:rsidRPr="00073A96">
        <w:rPr>
          <w:i/>
        </w:rPr>
        <w:t xml:space="preserve"> </w:t>
      </w:r>
      <w:proofErr w:type="spellStart"/>
      <w:r w:rsidR="00073A96" w:rsidRPr="00073A96">
        <w:rPr>
          <w:i/>
        </w:rPr>
        <w:t>decandrop</w:t>
      </w:r>
      <w:proofErr w:type="spellEnd"/>
      <w:r w:rsidR="00073A96" w:rsidRPr="00073A96">
        <w:rPr>
          <w:i/>
        </w:rPr>
        <w:t xml:space="preserve">, </w:t>
      </w:r>
      <w:proofErr w:type="spellStart"/>
      <w:r w:rsidR="00073A96">
        <w:rPr>
          <w:i/>
        </w:rPr>
        <w:t>S</w:t>
      </w:r>
      <w:r w:rsidR="00073A96" w:rsidRPr="00073A96">
        <w:rPr>
          <w:i/>
        </w:rPr>
        <w:t>onneratia</w:t>
      </w:r>
      <w:proofErr w:type="spellEnd"/>
      <w:r w:rsidR="00073A96" w:rsidRPr="00073A96">
        <w:rPr>
          <w:i/>
        </w:rPr>
        <w:t xml:space="preserve"> </w:t>
      </w:r>
      <w:proofErr w:type="spellStart"/>
      <w:r w:rsidR="00073A96" w:rsidRPr="00073A96">
        <w:rPr>
          <w:i/>
        </w:rPr>
        <w:t>apelata</w:t>
      </w:r>
      <w:proofErr w:type="spellEnd"/>
      <w:r w:rsidR="00073A96">
        <w:t>.</w:t>
      </w:r>
      <w:r w:rsidR="003B010C">
        <w:t xml:space="preserve"> </w:t>
      </w:r>
      <w:proofErr w:type="spellStart"/>
      <w:r w:rsidR="003B010C">
        <w:t>Phyllosphere</w:t>
      </w:r>
      <w:proofErr w:type="spellEnd"/>
      <w:r w:rsidR="003B010C">
        <w:t xml:space="preserve"> is </w:t>
      </w:r>
      <w:r w:rsidR="00887196">
        <w:t>occupied with</w:t>
      </w:r>
      <w:r w:rsidR="003B010C">
        <w:t xml:space="preserve"> various types of </w:t>
      </w:r>
      <w:r w:rsidR="00887196">
        <w:t>microbes but</w:t>
      </w:r>
      <w:r w:rsidR="003B010C">
        <w:t xml:space="preserve"> this study mainly emphasis on </w:t>
      </w:r>
      <w:r w:rsidR="00887196">
        <w:t xml:space="preserve">fungus. Imprint has </w:t>
      </w:r>
      <w:r w:rsidR="001F0D2B">
        <w:t>taken from dorsal and</w:t>
      </w:r>
      <w:r w:rsidR="00887196">
        <w:t xml:space="preserve"> </w:t>
      </w:r>
      <w:r w:rsidR="001F0D2B">
        <w:t>ventral surface</w:t>
      </w:r>
      <w:r w:rsidR="00887196">
        <w:t xml:space="preserve"> of the leaves and it </w:t>
      </w:r>
      <w:r w:rsidR="001F0D2B">
        <w:t>is allowed</w:t>
      </w:r>
      <w:r w:rsidR="00887196">
        <w:t xml:space="preserve"> to</w:t>
      </w:r>
      <w:r w:rsidR="001F0D2B">
        <w:t xml:space="preserve"> grow in PDA (Potato Dextrose Agar) medium.</w:t>
      </w:r>
    </w:p>
    <w:p w:rsidR="001F0D2B" w:rsidRPr="00466548" w:rsidRDefault="001F0D2B" w:rsidP="00466548">
      <w:pPr>
        <w:pStyle w:val="BodyText"/>
        <w:spacing w:after="0" w:line="240" w:lineRule="auto"/>
        <w:ind w:firstLine="0"/>
      </w:pPr>
    </w:p>
    <w:p w:rsidR="008A55B5" w:rsidRPr="00402841" w:rsidRDefault="001F0D2B" w:rsidP="00466548">
      <w:pPr>
        <w:pStyle w:val="Heading1"/>
        <w:spacing w:before="0" w:after="0"/>
        <w:ind w:firstLine="0"/>
        <w:rPr>
          <w:rFonts w:eastAsia="MS Mincho"/>
        </w:rPr>
      </w:pPr>
      <w:r>
        <w:rPr>
          <w:rFonts w:ascii="Times New Roman" w:eastAsia="MS Mincho" w:hAnsi="Times New Roman"/>
          <w:sz w:val="20"/>
          <w:szCs w:val="20"/>
        </w:rPr>
        <w:t>RESULT</w:t>
      </w:r>
    </w:p>
    <w:p w:rsidR="00431C81" w:rsidRPr="00767BF4" w:rsidRDefault="00431C81" w:rsidP="00431C81">
      <w:pPr>
        <w:pStyle w:val="Heading2"/>
        <w:numPr>
          <w:ilvl w:val="1"/>
          <w:numId w:val="4"/>
        </w:numPr>
        <w:tabs>
          <w:tab w:val="clear" w:pos="360"/>
          <w:tab w:val="num" w:pos="288"/>
        </w:tabs>
        <w:spacing w:before="0" w:after="0"/>
        <w:ind w:left="0" w:firstLine="0"/>
        <w:rPr>
          <w:b/>
          <w:i w:val="0"/>
        </w:rPr>
      </w:pPr>
      <w:r>
        <w:rPr>
          <w:b/>
          <w:i w:val="0"/>
        </w:rPr>
        <w:t>Result of  Fungal Spectrum Study</w:t>
      </w:r>
    </w:p>
    <w:p w:rsidR="00767BF4" w:rsidRPr="00767BF4" w:rsidRDefault="00767BF4" w:rsidP="00767BF4">
      <w:pPr>
        <w:rPr>
          <w:rFonts w:eastAsia="MS Mincho"/>
        </w:rPr>
      </w:pPr>
    </w:p>
    <w:p w:rsidR="008A55B5" w:rsidRPr="00417B85" w:rsidRDefault="001F0D2B" w:rsidP="001F0D2B">
      <w:pPr>
        <w:pStyle w:val="BodyText"/>
        <w:spacing w:after="0" w:line="240" w:lineRule="auto"/>
        <w:ind w:firstLine="0"/>
      </w:pPr>
      <w:r>
        <w:t xml:space="preserve">The study reveals </w:t>
      </w:r>
      <w:r w:rsidR="002C3357">
        <w:t>the biological spectrum</w:t>
      </w:r>
      <w:r>
        <w:t xml:space="preserve"> or microbial colony</w:t>
      </w:r>
      <w:r w:rsidR="005C3874">
        <w:t xml:space="preserve"> differs </w:t>
      </w:r>
      <w:r w:rsidR="002C3357">
        <w:t>from one</w:t>
      </w:r>
      <w:r w:rsidR="005C3874">
        <w:t xml:space="preserve"> leave </w:t>
      </w:r>
      <w:r w:rsidR="002C3357">
        <w:t>to another</w:t>
      </w:r>
      <w:r w:rsidR="005C3874">
        <w:t xml:space="preserve"> within same species of plant, even it </w:t>
      </w:r>
      <w:r w:rsidR="002C3357">
        <w:t>differs</w:t>
      </w:r>
      <w:r w:rsidR="005C3874">
        <w:t xml:space="preserve"> </w:t>
      </w:r>
      <w:r w:rsidR="002C3357">
        <w:t>from dorsal surface</w:t>
      </w:r>
      <w:r w:rsidR="005C3874">
        <w:t xml:space="preserve"> of leaves </w:t>
      </w:r>
      <w:r w:rsidR="002C3357">
        <w:t>to ventral surface</w:t>
      </w:r>
      <w:r w:rsidR="005C3874">
        <w:t xml:space="preserve"> </w:t>
      </w:r>
      <w:r w:rsidR="002C3357">
        <w:t>of leaf</w:t>
      </w:r>
      <w:r w:rsidR="005C3874">
        <w:t>.</w:t>
      </w:r>
      <w:r w:rsidR="002C3357">
        <w:t xml:space="preserve"> In </w:t>
      </w:r>
      <w:proofErr w:type="spellStart"/>
      <w:proofErr w:type="gramStart"/>
      <w:r w:rsidR="002C3357" w:rsidRPr="002C3357">
        <w:rPr>
          <w:i/>
        </w:rPr>
        <w:t>Accanthus</w:t>
      </w:r>
      <w:proofErr w:type="spellEnd"/>
      <w:r w:rsidR="002C3357" w:rsidRPr="002C3357">
        <w:rPr>
          <w:i/>
        </w:rPr>
        <w:t xml:space="preserve">  </w:t>
      </w:r>
      <w:proofErr w:type="spellStart"/>
      <w:r w:rsidR="002C3357" w:rsidRPr="002C3357">
        <w:rPr>
          <w:i/>
        </w:rPr>
        <w:t>illicifolius</w:t>
      </w:r>
      <w:proofErr w:type="spellEnd"/>
      <w:proofErr w:type="gramEnd"/>
      <w:r w:rsidR="002C3357">
        <w:t xml:space="preserve">  highest biological spectrum is 7.54%  Aspergillus versicolor and lowest is </w:t>
      </w:r>
      <w:r w:rsidR="002C3357" w:rsidRPr="00B45C64">
        <w:rPr>
          <w:i/>
        </w:rPr>
        <w:t xml:space="preserve">Aspergillus </w:t>
      </w:r>
      <w:proofErr w:type="spellStart"/>
      <w:r w:rsidR="002C3357" w:rsidRPr="00B45C64">
        <w:rPr>
          <w:i/>
        </w:rPr>
        <w:t>niger</w:t>
      </w:r>
      <w:proofErr w:type="spellEnd"/>
      <w:r w:rsidR="002C3357">
        <w:t xml:space="preserve"> (1.749%</w:t>
      </w:r>
      <w:r w:rsidR="00B45C64">
        <w:t xml:space="preserve">) </w:t>
      </w:r>
      <w:r w:rsidR="002C3357">
        <w:t>during  winter</w:t>
      </w:r>
      <w:r w:rsidR="00B45C64">
        <w:t xml:space="preserve"> season.</w:t>
      </w:r>
      <w:r w:rsidR="00373AE6">
        <w:t xml:space="preserve"> </w:t>
      </w:r>
      <w:r w:rsidR="004B588A">
        <w:t>In three</w:t>
      </w:r>
      <w:r w:rsidR="00373AE6">
        <w:t xml:space="preserve"> </w:t>
      </w:r>
      <w:r w:rsidR="004B588A">
        <w:t>different season</w:t>
      </w:r>
      <w:r w:rsidR="00373AE6">
        <w:t xml:space="preserve"> </w:t>
      </w:r>
      <w:r w:rsidR="00431C81">
        <w:t>overall 14 different</w:t>
      </w:r>
      <w:r w:rsidR="00373AE6">
        <w:t xml:space="preserve"> fungal </w:t>
      </w:r>
      <w:r w:rsidR="004B588A">
        <w:t xml:space="preserve">population </w:t>
      </w:r>
      <w:r w:rsidR="00431C81">
        <w:t xml:space="preserve">were grown </w:t>
      </w:r>
      <w:r w:rsidR="00327A21">
        <w:t>and they are</w:t>
      </w:r>
      <w:r w:rsidR="00431C81">
        <w:t>:</w:t>
      </w:r>
      <w:r w:rsidR="004B588A">
        <w:t xml:space="preserve"> </w:t>
      </w:r>
      <w:r w:rsidR="004B588A" w:rsidRPr="00795312">
        <w:rPr>
          <w:i/>
        </w:rPr>
        <w:t xml:space="preserve">Aspergillus versicolor, </w:t>
      </w:r>
      <w:proofErr w:type="spellStart"/>
      <w:proofErr w:type="gramStart"/>
      <w:r w:rsidR="00FD1CBE">
        <w:rPr>
          <w:i/>
        </w:rPr>
        <w:t>A.</w:t>
      </w:r>
      <w:r w:rsidR="004B588A" w:rsidRPr="00795312">
        <w:rPr>
          <w:i/>
        </w:rPr>
        <w:t>niger</w:t>
      </w:r>
      <w:proofErr w:type="spellEnd"/>
      <w:proofErr w:type="gramEnd"/>
      <w:r w:rsidR="004B588A" w:rsidRPr="00795312">
        <w:rPr>
          <w:i/>
        </w:rPr>
        <w:t xml:space="preserve">, A. </w:t>
      </w:r>
      <w:proofErr w:type="spellStart"/>
      <w:r w:rsidR="004B588A" w:rsidRPr="00795312">
        <w:rPr>
          <w:i/>
        </w:rPr>
        <w:t>nidulas</w:t>
      </w:r>
      <w:proofErr w:type="spellEnd"/>
      <w:r w:rsidR="004B588A" w:rsidRPr="00795312">
        <w:rPr>
          <w:i/>
        </w:rPr>
        <w:t xml:space="preserve">, A. </w:t>
      </w:r>
      <w:proofErr w:type="spellStart"/>
      <w:r w:rsidR="004B588A" w:rsidRPr="00795312">
        <w:rPr>
          <w:i/>
        </w:rPr>
        <w:t>flavus</w:t>
      </w:r>
      <w:proofErr w:type="spellEnd"/>
      <w:r w:rsidR="004B588A" w:rsidRPr="00795312">
        <w:rPr>
          <w:i/>
        </w:rPr>
        <w:t>,</w:t>
      </w:r>
      <w:r w:rsidR="00B5628C">
        <w:rPr>
          <w:i/>
        </w:rPr>
        <w:t xml:space="preserve"> </w:t>
      </w:r>
      <w:proofErr w:type="spellStart"/>
      <w:r w:rsidR="00B5628C">
        <w:rPr>
          <w:i/>
        </w:rPr>
        <w:t>A.ochraceous</w:t>
      </w:r>
      <w:proofErr w:type="spellEnd"/>
      <w:r w:rsidR="00795312" w:rsidRPr="00795312">
        <w:rPr>
          <w:i/>
        </w:rPr>
        <w:t xml:space="preserve">, </w:t>
      </w:r>
      <w:proofErr w:type="spellStart"/>
      <w:r w:rsidR="00795312" w:rsidRPr="00795312">
        <w:rPr>
          <w:i/>
        </w:rPr>
        <w:t>Pyricularia</w:t>
      </w:r>
      <w:proofErr w:type="spellEnd"/>
      <w:r w:rsidR="00795312" w:rsidRPr="00795312">
        <w:rPr>
          <w:i/>
        </w:rPr>
        <w:t xml:space="preserve">, </w:t>
      </w:r>
      <w:proofErr w:type="spellStart"/>
      <w:r w:rsidR="00795312" w:rsidRPr="00795312">
        <w:rPr>
          <w:i/>
        </w:rPr>
        <w:t>Penicillium</w:t>
      </w:r>
      <w:proofErr w:type="spellEnd"/>
      <w:r w:rsidR="00795312" w:rsidRPr="00795312">
        <w:rPr>
          <w:i/>
        </w:rPr>
        <w:t xml:space="preserve"> </w:t>
      </w:r>
      <w:proofErr w:type="spellStart"/>
      <w:r w:rsidR="00795312" w:rsidRPr="00795312">
        <w:rPr>
          <w:i/>
        </w:rPr>
        <w:t>expansum</w:t>
      </w:r>
      <w:proofErr w:type="spellEnd"/>
      <w:r w:rsidR="00795312" w:rsidRPr="00795312">
        <w:rPr>
          <w:i/>
        </w:rPr>
        <w:t xml:space="preserve">, </w:t>
      </w:r>
      <w:proofErr w:type="spellStart"/>
      <w:r w:rsidR="00795312" w:rsidRPr="00795312">
        <w:rPr>
          <w:i/>
        </w:rPr>
        <w:t>Penicillium</w:t>
      </w:r>
      <w:proofErr w:type="spellEnd"/>
      <w:r w:rsidR="00795312" w:rsidRPr="00795312">
        <w:rPr>
          <w:i/>
        </w:rPr>
        <w:t xml:space="preserve"> </w:t>
      </w:r>
      <w:proofErr w:type="spellStart"/>
      <w:r w:rsidR="00795312" w:rsidRPr="00795312">
        <w:rPr>
          <w:i/>
        </w:rPr>
        <w:t>funiculosum</w:t>
      </w:r>
      <w:proofErr w:type="spellEnd"/>
      <w:r w:rsidR="00795312" w:rsidRPr="00795312">
        <w:rPr>
          <w:i/>
        </w:rPr>
        <w:t xml:space="preserve">,  </w:t>
      </w:r>
      <w:proofErr w:type="spellStart"/>
      <w:r w:rsidR="00795312" w:rsidRPr="00795312">
        <w:rPr>
          <w:i/>
        </w:rPr>
        <w:t>Chacotonium</w:t>
      </w:r>
      <w:proofErr w:type="spellEnd"/>
      <w:r w:rsidR="00795312" w:rsidRPr="00795312">
        <w:rPr>
          <w:i/>
        </w:rPr>
        <w:t xml:space="preserve"> </w:t>
      </w:r>
      <w:proofErr w:type="spellStart"/>
      <w:r w:rsidR="00795312" w:rsidRPr="00795312">
        <w:rPr>
          <w:i/>
        </w:rPr>
        <w:t>globesum</w:t>
      </w:r>
      <w:proofErr w:type="spellEnd"/>
      <w:r w:rsidR="00795312" w:rsidRPr="00795312">
        <w:rPr>
          <w:i/>
        </w:rPr>
        <w:t>,</w:t>
      </w:r>
      <w:r w:rsidR="00B5628C">
        <w:rPr>
          <w:i/>
        </w:rPr>
        <w:t xml:space="preserve">  </w:t>
      </w:r>
      <w:proofErr w:type="spellStart"/>
      <w:r w:rsidR="00B5628C">
        <w:rPr>
          <w:i/>
        </w:rPr>
        <w:t>Mucor</w:t>
      </w:r>
      <w:proofErr w:type="spellEnd"/>
      <w:r w:rsidR="00B5628C">
        <w:rPr>
          <w:i/>
        </w:rPr>
        <w:t xml:space="preserve"> </w:t>
      </w:r>
      <w:proofErr w:type="spellStart"/>
      <w:r w:rsidR="00B5628C">
        <w:rPr>
          <w:i/>
        </w:rPr>
        <w:t>racemosus</w:t>
      </w:r>
      <w:proofErr w:type="spellEnd"/>
      <w:r w:rsidR="00B5628C">
        <w:rPr>
          <w:i/>
        </w:rPr>
        <w:t xml:space="preserve">, </w:t>
      </w:r>
      <w:proofErr w:type="spellStart"/>
      <w:r w:rsidR="00B5628C">
        <w:rPr>
          <w:i/>
        </w:rPr>
        <w:t>Fusarium</w:t>
      </w:r>
      <w:proofErr w:type="spellEnd"/>
      <w:r w:rsidR="00417B85">
        <w:rPr>
          <w:i/>
        </w:rPr>
        <w:t xml:space="preserve"> </w:t>
      </w:r>
      <w:proofErr w:type="spellStart"/>
      <w:r w:rsidR="00417B85">
        <w:rPr>
          <w:i/>
        </w:rPr>
        <w:t>sp</w:t>
      </w:r>
      <w:proofErr w:type="spellEnd"/>
      <w:r w:rsidR="00B5628C">
        <w:rPr>
          <w:i/>
        </w:rPr>
        <w:t xml:space="preserve">, </w:t>
      </w:r>
      <w:proofErr w:type="spellStart"/>
      <w:r w:rsidR="00B5628C">
        <w:rPr>
          <w:i/>
        </w:rPr>
        <w:t>Helminthosporium</w:t>
      </w:r>
      <w:proofErr w:type="spellEnd"/>
      <w:r w:rsidR="00B5628C">
        <w:rPr>
          <w:i/>
        </w:rPr>
        <w:t xml:space="preserve"> </w:t>
      </w:r>
      <w:proofErr w:type="spellStart"/>
      <w:r w:rsidR="00B5628C">
        <w:rPr>
          <w:i/>
        </w:rPr>
        <w:t>expansum</w:t>
      </w:r>
      <w:proofErr w:type="spellEnd"/>
      <w:r w:rsidR="00417B85">
        <w:rPr>
          <w:i/>
        </w:rPr>
        <w:t xml:space="preserve">. </w:t>
      </w:r>
      <w:r w:rsidR="00417B85" w:rsidRPr="00417B85">
        <w:t>Out of</w:t>
      </w:r>
      <w:r w:rsidR="00417B85">
        <w:rPr>
          <w:i/>
        </w:rPr>
        <w:t xml:space="preserve"> </w:t>
      </w:r>
      <w:r w:rsidR="00417B85">
        <w:t>these 14 fungi,</w:t>
      </w:r>
      <w:r w:rsidR="00417B85" w:rsidRPr="00417B85">
        <w:rPr>
          <w:i/>
        </w:rPr>
        <w:t xml:space="preserve"> </w:t>
      </w:r>
      <w:proofErr w:type="spellStart"/>
      <w:r w:rsidR="00786701" w:rsidRPr="00795312">
        <w:rPr>
          <w:i/>
        </w:rPr>
        <w:t>Alternaria</w:t>
      </w:r>
      <w:proofErr w:type="spellEnd"/>
      <w:r w:rsidR="00786701" w:rsidRPr="00795312">
        <w:rPr>
          <w:i/>
        </w:rPr>
        <w:t xml:space="preserve"> alternate</w:t>
      </w:r>
      <w:r w:rsidR="00786701">
        <w:rPr>
          <w:i/>
        </w:rPr>
        <w:t xml:space="preserve">, </w:t>
      </w:r>
      <w:proofErr w:type="spellStart"/>
      <w:r w:rsidR="00417B85">
        <w:rPr>
          <w:i/>
        </w:rPr>
        <w:t>Fusarium</w:t>
      </w:r>
      <w:proofErr w:type="spellEnd"/>
      <w:r w:rsidR="00417B85">
        <w:rPr>
          <w:i/>
        </w:rPr>
        <w:t xml:space="preserve"> </w:t>
      </w:r>
      <w:proofErr w:type="spellStart"/>
      <w:r w:rsidR="00417B85">
        <w:rPr>
          <w:i/>
        </w:rPr>
        <w:t>sp</w:t>
      </w:r>
      <w:proofErr w:type="spellEnd"/>
      <w:r w:rsidR="00417B85">
        <w:rPr>
          <w:i/>
        </w:rPr>
        <w:t>,</w:t>
      </w:r>
      <w:r w:rsidR="00E25D35" w:rsidRPr="00E25D35">
        <w:rPr>
          <w:i/>
        </w:rPr>
        <w:t xml:space="preserve"> </w:t>
      </w:r>
      <w:proofErr w:type="spellStart"/>
      <w:r w:rsidR="00E25D35" w:rsidRPr="00795312">
        <w:rPr>
          <w:i/>
        </w:rPr>
        <w:t>Pyricularia</w:t>
      </w:r>
      <w:proofErr w:type="spellEnd"/>
      <w:r w:rsidR="00E25D35">
        <w:rPr>
          <w:i/>
        </w:rPr>
        <w:t>,</w:t>
      </w:r>
      <w:r w:rsidR="00417B85">
        <w:rPr>
          <w:i/>
        </w:rPr>
        <w:t xml:space="preserve"> </w:t>
      </w:r>
      <w:proofErr w:type="spellStart"/>
      <w:r w:rsidR="00417B85">
        <w:rPr>
          <w:i/>
        </w:rPr>
        <w:t>Helminthosporium</w:t>
      </w:r>
      <w:proofErr w:type="spellEnd"/>
      <w:r w:rsidR="00417B85">
        <w:rPr>
          <w:i/>
        </w:rPr>
        <w:t xml:space="preserve"> </w:t>
      </w:r>
      <w:proofErr w:type="spellStart"/>
      <w:r w:rsidR="00417B85">
        <w:rPr>
          <w:i/>
        </w:rPr>
        <w:t>expansum</w:t>
      </w:r>
      <w:proofErr w:type="spellEnd"/>
      <w:r w:rsidR="00417B85">
        <w:rPr>
          <w:i/>
        </w:rPr>
        <w:t xml:space="preserve"> </w:t>
      </w:r>
      <w:r w:rsidR="000762C8">
        <w:t xml:space="preserve">are pathogenic fungus </w:t>
      </w:r>
      <w:r w:rsidR="00E25D35">
        <w:t>[4]</w:t>
      </w:r>
      <w:proofErr w:type="gramStart"/>
      <w:r w:rsidR="00E25D35">
        <w:t>-[</w:t>
      </w:r>
      <w:proofErr w:type="gramEnd"/>
      <w:r w:rsidR="00E25D35">
        <w:t>6</w:t>
      </w:r>
      <w:r w:rsidR="000762C8">
        <w:t>]</w:t>
      </w:r>
      <w:r w:rsidR="00E25D35">
        <w:t xml:space="preserve"> so </w:t>
      </w:r>
      <w:r w:rsidR="00895F4B">
        <w:t xml:space="preserve">these </w:t>
      </w:r>
      <w:r w:rsidR="00E25D35">
        <w:t>four</w:t>
      </w:r>
      <w:r w:rsidR="00417B85" w:rsidRPr="00417B85">
        <w:t xml:space="preserve"> are not considered for  enzyme assay. The </w:t>
      </w:r>
      <w:r w:rsidR="00417B85">
        <w:t>result of enzyme assay is tabulated in Table-1.</w:t>
      </w:r>
    </w:p>
    <w:p w:rsidR="00431C81" w:rsidRPr="00417B85" w:rsidRDefault="00431C81" w:rsidP="00417B85">
      <w:pPr>
        <w:pStyle w:val="Heading2"/>
        <w:numPr>
          <w:ilvl w:val="1"/>
          <w:numId w:val="4"/>
        </w:numPr>
        <w:tabs>
          <w:tab w:val="clear" w:pos="360"/>
          <w:tab w:val="num" w:pos="288"/>
        </w:tabs>
        <w:spacing w:before="0" w:after="0"/>
        <w:ind w:left="0" w:firstLine="0"/>
        <w:rPr>
          <w:b/>
          <w:i w:val="0"/>
        </w:rPr>
      </w:pPr>
      <w:r>
        <w:rPr>
          <w:b/>
          <w:i w:val="0"/>
        </w:rPr>
        <w:t>Result of  Enzyme Assay Study</w:t>
      </w:r>
    </w:p>
    <w:p w:rsidR="00431C81" w:rsidRPr="000B5B2F" w:rsidRDefault="00431C81" w:rsidP="00431C81">
      <w:pPr>
        <w:pStyle w:val="Heading3"/>
        <w:numPr>
          <w:ilvl w:val="0"/>
          <w:numId w:val="0"/>
        </w:numPr>
        <w:spacing w:line="240" w:lineRule="auto"/>
        <w:jc w:val="center"/>
        <w:rPr>
          <w:b/>
          <w:i w:val="0"/>
        </w:rPr>
      </w:pPr>
      <w:r w:rsidRPr="000B5B2F">
        <w:rPr>
          <w:b/>
          <w:i w:val="0"/>
        </w:rPr>
        <w:t xml:space="preserve">Table 1: </w:t>
      </w:r>
      <w:r w:rsidR="00536706">
        <w:rPr>
          <w:b/>
          <w:i w:val="0"/>
        </w:rPr>
        <w:t>Quantitative Enzyme Assay Result</w:t>
      </w:r>
    </w:p>
    <w:tbl>
      <w:tblPr>
        <w:tblW w:w="6804" w:type="dxa"/>
        <w:tblInd w:w="138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43"/>
        <w:gridCol w:w="992"/>
        <w:gridCol w:w="709"/>
        <w:gridCol w:w="850"/>
        <w:gridCol w:w="709"/>
        <w:gridCol w:w="851"/>
        <w:gridCol w:w="850"/>
      </w:tblGrid>
      <w:tr w:rsidR="009B2D82" w:rsidRPr="00466548" w:rsidTr="00891B34">
        <w:trPr>
          <w:trHeight w:val="102"/>
        </w:trPr>
        <w:tc>
          <w:tcPr>
            <w:tcW w:w="1843" w:type="dxa"/>
            <w:vMerge w:val="restart"/>
            <w:vAlign w:val="center"/>
          </w:tcPr>
          <w:p w:rsidR="009B2D82" w:rsidRPr="00417B85" w:rsidRDefault="009B2D82" w:rsidP="00B77139">
            <w:pPr>
              <w:pStyle w:val="tablecopy"/>
              <w:rPr>
                <w:b/>
                <w:i/>
                <w:sz w:val="18"/>
                <w:szCs w:val="18"/>
              </w:rPr>
            </w:pPr>
            <w:r w:rsidRPr="00417B85">
              <w:rPr>
                <w:b/>
                <w:i/>
                <w:sz w:val="18"/>
                <w:szCs w:val="18"/>
              </w:rPr>
              <w:t>Name of Fungus</w:t>
            </w:r>
          </w:p>
        </w:tc>
        <w:tc>
          <w:tcPr>
            <w:tcW w:w="4961" w:type="dxa"/>
            <w:gridSpan w:val="6"/>
          </w:tcPr>
          <w:p w:rsidR="009B2D82" w:rsidRPr="00417B85" w:rsidRDefault="009B2D82" w:rsidP="00B77139">
            <w:pPr>
              <w:rPr>
                <w:b/>
                <w:sz w:val="18"/>
                <w:szCs w:val="18"/>
              </w:rPr>
            </w:pPr>
            <w:r w:rsidRPr="00417B85">
              <w:rPr>
                <w:b/>
                <w:sz w:val="18"/>
                <w:szCs w:val="18"/>
              </w:rPr>
              <w:t>Name of Enzymes</w:t>
            </w:r>
          </w:p>
        </w:tc>
      </w:tr>
      <w:tr w:rsidR="009B2D82" w:rsidRPr="00466548" w:rsidTr="00891B34">
        <w:trPr>
          <w:trHeight w:val="102"/>
        </w:trPr>
        <w:tc>
          <w:tcPr>
            <w:tcW w:w="1843" w:type="dxa"/>
            <w:vMerge/>
            <w:vAlign w:val="center"/>
          </w:tcPr>
          <w:p w:rsidR="009B2D82" w:rsidRPr="00417B85" w:rsidRDefault="009B2D82" w:rsidP="009B2D82">
            <w:pPr>
              <w:pStyle w:val="tablecopy"/>
              <w:rPr>
                <w:b/>
                <w:i/>
                <w:sz w:val="18"/>
                <w:szCs w:val="18"/>
              </w:rPr>
            </w:pPr>
          </w:p>
        </w:tc>
        <w:tc>
          <w:tcPr>
            <w:tcW w:w="1701" w:type="dxa"/>
            <w:gridSpan w:val="2"/>
          </w:tcPr>
          <w:p w:rsidR="009B2D82" w:rsidRPr="00417B85" w:rsidRDefault="009B2D82" w:rsidP="009B2D82">
            <w:pPr>
              <w:pStyle w:val="tablecopy"/>
              <w:rPr>
                <w:b/>
                <w:i/>
                <w:sz w:val="18"/>
                <w:szCs w:val="18"/>
              </w:rPr>
            </w:pPr>
            <w:r w:rsidRPr="00417B85">
              <w:rPr>
                <w:b/>
                <w:i/>
                <w:sz w:val="18"/>
                <w:szCs w:val="18"/>
              </w:rPr>
              <w:t>Amylase (mg/ml)</w:t>
            </w:r>
          </w:p>
        </w:tc>
        <w:tc>
          <w:tcPr>
            <w:tcW w:w="1559" w:type="dxa"/>
            <w:gridSpan w:val="2"/>
          </w:tcPr>
          <w:p w:rsidR="00891B34" w:rsidRPr="00417B85" w:rsidRDefault="00891B34" w:rsidP="009B2D82">
            <w:pPr>
              <w:pStyle w:val="tablecopy"/>
              <w:rPr>
                <w:b/>
                <w:i/>
                <w:sz w:val="18"/>
                <w:szCs w:val="18"/>
              </w:rPr>
            </w:pPr>
            <w:r w:rsidRPr="00417B85">
              <w:rPr>
                <w:b/>
                <w:i/>
                <w:sz w:val="18"/>
                <w:szCs w:val="18"/>
              </w:rPr>
              <w:t>Catalase</w:t>
            </w:r>
          </w:p>
          <w:p w:rsidR="009B2D82" w:rsidRPr="00417B85" w:rsidRDefault="00891B34" w:rsidP="009B2D82">
            <w:pPr>
              <w:pStyle w:val="tablecopy"/>
              <w:rPr>
                <w:b/>
                <w:i/>
                <w:sz w:val="18"/>
                <w:szCs w:val="18"/>
              </w:rPr>
            </w:pPr>
            <w:r w:rsidRPr="00417B85">
              <w:rPr>
                <w:b/>
                <w:i/>
                <w:sz w:val="18"/>
                <w:szCs w:val="18"/>
              </w:rPr>
              <w:t>(mg/ml)</w:t>
            </w:r>
          </w:p>
        </w:tc>
        <w:tc>
          <w:tcPr>
            <w:tcW w:w="1701" w:type="dxa"/>
            <w:gridSpan w:val="2"/>
            <w:vAlign w:val="center"/>
          </w:tcPr>
          <w:p w:rsidR="009B2D82" w:rsidRPr="00417B85" w:rsidRDefault="00891B34" w:rsidP="009B2D82">
            <w:pPr>
              <w:rPr>
                <w:b/>
                <w:sz w:val="18"/>
                <w:szCs w:val="18"/>
              </w:rPr>
            </w:pPr>
            <w:r w:rsidRPr="00417B85">
              <w:rPr>
                <w:b/>
                <w:sz w:val="18"/>
                <w:szCs w:val="18"/>
              </w:rPr>
              <w:t>Polyphenol oxidase (mg/ml)</w:t>
            </w:r>
          </w:p>
        </w:tc>
      </w:tr>
      <w:tr w:rsidR="00891B34" w:rsidRPr="00466548" w:rsidTr="00891B34">
        <w:trPr>
          <w:trHeight w:val="102"/>
        </w:trPr>
        <w:tc>
          <w:tcPr>
            <w:tcW w:w="1843" w:type="dxa"/>
            <w:vMerge/>
            <w:vAlign w:val="center"/>
          </w:tcPr>
          <w:p w:rsidR="00891B34" w:rsidRPr="00417B85" w:rsidRDefault="00891B34" w:rsidP="00891B34">
            <w:pPr>
              <w:pStyle w:val="tablecopy"/>
              <w:rPr>
                <w:b/>
                <w:i/>
                <w:sz w:val="18"/>
                <w:szCs w:val="18"/>
              </w:rPr>
            </w:pPr>
          </w:p>
        </w:tc>
        <w:tc>
          <w:tcPr>
            <w:tcW w:w="992" w:type="dxa"/>
          </w:tcPr>
          <w:p w:rsidR="00891B34" w:rsidRPr="00417B85" w:rsidRDefault="00891B34" w:rsidP="00891B34">
            <w:pPr>
              <w:pStyle w:val="tablecopy"/>
              <w:rPr>
                <w:b/>
                <w:i/>
                <w:sz w:val="18"/>
                <w:szCs w:val="18"/>
              </w:rPr>
            </w:pPr>
            <w:r w:rsidRPr="00417B85">
              <w:rPr>
                <w:b/>
                <w:i/>
                <w:sz w:val="18"/>
                <w:szCs w:val="18"/>
              </w:rPr>
              <w:t xml:space="preserve">Hyphae </w:t>
            </w:r>
          </w:p>
        </w:tc>
        <w:tc>
          <w:tcPr>
            <w:tcW w:w="709" w:type="dxa"/>
          </w:tcPr>
          <w:p w:rsidR="00891B34" w:rsidRPr="00417B85" w:rsidRDefault="00891B34" w:rsidP="00891B34">
            <w:pPr>
              <w:pStyle w:val="tablecopy"/>
              <w:rPr>
                <w:b/>
                <w:i/>
                <w:sz w:val="18"/>
                <w:szCs w:val="18"/>
              </w:rPr>
            </w:pPr>
            <w:r w:rsidRPr="00417B85">
              <w:rPr>
                <w:b/>
                <w:i/>
                <w:sz w:val="18"/>
                <w:szCs w:val="18"/>
              </w:rPr>
              <w:t>Spore</w:t>
            </w:r>
          </w:p>
        </w:tc>
        <w:tc>
          <w:tcPr>
            <w:tcW w:w="850" w:type="dxa"/>
          </w:tcPr>
          <w:p w:rsidR="00891B34" w:rsidRPr="00417B85" w:rsidRDefault="00891B34" w:rsidP="00891B34">
            <w:pPr>
              <w:rPr>
                <w:b/>
                <w:sz w:val="18"/>
                <w:szCs w:val="18"/>
              </w:rPr>
            </w:pPr>
            <w:r w:rsidRPr="00417B85">
              <w:rPr>
                <w:b/>
                <w:sz w:val="18"/>
                <w:szCs w:val="18"/>
              </w:rPr>
              <w:t xml:space="preserve">Hyphae </w:t>
            </w:r>
          </w:p>
        </w:tc>
        <w:tc>
          <w:tcPr>
            <w:tcW w:w="709" w:type="dxa"/>
            <w:tcBorders>
              <w:top w:val="single" w:sz="4" w:space="0" w:color="auto"/>
              <w:bottom w:val="single" w:sz="4" w:space="0" w:color="auto"/>
            </w:tcBorders>
          </w:tcPr>
          <w:p w:rsidR="00891B34" w:rsidRPr="00417B85" w:rsidRDefault="00891B34" w:rsidP="00891B34">
            <w:pPr>
              <w:rPr>
                <w:b/>
                <w:sz w:val="18"/>
                <w:szCs w:val="18"/>
              </w:rPr>
            </w:pPr>
            <w:r w:rsidRPr="00417B85">
              <w:rPr>
                <w:b/>
                <w:sz w:val="18"/>
                <w:szCs w:val="18"/>
              </w:rPr>
              <w:t>Spore</w:t>
            </w:r>
          </w:p>
        </w:tc>
        <w:tc>
          <w:tcPr>
            <w:tcW w:w="851" w:type="dxa"/>
          </w:tcPr>
          <w:p w:rsidR="00891B34" w:rsidRPr="00417B85" w:rsidRDefault="00891B34" w:rsidP="00891B34">
            <w:pPr>
              <w:rPr>
                <w:b/>
                <w:sz w:val="18"/>
                <w:szCs w:val="18"/>
              </w:rPr>
            </w:pPr>
            <w:r w:rsidRPr="00417B85">
              <w:rPr>
                <w:b/>
                <w:sz w:val="18"/>
                <w:szCs w:val="18"/>
              </w:rPr>
              <w:t xml:space="preserve">Hyphae </w:t>
            </w:r>
          </w:p>
        </w:tc>
        <w:tc>
          <w:tcPr>
            <w:tcW w:w="850" w:type="dxa"/>
          </w:tcPr>
          <w:p w:rsidR="00891B34" w:rsidRPr="00417B85" w:rsidRDefault="00891B34" w:rsidP="00891B34">
            <w:pPr>
              <w:rPr>
                <w:b/>
                <w:sz w:val="18"/>
                <w:szCs w:val="18"/>
              </w:rPr>
            </w:pPr>
            <w:r w:rsidRPr="00417B85">
              <w:rPr>
                <w:b/>
                <w:sz w:val="18"/>
                <w:szCs w:val="18"/>
              </w:rPr>
              <w:t>Spore</w:t>
            </w:r>
          </w:p>
        </w:tc>
      </w:tr>
      <w:tr w:rsidR="009B2D82" w:rsidRPr="00466548" w:rsidTr="00891B34">
        <w:trPr>
          <w:trHeight w:val="102"/>
        </w:trPr>
        <w:tc>
          <w:tcPr>
            <w:tcW w:w="1843" w:type="dxa"/>
            <w:vAlign w:val="center"/>
          </w:tcPr>
          <w:p w:rsidR="009B2D82" w:rsidRPr="009B2D82" w:rsidRDefault="009B2D82" w:rsidP="009B2D82">
            <w:pPr>
              <w:pStyle w:val="tablecopy"/>
              <w:rPr>
                <w:i/>
              </w:rPr>
            </w:pPr>
            <w:r w:rsidRPr="009B2D82">
              <w:rPr>
                <w:i/>
              </w:rPr>
              <w:t>Aspergillus versicolor</w:t>
            </w:r>
          </w:p>
        </w:tc>
        <w:tc>
          <w:tcPr>
            <w:tcW w:w="992" w:type="dxa"/>
          </w:tcPr>
          <w:p w:rsidR="009B2D82" w:rsidRPr="009C09D2" w:rsidRDefault="00891B34" w:rsidP="00891B34">
            <w:pPr>
              <w:pStyle w:val="tablecopy"/>
              <w:rPr>
                <w:i/>
              </w:rPr>
            </w:pPr>
            <w:r w:rsidRPr="009C09D2">
              <w:rPr>
                <w:i/>
              </w:rPr>
              <w:t>0.145</w:t>
            </w:r>
          </w:p>
        </w:tc>
        <w:tc>
          <w:tcPr>
            <w:tcW w:w="709" w:type="dxa"/>
          </w:tcPr>
          <w:p w:rsidR="009B2D82" w:rsidRPr="009C09D2" w:rsidRDefault="00891B34" w:rsidP="009B2D82">
            <w:pPr>
              <w:pStyle w:val="tablecopy"/>
              <w:rPr>
                <w:i/>
              </w:rPr>
            </w:pPr>
            <w:r w:rsidRPr="009C09D2">
              <w:rPr>
                <w:i/>
              </w:rPr>
              <w:t>0.175</w:t>
            </w:r>
          </w:p>
        </w:tc>
        <w:tc>
          <w:tcPr>
            <w:tcW w:w="850" w:type="dxa"/>
          </w:tcPr>
          <w:p w:rsidR="009B2D82" w:rsidRPr="009C09D2" w:rsidRDefault="00891B34" w:rsidP="00891B34">
            <w:pPr>
              <w:pStyle w:val="tablecopy"/>
              <w:rPr>
                <w:i/>
              </w:rPr>
            </w:pPr>
            <w:r w:rsidRPr="009C09D2">
              <w:rPr>
                <w:i/>
              </w:rPr>
              <w:t>34.13</w:t>
            </w:r>
          </w:p>
        </w:tc>
        <w:tc>
          <w:tcPr>
            <w:tcW w:w="709" w:type="dxa"/>
            <w:tcBorders>
              <w:top w:val="single" w:sz="4" w:space="0" w:color="auto"/>
              <w:bottom w:val="single" w:sz="4" w:space="0" w:color="auto"/>
            </w:tcBorders>
            <w:vAlign w:val="center"/>
          </w:tcPr>
          <w:p w:rsidR="009B2D82" w:rsidRPr="009C09D2" w:rsidRDefault="00891B34" w:rsidP="00891B34">
            <w:pPr>
              <w:pStyle w:val="tablecopy"/>
              <w:rPr>
                <w:i/>
              </w:rPr>
            </w:pPr>
            <w:r w:rsidRPr="009C09D2">
              <w:rPr>
                <w:i/>
              </w:rPr>
              <w:t>34.16</w:t>
            </w:r>
          </w:p>
        </w:tc>
        <w:tc>
          <w:tcPr>
            <w:tcW w:w="851" w:type="dxa"/>
            <w:vAlign w:val="center"/>
          </w:tcPr>
          <w:p w:rsidR="009B2D82" w:rsidRPr="009C09D2" w:rsidRDefault="00891B34" w:rsidP="00891B34">
            <w:pPr>
              <w:rPr>
                <w:sz w:val="16"/>
                <w:szCs w:val="16"/>
              </w:rPr>
            </w:pPr>
            <w:r w:rsidRPr="009C09D2">
              <w:rPr>
                <w:sz w:val="16"/>
                <w:szCs w:val="16"/>
              </w:rPr>
              <w:t>0.268</w:t>
            </w:r>
          </w:p>
        </w:tc>
        <w:tc>
          <w:tcPr>
            <w:tcW w:w="850" w:type="dxa"/>
            <w:vAlign w:val="center"/>
          </w:tcPr>
          <w:p w:rsidR="009B2D82" w:rsidRPr="009C09D2" w:rsidRDefault="00891B34" w:rsidP="00891B34">
            <w:pPr>
              <w:rPr>
                <w:sz w:val="16"/>
                <w:szCs w:val="16"/>
              </w:rPr>
            </w:pPr>
            <w:r w:rsidRPr="009C09D2">
              <w:rPr>
                <w:sz w:val="16"/>
                <w:szCs w:val="16"/>
              </w:rPr>
              <w:t>0.267</w:t>
            </w:r>
          </w:p>
        </w:tc>
      </w:tr>
      <w:tr w:rsidR="00891B34" w:rsidRPr="00466548" w:rsidTr="00891B34">
        <w:trPr>
          <w:trHeight w:val="50"/>
        </w:trPr>
        <w:tc>
          <w:tcPr>
            <w:tcW w:w="1843" w:type="dxa"/>
            <w:vAlign w:val="center"/>
          </w:tcPr>
          <w:p w:rsidR="00891B34" w:rsidRPr="009B2D82" w:rsidRDefault="00891B34" w:rsidP="00891B34">
            <w:pPr>
              <w:pStyle w:val="BodyText"/>
              <w:spacing w:after="0" w:line="240" w:lineRule="auto"/>
              <w:ind w:firstLine="0"/>
              <w:rPr>
                <w:i/>
                <w:sz w:val="16"/>
                <w:szCs w:val="16"/>
              </w:rPr>
            </w:pPr>
            <w:proofErr w:type="spellStart"/>
            <w:r w:rsidRPr="009B2D82">
              <w:rPr>
                <w:i/>
                <w:sz w:val="16"/>
                <w:szCs w:val="16"/>
              </w:rPr>
              <w:t>A.niger</w:t>
            </w:r>
            <w:proofErr w:type="spellEnd"/>
            <w:r w:rsidRPr="009B2D82">
              <w:rPr>
                <w:i/>
                <w:sz w:val="16"/>
                <w:szCs w:val="16"/>
              </w:rPr>
              <w:t xml:space="preserve">  </w:t>
            </w:r>
          </w:p>
        </w:tc>
        <w:tc>
          <w:tcPr>
            <w:tcW w:w="992" w:type="dxa"/>
          </w:tcPr>
          <w:p w:rsidR="00891B34" w:rsidRPr="009C09D2" w:rsidRDefault="00891B34" w:rsidP="00891B34">
            <w:pPr>
              <w:pStyle w:val="tablecopy"/>
              <w:rPr>
                <w:i/>
              </w:rPr>
            </w:pPr>
            <w:r w:rsidRPr="009C09D2">
              <w:rPr>
                <w:i/>
              </w:rPr>
              <w:t>0.155</w:t>
            </w:r>
          </w:p>
        </w:tc>
        <w:tc>
          <w:tcPr>
            <w:tcW w:w="709" w:type="dxa"/>
          </w:tcPr>
          <w:p w:rsidR="00891B34" w:rsidRPr="009C09D2" w:rsidRDefault="00891B34" w:rsidP="00891B34">
            <w:pPr>
              <w:pStyle w:val="tablecopy"/>
              <w:rPr>
                <w:i/>
              </w:rPr>
            </w:pPr>
            <w:r w:rsidRPr="009C09D2">
              <w:rPr>
                <w:i/>
              </w:rPr>
              <w:t>0.185</w:t>
            </w:r>
          </w:p>
        </w:tc>
        <w:tc>
          <w:tcPr>
            <w:tcW w:w="850" w:type="dxa"/>
          </w:tcPr>
          <w:p w:rsidR="00891B34" w:rsidRPr="009C09D2" w:rsidRDefault="00891B34" w:rsidP="00891B34">
            <w:pPr>
              <w:pStyle w:val="tablecopy"/>
              <w:rPr>
                <w:i/>
              </w:rPr>
            </w:pPr>
            <w:r w:rsidRPr="009C09D2">
              <w:rPr>
                <w:i/>
              </w:rPr>
              <w:t>32.13</w:t>
            </w:r>
          </w:p>
        </w:tc>
        <w:tc>
          <w:tcPr>
            <w:tcW w:w="709" w:type="dxa"/>
            <w:tcBorders>
              <w:top w:val="single" w:sz="4" w:space="0" w:color="auto"/>
              <w:bottom w:val="single" w:sz="4" w:space="0" w:color="auto"/>
            </w:tcBorders>
            <w:vAlign w:val="center"/>
          </w:tcPr>
          <w:p w:rsidR="00891B34" w:rsidRPr="009C09D2" w:rsidRDefault="00891B34" w:rsidP="00891B34">
            <w:pPr>
              <w:pStyle w:val="tablecopy"/>
              <w:rPr>
                <w:i/>
              </w:rPr>
            </w:pPr>
            <w:r w:rsidRPr="009C09D2">
              <w:rPr>
                <w:i/>
              </w:rPr>
              <w:t>34.12</w:t>
            </w:r>
          </w:p>
        </w:tc>
        <w:tc>
          <w:tcPr>
            <w:tcW w:w="851" w:type="dxa"/>
            <w:vAlign w:val="center"/>
          </w:tcPr>
          <w:p w:rsidR="00891B34" w:rsidRPr="009C09D2" w:rsidRDefault="00891B34" w:rsidP="00891B34">
            <w:pPr>
              <w:rPr>
                <w:sz w:val="16"/>
                <w:szCs w:val="16"/>
              </w:rPr>
            </w:pPr>
            <w:r w:rsidRPr="009C09D2">
              <w:rPr>
                <w:sz w:val="16"/>
                <w:szCs w:val="16"/>
              </w:rPr>
              <w:t>0.238</w:t>
            </w:r>
          </w:p>
        </w:tc>
        <w:tc>
          <w:tcPr>
            <w:tcW w:w="850" w:type="dxa"/>
            <w:vAlign w:val="center"/>
          </w:tcPr>
          <w:p w:rsidR="00891B34" w:rsidRPr="009C09D2" w:rsidRDefault="00891B34" w:rsidP="00891B34">
            <w:pPr>
              <w:rPr>
                <w:sz w:val="16"/>
                <w:szCs w:val="16"/>
              </w:rPr>
            </w:pPr>
            <w:r w:rsidRPr="009C09D2">
              <w:rPr>
                <w:sz w:val="16"/>
                <w:szCs w:val="16"/>
              </w:rPr>
              <w:t>0.258</w:t>
            </w:r>
          </w:p>
        </w:tc>
      </w:tr>
      <w:tr w:rsidR="00891B34" w:rsidRPr="00466548" w:rsidTr="00891B34">
        <w:trPr>
          <w:trHeight w:val="50"/>
        </w:trPr>
        <w:tc>
          <w:tcPr>
            <w:tcW w:w="1843" w:type="dxa"/>
            <w:vAlign w:val="center"/>
          </w:tcPr>
          <w:p w:rsidR="00891B34" w:rsidRPr="009B2D82" w:rsidRDefault="00891B34" w:rsidP="00891B34">
            <w:pPr>
              <w:pStyle w:val="tablecopy"/>
              <w:rPr>
                <w:i/>
              </w:rPr>
            </w:pPr>
            <w:r w:rsidRPr="009B2D82">
              <w:rPr>
                <w:i/>
              </w:rPr>
              <w:t>A. nidulas</w:t>
            </w:r>
          </w:p>
        </w:tc>
        <w:tc>
          <w:tcPr>
            <w:tcW w:w="992" w:type="dxa"/>
          </w:tcPr>
          <w:p w:rsidR="00891B34" w:rsidRPr="009C09D2" w:rsidRDefault="00891B34" w:rsidP="00891B34">
            <w:pPr>
              <w:pStyle w:val="tablecopy"/>
            </w:pPr>
            <w:r w:rsidRPr="009C09D2">
              <w:t>0.272</w:t>
            </w:r>
          </w:p>
        </w:tc>
        <w:tc>
          <w:tcPr>
            <w:tcW w:w="709" w:type="dxa"/>
          </w:tcPr>
          <w:p w:rsidR="00891B34" w:rsidRPr="009C09D2" w:rsidRDefault="009C09D2" w:rsidP="00891B34">
            <w:pPr>
              <w:pStyle w:val="tablecopy"/>
            </w:pPr>
            <w:r w:rsidRPr="009C09D2">
              <w:t>0.292</w:t>
            </w:r>
          </w:p>
        </w:tc>
        <w:tc>
          <w:tcPr>
            <w:tcW w:w="850" w:type="dxa"/>
          </w:tcPr>
          <w:p w:rsidR="00891B34" w:rsidRPr="009C09D2" w:rsidRDefault="009C09D2" w:rsidP="00891B34">
            <w:pPr>
              <w:pStyle w:val="tablecopy"/>
            </w:pPr>
            <w:r w:rsidRPr="009C09D2">
              <w:t>32.70</w:t>
            </w:r>
          </w:p>
        </w:tc>
        <w:tc>
          <w:tcPr>
            <w:tcW w:w="709" w:type="dxa"/>
            <w:tcBorders>
              <w:top w:val="single" w:sz="4" w:space="0" w:color="auto"/>
              <w:bottom w:val="single" w:sz="4" w:space="0" w:color="auto"/>
            </w:tcBorders>
            <w:vAlign w:val="center"/>
          </w:tcPr>
          <w:p w:rsidR="00891B34" w:rsidRPr="009C09D2" w:rsidRDefault="009C09D2" w:rsidP="00891B34">
            <w:pPr>
              <w:pStyle w:val="tablecopy"/>
            </w:pPr>
            <w:r w:rsidRPr="009C09D2">
              <w:t>34.2</w:t>
            </w:r>
          </w:p>
        </w:tc>
        <w:tc>
          <w:tcPr>
            <w:tcW w:w="851" w:type="dxa"/>
            <w:vAlign w:val="center"/>
          </w:tcPr>
          <w:p w:rsidR="00891B34" w:rsidRPr="009C09D2" w:rsidRDefault="009C09D2" w:rsidP="00891B34">
            <w:pPr>
              <w:rPr>
                <w:sz w:val="16"/>
                <w:szCs w:val="16"/>
              </w:rPr>
            </w:pPr>
            <w:r w:rsidRPr="009C09D2">
              <w:rPr>
                <w:sz w:val="16"/>
                <w:szCs w:val="16"/>
              </w:rPr>
              <w:t>0.192</w:t>
            </w:r>
          </w:p>
        </w:tc>
        <w:tc>
          <w:tcPr>
            <w:tcW w:w="850" w:type="dxa"/>
            <w:vAlign w:val="center"/>
          </w:tcPr>
          <w:p w:rsidR="00891B34" w:rsidRPr="009C09D2" w:rsidRDefault="009C09D2" w:rsidP="00891B34">
            <w:pPr>
              <w:rPr>
                <w:sz w:val="16"/>
                <w:szCs w:val="16"/>
              </w:rPr>
            </w:pPr>
            <w:r w:rsidRPr="009C09D2">
              <w:rPr>
                <w:sz w:val="16"/>
                <w:szCs w:val="16"/>
              </w:rPr>
              <w:t>0.205</w:t>
            </w:r>
          </w:p>
        </w:tc>
      </w:tr>
      <w:tr w:rsidR="00891B34" w:rsidRPr="00466548" w:rsidTr="00891B34">
        <w:trPr>
          <w:trHeight w:val="101"/>
        </w:trPr>
        <w:tc>
          <w:tcPr>
            <w:tcW w:w="1843" w:type="dxa"/>
            <w:vAlign w:val="center"/>
          </w:tcPr>
          <w:p w:rsidR="00891B34" w:rsidRPr="009B2D82" w:rsidRDefault="00891B34" w:rsidP="00891B34">
            <w:pPr>
              <w:pStyle w:val="tablecopy"/>
              <w:rPr>
                <w:i/>
              </w:rPr>
            </w:pPr>
            <w:r w:rsidRPr="009B2D82">
              <w:rPr>
                <w:i/>
              </w:rPr>
              <w:t>A. flavus</w:t>
            </w:r>
          </w:p>
        </w:tc>
        <w:tc>
          <w:tcPr>
            <w:tcW w:w="992" w:type="dxa"/>
          </w:tcPr>
          <w:p w:rsidR="00891B34" w:rsidRPr="009C09D2" w:rsidRDefault="00891B34" w:rsidP="00891B34">
            <w:pPr>
              <w:pStyle w:val="tablecopy"/>
            </w:pPr>
            <w:r w:rsidRPr="009C09D2">
              <w:t>0.115</w:t>
            </w:r>
          </w:p>
        </w:tc>
        <w:tc>
          <w:tcPr>
            <w:tcW w:w="709" w:type="dxa"/>
          </w:tcPr>
          <w:p w:rsidR="00891B34" w:rsidRPr="009C09D2" w:rsidRDefault="00891B34" w:rsidP="00891B34">
            <w:pPr>
              <w:pStyle w:val="tablecopy"/>
            </w:pPr>
            <w:r w:rsidRPr="009C09D2">
              <w:t>0.105</w:t>
            </w:r>
          </w:p>
        </w:tc>
        <w:tc>
          <w:tcPr>
            <w:tcW w:w="850" w:type="dxa"/>
          </w:tcPr>
          <w:p w:rsidR="00891B34" w:rsidRPr="009C09D2" w:rsidRDefault="00891B34" w:rsidP="00891B34">
            <w:pPr>
              <w:pStyle w:val="tablecopy"/>
            </w:pPr>
            <w:r w:rsidRPr="009C09D2">
              <w:t>38.42</w:t>
            </w:r>
          </w:p>
        </w:tc>
        <w:tc>
          <w:tcPr>
            <w:tcW w:w="709" w:type="dxa"/>
            <w:tcBorders>
              <w:top w:val="single" w:sz="4" w:space="0" w:color="auto"/>
              <w:bottom w:val="single" w:sz="4" w:space="0" w:color="auto"/>
            </w:tcBorders>
            <w:vAlign w:val="center"/>
          </w:tcPr>
          <w:p w:rsidR="00891B34" w:rsidRPr="009C09D2" w:rsidRDefault="00891B34" w:rsidP="00891B34">
            <w:pPr>
              <w:pStyle w:val="tablecopy"/>
            </w:pPr>
            <w:r w:rsidRPr="009C09D2">
              <w:t>38.72</w:t>
            </w:r>
          </w:p>
        </w:tc>
        <w:tc>
          <w:tcPr>
            <w:tcW w:w="851" w:type="dxa"/>
            <w:vAlign w:val="center"/>
          </w:tcPr>
          <w:p w:rsidR="00891B34" w:rsidRPr="009C09D2" w:rsidRDefault="00891B34" w:rsidP="00891B34">
            <w:pPr>
              <w:rPr>
                <w:sz w:val="16"/>
                <w:szCs w:val="16"/>
              </w:rPr>
            </w:pPr>
            <w:r w:rsidRPr="009C09D2">
              <w:rPr>
                <w:sz w:val="16"/>
                <w:szCs w:val="16"/>
              </w:rPr>
              <w:t>0.212</w:t>
            </w:r>
          </w:p>
        </w:tc>
        <w:tc>
          <w:tcPr>
            <w:tcW w:w="850" w:type="dxa"/>
            <w:vAlign w:val="center"/>
          </w:tcPr>
          <w:p w:rsidR="00891B34" w:rsidRPr="009C09D2" w:rsidRDefault="00891B34" w:rsidP="00891B34">
            <w:pPr>
              <w:rPr>
                <w:sz w:val="16"/>
                <w:szCs w:val="16"/>
              </w:rPr>
            </w:pPr>
            <w:r w:rsidRPr="009C09D2">
              <w:rPr>
                <w:sz w:val="16"/>
                <w:szCs w:val="16"/>
              </w:rPr>
              <w:t>0.272</w:t>
            </w:r>
          </w:p>
        </w:tc>
      </w:tr>
      <w:tr w:rsidR="00891B34" w:rsidRPr="00466548" w:rsidTr="00891B34">
        <w:trPr>
          <w:trHeight w:val="63"/>
        </w:trPr>
        <w:tc>
          <w:tcPr>
            <w:tcW w:w="1843" w:type="dxa"/>
            <w:vAlign w:val="center"/>
          </w:tcPr>
          <w:p w:rsidR="00891B34" w:rsidRPr="009B2D82" w:rsidRDefault="00891B34" w:rsidP="00891B34">
            <w:pPr>
              <w:pStyle w:val="tablecopy"/>
              <w:rPr>
                <w:i/>
              </w:rPr>
            </w:pPr>
            <w:r w:rsidRPr="009B2D82">
              <w:rPr>
                <w:i/>
              </w:rPr>
              <w:t>A.ochraceous</w:t>
            </w:r>
          </w:p>
        </w:tc>
        <w:tc>
          <w:tcPr>
            <w:tcW w:w="992" w:type="dxa"/>
          </w:tcPr>
          <w:p w:rsidR="00891B34" w:rsidRPr="009C09D2" w:rsidRDefault="00891B34" w:rsidP="00891B34">
            <w:pPr>
              <w:pStyle w:val="tablecopy"/>
            </w:pPr>
            <w:r w:rsidRPr="009C09D2">
              <w:t>0.058</w:t>
            </w:r>
          </w:p>
        </w:tc>
        <w:tc>
          <w:tcPr>
            <w:tcW w:w="709" w:type="dxa"/>
          </w:tcPr>
          <w:p w:rsidR="00891B34" w:rsidRPr="009C09D2" w:rsidRDefault="00891B34" w:rsidP="00891B34">
            <w:pPr>
              <w:pStyle w:val="tablecopy"/>
            </w:pPr>
            <w:r w:rsidRPr="009C09D2">
              <w:t>0.079</w:t>
            </w:r>
          </w:p>
        </w:tc>
        <w:tc>
          <w:tcPr>
            <w:tcW w:w="850" w:type="dxa"/>
          </w:tcPr>
          <w:p w:rsidR="00891B34" w:rsidRPr="009C09D2" w:rsidRDefault="00891B34" w:rsidP="00891B34">
            <w:pPr>
              <w:pStyle w:val="tablecopy"/>
            </w:pPr>
            <w:r w:rsidRPr="009C09D2">
              <w:t>35.70</w:t>
            </w:r>
          </w:p>
        </w:tc>
        <w:tc>
          <w:tcPr>
            <w:tcW w:w="709" w:type="dxa"/>
            <w:tcBorders>
              <w:top w:val="single" w:sz="4" w:space="0" w:color="auto"/>
              <w:bottom w:val="single" w:sz="4" w:space="0" w:color="auto"/>
            </w:tcBorders>
            <w:vAlign w:val="center"/>
          </w:tcPr>
          <w:p w:rsidR="00891B34" w:rsidRPr="009C09D2" w:rsidRDefault="00891B34" w:rsidP="00891B34">
            <w:pPr>
              <w:pStyle w:val="tablecopy"/>
            </w:pPr>
            <w:r w:rsidRPr="009C09D2">
              <w:t>36.92</w:t>
            </w:r>
          </w:p>
        </w:tc>
        <w:tc>
          <w:tcPr>
            <w:tcW w:w="851" w:type="dxa"/>
            <w:vAlign w:val="center"/>
          </w:tcPr>
          <w:p w:rsidR="00891B34" w:rsidRPr="009C09D2" w:rsidRDefault="00891B34" w:rsidP="00891B34">
            <w:pPr>
              <w:rPr>
                <w:sz w:val="16"/>
                <w:szCs w:val="16"/>
              </w:rPr>
            </w:pPr>
            <w:r w:rsidRPr="009C09D2">
              <w:rPr>
                <w:sz w:val="16"/>
                <w:szCs w:val="16"/>
              </w:rPr>
              <w:t>0.272</w:t>
            </w:r>
          </w:p>
        </w:tc>
        <w:tc>
          <w:tcPr>
            <w:tcW w:w="850" w:type="dxa"/>
            <w:vAlign w:val="center"/>
          </w:tcPr>
          <w:p w:rsidR="00891B34" w:rsidRPr="009C09D2" w:rsidRDefault="00891B34" w:rsidP="00891B34">
            <w:pPr>
              <w:rPr>
                <w:sz w:val="16"/>
                <w:szCs w:val="16"/>
              </w:rPr>
            </w:pPr>
            <w:r w:rsidRPr="009C09D2">
              <w:rPr>
                <w:sz w:val="16"/>
                <w:szCs w:val="16"/>
              </w:rPr>
              <w:t>0.301</w:t>
            </w:r>
          </w:p>
        </w:tc>
      </w:tr>
      <w:tr w:rsidR="009C09D2" w:rsidRPr="00466548" w:rsidTr="00891B34">
        <w:trPr>
          <w:trHeight w:val="101"/>
        </w:trPr>
        <w:tc>
          <w:tcPr>
            <w:tcW w:w="1843" w:type="dxa"/>
            <w:vAlign w:val="center"/>
          </w:tcPr>
          <w:p w:rsidR="009C09D2" w:rsidRPr="009B2D82" w:rsidRDefault="009C09D2" w:rsidP="009C09D2">
            <w:pPr>
              <w:pStyle w:val="tablecopy"/>
              <w:rPr>
                <w:i/>
              </w:rPr>
            </w:pPr>
            <w:r>
              <w:rPr>
                <w:i/>
              </w:rPr>
              <w:t>Penicillium expansum</w:t>
            </w:r>
          </w:p>
        </w:tc>
        <w:tc>
          <w:tcPr>
            <w:tcW w:w="992" w:type="dxa"/>
          </w:tcPr>
          <w:p w:rsidR="009C09D2" w:rsidRPr="009C09D2" w:rsidRDefault="009C09D2" w:rsidP="009C09D2">
            <w:pPr>
              <w:pStyle w:val="tablecopy"/>
            </w:pPr>
            <w:r w:rsidRPr="009C09D2">
              <w:t>0.15</w:t>
            </w:r>
            <w:r>
              <w:t>1</w:t>
            </w:r>
          </w:p>
        </w:tc>
        <w:tc>
          <w:tcPr>
            <w:tcW w:w="709" w:type="dxa"/>
          </w:tcPr>
          <w:p w:rsidR="009C09D2" w:rsidRPr="009C09D2" w:rsidRDefault="009C09D2" w:rsidP="009C09D2">
            <w:pPr>
              <w:pStyle w:val="tablecopy"/>
            </w:pPr>
            <w:r w:rsidRPr="009C09D2">
              <w:t>0.1</w:t>
            </w:r>
            <w:r>
              <w:t>6</w:t>
            </w:r>
            <w:r w:rsidRPr="009C09D2">
              <w:t>2</w:t>
            </w:r>
          </w:p>
        </w:tc>
        <w:tc>
          <w:tcPr>
            <w:tcW w:w="850" w:type="dxa"/>
          </w:tcPr>
          <w:p w:rsidR="009C09D2" w:rsidRPr="009C09D2" w:rsidRDefault="009C09D2" w:rsidP="009C09D2">
            <w:pPr>
              <w:pStyle w:val="tablecopy"/>
            </w:pPr>
            <w:r w:rsidRPr="009C09D2">
              <w:t>43.</w:t>
            </w:r>
            <w:r>
              <w:t>5</w:t>
            </w:r>
            <w:r w:rsidRPr="009C09D2">
              <w:t>6</w:t>
            </w:r>
          </w:p>
        </w:tc>
        <w:tc>
          <w:tcPr>
            <w:tcW w:w="709" w:type="dxa"/>
            <w:tcBorders>
              <w:top w:val="single" w:sz="4" w:space="0" w:color="auto"/>
              <w:bottom w:val="single" w:sz="4" w:space="0" w:color="auto"/>
            </w:tcBorders>
            <w:vAlign w:val="center"/>
          </w:tcPr>
          <w:p w:rsidR="009C09D2" w:rsidRPr="009C09D2" w:rsidRDefault="009C09D2" w:rsidP="009C09D2">
            <w:pPr>
              <w:pStyle w:val="tablecopy"/>
            </w:pPr>
            <w:r w:rsidRPr="009C09D2">
              <w:t>4</w:t>
            </w:r>
            <w:r>
              <w:t>6</w:t>
            </w:r>
            <w:r w:rsidRPr="009C09D2">
              <w:t>.71</w:t>
            </w:r>
          </w:p>
        </w:tc>
        <w:tc>
          <w:tcPr>
            <w:tcW w:w="851" w:type="dxa"/>
            <w:vAlign w:val="center"/>
          </w:tcPr>
          <w:p w:rsidR="009C09D2" w:rsidRPr="009C09D2" w:rsidRDefault="009C09D2" w:rsidP="009C09D2">
            <w:pPr>
              <w:rPr>
                <w:sz w:val="16"/>
                <w:szCs w:val="16"/>
              </w:rPr>
            </w:pPr>
            <w:r w:rsidRPr="009C09D2">
              <w:rPr>
                <w:sz w:val="16"/>
                <w:szCs w:val="16"/>
              </w:rPr>
              <w:t>0.10</w:t>
            </w:r>
            <w:r>
              <w:rPr>
                <w:sz w:val="16"/>
                <w:szCs w:val="16"/>
              </w:rPr>
              <w:t>4</w:t>
            </w:r>
          </w:p>
        </w:tc>
        <w:tc>
          <w:tcPr>
            <w:tcW w:w="850" w:type="dxa"/>
            <w:vAlign w:val="center"/>
          </w:tcPr>
          <w:p w:rsidR="009C09D2" w:rsidRPr="009C09D2" w:rsidRDefault="009C09D2" w:rsidP="009C09D2">
            <w:pPr>
              <w:rPr>
                <w:sz w:val="16"/>
                <w:szCs w:val="16"/>
              </w:rPr>
            </w:pPr>
            <w:r w:rsidRPr="009C09D2">
              <w:rPr>
                <w:sz w:val="16"/>
                <w:szCs w:val="16"/>
              </w:rPr>
              <w:t>0.1</w:t>
            </w:r>
            <w:r>
              <w:rPr>
                <w:sz w:val="16"/>
                <w:szCs w:val="16"/>
              </w:rPr>
              <w:t>5</w:t>
            </w:r>
            <w:r w:rsidRPr="009C09D2">
              <w:rPr>
                <w:sz w:val="16"/>
                <w:szCs w:val="16"/>
              </w:rPr>
              <w:t>2</w:t>
            </w:r>
          </w:p>
        </w:tc>
      </w:tr>
      <w:tr w:rsidR="009C09D2" w:rsidRPr="00466548" w:rsidTr="00891B34">
        <w:trPr>
          <w:trHeight w:val="147"/>
        </w:trPr>
        <w:tc>
          <w:tcPr>
            <w:tcW w:w="1843" w:type="dxa"/>
            <w:vAlign w:val="center"/>
          </w:tcPr>
          <w:p w:rsidR="009C09D2" w:rsidRPr="009B2D82" w:rsidRDefault="009C09D2" w:rsidP="009C09D2">
            <w:pPr>
              <w:pStyle w:val="tablecopy"/>
              <w:rPr>
                <w:i/>
              </w:rPr>
            </w:pPr>
            <w:r w:rsidRPr="009B2D82">
              <w:rPr>
                <w:i/>
              </w:rPr>
              <w:t>Penicillium funiculosum</w:t>
            </w:r>
          </w:p>
        </w:tc>
        <w:tc>
          <w:tcPr>
            <w:tcW w:w="992" w:type="dxa"/>
          </w:tcPr>
          <w:p w:rsidR="009C09D2" w:rsidRPr="009C09D2" w:rsidRDefault="009C09D2" w:rsidP="009C09D2">
            <w:pPr>
              <w:pStyle w:val="tablecopy"/>
            </w:pPr>
            <w:r w:rsidRPr="009C09D2">
              <w:t>0.152</w:t>
            </w:r>
          </w:p>
        </w:tc>
        <w:tc>
          <w:tcPr>
            <w:tcW w:w="709" w:type="dxa"/>
          </w:tcPr>
          <w:p w:rsidR="009C09D2" w:rsidRPr="009C09D2" w:rsidRDefault="009C09D2" w:rsidP="009C09D2">
            <w:pPr>
              <w:pStyle w:val="tablecopy"/>
            </w:pPr>
            <w:r w:rsidRPr="009C09D2">
              <w:t>0.192</w:t>
            </w:r>
          </w:p>
        </w:tc>
        <w:tc>
          <w:tcPr>
            <w:tcW w:w="850" w:type="dxa"/>
          </w:tcPr>
          <w:p w:rsidR="009C09D2" w:rsidRPr="009C09D2" w:rsidRDefault="009C09D2" w:rsidP="009C09D2">
            <w:pPr>
              <w:pStyle w:val="tablecopy"/>
            </w:pPr>
            <w:r w:rsidRPr="009C09D2">
              <w:t>43.86</w:t>
            </w:r>
          </w:p>
        </w:tc>
        <w:tc>
          <w:tcPr>
            <w:tcW w:w="709" w:type="dxa"/>
            <w:tcBorders>
              <w:top w:val="single" w:sz="4" w:space="0" w:color="auto"/>
              <w:bottom w:val="single" w:sz="4" w:space="0" w:color="auto"/>
            </w:tcBorders>
            <w:vAlign w:val="center"/>
          </w:tcPr>
          <w:p w:rsidR="009C09D2" w:rsidRPr="009C09D2" w:rsidRDefault="009C09D2" w:rsidP="009C09D2">
            <w:pPr>
              <w:pStyle w:val="tablecopy"/>
            </w:pPr>
            <w:r w:rsidRPr="009C09D2">
              <w:t>49.71</w:t>
            </w:r>
          </w:p>
        </w:tc>
        <w:tc>
          <w:tcPr>
            <w:tcW w:w="851" w:type="dxa"/>
            <w:vAlign w:val="center"/>
          </w:tcPr>
          <w:p w:rsidR="009C09D2" w:rsidRPr="009C09D2" w:rsidRDefault="009C09D2" w:rsidP="009C09D2">
            <w:pPr>
              <w:rPr>
                <w:sz w:val="16"/>
                <w:szCs w:val="16"/>
              </w:rPr>
            </w:pPr>
            <w:r w:rsidRPr="009C09D2">
              <w:rPr>
                <w:sz w:val="16"/>
                <w:szCs w:val="16"/>
              </w:rPr>
              <w:t>0.108</w:t>
            </w:r>
          </w:p>
        </w:tc>
        <w:tc>
          <w:tcPr>
            <w:tcW w:w="850" w:type="dxa"/>
            <w:vAlign w:val="center"/>
          </w:tcPr>
          <w:p w:rsidR="009C09D2" w:rsidRPr="009C09D2" w:rsidRDefault="009C09D2" w:rsidP="009C09D2">
            <w:pPr>
              <w:rPr>
                <w:sz w:val="16"/>
                <w:szCs w:val="16"/>
              </w:rPr>
            </w:pPr>
            <w:r w:rsidRPr="009C09D2">
              <w:rPr>
                <w:sz w:val="16"/>
                <w:szCs w:val="16"/>
              </w:rPr>
              <w:t>0.172</w:t>
            </w:r>
          </w:p>
        </w:tc>
      </w:tr>
      <w:tr w:rsidR="009C09D2" w:rsidRPr="00466548" w:rsidTr="00891B34">
        <w:trPr>
          <w:trHeight w:val="200"/>
        </w:trPr>
        <w:tc>
          <w:tcPr>
            <w:tcW w:w="1843" w:type="dxa"/>
            <w:vAlign w:val="center"/>
          </w:tcPr>
          <w:p w:rsidR="009C09D2" w:rsidRPr="009B2D82" w:rsidRDefault="009C09D2" w:rsidP="009C09D2">
            <w:pPr>
              <w:pStyle w:val="tablecopy"/>
              <w:rPr>
                <w:i/>
              </w:rPr>
            </w:pPr>
            <w:r w:rsidRPr="009B2D82">
              <w:rPr>
                <w:i/>
              </w:rPr>
              <w:t>Chacotonium globesum</w:t>
            </w:r>
          </w:p>
        </w:tc>
        <w:tc>
          <w:tcPr>
            <w:tcW w:w="992" w:type="dxa"/>
          </w:tcPr>
          <w:p w:rsidR="009C09D2" w:rsidRPr="009C09D2" w:rsidRDefault="009C09D2" w:rsidP="009C09D2">
            <w:pPr>
              <w:pStyle w:val="tablecopy"/>
            </w:pPr>
            <w:r w:rsidRPr="009C09D2">
              <w:t>0.315</w:t>
            </w:r>
          </w:p>
        </w:tc>
        <w:tc>
          <w:tcPr>
            <w:tcW w:w="709" w:type="dxa"/>
          </w:tcPr>
          <w:p w:rsidR="009C09D2" w:rsidRPr="009C09D2" w:rsidRDefault="009C09D2" w:rsidP="009C09D2">
            <w:pPr>
              <w:pStyle w:val="tablecopy"/>
            </w:pPr>
            <w:r w:rsidRPr="009C09D2">
              <w:t>0.385</w:t>
            </w:r>
          </w:p>
        </w:tc>
        <w:tc>
          <w:tcPr>
            <w:tcW w:w="850" w:type="dxa"/>
          </w:tcPr>
          <w:p w:rsidR="009C09D2" w:rsidRPr="009C09D2" w:rsidRDefault="009C09D2" w:rsidP="009C09D2">
            <w:pPr>
              <w:pStyle w:val="tablecopy"/>
            </w:pPr>
            <w:r w:rsidRPr="009C09D2">
              <w:t>21.59</w:t>
            </w:r>
          </w:p>
        </w:tc>
        <w:tc>
          <w:tcPr>
            <w:tcW w:w="709" w:type="dxa"/>
            <w:tcBorders>
              <w:top w:val="single" w:sz="4" w:space="0" w:color="auto"/>
              <w:bottom w:val="single" w:sz="4" w:space="0" w:color="auto"/>
            </w:tcBorders>
            <w:vAlign w:val="center"/>
          </w:tcPr>
          <w:p w:rsidR="009C09D2" w:rsidRPr="009C09D2" w:rsidRDefault="009C09D2" w:rsidP="009C09D2">
            <w:pPr>
              <w:pStyle w:val="tablecopy"/>
            </w:pPr>
            <w:r w:rsidRPr="009C09D2">
              <w:t>22.34</w:t>
            </w:r>
          </w:p>
        </w:tc>
        <w:tc>
          <w:tcPr>
            <w:tcW w:w="851" w:type="dxa"/>
            <w:vAlign w:val="center"/>
          </w:tcPr>
          <w:p w:rsidR="009C09D2" w:rsidRPr="009C09D2" w:rsidRDefault="009C09D2" w:rsidP="009C09D2">
            <w:pPr>
              <w:rPr>
                <w:sz w:val="16"/>
                <w:szCs w:val="16"/>
              </w:rPr>
            </w:pPr>
            <w:r w:rsidRPr="009C09D2">
              <w:rPr>
                <w:sz w:val="16"/>
                <w:szCs w:val="16"/>
              </w:rPr>
              <w:t>0.183</w:t>
            </w:r>
          </w:p>
        </w:tc>
        <w:tc>
          <w:tcPr>
            <w:tcW w:w="850" w:type="dxa"/>
            <w:vAlign w:val="center"/>
          </w:tcPr>
          <w:p w:rsidR="009C09D2" w:rsidRPr="009C09D2" w:rsidRDefault="009C09D2" w:rsidP="009C09D2">
            <w:pPr>
              <w:rPr>
                <w:sz w:val="16"/>
                <w:szCs w:val="16"/>
              </w:rPr>
            </w:pPr>
            <w:r w:rsidRPr="009C09D2">
              <w:rPr>
                <w:sz w:val="16"/>
                <w:szCs w:val="16"/>
              </w:rPr>
              <w:t>0.201</w:t>
            </w:r>
          </w:p>
        </w:tc>
      </w:tr>
      <w:tr w:rsidR="009C09D2" w:rsidRPr="00466548" w:rsidTr="00891B34">
        <w:trPr>
          <w:trHeight w:val="103"/>
        </w:trPr>
        <w:tc>
          <w:tcPr>
            <w:tcW w:w="1843" w:type="dxa"/>
            <w:vAlign w:val="center"/>
          </w:tcPr>
          <w:p w:rsidR="009C09D2" w:rsidRPr="009B2D82" w:rsidRDefault="009C09D2" w:rsidP="009C09D2">
            <w:pPr>
              <w:pStyle w:val="tablecopy"/>
              <w:rPr>
                <w:i/>
              </w:rPr>
            </w:pPr>
            <w:r w:rsidRPr="009B2D82">
              <w:rPr>
                <w:i/>
              </w:rPr>
              <w:t>Mucor racemosus</w:t>
            </w:r>
          </w:p>
        </w:tc>
        <w:tc>
          <w:tcPr>
            <w:tcW w:w="992" w:type="dxa"/>
          </w:tcPr>
          <w:p w:rsidR="009C09D2" w:rsidRPr="009C09D2" w:rsidRDefault="002B67C2" w:rsidP="009C09D2">
            <w:pPr>
              <w:pStyle w:val="tablecopy"/>
            </w:pPr>
            <w:r>
              <w:t>0.211</w:t>
            </w:r>
          </w:p>
        </w:tc>
        <w:tc>
          <w:tcPr>
            <w:tcW w:w="709" w:type="dxa"/>
          </w:tcPr>
          <w:p w:rsidR="009C09D2" w:rsidRPr="009C09D2" w:rsidRDefault="002B67C2" w:rsidP="009C09D2">
            <w:pPr>
              <w:pStyle w:val="tablecopy"/>
            </w:pPr>
            <w:r>
              <w:t>0.272</w:t>
            </w:r>
          </w:p>
        </w:tc>
        <w:tc>
          <w:tcPr>
            <w:tcW w:w="850" w:type="dxa"/>
          </w:tcPr>
          <w:p w:rsidR="009C09D2" w:rsidRPr="009C09D2" w:rsidRDefault="002B67C2" w:rsidP="009C09D2">
            <w:pPr>
              <w:pStyle w:val="tablecopy"/>
            </w:pPr>
            <w:r>
              <w:t>05.10</w:t>
            </w:r>
          </w:p>
        </w:tc>
        <w:tc>
          <w:tcPr>
            <w:tcW w:w="709" w:type="dxa"/>
            <w:tcBorders>
              <w:top w:val="single" w:sz="4" w:space="0" w:color="auto"/>
              <w:bottom w:val="single" w:sz="4" w:space="0" w:color="auto"/>
            </w:tcBorders>
            <w:vAlign w:val="center"/>
          </w:tcPr>
          <w:p w:rsidR="009C09D2" w:rsidRPr="009C09D2" w:rsidRDefault="002B67C2" w:rsidP="009C09D2">
            <w:pPr>
              <w:pStyle w:val="tablecopy"/>
            </w:pPr>
            <w:r>
              <w:t>06.20</w:t>
            </w:r>
          </w:p>
        </w:tc>
        <w:tc>
          <w:tcPr>
            <w:tcW w:w="851" w:type="dxa"/>
            <w:vAlign w:val="center"/>
          </w:tcPr>
          <w:p w:rsidR="009C09D2" w:rsidRPr="009C09D2" w:rsidRDefault="002B67C2" w:rsidP="009C09D2">
            <w:pPr>
              <w:rPr>
                <w:sz w:val="16"/>
                <w:szCs w:val="16"/>
              </w:rPr>
            </w:pPr>
            <w:r>
              <w:rPr>
                <w:sz w:val="16"/>
                <w:szCs w:val="16"/>
              </w:rPr>
              <w:t>0.137</w:t>
            </w:r>
          </w:p>
        </w:tc>
        <w:tc>
          <w:tcPr>
            <w:tcW w:w="850" w:type="dxa"/>
            <w:vAlign w:val="center"/>
          </w:tcPr>
          <w:p w:rsidR="009C09D2" w:rsidRPr="009C09D2" w:rsidRDefault="002B67C2" w:rsidP="009C09D2">
            <w:pPr>
              <w:rPr>
                <w:sz w:val="16"/>
                <w:szCs w:val="16"/>
              </w:rPr>
            </w:pPr>
            <w:r>
              <w:rPr>
                <w:sz w:val="16"/>
                <w:szCs w:val="16"/>
              </w:rPr>
              <w:t>0.262</w:t>
            </w:r>
          </w:p>
        </w:tc>
      </w:tr>
    </w:tbl>
    <w:p w:rsidR="00431C81" w:rsidRPr="00431C81" w:rsidRDefault="00431C81" w:rsidP="00431C81"/>
    <w:p w:rsidR="007024CB" w:rsidRDefault="007024CB" w:rsidP="007024CB">
      <w:pPr>
        <w:pStyle w:val="BodyText"/>
        <w:spacing w:after="0" w:line="240" w:lineRule="auto"/>
        <w:ind w:left="288" w:firstLine="0"/>
      </w:pPr>
      <w:r>
        <w:rPr>
          <w:noProof/>
          <w:lang w:val="en-IN" w:eastAsia="en-IN"/>
        </w:rPr>
        <w:drawing>
          <wp:inline distT="0" distB="0" distL="0" distR="0" wp14:anchorId="3FB65273" wp14:editId="6F8A28D9">
            <wp:extent cx="5477378" cy="3053751"/>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D735B" w:rsidRPr="005005DD" w:rsidRDefault="00386340" w:rsidP="00CD735B">
      <w:pPr>
        <w:pStyle w:val="NormalWeb"/>
        <w:spacing w:before="0" w:beforeAutospacing="0" w:after="0" w:afterAutospacing="0"/>
        <w:jc w:val="center"/>
        <w:rPr>
          <w:b/>
          <w:sz w:val="20"/>
          <w:szCs w:val="20"/>
        </w:rPr>
      </w:pPr>
      <w:r>
        <w:br w:type="textWrapping" w:clear="all"/>
      </w:r>
      <w:r w:rsidRPr="005005DD">
        <w:rPr>
          <w:b/>
          <w:sz w:val="20"/>
          <w:szCs w:val="20"/>
        </w:rPr>
        <w:t xml:space="preserve">Figure 1: </w:t>
      </w:r>
      <w:r w:rsidR="00CD735B" w:rsidRPr="005005DD">
        <w:rPr>
          <w:rFonts w:asciiTheme="majorHAnsi" w:eastAsiaTheme="majorEastAsia" w:cstheme="majorBidi"/>
          <w:b/>
          <w:color w:val="000000"/>
          <w:kern w:val="24"/>
          <w:sz w:val="20"/>
          <w:szCs w:val="20"/>
        </w:rPr>
        <w:t>Fungal Amylase Enzyme Secretion</w:t>
      </w:r>
    </w:p>
    <w:p w:rsidR="00386340" w:rsidRDefault="00386340" w:rsidP="00386340">
      <w:pPr>
        <w:pStyle w:val="BodyText"/>
        <w:spacing w:after="0" w:line="240" w:lineRule="auto"/>
        <w:ind w:firstLine="0"/>
        <w:jc w:val="center"/>
        <w:rPr>
          <w:b/>
        </w:rPr>
      </w:pPr>
    </w:p>
    <w:p w:rsidR="0015513E" w:rsidRDefault="0015513E" w:rsidP="00386340">
      <w:pPr>
        <w:pStyle w:val="BodyText"/>
        <w:spacing w:after="0" w:line="240" w:lineRule="auto"/>
        <w:ind w:firstLine="0"/>
        <w:jc w:val="center"/>
        <w:rPr>
          <w:b/>
        </w:rPr>
      </w:pPr>
    </w:p>
    <w:p w:rsidR="0015513E" w:rsidRDefault="0015513E" w:rsidP="00386340">
      <w:pPr>
        <w:pStyle w:val="BodyText"/>
        <w:spacing w:after="0" w:line="240" w:lineRule="auto"/>
        <w:ind w:firstLine="0"/>
        <w:jc w:val="center"/>
        <w:rPr>
          <w:b/>
        </w:rPr>
      </w:pPr>
    </w:p>
    <w:p w:rsidR="0015513E" w:rsidRDefault="0015513E" w:rsidP="00386340">
      <w:pPr>
        <w:pStyle w:val="BodyText"/>
        <w:spacing w:after="0" w:line="240" w:lineRule="auto"/>
        <w:ind w:firstLine="0"/>
        <w:jc w:val="center"/>
        <w:rPr>
          <w:b/>
        </w:rPr>
      </w:pPr>
    </w:p>
    <w:p w:rsidR="0015513E" w:rsidRDefault="0015513E" w:rsidP="00386340">
      <w:pPr>
        <w:pStyle w:val="BodyText"/>
        <w:spacing w:after="0" w:line="240" w:lineRule="auto"/>
        <w:ind w:firstLine="0"/>
        <w:jc w:val="center"/>
        <w:rPr>
          <w:b/>
        </w:rPr>
      </w:pPr>
    </w:p>
    <w:p w:rsidR="0015513E" w:rsidRDefault="0015513E" w:rsidP="00386340">
      <w:pPr>
        <w:pStyle w:val="BodyText"/>
        <w:spacing w:after="0" w:line="240" w:lineRule="auto"/>
        <w:ind w:firstLine="0"/>
        <w:jc w:val="center"/>
        <w:rPr>
          <w:b/>
        </w:rPr>
      </w:pPr>
    </w:p>
    <w:p w:rsidR="0015513E" w:rsidRDefault="0015513E" w:rsidP="00386340">
      <w:pPr>
        <w:pStyle w:val="BodyText"/>
        <w:spacing w:after="0" w:line="240" w:lineRule="auto"/>
        <w:ind w:firstLine="0"/>
        <w:jc w:val="center"/>
        <w:rPr>
          <w:b/>
        </w:rPr>
      </w:pPr>
    </w:p>
    <w:p w:rsidR="0015513E" w:rsidRDefault="0015513E" w:rsidP="00386340">
      <w:pPr>
        <w:pStyle w:val="BodyText"/>
        <w:spacing w:after="0" w:line="240" w:lineRule="auto"/>
        <w:ind w:firstLine="0"/>
        <w:jc w:val="center"/>
        <w:rPr>
          <w:b/>
        </w:rPr>
      </w:pPr>
    </w:p>
    <w:p w:rsidR="0015513E" w:rsidRDefault="00984472" w:rsidP="00984472">
      <w:pPr>
        <w:pStyle w:val="BodyText"/>
        <w:spacing w:after="0" w:line="240" w:lineRule="auto"/>
        <w:ind w:left="720" w:firstLine="0"/>
        <w:jc w:val="center"/>
        <w:rPr>
          <w:b/>
        </w:rPr>
      </w:pPr>
      <w:r>
        <w:rPr>
          <w:noProof/>
          <w:lang w:val="en-IN" w:eastAsia="en-IN"/>
        </w:rPr>
        <w:drawing>
          <wp:inline distT="0" distB="0" distL="0" distR="0" wp14:anchorId="2DFAF0E3" wp14:editId="1703AC21">
            <wp:extent cx="5408295" cy="2950234"/>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5513E" w:rsidRPr="00386340" w:rsidRDefault="0015513E" w:rsidP="00386340">
      <w:pPr>
        <w:pStyle w:val="BodyText"/>
        <w:spacing w:after="0" w:line="240" w:lineRule="auto"/>
        <w:ind w:firstLine="0"/>
        <w:jc w:val="center"/>
        <w:rPr>
          <w:b/>
        </w:rPr>
      </w:pPr>
    </w:p>
    <w:p w:rsidR="00CD735B" w:rsidRPr="005005DD" w:rsidRDefault="006B7B36" w:rsidP="002F780C">
      <w:pPr>
        <w:pStyle w:val="BodyText"/>
        <w:spacing w:after="0" w:line="240" w:lineRule="auto"/>
        <w:ind w:firstLine="0"/>
        <w:jc w:val="center"/>
        <w:rPr>
          <w:b/>
        </w:rPr>
      </w:pPr>
      <w:r w:rsidRPr="005005DD">
        <w:rPr>
          <w:b/>
        </w:rPr>
        <w:t xml:space="preserve">Figure 2: </w:t>
      </w:r>
      <w:r w:rsidRPr="005005DD">
        <w:rPr>
          <w:rFonts w:asciiTheme="majorHAnsi" w:eastAsiaTheme="majorEastAsia" w:cstheme="majorBidi"/>
          <w:b/>
          <w:color w:val="000000"/>
          <w:kern w:val="24"/>
        </w:rPr>
        <w:t>Fungal Catalase Enzyme Secretion</w:t>
      </w:r>
    </w:p>
    <w:p w:rsidR="00CD735B" w:rsidRDefault="00CD735B" w:rsidP="00466548">
      <w:pPr>
        <w:pStyle w:val="BodyText"/>
        <w:spacing w:after="0" w:line="240" w:lineRule="auto"/>
        <w:ind w:firstLine="0"/>
      </w:pPr>
    </w:p>
    <w:p w:rsidR="00CD735B" w:rsidRDefault="00984472" w:rsidP="005005DD">
      <w:pPr>
        <w:pStyle w:val="BodyText"/>
        <w:spacing w:after="0" w:line="240" w:lineRule="auto"/>
        <w:ind w:left="720" w:firstLine="0"/>
      </w:pPr>
      <w:r>
        <w:rPr>
          <w:noProof/>
          <w:lang w:val="en-IN" w:eastAsia="en-IN"/>
        </w:rPr>
        <w:drawing>
          <wp:inline distT="0" distB="0" distL="0" distR="0" wp14:anchorId="63444AE8" wp14:editId="2372D8FD">
            <wp:extent cx="5408762" cy="2889849"/>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84472" w:rsidRPr="005005DD" w:rsidRDefault="00984472" w:rsidP="00984472">
      <w:pPr>
        <w:pStyle w:val="BodyText"/>
        <w:spacing w:after="0" w:line="240" w:lineRule="auto"/>
        <w:ind w:firstLine="0"/>
        <w:jc w:val="center"/>
        <w:rPr>
          <w:b/>
        </w:rPr>
      </w:pPr>
      <w:r w:rsidRPr="005005DD">
        <w:rPr>
          <w:b/>
        </w:rPr>
        <w:t xml:space="preserve">Figure 3: </w:t>
      </w:r>
      <w:r w:rsidRPr="005005DD">
        <w:rPr>
          <w:rFonts w:asciiTheme="majorHAnsi" w:eastAsiaTheme="majorEastAsia" w:cstheme="majorBidi"/>
          <w:b/>
          <w:color w:val="000000"/>
          <w:kern w:val="24"/>
        </w:rPr>
        <w:t xml:space="preserve">Fungal Polyphenol </w:t>
      </w:r>
      <w:r w:rsidR="005005DD" w:rsidRPr="005005DD">
        <w:rPr>
          <w:rFonts w:asciiTheme="majorHAnsi" w:eastAsiaTheme="majorEastAsia" w:cstheme="majorBidi"/>
          <w:b/>
          <w:color w:val="000000"/>
          <w:kern w:val="24"/>
        </w:rPr>
        <w:t>Oxidase</w:t>
      </w:r>
      <w:r w:rsidRPr="005005DD">
        <w:rPr>
          <w:rFonts w:asciiTheme="majorHAnsi" w:eastAsiaTheme="majorEastAsia" w:cstheme="majorBidi"/>
          <w:b/>
          <w:color w:val="000000"/>
          <w:kern w:val="24"/>
        </w:rPr>
        <w:t xml:space="preserve"> Enzyme Secretion</w:t>
      </w:r>
    </w:p>
    <w:p w:rsidR="006B7B36" w:rsidRPr="005F19DE" w:rsidRDefault="005F19DE" w:rsidP="00CD735B">
      <w:pPr>
        <w:pStyle w:val="BodyText"/>
        <w:spacing w:after="0" w:line="240" w:lineRule="auto"/>
        <w:ind w:left="288" w:firstLine="0"/>
      </w:pPr>
      <w:r w:rsidRPr="005F19DE">
        <w:t xml:space="preserve"> Table-1, and Figure 1 to 3</w:t>
      </w:r>
      <w:r>
        <w:t xml:space="preserve"> </w:t>
      </w:r>
      <w:r w:rsidR="0056427F">
        <w:t>represent different</w:t>
      </w:r>
      <w:r>
        <w:t xml:space="preserve"> fungus </w:t>
      </w:r>
      <w:r w:rsidR="0056427F">
        <w:t>and their</w:t>
      </w:r>
      <w:r>
        <w:t xml:space="preserve"> enzyme </w:t>
      </w:r>
      <w:r w:rsidR="0056427F">
        <w:t xml:space="preserve">production capabilities. </w:t>
      </w:r>
      <w:r w:rsidR="00D00B74">
        <w:t>The study</w:t>
      </w:r>
      <w:r w:rsidR="0056427F">
        <w:t xml:space="preserve"> reveals spores are more </w:t>
      </w:r>
      <w:r w:rsidR="00D00B74">
        <w:t>active and efficient</w:t>
      </w:r>
      <w:r w:rsidR="0056427F">
        <w:t xml:space="preserve"> </w:t>
      </w:r>
      <w:r w:rsidR="00D00B74">
        <w:t>in enzyme</w:t>
      </w:r>
      <w:r w:rsidR="0056427F">
        <w:t xml:space="preserve"> </w:t>
      </w:r>
      <w:r w:rsidR="00D00B74">
        <w:t>production than</w:t>
      </w:r>
      <w:r w:rsidR="0056427F">
        <w:t xml:space="preserve"> vegetative body or hyphae.</w:t>
      </w:r>
    </w:p>
    <w:p w:rsidR="006B7B36" w:rsidRPr="00466548" w:rsidRDefault="006B7B36" w:rsidP="00CD735B">
      <w:pPr>
        <w:pStyle w:val="BodyText"/>
        <w:spacing w:after="0" w:line="240" w:lineRule="auto"/>
        <w:ind w:left="288" w:firstLine="0"/>
      </w:pPr>
    </w:p>
    <w:p w:rsidR="008A55B5" w:rsidRPr="00402841" w:rsidRDefault="005F19DE" w:rsidP="00466548">
      <w:pPr>
        <w:pStyle w:val="Heading1"/>
        <w:spacing w:before="0" w:after="0"/>
        <w:ind w:firstLine="0"/>
        <w:rPr>
          <w:rFonts w:eastAsia="MS Mincho"/>
        </w:rPr>
      </w:pPr>
      <w:r>
        <w:rPr>
          <w:rFonts w:ascii="Times New Roman" w:eastAsia="MS Mincho" w:hAnsi="Times New Roman"/>
          <w:sz w:val="20"/>
          <w:szCs w:val="20"/>
        </w:rPr>
        <w:t>DISCUSSION</w:t>
      </w:r>
    </w:p>
    <w:p w:rsidR="00466548" w:rsidRPr="00FC23B5" w:rsidRDefault="00F24A8F" w:rsidP="008B1AA0">
      <w:pPr>
        <w:jc w:val="both"/>
        <w:rPr>
          <w:rFonts w:eastAsia="MS Mincho"/>
        </w:rPr>
      </w:pPr>
      <w:r w:rsidRPr="00F24A8F">
        <w:rPr>
          <w:rFonts w:eastAsia="MS Mincho"/>
        </w:rPr>
        <w:t xml:space="preserve">The polyphenol oxidase (PPO) </w:t>
      </w:r>
      <w:r w:rsidR="00FC23B5" w:rsidRPr="00F24A8F">
        <w:rPr>
          <w:rFonts w:eastAsia="MS Mincho"/>
        </w:rPr>
        <w:t xml:space="preserve">enzyme </w:t>
      </w:r>
      <w:r w:rsidRPr="00F24A8F">
        <w:rPr>
          <w:rFonts w:eastAsia="MS Mincho"/>
        </w:rPr>
        <w:t>catalyzes the phenolic compounds</w:t>
      </w:r>
      <w:r w:rsidR="00FC23B5" w:rsidRPr="00FC23B5">
        <w:rPr>
          <w:rFonts w:eastAsia="MS Mincho"/>
        </w:rPr>
        <w:t xml:space="preserve"> </w:t>
      </w:r>
      <w:r w:rsidR="00FC23B5" w:rsidRPr="00F24A8F">
        <w:rPr>
          <w:rFonts w:eastAsia="MS Mincho"/>
        </w:rPr>
        <w:t>oxidation</w:t>
      </w:r>
      <w:r w:rsidRPr="00F24A8F">
        <w:rPr>
          <w:rFonts w:eastAsia="MS Mincho"/>
        </w:rPr>
        <w:t xml:space="preserve"> </w:t>
      </w:r>
      <w:r w:rsidR="00FC23B5">
        <w:rPr>
          <w:rFonts w:eastAsia="MS Mincho"/>
        </w:rPr>
        <w:t xml:space="preserve">into highly reactive </w:t>
      </w:r>
      <w:proofErr w:type="spellStart"/>
      <w:r w:rsidR="00FC23B5">
        <w:rPr>
          <w:rFonts w:eastAsia="MS Mincho"/>
        </w:rPr>
        <w:t>quinones</w:t>
      </w:r>
      <w:proofErr w:type="spellEnd"/>
      <w:r w:rsidR="00FC23B5">
        <w:rPr>
          <w:rFonts w:eastAsia="MS Mincho"/>
        </w:rPr>
        <w:t xml:space="preserve">. </w:t>
      </w:r>
      <w:r w:rsidR="00FC23B5" w:rsidRPr="00FC23B5">
        <w:rPr>
          <w:rFonts w:eastAsia="MS Mincho"/>
        </w:rPr>
        <w:t xml:space="preserve">Plant food wastes and by-products might </w:t>
      </w:r>
      <w:r w:rsidR="00FC23B5">
        <w:rPr>
          <w:rFonts w:eastAsia="MS Mincho"/>
        </w:rPr>
        <w:t xml:space="preserve">have </w:t>
      </w:r>
      <w:r w:rsidR="00FC23B5" w:rsidRPr="00FC23B5">
        <w:rPr>
          <w:rFonts w:eastAsia="MS Mincho"/>
        </w:rPr>
        <w:t xml:space="preserve">a range of enzymes </w:t>
      </w:r>
      <w:r w:rsidR="00FC23B5">
        <w:rPr>
          <w:rFonts w:eastAsia="MS Mincho"/>
        </w:rPr>
        <w:t>which can transform</w:t>
      </w:r>
      <w:r w:rsidR="00FC23B5" w:rsidRPr="00FC23B5">
        <w:rPr>
          <w:rFonts w:eastAsia="MS Mincho"/>
        </w:rPr>
        <w:t xml:space="preserve"> bio-organic molecules, and thus they may have possible uses in bioremediation procedures. Vegetable</w:t>
      </w:r>
      <w:r w:rsidR="00FC23B5">
        <w:rPr>
          <w:rFonts w:eastAsia="MS Mincho"/>
        </w:rPr>
        <w:t xml:space="preserve"> peels are </w:t>
      </w:r>
      <w:r w:rsidR="00FC23B5" w:rsidRPr="00FC23B5">
        <w:rPr>
          <w:rFonts w:eastAsia="MS Mincho"/>
        </w:rPr>
        <w:t xml:space="preserve">plentiful plant food waste and might be considered </w:t>
      </w:r>
      <w:r w:rsidR="00FC23B5">
        <w:rPr>
          <w:rFonts w:eastAsia="MS Mincho"/>
        </w:rPr>
        <w:t>as a</w:t>
      </w:r>
      <w:r w:rsidR="00FC23B5" w:rsidRPr="00FC23B5">
        <w:rPr>
          <w:rFonts w:eastAsia="MS Mincho"/>
        </w:rPr>
        <w:t xml:space="preserve"> hopeful means of bioremediation since they comprise the oxidative enzyme polyphenol oxidase (PPO), </w:t>
      </w:r>
      <w:r w:rsidR="00FC23B5">
        <w:rPr>
          <w:rFonts w:eastAsia="MS Mincho"/>
        </w:rPr>
        <w:t xml:space="preserve">which can degrade </w:t>
      </w:r>
      <w:r w:rsidR="008B1AA0">
        <w:rPr>
          <w:rFonts w:eastAsia="MS Mincho"/>
        </w:rPr>
        <w:t xml:space="preserve">or </w:t>
      </w:r>
      <w:r w:rsidR="008B1AA0" w:rsidRPr="00FC23B5">
        <w:rPr>
          <w:rFonts w:eastAsia="MS Mincho"/>
        </w:rPr>
        <w:t>oxidize</w:t>
      </w:r>
      <w:r w:rsidR="00FC23B5" w:rsidRPr="00FC23B5">
        <w:rPr>
          <w:rFonts w:eastAsia="MS Mincho"/>
        </w:rPr>
        <w:t xml:space="preserve"> a range of pollutants</w:t>
      </w:r>
      <w:r w:rsidR="00FC23B5">
        <w:rPr>
          <w:rFonts w:eastAsia="MS Mincho"/>
        </w:rPr>
        <w:t xml:space="preserve"> [7]</w:t>
      </w:r>
      <w:r w:rsidR="00FC23B5" w:rsidRPr="00FC23B5">
        <w:rPr>
          <w:rFonts w:eastAsia="MS Mincho"/>
        </w:rPr>
        <w:t>.</w:t>
      </w:r>
      <w:r w:rsidR="008B1AA0" w:rsidRPr="008B1AA0">
        <w:rPr>
          <w:rFonts w:eastAsia="MS Mincho"/>
        </w:rPr>
        <w:t xml:space="preserve"> </w:t>
      </w:r>
      <w:r w:rsidR="008B1AA0" w:rsidRPr="00F24A8F">
        <w:rPr>
          <w:rFonts w:eastAsia="MS Mincho"/>
        </w:rPr>
        <w:t>The polyphenol oxidase (PPO)</w:t>
      </w:r>
      <w:r w:rsidR="008B1AA0">
        <w:rPr>
          <w:rFonts w:eastAsia="MS Mincho"/>
        </w:rPr>
        <w:t xml:space="preserve"> is also supportive </w:t>
      </w:r>
      <w:r w:rsidR="00476D4C">
        <w:rPr>
          <w:rFonts w:eastAsia="MS Mincho"/>
        </w:rPr>
        <w:t>to prevent</w:t>
      </w:r>
      <w:r w:rsidR="008B1AA0">
        <w:rPr>
          <w:rFonts w:eastAsia="MS Mincho"/>
        </w:rPr>
        <w:t xml:space="preserve"> wilt </w:t>
      </w:r>
      <w:r w:rsidR="00476D4C">
        <w:rPr>
          <w:rFonts w:eastAsia="MS Mincho"/>
        </w:rPr>
        <w:t>in “</w:t>
      </w:r>
      <w:r w:rsidR="008B1AA0">
        <w:rPr>
          <w:rFonts w:eastAsia="MS Mincho"/>
        </w:rPr>
        <w:t>Tomato” plant [8].</w:t>
      </w:r>
    </w:p>
    <w:p w:rsidR="008A55B5" w:rsidRPr="00705409" w:rsidRDefault="00D01167" w:rsidP="005F19DE">
      <w:pPr>
        <w:pStyle w:val="BodyText"/>
        <w:spacing w:after="0" w:line="240" w:lineRule="auto"/>
        <w:ind w:firstLine="0"/>
      </w:pPr>
      <w:r>
        <w:lastRenderedPageBreak/>
        <w:tab/>
      </w:r>
      <w:r w:rsidR="008B1AA0" w:rsidRPr="008B1AA0">
        <w:t xml:space="preserve">The enzyme catalase is known to </w:t>
      </w:r>
      <w:r w:rsidR="00476D4C" w:rsidRPr="008B1AA0">
        <w:t>catalyze</w:t>
      </w:r>
      <w:r w:rsidR="008B1AA0" w:rsidRPr="008B1AA0">
        <w:t xml:space="preserve"> the breakdown of hydrogen peroxide into oxygen and water. It has one of the highest turnovers of all enzymes as it has the capacity to decompose more than one million molecules of hydrogen peroxide, per molecule of enzyme. Catalase has been used as an important enzyme in many biotechnological</w:t>
      </w:r>
      <w:r w:rsidR="008B1AA0">
        <w:t xml:space="preserve"> areas including bioremediation</w:t>
      </w:r>
      <w:r w:rsidR="00B64B69">
        <w:t xml:space="preserve"> and waste management</w:t>
      </w:r>
      <w:r w:rsidR="008B1AA0">
        <w:t xml:space="preserve"> [9</w:t>
      </w:r>
      <w:proofErr w:type="gramStart"/>
      <w:r w:rsidR="008B1AA0">
        <w:t>]</w:t>
      </w:r>
      <w:r w:rsidR="00B64B69">
        <w:t>,[</w:t>
      </w:r>
      <w:proofErr w:type="gramEnd"/>
      <w:r w:rsidR="00B64B69">
        <w:t>10]</w:t>
      </w:r>
      <w:r w:rsidR="008B1AA0">
        <w:t>.</w:t>
      </w:r>
      <w:r w:rsidR="00B739B3">
        <w:t xml:space="preserve"> Amylase enzyme is also widely used for agricultural waste management [11]</w:t>
      </w:r>
      <w:proofErr w:type="gramStart"/>
      <w:r w:rsidR="00B739B3">
        <w:t>-[</w:t>
      </w:r>
      <w:proofErr w:type="gramEnd"/>
      <w:r w:rsidR="00B739B3">
        <w:t>1</w:t>
      </w:r>
      <w:r w:rsidR="00916C3A">
        <w:t>4</w:t>
      </w:r>
      <w:r w:rsidR="00B739B3">
        <w:t xml:space="preserve">].  The studied fungal population reveals that it can </w:t>
      </w:r>
      <w:r w:rsidR="00213F7C">
        <w:t>synthesis amylase</w:t>
      </w:r>
      <w:r w:rsidR="00B739B3">
        <w:t>, catalase and polyphenol oxidase enzymes at a time. All these enzymes are capable</w:t>
      </w:r>
      <w:r w:rsidR="00213F7C">
        <w:t xml:space="preserve"> to waste break down, specifically organic waste. Agricultural solid wastes are rich in organic material and combination of these fungal strain will support the degradation of organic waste faster and partially it converts to bio-fertilizer. This </w:t>
      </w:r>
      <w:proofErr w:type="gramStart"/>
      <w:r w:rsidR="001522F6">
        <w:t>bioremediation  will</w:t>
      </w:r>
      <w:proofErr w:type="gramEnd"/>
      <w:r w:rsidR="001522F6">
        <w:t xml:space="preserve">  be  supportive to  increase fertility of soil and can be preventive  against pathogenic attack.</w:t>
      </w:r>
    </w:p>
    <w:p w:rsidR="00767BF4" w:rsidRPr="00767BF4" w:rsidRDefault="00767BF4" w:rsidP="00767BF4"/>
    <w:p w:rsidR="00EE4362" w:rsidRPr="00402841" w:rsidRDefault="00EE4362" w:rsidP="00466548">
      <w:pPr>
        <w:rPr>
          <w:rFonts w:eastAsia="MS Mincho"/>
          <w:b/>
        </w:rPr>
      </w:pPr>
    </w:p>
    <w:p w:rsidR="006C228B" w:rsidRDefault="000026B6" w:rsidP="009768CE">
      <w:pPr>
        <w:pStyle w:val="Heading5"/>
        <w:spacing w:before="0" w:after="0"/>
        <w:rPr>
          <w:rFonts w:ascii="Times New Roman" w:eastAsia="MS Mincho" w:hAnsi="Times New Roman"/>
          <w:i w:val="0"/>
          <w:sz w:val="20"/>
          <w:szCs w:val="20"/>
        </w:rPr>
      </w:pPr>
      <w:r w:rsidRPr="00402841">
        <w:rPr>
          <w:rFonts w:ascii="Times New Roman" w:eastAsia="MS Mincho" w:hAnsi="Times New Roman"/>
          <w:i w:val="0"/>
          <w:sz w:val="20"/>
          <w:szCs w:val="20"/>
        </w:rPr>
        <w:t>REFERENCES</w:t>
      </w:r>
    </w:p>
    <w:p w:rsidR="009768CE" w:rsidRPr="009768CE" w:rsidRDefault="009768CE" w:rsidP="009768CE"/>
    <w:p w:rsidR="006C228B" w:rsidRPr="00B739B3" w:rsidRDefault="006C228B" w:rsidP="006C228B">
      <w:pPr>
        <w:pStyle w:val="references"/>
        <w:numPr>
          <w:ilvl w:val="0"/>
          <w:numId w:val="0"/>
        </w:numPr>
        <w:spacing w:after="0" w:line="240" w:lineRule="auto"/>
        <w:ind w:left="360" w:hanging="360"/>
        <w:rPr>
          <w:shd w:val="clear" w:color="auto" w:fill="FCFCFC"/>
        </w:rPr>
      </w:pPr>
      <w:r w:rsidRPr="00B739B3">
        <w:rPr>
          <w:shd w:val="clear" w:color="auto" w:fill="FCFCFC"/>
        </w:rPr>
        <w:t>[1] N.G.</w:t>
      </w:r>
      <w:r w:rsidR="00CC34EB" w:rsidRPr="00B739B3">
        <w:rPr>
          <w:shd w:val="clear" w:color="auto" w:fill="FCFCFC"/>
        </w:rPr>
        <w:t xml:space="preserve"> Shrivastava, </w:t>
      </w:r>
      <w:r w:rsidRPr="00B739B3">
        <w:rPr>
          <w:shd w:val="clear" w:color="auto" w:fill="FCFCFC"/>
        </w:rPr>
        <w:t xml:space="preserve"> (2022). Bioremediation of Solid Waste Management. In: Baskar, C., Ramakrishna, S., Baskar, S., Sharma, R., Chinnappan, A., Sehrawat, R. (eds) Handbook of Solid Waste Management. Springer, Singapore. </w:t>
      </w:r>
      <w:hyperlink r:id="rId13" w:history="1">
        <w:r w:rsidR="0048384B" w:rsidRPr="00B739B3">
          <w:rPr>
            <w:rStyle w:val="Hyperlink"/>
            <w:color w:val="auto"/>
            <w:shd w:val="clear" w:color="auto" w:fill="FCFCFC"/>
          </w:rPr>
          <w:t>https://doi.org/10.1007/978-981-16-4230-2_48</w:t>
        </w:r>
      </w:hyperlink>
    </w:p>
    <w:p w:rsidR="0048384B" w:rsidRPr="00B739B3" w:rsidRDefault="0048384B" w:rsidP="009768CE">
      <w:pPr>
        <w:pStyle w:val="BodyText"/>
        <w:spacing w:after="0" w:line="240" w:lineRule="auto"/>
        <w:ind w:firstLine="0"/>
        <w:rPr>
          <w:sz w:val="16"/>
          <w:szCs w:val="16"/>
        </w:rPr>
      </w:pPr>
      <w:r w:rsidRPr="00B739B3">
        <w:rPr>
          <w:sz w:val="16"/>
          <w:szCs w:val="16"/>
        </w:rPr>
        <w:t>[2]</w:t>
      </w:r>
      <w:r w:rsidRPr="00B739B3">
        <w:rPr>
          <w:sz w:val="16"/>
          <w:szCs w:val="16"/>
          <w:shd w:val="clear" w:color="auto" w:fill="FFFFFF"/>
        </w:rPr>
        <w:t xml:space="preserve"> R.</w:t>
      </w:r>
      <w:r w:rsidR="00CC34EB" w:rsidRPr="00B739B3">
        <w:rPr>
          <w:sz w:val="16"/>
          <w:szCs w:val="16"/>
          <w:shd w:val="clear" w:color="auto" w:fill="FFFFFF"/>
        </w:rPr>
        <w:t xml:space="preserve"> </w:t>
      </w:r>
      <w:proofErr w:type="spellStart"/>
      <w:r w:rsidR="00CC34EB" w:rsidRPr="00B739B3">
        <w:rPr>
          <w:sz w:val="16"/>
          <w:szCs w:val="16"/>
          <w:shd w:val="clear" w:color="auto" w:fill="FFFFFF"/>
        </w:rPr>
        <w:t>Baskaran</w:t>
      </w:r>
      <w:proofErr w:type="spellEnd"/>
      <w:r w:rsidR="00CC34EB" w:rsidRPr="00B739B3">
        <w:rPr>
          <w:sz w:val="16"/>
          <w:szCs w:val="16"/>
          <w:shd w:val="clear" w:color="auto" w:fill="FFFFFF"/>
        </w:rPr>
        <w:t xml:space="preserve">, </w:t>
      </w:r>
      <w:r w:rsidRPr="00B739B3">
        <w:rPr>
          <w:sz w:val="16"/>
          <w:szCs w:val="16"/>
          <w:shd w:val="clear" w:color="auto" w:fill="FFFFFF"/>
        </w:rPr>
        <w:t>et al.</w:t>
      </w:r>
      <w:r w:rsidR="00B739B3" w:rsidRPr="00B739B3">
        <w:rPr>
          <w:sz w:val="16"/>
          <w:szCs w:val="16"/>
          <w:shd w:val="clear" w:color="auto" w:fill="FFFFFF"/>
        </w:rPr>
        <w:t xml:space="preserve"> </w:t>
      </w:r>
      <w:r w:rsidR="00B739B3" w:rsidRPr="00B739B3">
        <w:rPr>
          <w:sz w:val="16"/>
          <w:szCs w:val="16"/>
          <w:shd w:val="clear" w:color="auto" w:fill="FFFFFF"/>
        </w:rPr>
        <w:t xml:space="preserve">(2012): </w:t>
      </w:r>
      <w:r w:rsidRPr="00B739B3">
        <w:rPr>
          <w:sz w:val="16"/>
          <w:szCs w:val="16"/>
          <w:shd w:val="clear" w:color="auto" w:fill="FFFFFF"/>
        </w:rPr>
        <w:t xml:space="preserve"> "</w:t>
      </w:r>
      <w:proofErr w:type="spellStart"/>
      <w:r w:rsidRPr="00B739B3">
        <w:rPr>
          <w:sz w:val="16"/>
          <w:szCs w:val="16"/>
          <w:shd w:val="clear" w:color="auto" w:fill="FFFFFF"/>
        </w:rPr>
        <w:t>Phyllosphere</w:t>
      </w:r>
      <w:proofErr w:type="spellEnd"/>
      <w:r w:rsidRPr="00B739B3">
        <w:rPr>
          <w:sz w:val="16"/>
          <w:szCs w:val="16"/>
          <w:shd w:val="clear" w:color="auto" w:fill="FFFFFF"/>
        </w:rPr>
        <w:t xml:space="preserve"> microbial populations of ten true mangrove species of the Andaman Island." </w:t>
      </w:r>
      <w:r w:rsidRPr="00B739B3">
        <w:rPr>
          <w:i/>
          <w:iCs/>
          <w:sz w:val="16"/>
          <w:szCs w:val="16"/>
          <w:shd w:val="clear" w:color="auto" w:fill="FFFFFF"/>
        </w:rPr>
        <w:t xml:space="preserve">Int. J. </w:t>
      </w:r>
      <w:proofErr w:type="spellStart"/>
      <w:r w:rsidRPr="00B739B3">
        <w:rPr>
          <w:i/>
          <w:iCs/>
          <w:sz w:val="16"/>
          <w:szCs w:val="16"/>
          <w:shd w:val="clear" w:color="auto" w:fill="FFFFFF"/>
        </w:rPr>
        <w:t>Microbiol</w:t>
      </w:r>
      <w:proofErr w:type="spellEnd"/>
      <w:r w:rsidRPr="00B739B3">
        <w:rPr>
          <w:i/>
          <w:iCs/>
          <w:sz w:val="16"/>
          <w:szCs w:val="16"/>
          <w:shd w:val="clear" w:color="auto" w:fill="FFFFFF"/>
        </w:rPr>
        <w:t>. Res</w:t>
      </w:r>
      <w:r w:rsidRPr="00B739B3">
        <w:rPr>
          <w:sz w:val="16"/>
          <w:szCs w:val="16"/>
          <w:shd w:val="clear" w:color="auto" w:fill="FFFFFF"/>
        </w:rPr>
        <w:t> 3 124-127.</w:t>
      </w:r>
    </w:p>
    <w:p w:rsidR="000B5B2F" w:rsidRPr="00B739B3" w:rsidRDefault="008914DA" w:rsidP="008914DA">
      <w:pPr>
        <w:autoSpaceDE w:val="0"/>
        <w:autoSpaceDN w:val="0"/>
        <w:adjustRightInd w:val="0"/>
        <w:jc w:val="left"/>
        <w:rPr>
          <w:sz w:val="16"/>
          <w:szCs w:val="16"/>
          <w:lang w:val="en-IN"/>
        </w:rPr>
      </w:pPr>
      <w:r w:rsidRPr="00B739B3">
        <w:rPr>
          <w:sz w:val="16"/>
          <w:szCs w:val="16"/>
          <w:lang w:val="en-IN"/>
        </w:rPr>
        <w:t>[3]</w:t>
      </w:r>
      <w:r w:rsidR="00EB271C" w:rsidRPr="00B739B3">
        <w:rPr>
          <w:sz w:val="16"/>
          <w:szCs w:val="16"/>
          <w:lang w:val="en-IN"/>
        </w:rPr>
        <w:t xml:space="preserve"> </w:t>
      </w:r>
      <w:r w:rsidRPr="00B739B3">
        <w:rPr>
          <w:bCs/>
          <w:sz w:val="16"/>
          <w:szCs w:val="16"/>
          <w:lang w:val="en-IN"/>
        </w:rPr>
        <w:t>J. H.</w:t>
      </w:r>
      <w:r w:rsidR="00CC34EB" w:rsidRPr="00B739B3">
        <w:rPr>
          <w:sz w:val="16"/>
          <w:szCs w:val="16"/>
          <w:lang w:val="en-IN"/>
        </w:rPr>
        <w:t xml:space="preserve"> </w:t>
      </w:r>
      <w:proofErr w:type="gramStart"/>
      <w:r w:rsidR="00CC34EB" w:rsidRPr="00B739B3">
        <w:rPr>
          <w:sz w:val="16"/>
          <w:szCs w:val="16"/>
          <w:lang w:val="en-IN"/>
        </w:rPr>
        <w:t>A</w:t>
      </w:r>
      <w:r w:rsidR="00CC34EB" w:rsidRPr="00B739B3">
        <w:rPr>
          <w:bCs/>
          <w:sz w:val="16"/>
          <w:szCs w:val="16"/>
          <w:lang w:val="en-IN"/>
        </w:rPr>
        <w:t>ndrews,</w:t>
      </w:r>
      <w:r w:rsidRPr="00B739B3">
        <w:rPr>
          <w:bCs/>
          <w:sz w:val="16"/>
          <w:szCs w:val="16"/>
          <w:lang w:val="en-IN"/>
        </w:rPr>
        <w:t>,</w:t>
      </w:r>
      <w:proofErr w:type="gramEnd"/>
      <w:r w:rsidRPr="00B739B3">
        <w:rPr>
          <w:bCs/>
          <w:sz w:val="16"/>
          <w:szCs w:val="16"/>
          <w:lang w:val="en-IN"/>
        </w:rPr>
        <w:t xml:space="preserve"> and R. F. Harris</w:t>
      </w:r>
      <w:r w:rsidRPr="00B739B3">
        <w:rPr>
          <w:b/>
          <w:bCs/>
          <w:sz w:val="16"/>
          <w:szCs w:val="16"/>
          <w:lang w:val="en-IN"/>
        </w:rPr>
        <w:t xml:space="preserve">. </w:t>
      </w:r>
      <w:r w:rsidRPr="00B739B3">
        <w:rPr>
          <w:sz w:val="16"/>
          <w:szCs w:val="16"/>
          <w:lang w:val="en-IN"/>
        </w:rPr>
        <w:t xml:space="preserve">2000. The ecology and biogeography of microorganisms on plant surfaces. </w:t>
      </w:r>
      <w:proofErr w:type="spellStart"/>
      <w:r w:rsidRPr="00B739B3">
        <w:rPr>
          <w:sz w:val="16"/>
          <w:szCs w:val="16"/>
          <w:lang w:val="en-IN"/>
        </w:rPr>
        <w:t>Annu</w:t>
      </w:r>
      <w:proofErr w:type="spellEnd"/>
      <w:r w:rsidRPr="00B739B3">
        <w:rPr>
          <w:sz w:val="16"/>
          <w:szCs w:val="16"/>
          <w:lang w:val="en-IN"/>
        </w:rPr>
        <w:t xml:space="preserve">. Rev. </w:t>
      </w:r>
      <w:proofErr w:type="spellStart"/>
      <w:r w:rsidRPr="00B739B3">
        <w:rPr>
          <w:sz w:val="16"/>
          <w:szCs w:val="16"/>
          <w:lang w:val="en-IN"/>
        </w:rPr>
        <w:t>Phytopathol</w:t>
      </w:r>
      <w:proofErr w:type="spellEnd"/>
      <w:r w:rsidRPr="00B739B3">
        <w:rPr>
          <w:sz w:val="16"/>
          <w:szCs w:val="16"/>
          <w:lang w:val="en-IN"/>
        </w:rPr>
        <w:t xml:space="preserve">. </w:t>
      </w:r>
      <w:r w:rsidRPr="00B739B3">
        <w:rPr>
          <w:b/>
          <w:bCs/>
          <w:sz w:val="16"/>
          <w:szCs w:val="16"/>
          <w:lang w:val="en-IN"/>
        </w:rPr>
        <w:t>38:</w:t>
      </w:r>
      <w:r w:rsidRPr="00B739B3">
        <w:rPr>
          <w:sz w:val="16"/>
          <w:szCs w:val="16"/>
          <w:lang w:val="en-IN"/>
        </w:rPr>
        <w:t>145–180.</w:t>
      </w:r>
    </w:p>
    <w:p w:rsidR="0040535D" w:rsidRPr="00B739B3" w:rsidRDefault="0040535D" w:rsidP="008914DA">
      <w:pPr>
        <w:autoSpaceDE w:val="0"/>
        <w:autoSpaceDN w:val="0"/>
        <w:adjustRightInd w:val="0"/>
        <w:jc w:val="left"/>
        <w:rPr>
          <w:sz w:val="16"/>
          <w:szCs w:val="16"/>
          <w:lang w:val="en-IN"/>
        </w:rPr>
      </w:pPr>
      <w:r w:rsidRPr="00B739B3">
        <w:rPr>
          <w:sz w:val="16"/>
          <w:szCs w:val="16"/>
          <w:lang w:val="en-IN"/>
        </w:rPr>
        <w:t xml:space="preserve">[4] </w:t>
      </w:r>
      <w:r w:rsidRPr="00B739B3">
        <w:rPr>
          <w:sz w:val="16"/>
          <w:szCs w:val="16"/>
          <w:shd w:val="clear" w:color="auto" w:fill="FFFFFF"/>
        </w:rPr>
        <w:t xml:space="preserve">Takashi </w:t>
      </w:r>
      <w:proofErr w:type="spellStart"/>
      <w:r w:rsidRPr="00B739B3">
        <w:rPr>
          <w:sz w:val="16"/>
          <w:szCs w:val="16"/>
          <w:shd w:val="clear" w:color="auto" w:fill="FFFFFF"/>
        </w:rPr>
        <w:t>Tsuge</w:t>
      </w:r>
      <w:proofErr w:type="spellEnd"/>
      <w:r w:rsidRPr="00B739B3">
        <w:rPr>
          <w:sz w:val="16"/>
          <w:szCs w:val="16"/>
          <w:shd w:val="clear" w:color="auto" w:fill="FFFFFF"/>
        </w:rPr>
        <w:t> </w:t>
      </w:r>
      <w:r w:rsidRPr="00B739B3">
        <w:rPr>
          <w:rStyle w:val="al-author-delim"/>
          <w:rFonts w:eastAsia="MS Mincho"/>
          <w:sz w:val="16"/>
          <w:szCs w:val="16"/>
          <w:bdr w:val="none" w:sz="0" w:space="0" w:color="auto" w:frame="1"/>
          <w:shd w:val="clear" w:color="auto" w:fill="FFFFFF"/>
        </w:rPr>
        <w:t>et al.</w:t>
      </w:r>
      <w:r w:rsidRPr="00B739B3">
        <w:rPr>
          <w:sz w:val="16"/>
          <w:szCs w:val="16"/>
          <w:shd w:val="clear" w:color="auto" w:fill="FFFFFF"/>
        </w:rPr>
        <w:t>,</w:t>
      </w:r>
      <w:r w:rsidR="005D4985">
        <w:rPr>
          <w:sz w:val="16"/>
          <w:szCs w:val="16"/>
          <w:shd w:val="clear" w:color="auto" w:fill="FFFFFF"/>
        </w:rPr>
        <w:t>(</w:t>
      </w:r>
      <w:r w:rsidR="005D4985" w:rsidRPr="00B739B3">
        <w:rPr>
          <w:sz w:val="16"/>
          <w:szCs w:val="16"/>
          <w:shd w:val="clear" w:color="auto" w:fill="FFFFFF"/>
        </w:rPr>
        <w:t xml:space="preserve"> 2013</w:t>
      </w:r>
      <w:r w:rsidR="005D4985">
        <w:rPr>
          <w:sz w:val="16"/>
          <w:szCs w:val="16"/>
          <w:shd w:val="clear" w:color="auto" w:fill="FFFFFF"/>
        </w:rPr>
        <w:t>)</w:t>
      </w:r>
      <w:r w:rsidRPr="00B739B3">
        <w:rPr>
          <w:sz w:val="16"/>
          <w:szCs w:val="16"/>
          <w:shd w:val="clear" w:color="auto" w:fill="FFFFFF"/>
        </w:rPr>
        <w:t xml:space="preserve"> Host-selective toxins produced by the plant pathogenic fungus </w:t>
      </w:r>
      <w:proofErr w:type="spellStart"/>
      <w:r w:rsidRPr="00B739B3">
        <w:rPr>
          <w:rStyle w:val="Emphasis"/>
          <w:rFonts w:eastAsia="MS Mincho"/>
          <w:sz w:val="16"/>
          <w:szCs w:val="16"/>
          <w:bdr w:val="none" w:sz="0" w:space="0" w:color="auto" w:frame="1"/>
          <w:shd w:val="clear" w:color="auto" w:fill="FFFFFF"/>
        </w:rPr>
        <w:t>Alternaria</w:t>
      </w:r>
      <w:proofErr w:type="spellEnd"/>
      <w:r w:rsidRPr="00B739B3">
        <w:rPr>
          <w:rStyle w:val="Emphasis"/>
          <w:rFonts w:eastAsia="MS Mincho"/>
          <w:sz w:val="16"/>
          <w:szCs w:val="16"/>
          <w:bdr w:val="none" w:sz="0" w:space="0" w:color="auto" w:frame="1"/>
          <w:shd w:val="clear" w:color="auto" w:fill="FFFFFF"/>
        </w:rPr>
        <w:t xml:space="preserve"> </w:t>
      </w:r>
      <w:proofErr w:type="spellStart"/>
      <w:r w:rsidRPr="00B739B3">
        <w:rPr>
          <w:rStyle w:val="Emphasis"/>
          <w:rFonts w:eastAsia="MS Mincho"/>
          <w:sz w:val="16"/>
          <w:szCs w:val="16"/>
          <w:bdr w:val="none" w:sz="0" w:space="0" w:color="auto" w:frame="1"/>
          <w:shd w:val="clear" w:color="auto" w:fill="FFFFFF"/>
        </w:rPr>
        <w:t>alternata</w:t>
      </w:r>
      <w:proofErr w:type="spellEnd"/>
      <w:r w:rsidRPr="00B739B3">
        <w:rPr>
          <w:sz w:val="16"/>
          <w:szCs w:val="16"/>
          <w:shd w:val="clear" w:color="auto" w:fill="FFFFFF"/>
        </w:rPr>
        <w:t>, </w:t>
      </w:r>
      <w:r w:rsidRPr="00B739B3">
        <w:rPr>
          <w:rStyle w:val="Emphasis"/>
          <w:rFonts w:eastAsia="MS Mincho"/>
          <w:sz w:val="16"/>
          <w:szCs w:val="16"/>
          <w:bdr w:val="none" w:sz="0" w:space="0" w:color="auto" w:frame="1"/>
          <w:shd w:val="clear" w:color="auto" w:fill="FFFFFF"/>
        </w:rPr>
        <w:t>FEMS Microbiology Reviews</w:t>
      </w:r>
      <w:r w:rsidRPr="00B739B3">
        <w:rPr>
          <w:sz w:val="16"/>
          <w:szCs w:val="16"/>
          <w:shd w:val="clear" w:color="auto" w:fill="FFFFFF"/>
        </w:rPr>
        <w:t>, Volume 37, Issue 1, January 2013, Pages 44–66, </w:t>
      </w:r>
      <w:hyperlink r:id="rId14" w:history="1">
        <w:r w:rsidRPr="00B739B3">
          <w:rPr>
            <w:rStyle w:val="Hyperlink"/>
            <w:rFonts w:eastAsia="MS Mincho"/>
            <w:color w:val="auto"/>
            <w:sz w:val="16"/>
            <w:szCs w:val="16"/>
            <w:bdr w:val="none" w:sz="0" w:space="0" w:color="auto" w:frame="1"/>
            <w:shd w:val="clear" w:color="auto" w:fill="FFFFFF"/>
          </w:rPr>
          <w:t>https://doi.org/10.1111/j.1574-6976.2012.00350.x</w:t>
        </w:r>
      </w:hyperlink>
    </w:p>
    <w:p w:rsidR="000B5B2F" w:rsidRPr="00B739B3" w:rsidRDefault="009768CE" w:rsidP="009768CE">
      <w:pPr>
        <w:ind w:right="-327"/>
        <w:jc w:val="left"/>
        <w:rPr>
          <w:sz w:val="16"/>
          <w:szCs w:val="16"/>
          <w:shd w:val="clear" w:color="auto" w:fill="FFFFFF"/>
        </w:rPr>
      </w:pPr>
      <w:r w:rsidRPr="00B739B3">
        <w:rPr>
          <w:rFonts w:eastAsia="MS Mincho"/>
          <w:sz w:val="16"/>
          <w:szCs w:val="16"/>
        </w:rPr>
        <w:t>[5]</w:t>
      </w:r>
      <w:r w:rsidRPr="00B739B3">
        <w:rPr>
          <w:rFonts w:ascii="Arial" w:hAnsi="Arial" w:cs="Arial"/>
          <w:sz w:val="16"/>
          <w:szCs w:val="16"/>
          <w:shd w:val="clear" w:color="auto" w:fill="FFFFFF"/>
        </w:rPr>
        <w:t xml:space="preserve"> </w:t>
      </w:r>
      <w:proofErr w:type="spellStart"/>
      <w:r w:rsidRPr="00B739B3">
        <w:rPr>
          <w:sz w:val="16"/>
          <w:szCs w:val="16"/>
          <w:shd w:val="clear" w:color="auto" w:fill="FFFFFF"/>
        </w:rPr>
        <w:t>Kistler</w:t>
      </w:r>
      <w:proofErr w:type="spellEnd"/>
      <w:r w:rsidRPr="00B739B3">
        <w:rPr>
          <w:sz w:val="16"/>
          <w:szCs w:val="16"/>
          <w:shd w:val="clear" w:color="auto" w:fill="FFFFFF"/>
        </w:rPr>
        <w:t xml:space="preserve">, H. C. (1997). Genetic diversity in the plant-pathogenic fungus </w:t>
      </w:r>
      <w:proofErr w:type="spellStart"/>
      <w:r w:rsidRPr="00B739B3">
        <w:rPr>
          <w:sz w:val="16"/>
          <w:szCs w:val="16"/>
          <w:shd w:val="clear" w:color="auto" w:fill="FFFFFF"/>
        </w:rPr>
        <w:t>Fusarium</w:t>
      </w:r>
      <w:proofErr w:type="spellEnd"/>
      <w:r w:rsidRPr="00B739B3">
        <w:rPr>
          <w:sz w:val="16"/>
          <w:szCs w:val="16"/>
          <w:shd w:val="clear" w:color="auto" w:fill="FFFFFF"/>
        </w:rPr>
        <w:t xml:space="preserve"> </w:t>
      </w:r>
      <w:proofErr w:type="spellStart"/>
      <w:r w:rsidRPr="00B739B3">
        <w:rPr>
          <w:sz w:val="16"/>
          <w:szCs w:val="16"/>
          <w:shd w:val="clear" w:color="auto" w:fill="FFFFFF"/>
        </w:rPr>
        <w:t>oxysporum</w:t>
      </w:r>
      <w:proofErr w:type="spellEnd"/>
      <w:r w:rsidRPr="00B739B3">
        <w:rPr>
          <w:sz w:val="16"/>
          <w:szCs w:val="16"/>
          <w:shd w:val="clear" w:color="auto" w:fill="FFFFFF"/>
        </w:rPr>
        <w:t>. </w:t>
      </w:r>
      <w:r w:rsidRPr="00B739B3">
        <w:rPr>
          <w:i/>
          <w:iCs/>
          <w:sz w:val="16"/>
          <w:szCs w:val="16"/>
          <w:shd w:val="clear" w:color="auto" w:fill="FFFFFF"/>
        </w:rPr>
        <w:t>Phytopathology</w:t>
      </w:r>
      <w:r w:rsidRPr="00B739B3">
        <w:rPr>
          <w:sz w:val="16"/>
          <w:szCs w:val="16"/>
          <w:shd w:val="clear" w:color="auto" w:fill="FFFFFF"/>
        </w:rPr>
        <w:t>, </w:t>
      </w:r>
      <w:r w:rsidRPr="00B739B3">
        <w:rPr>
          <w:i/>
          <w:iCs/>
          <w:sz w:val="16"/>
          <w:szCs w:val="16"/>
          <w:shd w:val="clear" w:color="auto" w:fill="FFFFFF"/>
        </w:rPr>
        <w:t>87</w:t>
      </w:r>
      <w:r w:rsidRPr="00B739B3">
        <w:rPr>
          <w:sz w:val="16"/>
          <w:szCs w:val="16"/>
          <w:shd w:val="clear" w:color="auto" w:fill="FFFFFF"/>
        </w:rPr>
        <w:t>(4), 474-479.</w:t>
      </w:r>
    </w:p>
    <w:p w:rsidR="00786701" w:rsidRPr="00B739B3" w:rsidRDefault="00786701" w:rsidP="009768CE">
      <w:pPr>
        <w:ind w:right="-327"/>
        <w:jc w:val="left"/>
        <w:rPr>
          <w:sz w:val="16"/>
          <w:szCs w:val="16"/>
          <w:shd w:val="clear" w:color="auto" w:fill="FFFFFF"/>
        </w:rPr>
      </w:pPr>
      <w:r w:rsidRPr="00B739B3">
        <w:rPr>
          <w:sz w:val="16"/>
          <w:szCs w:val="16"/>
          <w:shd w:val="clear" w:color="auto" w:fill="FFFFFF"/>
        </w:rPr>
        <w:t>[6]</w:t>
      </w:r>
      <w:r w:rsidRPr="00B739B3">
        <w:rPr>
          <w:rFonts w:ascii="Arial" w:hAnsi="Arial" w:cs="Arial"/>
          <w:shd w:val="clear" w:color="auto" w:fill="FFFFFF"/>
        </w:rPr>
        <w:t xml:space="preserve"> </w:t>
      </w:r>
      <w:proofErr w:type="spellStart"/>
      <w:r w:rsidRPr="00B739B3">
        <w:rPr>
          <w:sz w:val="16"/>
          <w:szCs w:val="16"/>
          <w:shd w:val="clear" w:color="auto" w:fill="FFFFFF"/>
        </w:rPr>
        <w:t>Ghabrial</w:t>
      </w:r>
      <w:proofErr w:type="spellEnd"/>
      <w:r w:rsidRPr="00B739B3">
        <w:rPr>
          <w:sz w:val="16"/>
          <w:szCs w:val="16"/>
          <w:shd w:val="clear" w:color="auto" w:fill="FFFFFF"/>
        </w:rPr>
        <w:t xml:space="preserve">, S. A., </w:t>
      </w:r>
      <w:proofErr w:type="spellStart"/>
      <w:r w:rsidRPr="00B739B3">
        <w:rPr>
          <w:sz w:val="16"/>
          <w:szCs w:val="16"/>
          <w:shd w:val="clear" w:color="auto" w:fill="FFFFFF"/>
        </w:rPr>
        <w:t>Soldevila</w:t>
      </w:r>
      <w:proofErr w:type="spellEnd"/>
      <w:r w:rsidRPr="00B739B3">
        <w:rPr>
          <w:sz w:val="16"/>
          <w:szCs w:val="16"/>
          <w:shd w:val="clear" w:color="auto" w:fill="FFFFFF"/>
        </w:rPr>
        <w:t xml:space="preserve">, A. I., &amp; Havens, W. M. (2002). Molecular genetics of the viruses infecting the plant pathogenic fungus </w:t>
      </w:r>
      <w:proofErr w:type="spellStart"/>
      <w:r w:rsidRPr="00B739B3">
        <w:rPr>
          <w:sz w:val="16"/>
          <w:szCs w:val="16"/>
          <w:shd w:val="clear" w:color="auto" w:fill="FFFFFF"/>
        </w:rPr>
        <w:t>Helminthosporium</w:t>
      </w:r>
      <w:proofErr w:type="spellEnd"/>
      <w:r w:rsidRPr="00B739B3">
        <w:rPr>
          <w:sz w:val="16"/>
          <w:szCs w:val="16"/>
          <w:shd w:val="clear" w:color="auto" w:fill="FFFFFF"/>
        </w:rPr>
        <w:t xml:space="preserve"> </w:t>
      </w:r>
      <w:proofErr w:type="spellStart"/>
      <w:r w:rsidRPr="00B739B3">
        <w:rPr>
          <w:sz w:val="16"/>
          <w:szCs w:val="16"/>
          <w:shd w:val="clear" w:color="auto" w:fill="FFFFFF"/>
        </w:rPr>
        <w:t>victoriae</w:t>
      </w:r>
      <w:proofErr w:type="spellEnd"/>
      <w:r w:rsidRPr="00B739B3">
        <w:rPr>
          <w:sz w:val="16"/>
          <w:szCs w:val="16"/>
          <w:shd w:val="clear" w:color="auto" w:fill="FFFFFF"/>
        </w:rPr>
        <w:t>. </w:t>
      </w:r>
      <w:r w:rsidRPr="00B739B3">
        <w:rPr>
          <w:i/>
          <w:iCs/>
          <w:sz w:val="16"/>
          <w:szCs w:val="16"/>
          <w:shd w:val="clear" w:color="auto" w:fill="FFFFFF"/>
        </w:rPr>
        <w:t>dsRNA Genetic Elements: Concepts and Applications in Agriculture, Forestry, and Medicine</w:t>
      </w:r>
      <w:r w:rsidRPr="00B739B3">
        <w:rPr>
          <w:sz w:val="16"/>
          <w:szCs w:val="16"/>
          <w:shd w:val="clear" w:color="auto" w:fill="FFFFFF"/>
        </w:rPr>
        <w:t>, 213-236.</w:t>
      </w:r>
    </w:p>
    <w:p w:rsidR="00FC23B5" w:rsidRPr="00B739B3" w:rsidRDefault="00FC23B5" w:rsidP="009768CE">
      <w:pPr>
        <w:ind w:right="-327"/>
        <w:jc w:val="left"/>
        <w:rPr>
          <w:sz w:val="16"/>
          <w:szCs w:val="16"/>
          <w:shd w:val="clear" w:color="auto" w:fill="FFFFFF"/>
        </w:rPr>
      </w:pPr>
      <w:r w:rsidRPr="00B739B3">
        <w:rPr>
          <w:sz w:val="16"/>
          <w:szCs w:val="16"/>
          <w:shd w:val="clear" w:color="auto" w:fill="FFFFFF"/>
        </w:rPr>
        <w:t>[7]</w:t>
      </w:r>
      <w:r w:rsidRPr="00B739B3">
        <w:t xml:space="preserve"> </w:t>
      </w:r>
      <w:r w:rsidRPr="00B739B3">
        <w:rPr>
          <w:sz w:val="16"/>
          <w:szCs w:val="16"/>
          <w:shd w:val="clear" w:color="auto" w:fill="FFFFFF"/>
        </w:rPr>
        <w:t xml:space="preserve">Frederik </w:t>
      </w:r>
      <w:proofErr w:type="spellStart"/>
      <w:r w:rsidRPr="00B739B3">
        <w:rPr>
          <w:sz w:val="16"/>
          <w:szCs w:val="16"/>
          <w:shd w:val="clear" w:color="auto" w:fill="FFFFFF"/>
        </w:rPr>
        <w:t>Gadeyne</w:t>
      </w:r>
      <w:proofErr w:type="spellEnd"/>
      <w:r w:rsidRPr="00B739B3">
        <w:rPr>
          <w:sz w:val="16"/>
          <w:szCs w:val="16"/>
          <w:shd w:val="clear" w:color="auto" w:fill="FFFFFF"/>
        </w:rPr>
        <w:t xml:space="preserve">, </w:t>
      </w:r>
      <w:proofErr w:type="spellStart"/>
      <w:r w:rsidRPr="00B739B3">
        <w:rPr>
          <w:sz w:val="16"/>
          <w:szCs w:val="16"/>
          <w:shd w:val="clear" w:color="auto" w:fill="FFFFFF"/>
        </w:rPr>
        <w:t>Nympha</w:t>
      </w:r>
      <w:proofErr w:type="spellEnd"/>
      <w:r w:rsidRPr="00B739B3">
        <w:rPr>
          <w:sz w:val="16"/>
          <w:szCs w:val="16"/>
          <w:shd w:val="clear" w:color="auto" w:fill="FFFFFF"/>
        </w:rPr>
        <w:t xml:space="preserve"> De Neve, Bruno </w:t>
      </w:r>
      <w:proofErr w:type="spellStart"/>
      <w:r w:rsidRPr="00B739B3">
        <w:rPr>
          <w:sz w:val="16"/>
          <w:szCs w:val="16"/>
          <w:shd w:val="clear" w:color="auto" w:fill="FFFFFF"/>
        </w:rPr>
        <w:t>Vlaeminck</w:t>
      </w:r>
      <w:proofErr w:type="spellEnd"/>
      <w:r w:rsidRPr="00B739B3">
        <w:rPr>
          <w:sz w:val="16"/>
          <w:szCs w:val="16"/>
          <w:shd w:val="clear" w:color="auto" w:fill="FFFFFF"/>
        </w:rPr>
        <w:t xml:space="preserve">, </w:t>
      </w:r>
      <w:proofErr w:type="spellStart"/>
      <w:r w:rsidRPr="00B739B3">
        <w:rPr>
          <w:sz w:val="16"/>
          <w:szCs w:val="16"/>
          <w:shd w:val="clear" w:color="auto" w:fill="FFFFFF"/>
        </w:rPr>
        <w:t>Veerle</w:t>
      </w:r>
      <w:proofErr w:type="spellEnd"/>
      <w:r w:rsidRPr="00B739B3">
        <w:rPr>
          <w:sz w:val="16"/>
          <w:szCs w:val="16"/>
          <w:shd w:val="clear" w:color="auto" w:fill="FFFFFF"/>
        </w:rPr>
        <w:t xml:space="preserve"> </w:t>
      </w:r>
      <w:proofErr w:type="spellStart"/>
      <w:r w:rsidRPr="00B739B3">
        <w:rPr>
          <w:sz w:val="16"/>
          <w:szCs w:val="16"/>
          <w:shd w:val="clear" w:color="auto" w:fill="FFFFFF"/>
        </w:rPr>
        <w:t>Fievez</w:t>
      </w:r>
      <w:proofErr w:type="spellEnd"/>
      <w:r w:rsidRPr="00B739B3">
        <w:rPr>
          <w:sz w:val="16"/>
          <w:szCs w:val="16"/>
          <w:shd w:val="clear" w:color="auto" w:fill="FFFFFF"/>
        </w:rPr>
        <w:t>. (2017) State of the art in rumen lipid protection technologies and emerging interfacial protein cross‐linking methods. European Journal of Lipid Science and Technology 119:5, pages 1600345.</w:t>
      </w:r>
    </w:p>
    <w:p w:rsidR="008B1AA0" w:rsidRPr="00B739B3" w:rsidRDefault="008B1AA0" w:rsidP="009768CE">
      <w:pPr>
        <w:ind w:right="-327"/>
        <w:jc w:val="left"/>
        <w:rPr>
          <w:sz w:val="16"/>
          <w:szCs w:val="16"/>
          <w:shd w:val="clear" w:color="auto" w:fill="FFFFFF"/>
        </w:rPr>
      </w:pPr>
      <w:r w:rsidRPr="00B739B3">
        <w:rPr>
          <w:sz w:val="16"/>
          <w:szCs w:val="16"/>
          <w:shd w:val="clear" w:color="auto" w:fill="FFFFFF"/>
        </w:rPr>
        <w:t>[8]</w:t>
      </w:r>
      <w:r w:rsidRPr="00B739B3">
        <w:t xml:space="preserve"> </w:t>
      </w:r>
      <w:r w:rsidRPr="00B739B3">
        <w:rPr>
          <w:sz w:val="16"/>
          <w:szCs w:val="16"/>
          <w:shd w:val="clear" w:color="auto" w:fill="FFFFFF"/>
        </w:rPr>
        <w:t xml:space="preserve">Tan, S., Dong, Y., Liao, H., Huang, J., Song, S., Xu, Y., &amp; Shen, Q. (2013). Antagonistic bacterium Bacillus </w:t>
      </w:r>
      <w:proofErr w:type="spellStart"/>
      <w:r w:rsidRPr="00B739B3">
        <w:rPr>
          <w:sz w:val="16"/>
          <w:szCs w:val="16"/>
          <w:shd w:val="clear" w:color="auto" w:fill="FFFFFF"/>
        </w:rPr>
        <w:t>amyloliquefaciens</w:t>
      </w:r>
      <w:proofErr w:type="spellEnd"/>
      <w:r w:rsidRPr="00B739B3">
        <w:rPr>
          <w:sz w:val="16"/>
          <w:szCs w:val="16"/>
          <w:shd w:val="clear" w:color="auto" w:fill="FFFFFF"/>
        </w:rPr>
        <w:t xml:space="preserve"> induces resistance and controls the bacterial wilt of tomato. Pest management science, 69(11), 1245-1252.</w:t>
      </w:r>
    </w:p>
    <w:p w:rsidR="005D4985" w:rsidRDefault="00476D4C" w:rsidP="009768CE">
      <w:pPr>
        <w:ind w:right="-327"/>
        <w:jc w:val="left"/>
        <w:rPr>
          <w:sz w:val="16"/>
          <w:szCs w:val="16"/>
          <w:shd w:val="clear" w:color="auto" w:fill="FFFFFF"/>
        </w:rPr>
      </w:pPr>
      <w:r w:rsidRPr="00B739B3">
        <w:rPr>
          <w:sz w:val="16"/>
          <w:szCs w:val="16"/>
          <w:shd w:val="clear" w:color="auto" w:fill="FFFFFF"/>
        </w:rPr>
        <w:t>[9]</w:t>
      </w:r>
      <w:r w:rsidR="00B64B69" w:rsidRPr="00B739B3">
        <w:t xml:space="preserve"> </w:t>
      </w:r>
      <w:proofErr w:type="spellStart"/>
      <w:r w:rsidR="00B64B69" w:rsidRPr="00B739B3">
        <w:rPr>
          <w:sz w:val="16"/>
          <w:szCs w:val="16"/>
          <w:shd w:val="clear" w:color="auto" w:fill="FFFFFF"/>
        </w:rPr>
        <w:t>Maphuhla</w:t>
      </w:r>
      <w:proofErr w:type="spellEnd"/>
      <w:r w:rsidR="00B64B69" w:rsidRPr="00B739B3">
        <w:rPr>
          <w:sz w:val="16"/>
          <w:szCs w:val="16"/>
          <w:shd w:val="clear" w:color="auto" w:fill="FFFFFF"/>
        </w:rPr>
        <w:t xml:space="preserve"> NG, </w:t>
      </w:r>
      <w:proofErr w:type="spellStart"/>
      <w:r w:rsidR="00B64B69" w:rsidRPr="00B739B3">
        <w:rPr>
          <w:sz w:val="16"/>
          <w:szCs w:val="16"/>
          <w:shd w:val="clear" w:color="auto" w:fill="FFFFFF"/>
        </w:rPr>
        <w:t>Lewu</w:t>
      </w:r>
      <w:proofErr w:type="spellEnd"/>
      <w:r w:rsidR="00B64B69" w:rsidRPr="00B739B3">
        <w:rPr>
          <w:sz w:val="16"/>
          <w:szCs w:val="16"/>
          <w:shd w:val="clear" w:color="auto" w:fill="FFFFFF"/>
        </w:rPr>
        <w:t xml:space="preserve"> FB, </w:t>
      </w:r>
      <w:proofErr w:type="spellStart"/>
      <w:r w:rsidR="00B64B69" w:rsidRPr="00B739B3">
        <w:rPr>
          <w:sz w:val="16"/>
          <w:szCs w:val="16"/>
          <w:shd w:val="clear" w:color="auto" w:fill="FFFFFF"/>
        </w:rPr>
        <w:t>Oyedeji</w:t>
      </w:r>
      <w:proofErr w:type="spellEnd"/>
      <w:r w:rsidR="00B64B69" w:rsidRPr="00B739B3">
        <w:rPr>
          <w:sz w:val="16"/>
          <w:szCs w:val="16"/>
          <w:shd w:val="clear" w:color="auto" w:fill="FFFFFF"/>
        </w:rPr>
        <w:t xml:space="preserve"> OO.</w:t>
      </w:r>
      <w:r w:rsidR="00916C3A" w:rsidRPr="00916C3A">
        <w:rPr>
          <w:sz w:val="16"/>
          <w:szCs w:val="16"/>
          <w:shd w:val="clear" w:color="auto" w:fill="FFFFFF"/>
        </w:rPr>
        <w:t xml:space="preserve"> </w:t>
      </w:r>
      <w:r w:rsidR="00916C3A">
        <w:rPr>
          <w:sz w:val="16"/>
          <w:szCs w:val="16"/>
          <w:shd w:val="clear" w:color="auto" w:fill="FFFFFF"/>
        </w:rPr>
        <w:t>(</w:t>
      </w:r>
      <w:proofErr w:type="gramStart"/>
      <w:r w:rsidR="00916C3A" w:rsidRPr="00916C3A">
        <w:rPr>
          <w:sz w:val="16"/>
          <w:szCs w:val="16"/>
          <w:shd w:val="clear" w:color="auto" w:fill="FFFFFF"/>
        </w:rPr>
        <w:t xml:space="preserve">2022 </w:t>
      </w:r>
      <w:r w:rsidR="00916C3A">
        <w:rPr>
          <w:sz w:val="16"/>
          <w:szCs w:val="16"/>
          <w:shd w:val="clear" w:color="auto" w:fill="FFFFFF"/>
        </w:rPr>
        <w:t>)</w:t>
      </w:r>
      <w:proofErr w:type="gramEnd"/>
      <w:r w:rsidR="00B64B69" w:rsidRPr="00B739B3">
        <w:rPr>
          <w:sz w:val="16"/>
          <w:szCs w:val="16"/>
          <w:shd w:val="clear" w:color="auto" w:fill="FFFFFF"/>
        </w:rPr>
        <w:t xml:space="preserve"> Enzyme Activities in Reduction of Heavy Metal Pollution from Alice Landfill Site in Eastern Cape, South Africa. </w:t>
      </w:r>
      <w:proofErr w:type="spellStart"/>
      <w:r w:rsidR="00B64B69" w:rsidRPr="00B739B3">
        <w:rPr>
          <w:sz w:val="16"/>
          <w:szCs w:val="16"/>
          <w:shd w:val="clear" w:color="auto" w:fill="FFFFFF"/>
        </w:rPr>
        <w:t>Int</w:t>
      </w:r>
      <w:proofErr w:type="spellEnd"/>
      <w:r w:rsidR="00B64B69" w:rsidRPr="00B739B3">
        <w:rPr>
          <w:sz w:val="16"/>
          <w:szCs w:val="16"/>
          <w:shd w:val="clear" w:color="auto" w:fill="FFFFFF"/>
        </w:rPr>
        <w:t xml:space="preserve"> J Environ Res Public Health. 2022 Sep 23;19(19):12054. </w:t>
      </w:r>
      <w:proofErr w:type="spellStart"/>
      <w:r w:rsidR="00B64B69" w:rsidRPr="00B739B3">
        <w:rPr>
          <w:sz w:val="16"/>
          <w:szCs w:val="16"/>
          <w:shd w:val="clear" w:color="auto" w:fill="FFFFFF"/>
        </w:rPr>
        <w:t>doi</w:t>
      </w:r>
      <w:proofErr w:type="spellEnd"/>
      <w:r w:rsidR="00B64B69" w:rsidRPr="00B739B3">
        <w:rPr>
          <w:sz w:val="16"/>
          <w:szCs w:val="16"/>
          <w:shd w:val="clear" w:color="auto" w:fill="FFFFFF"/>
        </w:rPr>
        <w:t>: 10.3390/ijerph191912054. PMID: 36231352;</w:t>
      </w:r>
    </w:p>
    <w:p w:rsidR="00476D4C" w:rsidRPr="00B739B3" w:rsidRDefault="00B64B69" w:rsidP="009768CE">
      <w:pPr>
        <w:ind w:right="-327"/>
        <w:jc w:val="left"/>
        <w:rPr>
          <w:sz w:val="16"/>
          <w:szCs w:val="16"/>
          <w:shd w:val="clear" w:color="auto" w:fill="FFFFFF"/>
        </w:rPr>
      </w:pPr>
      <w:r w:rsidRPr="00B739B3">
        <w:rPr>
          <w:sz w:val="16"/>
          <w:szCs w:val="16"/>
          <w:shd w:val="clear" w:color="auto" w:fill="FFFFFF"/>
        </w:rPr>
        <w:t xml:space="preserve"> PMCID: PMC9565107</w:t>
      </w:r>
    </w:p>
    <w:p w:rsidR="00476D4C" w:rsidRPr="00B739B3" w:rsidRDefault="00476D4C" w:rsidP="009768CE">
      <w:pPr>
        <w:ind w:right="-327"/>
        <w:jc w:val="left"/>
        <w:rPr>
          <w:sz w:val="16"/>
          <w:szCs w:val="16"/>
          <w:shd w:val="clear" w:color="auto" w:fill="FFFFFF"/>
        </w:rPr>
      </w:pPr>
      <w:r w:rsidRPr="00B739B3">
        <w:rPr>
          <w:sz w:val="16"/>
          <w:szCs w:val="16"/>
          <w:shd w:val="clear" w:color="auto" w:fill="FFFFFF"/>
        </w:rPr>
        <w:t>[10]</w:t>
      </w:r>
      <w:r w:rsidR="00B64B69" w:rsidRPr="00B739B3">
        <w:t xml:space="preserve"> </w:t>
      </w:r>
      <w:r w:rsidR="00B64B69" w:rsidRPr="00B739B3">
        <w:rPr>
          <w:sz w:val="16"/>
          <w:szCs w:val="16"/>
          <w:shd w:val="clear" w:color="auto" w:fill="FFFFFF"/>
        </w:rPr>
        <w:t xml:space="preserve">Srivastava, V., de Araujo, A.S.F., </w:t>
      </w:r>
      <w:proofErr w:type="spellStart"/>
      <w:r w:rsidR="00B64B69" w:rsidRPr="00B739B3">
        <w:rPr>
          <w:sz w:val="16"/>
          <w:szCs w:val="16"/>
          <w:shd w:val="clear" w:color="auto" w:fill="FFFFFF"/>
        </w:rPr>
        <w:t>Vaish</w:t>
      </w:r>
      <w:proofErr w:type="spellEnd"/>
      <w:r w:rsidR="00B64B69" w:rsidRPr="00B739B3">
        <w:rPr>
          <w:sz w:val="16"/>
          <w:szCs w:val="16"/>
          <w:shd w:val="clear" w:color="auto" w:fill="FFFFFF"/>
        </w:rPr>
        <w:t>, B. et al.</w:t>
      </w:r>
      <w:r w:rsidR="005D4985" w:rsidRPr="005D4985">
        <w:rPr>
          <w:sz w:val="16"/>
          <w:szCs w:val="16"/>
          <w:shd w:val="clear" w:color="auto" w:fill="FFFFFF"/>
        </w:rPr>
        <w:t xml:space="preserve"> </w:t>
      </w:r>
      <w:r w:rsidR="005D4985" w:rsidRPr="00B739B3">
        <w:rPr>
          <w:sz w:val="16"/>
          <w:szCs w:val="16"/>
          <w:shd w:val="clear" w:color="auto" w:fill="FFFFFF"/>
        </w:rPr>
        <w:t xml:space="preserve">(2016). </w:t>
      </w:r>
      <w:r w:rsidR="00B64B69" w:rsidRPr="00B739B3">
        <w:rPr>
          <w:sz w:val="16"/>
          <w:szCs w:val="16"/>
          <w:shd w:val="clear" w:color="auto" w:fill="FFFFFF"/>
        </w:rPr>
        <w:t xml:space="preserve"> Biological response of using municipal solid waste compost in agriculture as fertilizer supplement. Rev Environ </w:t>
      </w:r>
      <w:proofErr w:type="spellStart"/>
      <w:r w:rsidR="00B64B69" w:rsidRPr="00B739B3">
        <w:rPr>
          <w:sz w:val="16"/>
          <w:szCs w:val="16"/>
          <w:shd w:val="clear" w:color="auto" w:fill="FFFFFF"/>
        </w:rPr>
        <w:t>Sci</w:t>
      </w:r>
      <w:proofErr w:type="spellEnd"/>
      <w:r w:rsidR="00B64B69" w:rsidRPr="00B739B3">
        <w:rPr>
          <w:sz w:val="16"/>
          <w:szCs w:val="16"/>
          <w:shd w:val="clear" w:color="auto" w:fill="FFFFFF"/>
        </w:rPr>
        <w:t xml:space="preserve"> </w:t>
      </w:r>
      <w:proofErr w:type="spellStart"/>
      <w:r w:rsidR="00B64B69" w:rsidRPr="00B739B3">
        <w:rPr>
          <w:sz w:val="16"/>
          <w:szCs w:val="16"/>
          <w:shd w:val="clear" w:color="auto" w:fill="FFFFFF"/>
        </w:rPr>
        <w:t>Biotechnol</w:t>
      </w:r>
      <w:proofErr w:type="spellEnd"/>
      <w:r w:rsidR="00B64B69" w:rsidRPr="00B739B3">
        <w:rPr>
          <w:sz w:val="16"/>
          <w:szCs w:val="16"/>
          <w:shd w:val="clear" w:color="auto" w:fill="FFFFFF"/>
        </w:rPr>
        <w:t xml:space="preserve"> 15, 677–696 </w:t>
      </w:r>
      <w:hyperlink r:id="rId15" w:history="1">
        <w:r w:rsidR="00DA5F38" w:rsidRPr="00B739B3">
          <w:rPr>
            <w:rStyle w:val="Hyperlink"/>
            <w:color w:val="auto"/>
            <w:sz w:val="16"/>
            <w:szCs w:val="16"/>
            <w:shd w:val="clear" w:color="auto" w:fill="FFFFFF"/>
          </w:rPr>
          <w:t>https://doi.org/10.1007/s11157-016-9407-9</w:t>
        </w:r>
      </w:hyperlink>
    </w:p>
    <w:p w:rsidR="00DA5F38" w:rsidRPr="00B739B3" w:rsidRDefault="00DA5F38" w:rsidP="009768CE">
      <w:pPr>
        <w:ind w:right="-327"/>
        <w:jc w:val="left"/>
        <w:rPr>
          <w:sz w:val="16"/>
          <w:szCs w:val="16"/>
          <w:shd w:val="clear" w:color="auto" w:fill="FFFFFF"/>
        </w:rPr>
      </w:pPr>
      <w:r w:rsidRPr="00B739B3">
        <w:rPr>
          <w:sz w:val="16"/>
          <w:szCs w:val="16"/>
          <w:shd w:val="clear" w:color="auto" w:fill="FFFFFF"/>
        </w:rPr>
        <w:t>[11]</w:t>
      </w:r>
      <w:r w:rsidRPr="00B739B3">
        <w:t xml:space="preserve"> </w:t>
      </w:r>
      <w:proofErr w:type="spellStart"/>
      <w:r w:rsidRPr="00B739B3">
        <w:rPr>
          <w:sz w:val="16"/>
          <w:szCs w:val="16"/>
          <w:shd w:val="clear" w:color="auto" w:fill="FFFFFF"/>
        </w:rPr>
        <w:t>Chandrakant</w:t>
      </w:r>
      <w:proofErr w:type="spellEnd"/>
      <w:r w:rsidRPr="00B739B3">
        <w:rPr>
          <w:sz w:val="16"/>
          <w:szCs w:val="16"/>
          <w:shd w:val="clear" w:color="auto" w:fill="FFFFFF"/>
        </w:rPr>
        <w:t xml:space="preserve"> S. </w:t>
      </w:r>
      <w:proofErr w:type="spellStart"/>
      <w:r w:rsidRPr="00B739B3">
        <w:rPr>
          <w:sz w:val="16"/>
          <w:szCs w:val="16"/>
          <w:shd w:val="clear" w:color="auto" w:fill="FFFFFF"/>
        </w:rPr>
        <w:t>Karigar</w:t>
      </w:r>
      <w:proofErr w:type="spellEnd"/>
      <w:r w:rsidRPr="00B739B3">
        <w:rPr>
          <w:sz w:val="16"/>
          <w:szCs w:val="16"/>
          <w:shd w:val="clear" w:color="auto" w:fill="FFFFFF"/>
        </w:rPr>
        <w:t xml:space="preserve">, </w:t>
      </w:r>
      <w:proofErr w:type="spellStart"/>
      <w:r w:rsidRPr="00B739B3">
        <w:rPr>
          <w:sz w:val="16"/>
          <w:szCs w:val="16"/>
          <w:shd w:val="clear" w:color="auto" w:fill="FFFFFF"/>
        </w:rPr>
        <w:t>Shwetha</w:t>
      </w:r>
      <w:proofErr w:type="spellEnd"/>
      <w:r w:rsidRPr="00B739B3">
        <w:rPr>
          <w:sz w:val="16"/>
          <w:szCs w:val="16"/>
          <w:shd w:val="clear" w:color="auto" w:fill="FFFFFF"/>
        </w:rPr>
        <w:t xml:space="preserve"> S. Rao,</w:t>
      </w:r>
      <w:r w:rsidR="005D4985">
        <w:rPr>
          <w:sz w:val="16"/>
          <w:szCs w:val="16"/>
          <w:shd w:val="clear" w:color="auto" w:fill="FFFFFF"/>
        </w:rPr>
        <w:t xml:space="preserve"> </w:t>
      </w:r>
      <w:proofErr w:type="gramStart"/>
      <w:r w:rsidR="005D4985">
        <w:rPr>
          <w:sz w:val="16"/>
          <w:szCs w:val="16"/>
          <w:shd w:val="clear" w:color="auto" w:fill="FFFFFF"/>
        </w:rPr>
        <w:t>(</w:t>
      </w:r>
      <w:r w:rsidR="005D4985" w:rsidRPr="005D4985">
        <w:rPr>
          <w:sz w:val="16"/>
          <w:szCs w:val="16"/>
          <w:shd w:val="clear" w:color="auto" w:fill="FFFFFF"/>
        </w:rPr>
        <w:t xml:space="preserve"> </w:t>
      </w:r>
      <w:r w:rsidR="005D4985">
        <w:rPr>
          <w:sz w:val="16"/>
          <w:szCs w:val="16"/>
          <w:shd w:val="clear" w:color="auto" w:fill="FFFFFF"/>
        </w:rPr>
        <w:t>2011</w:t>
      </w:r>
      <w:proofErr w:type="gramEnd"/>
      <w:r w:rsidR="005D4985">
        <w:rPr>
          <w:sz w:val="16"/>
          <w:szCs w:val="16"/>
          <w:shd w:val="clear" w:color="auto" w:fill="FFFFFF"/>
        </w:rPr>
        <w:t>)</w:t>
      </w:r>
      <w:r w:rsidRPr="00B739B3">
        <w:rPr>
          <w:sz w:val="16"/>
          <w:szCs w:val="16"/>
          <w:shd w:val="clear" w:color="auto" w:fill="FFFFFF"/>
        </w:rPr>
        <w:t xml:space="preserve"> "Role of Microbial Enzymes in the Bioremediation of Pollutants: A Review", Enzyme Research, vol. 2011, Article ID 805187, 11 pages, 2011. </w:t>
      </w:r>
      <w:hyperlink r:id="rId16" w:history="1">
        <w:r w:rsidR="000709B0" w:rsidRPr="00B739B3">
          <w:rPr>
            <w:rStyle w:val="Hyperlink"/>
            <w:color w:val="auto"/>
            <w:sz w:val="16"/>
            <w:szCs w:val="16"/>
            <w:shd w:val="clear" w:color="auto" w:fill="FFFFFF"/>
          </w:rPr>
          <w:t>https://doi.org/10.4061/2011/805187</w:t>
        </w:r>
      </w:hyperlink>
    </w:p>
    <w:p w:rsidR="000709B0" w:rsidRPr="00B739B3" w:rsidRDefault="000709B0" w:rsidP="009768CE">
      <w:pPr>
        <w:ind w:right="-327"/>
        <w:jc w:val="left"/>
        <w:rPr>
          <w:sz w:val="16"/>
          <w:szCs w:val="16"/>
          <w:shd w:val="clear" w:color="auto" w:fill="FFFFFF"/>
        </w:rPr>
      </w:pPr>
      <w:r w:rsidRPr="00B739B3">
        <w:rPr>
          <w:sz w:val="16"/>
          <w:szCs w:val="16"/>
          <w:shd w:val="clear" w:color="auto" w:fill="FFFFFF"/>
        </w:rPr>
        <w:t>[12]</w:t>
      </w:r>
      <w:r w:rsidRPr="00B739B3">
        <w:t xml:space="preserve"> </w:t>
      </w:r>
      <w:proofErr w:type="spellStart"/>
      <w:r w:rsidRPr="00B739B3">
        <w:rPr>
          <w:sz w:val="16"/>
          <w:szCs w:val="16"/>
          <w:shd w:val="clear" w:color="auto" w:fill="FFFFFF"/>
        </w:rPr>
        <w:t>Mojumdar</w:t>
      </w:r>
      <w:proofErr w:type="spellEnd"/>
      <w:r w:rsidRPr="00B739B3">
        <w:rPr>
          <w:sz w:val="16"/>
          <w:szCs w:val="16"/>
          <w:shd w:val="clear" w:color="auto" w:fill="FFFFFF"/>
        </w:rPr>
        <w:t xml:space="preserve">, A., </w:t>
      </w:r>
      <w:proofErr w:type="spellStart"/>
      <w:r w:rsidRPr="00B739B3">
        <w:rPr>
          <w:sz w:val="16"/>
          <w:szCs w:val="16"/>
          <w:shd w:val="clear" w:color="auto" w:fill="FFFFFF"/>
        </w:rPr>
        <w:t>Deka</w:t>
      </w:r>
      <w:proofErr w:type="spellEnd"/>
      <w:r w:rsidRPr="00B739B3">
        <w:rPr>
          <w:sz w:val="16"/>
          <w:szCs w:val="16"/>
          <w:shd w:val="clear" w:color="auto" w:fill="FFFFFF"/>
        </w:rPr>
        <w:t xml:space="preserve">, J. Recycling agro-industrial waste to produce amylase and characterizing amylase–gold nanoparticle composite. </w:t>
      </w:r>
      <w:proofErr w:type="spellStart"/>
      <w:r w:rsidRPr="00B739B3">
        <w:rPr>
          <w:sz w:val="16"/>
          <w:szCs w:val="16"/>
          <w:shd w:val="clear" w:color="auto" w:fill="FFFFFF"/>
        </w:rPr>
        <w:t>Int</w:t>
      </w:r>
      <w:proofErr w:type="spellEnd"/>
      <w:r w:rsidRPr="00B739B3">
        <w:rPr>
          <w:sz w:val="16"/>
          <w:szCs w:val="16"/>
          <w:shd w:val="clear" w:color="auto" w:fill="FFFFFF"/>
        </w:rPr>
        <w:t xml:space="preserve"> J </w:t>
      </w:r>
      <w:proofErr w:type="spellStart"/>
      <w:r w:rsidRPr="00B739B3">
        <w:rPr>
          <w:sz w:val="16"/>
          <w:szCs w:val="16"/>
          <w:shd w:val="clear" w:color="auto" w:fill="FFFFFF"/>
        </w:rPr>
        <w:t>Recycl</w:t>
      </w:r>
      <w:proofErr w:type="spellEnd"/>
      <w:r w:rsidRPr="00B739B3">
        <w:rPr>
          <w:sz w:val="16"/>
          <w:szCs w:val="16"/>
          <w:shd w:val="clear" w:color="auto" w:fill="FFFFFF"/>
        </w:rPr>
        <w:t xml:space="preserve"> Org Waste </w:t>
      </w:r>
      <w:proofErr w:type="spellStart"/>
      <w:r w:rsidRPr="00B739B3">
        <w:rPr>
          <w:sz w:val="16"/>
          <w:szCs w:val="16"/>
          <w:shd w:val="clear" w:color="auto" w:fill="FFFFFF"/>
        </w:rPr>
        <w:t>Agricult</w:t>
      </w:r>
      <w:proofErr w:type="spellEnd"/>
      <w:r w:rsidRPr="00B739B3">
        <w:rPr>
          <w:sz w:val="16"/>
          <w:szCs w:val="16"/>
          <w:shd w:val="clear" w:color="auto" w:fill="FFFFFF"/>
        </w:rPr>
        <w:t xml:space="preserve"> 8 (</w:t>
      </w:r>
      <w:proofErr w:type="spellStart"/>
      <w:r w:rsidRPr="00B739B3">
        <w:rPr>
          <w:sz w:val="16"/>
          <w:szCs w:val="16"/>
          <w:shd w:val="clear" w:color="auto" w:fill="FFFFFF"/>
        </w:rPr>
        <w:t>Suppl</w:t>
      </w:r>
      <w:proofErr w:type="spellEnd"/>
      <w:r w:rsidRPr="00B739B3">
        <w:rPr>
          <w:sz w:val="16"/>
          <w:szCs w:val="16"/>
          <w:shd w:val="clear" w:color="auto" w:fill="FFFFFF"/>
        </w:rPr>
        <w:t xml:space="preserve"> 1), 263–269 (2019). </w:t>
      </w:r>
      <w:hyperlink r:id="rId17" w:history="1">
        <w:r w:rsidRPr="00B739B3">
          <w:rPr>
            <w:rStyle w:val="Hyperlink"/>
            <w:color w:val="auto"/>
            <w:sz w:val="16"/>
            <w:szCs w:val="16"/>
            <w:shd w:val="clear" w:color="auto" w:fill="FFFFFF"/>
          </w:rPr>
          <w:t>https://doi.org/10.1007/s40093-019-00298-4</w:t>
        </w:r>
      </w:hyperlink>
    </w:p>
    <w:p w:rsidR="000709B0" w:rsidRPr="00B739B3" w:rsidRDefault="000709B0" w:rsidP="009768CE">
      <w:pPr>
        <w:ind w:right="-327"/>
        <w:jc w:val="left"/>
        <w:rPr>
          <w:sz w:val="16"/>
          <w:szCs w:val="16"/>
          <w:shd w:val="clear" w:color="auto" w:fill="FFFFFF"/>
        </w:rPr>
      </w:pPr>
      <w:r w:rsidRPr="00B739B3">
        <w:rPr>
          <w:sz w:val="16"/>
          <w:szCs w:val="16"/>
          <w:shd w:val="clear" w:color="auto" w:fill="FFFFFF"/>
        </w:rPr>
        <w:t>[13]</w:t>
      </w:r>
      <w:r w:rsidRPr="00B739B3">
        <w:t xml:space="preserve"> </w:t>
      </w:r>
      <w:proofErr w:type="spellStart"/>
      <w:r w:rsidRPr="00B739B3">
        <w:rPr>
          <w:sz w:val="16"/>
          <w:szCs w:val="16"/>
          <w:shd w:val="clear" w:color="auto" w:fill="FFFFFF"/>
        </w:rPr>
        <w:t>Naik</w:t>
      </w:r>
      <w:proofErr w:type="spellEnd"/>
      <w:r w:rsidRPr="00B739B3">
        <w:rPr>
          <w:sz w:val="16"/>
          <w:szCs w:val="16"/>
          <w:shd w:val="clear" w:color="auto" w:fill="FFFFFF"/>
        </w:rPr>
        <w:t xml:space="preserve">, B., Kumar, V., </w:t>
      </w:r>
      <w:proofErr w:type="spellStart"/>
      <w:r w:rsidRPr="00B739B3">
        <w:rPr>
          <w:sz w:val="16"/>
          <w:szCs w:val="16"/>
          <w:shd w:val="clear" w:color="auto" w:fill="FFFFFF"/>
        </w:rPr>
        <w:t>Rizwanuddin</w:t>
      </w:r>
      <w:proofErr w:type="spellEnd"/>
      <w:r w:rsidRPr="00B739B3">
        <w:rPr>
          <w:sz w:val="16"/>
          <w:szCs w:val="16"/>
          <w:shd w:val="clear" w:color="auto" w:fill="FFFFFF"/>
        </w:rPr>
        <w:t xml:space="preserve">, S. et al. </w:t>
      </w:r>
      <w:r w:rsidR="00916C3A" w:rsidRPr="00916C3A">
        <w:rPr>
          <w:sz w:val="16"/>
          <w:szCs w:val="16"/>
          <w:shd w:val="clear" w:color="auto" w:fill="FFFFFF"/>
        </w:rPr>
        <w:t xml:space="preserve">(2023). </w:t>
      </w:r>
      <w:r w:rsidRPr="00B739B3">
        <w:rPr>
          <w:sz w:val="16"/>
          <w:szCs w:val="16"/>
          <w:shd w:val="clear" w:color="auto" w:fill="FFFFFF"/>
        </w:rPr>
        <w:t xml:space="preserve">Agro-industrial waste: a cost-effective and eco-friendly substrate to produce amylase. Food Prod Process and </w:t>
      </w:r>
      <w:proofErr w:type="spellStart"/>
      <w:r w:rsidRPr="00B739B3">
        <w:rPr>
          <w:sz w:val="16"/>
          <w:szCs w:val="16"/>
          <w:shd w:val="clear" w:color="auto" w:fill="FFFFFF"/>
        </w:rPr>
        <w:t>Nutr</w:t>
      </w:r>
      <w:proofErr w:type="spellEnd"/>
      <w:r w:rsidRPr="00B739B3">
        <w:rPr>
          <w:sz w:val="16"/>
          <w:szCs w:val="16"/>
          <w:shd w:val="clear" w:color="auto" w:fill="FFFFFF"/>
        </w:rPr>
        <w:t xml:space="preserve"> 5, 30 (2023). </w:t>
      </w:r>
      <w:hyperlink r:id="rId18" w:history="1">
        <w:r w:rsidRPr="00B739B3">
          <w:rPr>
            <w:rStyle w:val="Hyperlink"/>
            <w:color w:val="auto"/>
            <w:sz w:val="16"/>
            <w:szCs w:val="16"/>
            <w:shd w:val="clear" w:color="auto" w:fill="FFFFFF"/>
          </w:rPr>
          <w:t>https://doi.org/10.1186/s43014-023-00143-2</w:t>
        </w:r>
      </w:hyperlink>
    </w:p>
    <w:p w:rsidR="000709B0" w:rsidRPr="00B739B3" w:rsidRDefault="00916C3A" w:rsidP="009768CE">
      <w:pPr>
        <w:ind w:right="-327"/>
        <w:jc w:val="left"/>
        <w:rPr>
          <w:rFonts w:eastAsia="MS Mincho"/>
          <w:sz w:val="16"/>
          <w:szCs w:val="16"/>
        </w:rPr>
      </w:pPr>
      <w:r>
        <w:rPr>
          <w:rFonts w:eastAsia="MS Mincho"/>
          <w:sz w:val="16"/>
          <w:szCs w:val="16"/>
        </w:rPr>
        <w:t>[14</w:t>
      </w:r>
      <w:r w:rsidR="000709B0" w:rsidRPr="00B739B3">
        <w:rPr>
          <w:rFonts w:eastAsia="MS Mincho"/>
          <w:sz w:val="16"/>
          <w:szCs w:val="16"/>
        </w:rPr>
        <w:t>]</w:t>
      </w:r>
      <w:r w:rsidR="000709B0" w:rsidRPr="00B739B3">
        <w:t xml:space="preserve"> </w:t>
      </w:r>
      <w:proofErr w:type="spellStart"/>
      <w:r w:rsidR="000709B0" w:rsidRPr="00B739B3">
        <w:rPr>
          <w:rFonts w:eastAsia="MS Mincho"/>
          <w:sz w:val="16"/>
          <w:szCs w:val="16"/>
        </w:rPr>
        <w:t>Uguru</w:t>
      </w:r>
      <w:proofErr w:type="spellEnd"/>
      <w:r w:rsidR="000709B0" w:rsidRPr="00B739B3">
        <w:rPr>
          <w:rFonts w:eastAsia="MS Mincho"/>
          <w:sz w:val="16"/>
          <w:szCs w:val="16"/>
        </w:rPr>
        <w:t xml:space="preserve">, G. C., </w:t>
      </w:r>
      <w:proofErr w:type="spellStart"/>
      <w:r w:rsidR="000709B0" w:rsidRPr="00B739B3">
        <w:rPr>
          <w:rFonts w:eastAsia="MS Mincho"/>
          <w:sz w:val="16"/>
          <w:szCs w:val="16"/>
        </w:rPr>
        <w:t>Akinyanju</w:t>
      </w:r>
      <w:proofErr w:type="spellEnd"/>
      <w:r w:rsidR="000709B0" w:rsidRPr="00B739B3">
        <w:rPr>
          <w:rFonts w:eastAsia="MS Mincho"/>
          <w:sz w:val="16"/>
          <w:szCs w:val="16"/>
        </w:rPr>
        <w:t xml:space="preserve">, J. A., &amp; Sani, A. (1997). The use of yam peel for growth of locally isolated Aspergillus </w:t>
      </w:r>
      <w:proofErr w:type="spellStart"/>
      <w:r w:rsidR="000709B0" w:rsidRPr="00B739B3">
        <w:rPr>
          <w:rFonts w:eastAsia="MS Mincho"/>
          <w:sz w:val="16"/>
          <w:szCs w:val="16"/>
        </w:rPr>
        <w:t>niger</w:t>
      </w:r>
      <w:proofErr w:type="spellEnd"/>
      <w:r w:rsidR="000709B0" w:rsidRPr="00B739B3">
        <w:rPr>
          <w:rFonts w:eastAsia="MS Mincho"/>
          <w:sz w:val="16"/>
          <w:szCs w:val="16"/>
        </w:rPr>
        <w:t xml:space="preserve"> and amylase production. Enzyme and microbial technology, 21(1), 48-51.</w:t>
      </w:r>
    </w:p>
    <w:p w:rsidR="000B5B2F" w:rsidRPr="000B5B2F" w:rsidRDefault="000B5B2F" w:rsidP="000B5B2F">
      <w:pPr>
        <w:rPr>
          <w:rFonts w:eastAsia="MS Mincho"/>
        </w:rPr>
      </w:pPr>
    </w:p>
    <w:p w:rsidR="000B5B2F" w:rsidRDefault="000B5B2F" w:rsidP="000B5B2F">
      <w:pPr>
        <w:rPr>
          <w:rFonts w:eastAsia="MS Mincho"/>
        </w:rPr>
      </w:pPr>
    </w:p>
    <w:p w:rsidR="000709B0" w:rsidRDefault="000709B0"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9F3" w:rsidRDefault="004F79F3" w:rsidP="001E64C4">
      <w:r>
        <w:separator/>
      </w:r>
    </w:p>
  </w:endnote>
  <w:endnote w:type="continuationSeparator" w:id="0">
    <w:p w:rsidR="004F79F3" w:rsidRDefault="004F79F3"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C0" w:rsidRPr="00012DED" w:rsidRDefault="006833C0"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9F3" w:rsidRDefault="004F79F3" w:rsidP="001E64C4">
      <w:r>
        <w:separator/>
      </w:r>
    </w:p>
  </w:footnote>
  <w:footnote w:type="continuationSeparator" w:id="0">
    <w:p w:rsidR="004F79F3" w:rsidRDefault="004F79F3" w:rsidP="001E64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C0" w:rsidRPr="00012DED" w:rsidRDefault="006833C0" w:rsidP="00012DED">
    <w:pPr>
      <w:pStyle w:val="Header"/>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12DED"/>
    <w:rsid w:val="00036715"/>
    <w:rsid w:val="0004390D"/>
    <w:rsid w:val="000709B0"/>
    <w:rsid w:val="00070FAB"/>
    <w:rsid w:val="00073A96"/>
    <w:rsid w:val="000762C8"/>
    <w:rsid w:val="000B1A5B"/>
    <w:rsid w:val="000B4641"/>
    <w:rsid w:val="000B5B2F"/>
    <w:rsid w:val="000D5355"/>
    <w:rsid w:val="000E2AAE"/>
    <w:rsid w:val="000F456A"/>
    <w:rsid w:val="0010711E"/>
    <w:rsid w:val="001133D0"/>
    <w:rsid w:val="00125E34"/>
    <w:rsid w:val="00127EDD"/>
    <w:rsid w:val="00142B1D"/>
    <w:rsid w:val="001522F6"/>
    <w:rsid w:val="0015513E"/>
    <w:rsid w:val="0017007E"/>
    <w:rsid w:val="0018330F"/>
    <w:rsid w:val="00196ACD"/>
    <w:rsid w:val="001D2353"/>
    <w:rsid w:val="001D4508"/>
    <w:rsid w:val="001D7F47"/>
    <w:rsid w:val="001E48C1"/>
    <w:rsid w:val="001E64C4"/>
    <w:rsid w:val="001F0D2B"/>
    <w:rsid w:val="00213F7C"/>
    <w:rsid w:val="002165A6"/>
    <w:rsid w:val="00235403"/>
    <w:rsid w:val="00237505"/>
    <w:rsid w:val="00240391"/>
    <w:rsid w:val="002735B0"/>
    <w:rsid w:val="00276735"/>
    <w:rsid w:val="00280068"/>
    <w:rsid w:val="00284C20"/>
    <w:rsid w:val="002864A3"/>
    <w:rsid w:val="00292EF9"/>
    <w:rsid w:val="00296792"/>
    <w:rsid w:val="002B3B81"/>
    <w:rsid w:val="002B67C2"/>
    <w:rsid w:val="002C1EB7"/>
    <w:rsid w:val="002C3357"/>
    <w:rsid w:val="002D49CD"/>
    <w:rsid w:val="002E1666"/>
    <w:rsid w:val="002E17E9"/>
    <w:rsid w:val="002E5CFA"/>
    <w:rsid w:val="002F780C"/>
    <w:rsid w:val="00326BEB"/>
    <w:rsid w:val="00327A21"/>
    <w:rsid w:val="00373AE6"/>
    <w:rsid w:val="00386340"/>
    <w:rsid w:val="00390F41"/>
    <w:rsid w:val="003A47B5"/>
    <w:rsid w:val="003A59A6"/>
    <w:rsid w:val="003B010C"/>
    <w:rsid w:val="003B7011"/>
    <w:rsid w:val="00402841"/>
    <w:rsid w:val="00402C25"/>
    <w:rsid w:val="00402E2C"/>
    <w:rsid w:val="0040535D"/>
    <w:rsid w:val="004059FE"/>
    <w:rsid w:val="004171C7"/>
    <w:rsid w:val="00417B85"/>
    <w:rsid w:val="00430355"/>
    <w:rsid w:val="0043057E"/>
    <w:rsid w:val="00431C81"/>
    <w:rsid w:val="004445B3"/>
    <w:rsid w:val="004562BA"/>
    <w:rsid w:val="0046220E"/>
    <w:rsid w:val="00466548"/>
    <w:rsid w:val="00476D4C"/>
    <w:rsid w:val="0048384B"/>
    <w:rsid w:val="00490DB1"/>
    <w:rsid w:val="004B588A"/>
    <w:rsid w:val="004C0377"/>
    <w:rsid w:val="004C04C8"/>
    <w:rsid w:val="004C3DF5"/>
    <w:rsid w:val="004D1BD4"/>
    <w:rsid w:val="004E0B04"/>
    <w:rsid w:val="004E7372"/>
    <w:rsid w:val="004F6E9D"/>
    <w:rsid w:val="004F79F3"/>
    <w:rsid w:val="005005DD"/>
    <w:rsid w:val="00525FAE"/>
    <w:rsid w:val="00530820"/>
    <w:rsid w:val="00535606"/>
    <w:rsid w:val="00536706"/>
    <w:rsid w:val="00552F05"/>
    <w:rsid w:val="0056427F"/>
    <w:rsid w:val="00567164"/>
    <w:rsid w:val="005818F8"/>
    <w:rsid w:val="005957E3"/>
    <w:rsid w:val="005974A7"/>
    <w:rsid w:val="005A62D5"/>
    <w:rsid w:val="005B520E"/>
    <w:rsid w:val="005B535B"/>
    <w:rsid w:val="005C1954"/>
    <w:rsid w:val="005C3874"/>
    <w:rsid w:val="005D0202"/>
    <w:rsid w:val="005D4985"/>
    <w:rsid w:val="005E6598"/>
    <w:rsid w:val="005F10BD"/>
    <w:rsid w:val="005F19DE"/>
    <w:rsid w:val="005F3022"/>
    <w:rsid w:val="006108A4"/>
    <w:rsid w:val="006122E9"/>
    <w:rsid w:val="00655A28"/>
    <w:rsid w:val="006833C0"/>
    <w:rsid w:val="0069740E"/>
    <w:rsid w:val="006B577B"/>
    <w:rsid w:val="006B7B36"/>
    <w:rsid w:val="006C228B"/>
    <w:rsid w:val="006C4648"/>
    <w:rsid w:val="006F2F23"/>
    <w:rsid w:val="007007C5"/>
    <w:rsid w:val="007024CB"/>
    <w:rsid w:val="0070334B"/>
    <w:rsid w:val="00705409"/>
    <w:rsid w:val="007110C2"/>
    <w:rsid w:val="00713AD4"/>
    <w:rsid w:val="0072064C"/>
    <w:rsid w:val="007442B3"/>
    <w:rsid w:val="007467D9"/>
    <w:rsid w:val="00753F7B"/>
    <w:rsid w:val="007633D0"/>
    <w:rsid w:val="007646C7"/>
    <w:rsid w:val="00767BF4"/>
    <w:rsid w:val="00781129"/>
    <w:rsid w:val="00786701"/>
    <w:rsid w:val="00787C5A"/>
    <w:rsid w:val="00790C81"/>
    <w:rsid w:val="007919DE"/>
    <w:rsid w:val="00795312"/>
    <w:rsid w:val="007C0308"/>
    <w:rsid w:val="007F00F0"/>
    <w:rsid w:val="008014D2"/>
    <w:rsid w:val="008054BC"/>
    <w:rsid w:val="00823839"/>
    <w:rsid w:val="00856408"/>
    <w:rsid w:val="008609CA"/>
    <w:rsid w:val="00867E88"/>
    <w:rsid w:val="008721B5"/>
    <w:rsid w:val="00887196"/>
    <w:rsid w:val="008914DA"/>
    <w:rsid w:val="00891B34"/>
    <w:rsid w:val="00895F4B"/>
    <w:rsid w:val="008A55B5"/>
    <w:rsid w:val="008A75C8"/>
    <w:rsid w:val="008A776A"/>
    <w:rsid w:val="008B1AA0"/>
    <w:rsid w:val="008B5270"/>
    <w:rsid w:val="008C0589"/>
    <w:rsid w:val="008C4D4F"/>
    <w:rsid w:val="008D2858"/>
    <w:rsid w:val="008E39C6"/>
    <w:rsid w:val="00916C3A"/>
    <w:rsid w:val="00924FB9"/>
    <w:rsid w:val="0092568F"/>
    <w:rsid w:val="009633C8"/>
    <w:rsid w:val="0097508D"/>
    <w:rsid w:val="009768CE"/>
    <w:rsid w:val="00984472"/>
    <w:rsid w:val="009B2D82"/>
    <w:rsid w:val="009C09D2"/>
    <w:rsid w:val="009D170D"/>
    <w:rsid w:val="009E0823"/>
    <w:rsid w:val="00A236A0"/>
    <w:rsid w:val="00A3074F"/>
    <w:rsid w:val="00A510F7"/>
    <w:rsid w:val="00A55FD5"/>
    <w:rsid w:val="00A711D9"/>
    <w:rsid w:val="00AA0700"/>
    <w:rsid w:val="00AC6519"/>
    <w:rsid w:val="00AD24D3"/>
    <w:rsid w:val="00AD601F"/>
    <w:rsid w:val="00B0160B"/>
    <w:rsid w:val="00B103CF"/>
    <w:rsid w:val="00B20C8E"/>
    <w:rsid w:val="00B258DE"/>
    <w:rsid w:val="00B326CA"/>
    <w:rsid w:val="00B45C64"/>
    <w:rsid w:val="00B47AC8"/>
    <w:rsid w:val="00B5628C"/>
    <w:rsid w:val="00B62E35"/>
    <w:rsid w:val="00B64B69"/>
    <w:rsid w:val="00B739B3"/>
    <w:rsid w:val="00B85FCE"/>
    <w:rsid w:val="00BE087B"/>
    <w:rsid w:val="00C0280F"/>
    <w:rsid w:val="00C057B3"/>
    <w:rsid w:val="00C05F7C"/>
    <w:rsid w:val="00C5784C"/>
    <w:rsid w:val="00C703F9"/>
    <w:rsid w:val="00CB0271"/>
    <w:rsid w:val="00CB41C1"/>
    <w:rsid w:val="00CB66E6"/>
    <w:rsid w:val="00CC34EB"/>
    <w:rsid w:val="00CD735B"/>
    <w:rsid w:val="00CF25D6"/>
    <w:rsid w:val="00D00B74"/>
    <w:rsid w:val="00D01167"/>
    <w:rsid w:val="00D25A16"/>
    <w:rsid w:val="00D6227A"/>
    <w:rsid w:val="00D80132"/>
    <w:rsid w:val="00D91326"/>
    <w:rsid w:val="00D9156D"/>
    <w:rsid w:val="00DA5F38"/>
    <w:rsid w:val="00DA7708"/>
    <w:rsid w:val="00DB42A0"/>
    <w:rsid w:val="00E11872"/>
    <w:rsid w:val="00E25D35"/>
    <w:rsid w:val="00E91219"/>
    <w:rsid w:val="00E97E42"/>
    <w:rsid w:val="00EA506F"/>
    <w:rsid w:val="00EA53DF"/>
    <w:rsid w:val="00EB271C"/>
    <w:rsid w:val="00EB3B30"/>
    <w:rsid w:val="00EC6857"/>
    <w:rsid w:val="00EE4362"/>
    <w:rsid w:val="00EF18D7"/>
    <w:rsid w:val="00EF1E8A"/>
    <w:rsid w:val="00EF3A1A"/>
    <w:rsid w:val="00F23229"/>
    <w:rsid w:val="00F24A8F"/>
    <w:rsid w:val="00F531E1"/>
    <w:rsid w:val="00F54560"/>
    <w:rsid w:val="00FA3271"/>
    <w:rsid w:val="00FA5537"/>
    <w:rsid w:val="00FA7465"/>
    <w:rsid w:val="00FB0705"/>
    <w:rsid w:val="00FC030A"/>
    <w:rsid w:val="00FC23B5"/>
    <w:rsid w:val="00FD1CBE"/>
    <w:rsid w:val="00FD5DF1"/>
    <w:rsid w:val="00FD782A"/>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81CB476"/>
  <w15:docId w15:val="{AC376E55-93CD-4FC6-99FC-ABB8F004B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customStyle="1" w:styleId="al-author-delim">
    <w:name w:val="al-author-delim"/>
    <w:basedOn w:val="DefaultParagraphFont"/>
    <w:rsid w:val="0040535D"/>
  </w:style>
  <w:style w:type="character" w:styleId="Emphasis">
    <w:name w:val="Emphasis"/>
    <w:basedOn w:val="DefaultParagraphFont"/>
    <w:uiPriority w:val="20"/>
    <w:qFormat/>
    <w:rsid w:val="0040535D"/>
    <w:rPr>
      <w:i/>
      <w:iCs/>
    </w:rPr>
  </w:style>
  <w:style w:type="paragraph" w:styleId="NormalWeb">
    <w:name w:val="Normal (Web)"/>
    <w:basedOn w:val="Normal"/>
    <w:uiPriority w:val="99"/>
    <w:semiHidden/>
    <w:unhideWhenUsed/>
    <w:rsid w:val="00CD735B"/>
    <w:pPr>
      <w:spacing w:before="100" w:beforeAutospacing="1" w:after="100" w:afterAutospacing="1"/>
      <w:jc w:val="left"/>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03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007/978-981-16-4230-2_48" TargetMode="External"/><Relationship Id="rId18" Type="http://schemas.openxmlformats.org/officeDocument/2006/relationships/hyperlink" Target="https://doi.org/10.1186/s43014-023-00143-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3.xml"/><Relationship Id="rId17" Type="http://schemas.openxmlformats.org/officeDocument/2006/relationships/hyperlink" Target="https://doi.org/10.1007/s40093-019-00298-4" TargetMode="External"/><Relationship Id="rId2" Type="http://schemas.openxmlformats.org/officeDocument/2006/relationships/styles" Target="styles.xml"/><Relationship Id="rId16" Type="http://schemas.openxmlformats.org/officeDocument/2006/relationships/hyperlink" Target="https://doi.org/10.4061/2011/80518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hyperlink" Target="https://doi.org/10.1007/s11157-016-9407-9" TargetMode="Externa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ipasha.mghosh@gmail.com" TargetMode="External"/><Relationship Id="rId14" Type="http://schemas.openxmlformats.org/officeDocument/2006/relationships/hyperlink" Target="https://doi.org/10.1111/j.1574-6976.2012.00350.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Bipasha%20Mridha%20Ghosh\Desktop\RA\grap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ipasha%20Mridha%20Ghosh\Desktop\RA\graph.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en-IN" sz="1000">
                <a:solidFill>
                  <a:sysClr val="windowText" lastClr="000000"/>
                </a:solidFill>
              </a:rPr>
              <a:t>Amylase Secretion By</a:t>
            </a:r>
            <a:r>
              <a:rPr lang="en-IN" sz="1000" baseline="0">
                <a:solidFill>
                  <a:sysClr val="windowText" lastClr="000000"/>
                </a:solidFill>
              </a:rPr>
              <a:t> Fungus</a:t>
            </a:r>
            <a:endParaRPr lang="en-IN" sz="1000">
              <a:solidFill>
                <a:sysClr val="windowText" lastClr="000000"/>
              </a:solidFill>
            </a:endParaRP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en-US"/>
        </a:p>
      </c:txPr>
    </c:title>
    <c:autoTitleDeleted val="0"/>
    <c:plotArea>
      <c:layout/>
      <c:barChart>
        <c:barDir val="col"/>
        <c:grouping val="stacked"/>
        <c:varyColors val="0"/>
        <c:ser>
          <c:idx val="0"/>
          <c:order val="0"/>
          <c:tx>
            <c:strRef>
              <c:f>Sheet1!$C$4</c:f>
              <c:strCache>
                <c:ptCount val="1"/>
                <c:pt idx="0">
                  <c:v>Amylase (mg/ml) Hyphae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Sheet1!$B$5:$B$13</c:f>
              <c:strCache>
                <c:ptCount val="9"/>
                <c:pt idx="0">
                  <c:v>Aspergillus versicolor</c:v>
                </c:pt>
                <c:pt idx="1">
                  <c:v>A.niger  </c:v>
                </c:pt>
                <c:pt idx="2">
                  <c:v>A. nidulas</c:v>
                </c:pt>
                <c:pt idx="3">
                  <c:v>A. flavus</c:v>
                </c:pt>
                <c:pt idx="4">
                  <c:v>A.ochraceous</c:v>
                </c:pt>
                <c:pt idx="5">
                  <c:v>Penicillium expansum</c:v>
                </c:pt>
                <c:pt idx="6">
                  <c:v>Penicillium funiculosum</c:v>
                </c:pt>
                <c:pt idx="7">
                  <c:v>Chacotonium globesum</c:v>
                </c:pt>
                <c:pt idx="8">
                  <c:v>Mucor racemosus</c:v>
                </c:pt>
              </c:strCache>
            </c:strRef>
          </c:cat>
          <c:val>
            <c:numRef>
              <c:f>Sheet1!$C$5:$C$13</c:f>
              <c:numCache>
                <c:formatCode>General</c:formatCode>
                <c:ptCount val="9"/>
                <c:pt idx="0">
                  <c:v>0.14499999999999999</c:v>
                </c:pt>
                <c:pt idx="1">
                  <c:v>0.155</c:v>
                </c:pt>
                <c:pt idx="2">
                  <c:v>0.27200000000000002</c:v>
                </c:pt>
                <c:pt idx="3">
                  <c:v>0.115</c:v>
                </c:pt>
                <c:pt idx="4">
                  <c:v>5.8000000000000003E-2</c:v>
                </c:pt>
                <c:pt idx="5">
                  <c:v>0.151</c:v>
                </c:pt>
                <c:pt idx="6">
                  <c:v>0.152</c:v>
                </c:pt>
                <c:pt idx="7">
                  <c:v>0.315</c:v>
                </c:pt>
                <c:pt idx="8">
                  <c:v>0.21099999999999999</c:v>
                </c:pt>
              </c:numCache>
            </c:numRef>
          </c:val>
          <c:extLst>
            <c:ext xmlns:c16="http://schemas.microsoft.com/office/drawing/2014/chart" uri="{C3380CC4-5D6E-409C-BE32-E72D297353CC}">
              <c16:uniqueId val="{00000000-0CFD-4B77-BD08-799C84DE7D7C}"/>
            </c:ext>
          </c:extLst>
        </c:ser>
        <c:ser>
          <c:idx val="1"/>
          <c:order val="1"/>
          <c:tx>
            <c:strRef>
              <c:f>Sheet1!$D$4</c:f>
              <c:strCache>
                <c:ptCount val="1"/>
                <c:pt idx="0">
                  <c:v>Amylase (mg/ml)Spore</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cat>
            <c:strRef>
              <c:f>Sheet1!$B$5:$B$13</c:f>
              <c:strCache>
                <c:ptCount val="9"/>
                <c:pt idx="0">
                  <c:v>Aspergillus versicolor</c:v>
                </c:pt>
                <c:pt idx="1">
                  <c:v>A.niger  </c:v>
                </c:pt>
                <c:pt idx="2">
                  <c:v>A. nidulas</c:v>
                </c:pt>
                <c:pt idx="3">
                  <c:v>A. flavus</c:v>
                </c:pt>
                <c:pt idx="4">
                  <c:v>A.ochraceous</c:v>
                </c:pt>
                <c:pt idx="5">
                  <c:v>Penicillium expansum</c:v>
                </c:pt>
                <c:pt idx="6">
                  <c:v>Penicillium funiculosum</c:v>
                </c:pt>
                <c:pt idx="7">
                  <c:v>Chacotonium globesum</c:v>
                </c:pt>
                <c:pt idx="8">
                  <c:v>Mucor racemosus</c:v>
                </c:pt>
              </c:strCache>
            </c:strRef>
          </c:cat>
          <c:val>
            <c:numRef>
              <c:f>Sheet1!$D$5:$D$13</c:f>
              <c:numCache>
                <c:formatCode>General</c:formatCode>
                <c:ptCount val="9"/>
                <c:pt idx="0">
                  <c:v>0.17499999999999999</c:v>
                </c:pt>
                <c:pt idx="1">
                  <c:v>0.185</c:v>
                </c:pt>
                <c:pt idx="2">
                  <c:v>0.29199999999999998</c:v>
                </c:pt>
                <c:pt idx="3">
                  <c:v>0.105</c:v>
                </c:pt>
                <c:pt idx="4">
                  <c:v>7.9000000000000001E-2</c:v>
                </c:pt>
                <c:pt idx="5">
                  <c:v>0.16200000000000001</c:v>
                </c:pt>
                <c:pt idx="6">
                  <c:v>0.192</c:v>
                </c:pt>
                <c:pt idx="7">
                  <c:v>0.38500000000000001</c:v>
                </c:pt>
                <c:pt idx="8">
                  <c:v>0.27200000000000002</c:v>
                </c:pt>
              </c:numCache>
            </c:numRef>
          </c:val>
          <c:extLst>
            <c:ext xmlns:c16="http://schemas.microsoft.com/office/drawing/2014/chart" uri="{C3380CC4-5D6E-409C-BE32-E72D297353CC}">
              <c16:uniqueId val="{00000001-0CFD-4B77-BD08-799C84DE7D7C}"/>
            </c:ext>
          </c:extLst>
        </c:ser>
        <c:dLbls>
          <c:showLegendKey val="0"/>
          <c:showVal val="0"/>
          <c:showCatName val="0"/>
          <c:showSerName val="0"/>
          <c:showPercent val="0"/>
          <c:showBubbleSize val="0"/>
        </c:dLbls>
        <c:gapWidth val="150"/>
        <c:overlap val="100"/>
        <c:axId val="1898514351"/>
        <c:axId val="1898510191"/>
      </c:barChart>
      <c:catAx>
        <c:axId val="1898514351"/>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Name</a:t>
                </a:r>
                <a:r>
                  <a:rPr lang="en-IN" baseline="0"/>
                  <a:t> of Fungus</a:t>
                </a:r>
                <a:endParaRPr lang="en-IN"/>
              </a:p>
            </c:rich>
          </c:tx>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98510191"/>
        <c:crosses val="autoZero"/>
        <c:auto val="1"/>
        <c:lblAlgn val="ctr"/>
        <c:lblOffset val="100"/>
        <c:noMultiLvlLbl val="0"/>
      </c:catAx>
      <c:valAx>
        <c:axId val="18985101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mg/ml</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89851435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b="1" i="0" baseline="0">
                <a:effectLst/>
              </a:rPr>
              <a:t>Catalase Secretion By Fungus</a:t>
            </a:r>
            <a:endParaRPr lang="en-IN" sz="1000" b="1">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Sheet1!$C$18</c:f>
              <c:strCache>
                <c:ptCount val="1"/>
                <c:pt idx="0">
                  <c:v>Poly Phenol oxidase (mg/ml) Hyphae </c:v>
                </c:pt>
              </c:strCache>
            </c:strRef>
          </c:tx>
          <c:spPr>
            <a:solidFill>
              <a:schemeClr val="accent1"/>
            </a:solidFill>
            <a:ln>
              <a:noFill/>
            </a:ln>
            <a:effectLst/>
          </c:spPr>
          <c:invertIfNegative val="0"/>
          <c:cat>
            <c:strRef>
              <c:f>Sheet1!$B$19:$B$27</c:f>
              <c:strCache>
                <c:ptCount val="9"/>
                <c:pt idx="0">
                  <c:v>Aspergillus versicolor</c:v>
                </c:pt>
                <c:pt idx="1">
                  <c:v>A.niger  </c:v>
                </c:pt>
                <c:pt idx="2">
                  <c:v>A. nidulas</c:v>
                </c:pt>
                <c:pt idx="3">
                  <c:v>A. flavus</c:v>
                </c:pt>
                <c:pt idx="4">
                  <c:v>A.ochraceous</c:v>
                </c:pt>
                <c:pt idx="5">
                  <c:v>Penicillium expansum</c:v>
                </c:pt>
                <c:pt idx="6">
                  <c:v>Penicillium funiculosum</c:v>
                </c:pt>
                <c:pt idx="7">
                  <c:v>Chacotonium globesum</c:v>
                </c:pt>
                <c:pt idx="8">
                  <c:v>Mucor racemosus</c:v>
                </c:pt>
              </c:strCache>
            </c:strRef>
          </c:cat>
          <c:val>
            <c:numRef>
              <c:f>Sheet1!$C$19:$C$27</c:f>
              <c:numCache>
                <c:formatCode>General</c:formatCode>
                <c:ptCount val="9"/>
                <c:pt idx="0">
                  <c:v>34.130000000000003</c:v>
                </c:pt>
                <c:pt idx="1">
                  <c:v>32.130000000000003</c:v>
                </c:pt>
                <c:pt idx="2">
                  <c:v>32.700000000000003</c:v>
                </c:pt>
                <c:pt idx="3">
                  <c:v>38.42</c:v>
                </c:pt>
                <c:pt idx="4">
                  <c:v>35.700000000000003</c:v>
                </c:pt>
                <c:pt idx="5">
                  <c:v>43.56</c:v>
                </c:pt>
                <c:pt idx="6">
                  <c:v>43.86</c:v>
                </c:pt>
                <c:pt idx="7">
                  <c:v>21.59</c:v>
                </c:pt>
                <c:pt idx="8">
                  <c:v>5.0999999999999996</c:v>
                </c:pt>
              </c:numCache>
            </c:numRef>
          </c:val>
          <c:extLst>
            <c:ext xmlns:c16="http://schemas.microsoft.com/office/drawing/2014/chart" uri="{C3380CC4-5D6E-409C-BE32-E72D297353CC}">
              <c16:uniqueId val="{00000000-8E98-4397-A439-E7E1E7A7D971}"/>
            </c:ext>
          </c:extLst>
        </c:ser>
        <c:ser>
          <c:idx val="1"/>
          <c:order val="1"/>
          <c:tx>
            <c:strRef>
              <c:f>Sheet1!$D$18</c:f>
              <c:strCache>
                <c:ptCount val="1"/>
                <c:pt idx="0">
                  <c:v>Poly Phenol oxidase (mg/ml)Spore</c:v>
                </c:pt>
              </c:strCache>
            </c:strRef>
          </c:tx>
          <c:spPr>
            <a:solidFill>
              <a:schemeClr val="accent2"/>
            </a:solidFill>
            <a:ln>
              <a:noFill/>
            </a:ln>
            <a:effectLst/>
          </c:spPr>
          <c:invertIfNegative val="0"/>
          <c:cat>
            <c:strRef>
              <c:f>Sheet1!$B$19:$B$27</c:f>
              <c:strCache>
                <c:ptCount val="9"/>
                <c:pt idx="0">
                  <c:v>Aspergillus versicolor</c:v>
                </c:pt>
                <c:pt idx="1">
                  <c:v>A.niger  </c:v>
                </c:pt>
                <c:pt idx="2">
                  <c:v>A. nidulas</c:v>
                </c:pt>
                <c:pt idx="3">
                  <c:v>A. flavus</c:v>
                </c:pt>
                <c:pt idx="4">
                  <c:v>A.ochraceous</c:v>
                </c:pt>
                <c:pt idx="5">
                  <c:v>Penicillium expansum</c:v>
                </c:pt>
                <c:pt idx="6">
                  <c:v>Penicillium funiculosum</c:v>
                </c:pt>
                <c:pt idx="7">
                  <c:v>Chacotonium globesum</c:v>
                </c:pt>
                <c:pt idx="8">
                  <c:v>Mucor racemosus</c:v>
                </c:pt>
              </c:strCache>
            </c:strRef>
          </c:cat>
          <c:val>
            <c:numRef>
              <c:f>Sheet1!$D$19:$D$27</c:f>
              <c:numCache>
                <c:formatCode>General</c:formatCode>
                <c:ptCount val="9"/>
                <c:pt idx="0">
                  <c:v>34.159999999999997</c:v>
                </c:pt>
                <c:pt idx="1">
                  <c:v>34.119999999999997</c:v>
                </c:pt>
                <c:pt idx="2">
                  <c:v>34.200000000000003</c:v>
                </c:pt>
                <c:pt idx="3">
                  <c:v>38.72</c:v>
                </c:pt>
                <c:pt idx="4">
                  <c:v>36.92</c:v>
                </c:pt>
                <c:pt idx="5">
                  <c:v>46.71</c:v>
                </c:pt>
                <c:pt idx="6">
                  <c:v>49.71</c:v>
                </c:pt>
                <c:pt idx="7">
                  <c:v>22.34</c:v>
                </c:pt>
                <c:pt idx="8">
                  <c:v>6.2</c:v>
                </c:pt>
              </c:numCache>
            </c:numRef>
          </c:val>
          <c:extLst>
            <c:ext xmlns:c16="http://schemas.microsoft.com/office/drawing/2014/chart" uri="{C3380CC4-5D6E-409C-BE32-E72D297353CC}">
              <c16:uniqueId val="{00000001-8E98-4397-A439-E7E1E7A7D971}"/>
            </c:ext>
          </c:extLst>
        </c:ser>
        <c:dLbls>
          <c:showLegendKey val="0"/>
          <c:showVal val="0"/>
          <c:showCatName val="0"/>
          <c:showSerName val="0"/>
          <c:showPercent val="0"/>
          <c:showBubbleSize val="0"/>
        </c:dLbls>
        <c:gapWidth val="219"/>
        <c:overlap val="100"/>
        <c:axId val="578887088"/>
        <c:axId val="578884176"/>
      </c:barChart>
      <c:catAx>
        <c:axId val="5788870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Name of  Fungus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78884176"/>
        <c:crosses val="autoZero"/>
        <c:auto val="1"/>
        <c:lblAlgn val="ctr"/>
        <c:lblOffset val="100"/>
        <c:noMultiLvlLbl val="0"/>
      </c:catAx>
      <c:valAx>
        <c:axId val="578884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mg/ml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8887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b="1" i="0" baseline="0">
                <a:solidFill>
                  <a:sysClr val="windowText" lastClr="000000"/>
                </a:solidFill>
                <a:effectLst/>
              </a:rPr>
              <a:t>Polyphenol oxidase Secretion By Fungus</a:t>
            </a:r>
            <a:endParaRPr lang="en-IN" sz="1000">
              <a:solidFill>
                <a:sysClr val="windowText" lastClr="000000"/>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Sheet1!$C$18</c:f>
              <c:strCache>
                <c:ptCount val="1"/>
                <c:pt idx="0">
                  <c:v>Poly Phenol oxidase (mg/ml) Hyphae </c:v>
                </c:pt>
              </c:strCache>
            </c:strRef>
          </c:tx>
          <c:spPr>
            <a:solidFill>
              <a:schemeClr val="accent1"/>
            </a:solidFill>
            <a:ln>
              <a:noFill/>
            </a:ln>
            <a:effectLst/>
          </c:spPr>
          <c:invertIfNegative val="0"/>
          <c:cat>
            <c:strRef>
              <c:f>Sheet1!$B$19:$B$27</c:f>
              <c:strCache>
                <c:ptCount val="9"/>
                <c:pt idx="0">
                  <c:v>Aspergillus versicolor</c:v>
                </c:pt>
                <c:pt idx="1">
                  <c:v>A.niger  </c:v>
                </c:pt>
                <c:pt idx="2">
                  <c:v>A. nidulas</c:v>
                </c:pt>
                <c:pt idx="3">
                  <c:v>A. flavus</c:v>
                </c:pt>
                <c:pt idx="4">
                  <c:v>A.ochraceous</c:v>
                </c:pt>
                <c:pt idx="5">
                  <c:v>Penicillium expansum</c:v>
                </c:pt>
                <c:pt idx="6">
                  <c:v>Penicillium funiculosum</c:v>
                </c:pt>
                <c:pt idx="7">
                  <c:v>Chacotonium globesum</c:v>
                </c:pt>
                <c:pt idx="8">
                  <c:v>Mucor racemosus</c:v>
                </c:pt>
              </c:strCache>
            </c:strRef>
          </c:cat>
          <c:val>
            <c:numRef>
              <c:f>Sheet1!$C$19:$C$27</c:f>
              <c:numCache>
                <c:formatCode>General</c:formatCode>
                <c:ptCount val="9"/>
                <c:pt idx="0">
                  <c:v>34.130000000000003</c:v>
                </c:pt>
                <c:pt idx="1">
                  <c:v>32.130000000000003</c:v>
                </c:pt>
                <c:pt idx="2">
                  <c:v>32.700000000000003</c:v>
                </c:pt>
                <c:pt idx="3">
                  <c:v>38.42</c:v>
                </c:pt>
                <c:pt idx="4">
                  <c:v>35.700000000000003</c:v>
                </c:pt>
                <c:pt idx="5">
                  <c:v>43.56</c:v>
                </c:pt>
                <c:pt idx="6">
                  <c:v>43.86</c:v>
                </c:pt>
                <c:pt idx="7">
                  <c:v>21.59</c:v>
                </c:pt>
                <c:pt idx="8">
                  <c:v>5.0999999999999996</c:v>
                </c:pt>
              </c:numCache>
            </c:numRef>
          </c:val>
          <c:extLst>
            <c:ext xmlns:c16="http://schemas.microsoft.com/office/drawing/2014/chart" uri="{C3380CC4-5D6E-409C-BE32-E72D297353CC}">
              <c16:uniqueId val="{00000000-6C78-488F-816F-61EDA76F0596}"/>
            </c:ext>
          </c:extLst>
        </c:ser>
        <c:ser>
          <c:idx val="1"/>
          <c:order val="1"/>
          <c:tx>
            <c:strRef>
              <c:f>Sheet1!$D$18</c:f>
              <c:strCache>
                <c:ptCount val="1"/>
                <c:pt idx="0">
                  <c:v>Poly Phenol oxidase (mg/ml)Spore</c:v>
                </c:pt>
              </c:strCache>
            </c:strRef>
          </c:tx>
          <c:spPr>
            <a:solidFill>
              <a:schemeClr val="accent2"/>
            </a:solidFill>
            <a:ln>
              <a:noFill/>
            </a:ln>
            <a:effectLst/>
          </c:spPr>
          <c:invertIfNegative val="0"/>
          <c:cat>
            <c:strRef>
              <c:f>Sheet1!$B$19:$B$27</c:f>
              <c:strCache>
                <c:ptCount val="9"/>
                <c:pt idx="0">
                  <c:v>Aspergillus versicolor</c:v>
                </c:pt>
                <c:pt idx="1">
                  <c:v>A.niger  </c:v>
                </c:pt>
                <c:pt idx="2">
                  <c:v>A. nidulas</c:v>
                </c:pt>
                <c:pt idx="3">
                  <c:v>A. flavus</c:v>
                </c:pt>
                <c:pt idx="4">
                  <c:v>A.ochraceous</c:v>
                </c:pt>
                <c:pt idx="5">
                  <c:v>Penicillium expansum</c:v>
                </c:pt>
                <c:pt idx="6">
                  <c:v>Penicillium funiculosum</c:v>
                </c:pt>
                <c:pt idx="7">
                  <c:v>Chacotonium globesum</c:v>
                </c:pt>
                <c:pt idx="8">
                  <c:v>Mucor racemosus</c:v>
                </c:pt>
              </c:strCache>
            </c:strRef>
          </c:cat>
          <c:val>
            <c:numRef>
              <c:f>Sheet1!$D$19:$D$27</c:f>
              <c:numCache>
                <c:formatCode>General</c:formatCode>
                <c:ptCount val="9"/>
                <c:pt idx="0">
                  <c:v>34.159999999999997</c:v>
                </c:pt>
                <c:pt idx="1">
                  <c:v>34.119999999999997</c:v>
                </c:pt>
                <c:pt idx="2">
                  <c:v>34.200000000000003</c:v>
                </c:pt>
                <c:pt idx="3">
                  <c:v>38.72</c:v>
                </c:pt>
                <c:pt idx="4">
                  <c:v>36.92</c:v>
                </c:pt>
                <c:pt idx="5">
                  <c:v>46.71</c:v>
                </c:pt>
                <c:pt idx="6">
                  <c:v>49.71</c:v>
                </c:pt>
                <c:pt idx="7">
                  <c:v>22.34</c:v>
                </c:pt>
                <c:pt idx="8">
                  <c:v>6.2</c:v>
                </c:pt>
              </c:numCache>
            </c:numRef>
          </c:val>
          <c:extLst>
            <c:ext xmlns:c16="http://schemas.microsoft.com/office/drawing/2014/chart" uri="{C3380CC4-5D6E-409C-BE32-E72D297353CC}">
              <c16:uniqueId val="{00000001-6C78-488F-816F-61EDA76F0596}"/>
            </c:ext>
          </c:extLst>
        </c:ser>
        <c:dLbls>
          <c:showLegendKey val="0"/>
          <c:showVal val="0"/>
          <c:showCatName val="0"/>
          <c:showSerName val="0"/>
          <c:showPercent val="0"/>
          <c:showBubbleSize val="0"/>
        </c:dLbls>
        <c:gapWidth val="219"/>
        <c:overlap val="100"/>
        <c:axId val="519069840"/>
        <c:axId val="519070256"/>
      </c:barChart>
      <c:catAx>
        <c:axId val="5190698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Name of  Fungus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19070256"/>
        <c:crosses val="autoZero"/>
        <c:auto val="1"/>
        <c:lblAlgn val="ctr"/>
        <c:lblOffset val="100"/>
        <c:noMultiLvlLbl val="0"/>
      </c:catAx>
      <c:valAx>
        <c:axId val="519070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mg/ml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519069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1227</TotalTime>
  <Pages>4</Pages>
  <Words>1675</Words>
  <Characters>9549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Bipasha Mridha Ghosh</cp:lastModifiedBy>
  <cp:revision>57</cp:revision>
  <cp:lastPrinted>2014-07-26T15:11:00Z</cp:lastPrinted>
  <dcterms:created xsi:type="dcterms:W3CDTF">2022-06-17T12:11:00Z</dcterms:created>
  <dcterms:modified xsi:type="dcterms:W3CDTF">2023-07-31T08:16:00Z</dcterms:modified>
</cp:coreProperties>
</file>