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b/>
          <w:sz w:val="48"/>
          <w:szCs w:val="48"/>
          <w:rtl w:val="0"/>
          <w:lang w:val="en-US"/>
        </w:rPr>
      </w:pPr>
      <w:r>
        <w:rPr>
          <w:rFonts w:hint="default" w:ascii="Times New Roman" w:hAnsi="Times New Roman"/>
          <w:b/>
          <w:sz w:val="48"/>
          <w:szCs w:val="48"/>
          <w:rtl w:val="0"/>
          <w:lang w:val="en-US"/>
        </w:rPr>
        <w:t>"COMPREHENSIVE INVESTIGATION OF FINANCIAL PERFORMANCE OF ARYAVART BANK: A DUPONT MODEL APPROACH FOR PROFITS, EFFICIENCY, AND SUSTAINABILITY"</w:t>
      </w:r>
    </w:p>
    <w:tbl>
      <w:tblPr>
        <w:tblStyle w:val="15"/>
        <w:tblpPr w:leftFromText="180" w:rightFromText="180" w:vertAnchor="text" w:tblpXSpec="center" w:tblpY="10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10"/>
        <w:gridCol w:w="45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1" w:hRule="atLeast"/>
          <w:jc w:val="center"/>
        </w:trPr>
        <w:tc>
          <w:tcPr>
            <w:tcW w:w="4510" w:type="dxa"/>
          </w:tcPr>
          <w:p>
            <w:pPr>
              <w:widowControl w:val="0"/>
              <w:spacing w:line="360" w:lineRule="auto"/>
              <w:jc w:val="center"/>
              <w:rPr>
                <w:rFonts w:hint="default" w:ascii="Times New Roman" w:hAnsi="Times New Roman" w:cs="Times New Roman"/>
                <w:b/>
                <w:bCs/>
                <w:sz w:val="24"/>
                <w:szCs w:val="24"/>
                <w:rtl w:val="0"/>
              </w:rPr>
            </w:pPr>
            <w:r>
              <w:rPr>
                <w:rFonts w:hint="default" w:ascii="Times New Roman" w:hAnsi="Times New Roman" w:cs="Times New Roman"/>
                <w:b/>
                <w:bCs/>
                <w:sz w:val="24"/>
                <w:szCs w:val="24"/>
                <w:rtl w:val="0"/>
                <w:lang w:val="en-US"/>
              </w:rPr>
              <w:t xml:space="preserve">Ms. </w:t>
            </w:r>
            <w:r>
              <w:rPr>
                <w:rFonts w:hint="default" w:ascii="Times New Roman" w:hAnsi="Times New Roman" w:cs="Times New Roman"/>
                <w:b/>
                <w:bCs/>
                <w:sz w:val="24"/>
                <w:szCs w:val="24"/>
                <w:rtl w:val="0"/>
              </w:rPr>
              <w:t>Sadhvi Pandey</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rPr>
              <w:t>Assistant Professor</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rPr>
              <w:t xml:space="preserve">Department of </w:t>
            </w:r>
            <w:r>
              <w:rPr>
                <w:rFonts w:hint="default" w:ascii="Times New Roman" w:hAnsi="Times New Roman" w:cs="Times New Roman"/>
                <w:b w:val="0"/>
                <w:bCs w:val="0"/>
                <w:sz w:val="22"/>
                <w:szCs w:val="22"/>
                <w:rtl w:val="0"/>
                <w:lang w:val="en-US"/>
              </w:rPr>
              <w:t>C</w:t>
            </w:r>
            <w:r>
              <w:rPr>
                <w:rFonts w:hint="default" w:ascii="Times New Roman" w:hAnsi="Times New Roman" w:cs="Times New Roman"/>
                <w:b w:val="0"/>
                <w:bCs w:val="0"/>
                <w:sz w:val="22"/>
                <w:szCs w:val="22"/>
                <w:rtl w:val="0"/>
              </w:rPr>
              <w:t>ommerce</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rPr>
              <w:t>Study Hall College, Lucknow</w:t>
            </w:r>
          </w:p>
          <w:p>
            <w:pPr>
              <w:widowControl w:val="0"/>
              <w:spacing w:line="240" w:lineRule="auto"/>
              <w:jc w:val="center"/>
              <w:rPr>
                <w:rFonts w:hint="default" w:ascii="Times New Roman" w:hAnsi="Times New Roman" w:cs="Times New Roman"/>
                <w:b w:val="0"/>
                <w:bCs w:val="0"/>
                <w:sz w:val="22"/>
                <w:szCs w:val="22"/>
                <w:rtl w:val="0"/>
                <w:lang w:val="en-US"/>
              </w:rPr>
            </w:pPr>
            <w:r>
              <w:rPr>
                <w:rFonts w:hint="default" w:ascii="Times New Roman" w:hAnsi="Times New Roman" w:cs="Times New Roman"/>
                <w:b w:val="0"/>
                <w:bCs w:val="0"/>
                <w:sz w:val="22"/>
                <w:szCs w:val="22"/>
                <w:rtl w:val="0"/>
                <w:lang w:val="en-US"/>
              </w:rPr>
              <w:t>psadhvi9@gmail.com</w:t>
            </w:r>
          </w:p>
        </w:tc>
        <w:tc>
          <w:tcPr>
            <w:tcW w:w="4510" w:type="dxa"/>
          </w:tcPr>
          <w:p>
            <w:pPr>
              <w:widowControl w:val="0"/>
              <w:spacing w:line="360" w:lineRule="auto"/>
              <w:jc w:val="center"/>
              <w:rPr>
                <w:rFonts w:hint="default" w:ascii="Times New Roman" w:hAnsi="Times New Roman" w:cs="Times New Roman"/>
                <w:b/>
                <w:bCs/>
                <w:sz w:val="24"/>
                <w:szCs w:val="24"/>
                <w:rtl w:val="0"/>
                <w:lang w:val="en-US"/>
              </w:rPr>
            </w:pPr>
            <w:r>
              <w:rPr>
                <w:rFonts w:hint="default" w:ascii="Times New Roman" w:hAnsi="Times New Roman" w:cs="Times New Roman"/>
                <w:b/>
                <w:bCs/>
                <w:sz w:val="24"/>
                <w:szCs w:val="24"/>
                <w:rtl w:val="0"/>
                <w:lang w:val="en-US"/>
              </w:rPr>
              <w:t>Ms. Arzoo Gupta</w:t>
            </w:r>
          </w:p>
          <w:p>
            <w:pPr>
              <w:widowControl w:val="0"/>
              <w:spacing w:line="240" w:lineRule="auto"/>
              <w:jc w:val="center"/>
              <w:rPr>
                <w:rFonts w:hint="default" w:ascii="Times New Roman" w:hAnsi="Times New Roman" w:cs="Times New Roman"/>
                <w:b w:val="0"/>
                <w:bCs w:val="0"/>
                <w:sz w:val="22"/>
                <w:szCs w:val="22"/>
                <w:rtl w:val="0"/>
                <w:lang w:val="en-US"/>
              </w:rPr>
            </w:pPr>
            <w:r>
              <w:rPr>
                <w:rFonts w:hint="default" w:ascii="Times New Roman" w:hAnsi="Times New Roman" w:cs="Times New Roman"/>
                <w:b w:val="0"/>
                <w:bCs w:val="0"/>
                <w:sz w:val="22"/>
                <w:szCs w:val="22"/>
                <w:rtl w:val="0"/>
                <w:lang w:val="en-US"/>
              </w:rPr>
              <w:t>Assistant Professor</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lang w:val="en-US"/>
              </w:rPr>
              <w:t>Faculty of Management Studies</w:t>
            </w:r>
          </w:p>
          <w:p>
            <w:pPr>
              <w:widowControl w:val="0"/>
              <w:spacing w:line="240" w:lineRule="auto"/>
              <w:jc w:val="center"/>
              <w:rPr>
                <w:rFonts w:hint="default" w:ascii="Times New Roman" w:hAnsi="Times New Roman" w:cs="Times New Roman"/>
                <w:b w:val="0"/>
                <w:bCs w:val="0"/>
                <w:sz w:val="22"/>
                <w:szCs w:val="22"/>
                <w:rtl w:val="0"/>
              </w:rPr>
            </w:pPr>
            <w:r>
              <w:rPr>
                <w:rFonts w:hint="default" w:ascii="Times New Roman" w:hAnsi="Times New Roman" w:cs="Times New Roman"/>
                <w:b w:val="0"/>
                <w:bCs w:val="0"/>
                <w:sz w:val="22"/>
                <w:szCs w:val="22"/>
                <w:rtl w:val="0"/>
                <w:lang w:val="en-US"/>
              </w:rPr>
              <w:t xml:space="preserve">Dr. APJ Abdul Kalam Technical University, </w:t>
            </w:r>
            <w:r>
              <w:rPr>
                <w:rFonts w:hint="default" w:ascii="Times New Roman" w:hAnsi="Times New Roman" w:cs="Times New Roman"/>
                <w:b w:val="0"/>
                <w:bCs w:val="0"/>
                <w:sz w:val="22"/>
                <w:szCs w:val="22"/>
                <w:rtl w:val="0"/>
              </w:rPr>
              <w:t>Lucknow</w:t>
            </w:r>
          </w:p>
          <w:p>
            <w:pPr>
              <w:widowControl w:val="0"/>
              <w:spacing w:line="240" w:lineRule="auto"/>
              <w:jc w:val="center"/>
              <w:rPr>
                <w:rFonts w:hint="default" w:ascii="Times New Roman" w:hAnsi="Times New Roman" w:cs="Times New Roman"/>
                <w:b w:val="0"/>
                <w:bCs w:val="0"/>
                <w:sz w:val="22"/>
                <w:szCs w:val="22"/>
                <w:rtl w:val="0"/>
                <w:lang w:val="en-US"/>
              </w:rPr>
            </w:pPr>
            <w:r>
              <w:rPr>
                <w:rFonts w:hint="default" w:ascii="Times New Roman" w:hAnsi="Times New Roman" w:cs="Times New Roman"/>
                <w:b w:val="0"/>
                <w:bCs w:val="0"/>
                <w:sz w:val="22"/>
                <w:szCs w:val="22"/>
                <w:rtl w:val="0"/>
                <w:lang w:val="en-US"/>
              </w:rPr>
              <w:t>aarzoogupta08@gmail.com</w:t>
            </w:r>
          </w:p>
        </w:tc>
      </w:tr>
    </w:tbl>
    <w:p>
      <w:pPr>
        <w:spacing w:line="360" w:lineRule="auto"/>
        <w:jc w:val="both"/>
        <w:rPr>
          <w:rFonts w:hint="default" w:ascii="Times New Roman" w:hAnsi="Times New Roman" w:cs="Times New Roman"/>
          <w:b/>
          <w:bCs/>
          <w:sz w:val="24"/>
          <w:szCs w:val="24"/>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p>
    <w:p>
      <w:pPr>
        <w:spacing w:line="360" w:lineRule="auto"/>
        <w:jc w:val="center"/>
        <w:rPr>
          <w:rFonts w:hint="default" w:ascii="Times New Roman" w:hAnsi="Times New Roman" w:cs="Times New Roman"/>
          <w:b/>
          <w:bCs/>
          <w:sz w:val="24"/>
          <w:szCs w:val="24"/>
          <w:u w:val="single"/>
          <w:rtl w:val="0"/>
        </w:rPr>
      </w:pPr>
      <w:r>
        <w:rPr>
          <w:rFonts w:hint="default" w:ascii="Times New Roman" w:hAnsi="Times New Roman" w:cs="Times New Roman"/>
          <w:b/>
          <w:bCs/>
          <w:sz w:val="24"/>
          <w:szCs w:val="24"/>
          <w:u w:val="single"/>
          <w:rtl w:val="0"/>
        </w:rPr>
        <w:t>ABSTRACT</w:t>
      </w:r>
    </w:p>
    <w:p>
      <w:pPr>
        <w:spacing w:line="360" w:lineRule="auto"/>
        <w:jc w:val="center"/>
        <w:rPr>
          <w:rFonts w:hint="default" w:ascii="Times New Roman" w:hAnsi="Times New Roman" w:cs="Times New Roman"/>
          <w:b/>
          <w:bCs/>
          <w:sz w:val="24"/>
          <w:szCs w:val="24"/>
          <w:u w:val="single"/>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sz w:val="20"/>
          <w:szCs w:val="20"/>
        </w:rPr>
        <w:t xml:space="preserve">Financial institutions serve as the foundation of a country's economic landscape, facilitating the provision of loans, infrastructure, and investments necessary for economic advancement. The banking industry, among these institutions, plays a vital part in driving economic growth and expansion. This research focuses on a thorough evaluation of the performance of Aryavart Bank, a Regional Rural Bank. </w:t>
      </w:r>
      <w:r>
        <w:rPr>
          <w:rFonts w:hint="default" w:ascii="Times New Roman" w:hAnsi="Times New Roman"/>
          <w:b/>
          <w:bCs/>
          <w:sz w:val="20"/>
          <w:szCs w:val="20"/>
          <w:lang w:val="en-US"/>
        </w:rPr>
        <w:t>Objectives of Study</w:t>
      </w:r>
      <w:r>
        <w:rPr>
          <w:rFonts w:hint="default" w:ascii="Times New Roman" w:hAnsi="Times New Roman"/>
          <w:sz w:val="20"/>
          <w:szCs w:val="20"/>
          <w:lang w:val="en-US"/>
        </w:rPr>
        <w:t xml:space="preserve">: </w:t>
      </w:r>
      <w:r>
        <w:rPr>
          <w:rFonts w:hint="default" w:ascii="Times New Roman" w:hAnsi="Times New Roman"/>
          <w:sz w:val="20"/>
          <w:szCs w:val="20"/>
        </w:rPr>
        <w:t>The research is guided by specific objectives that aim at examining the bank's financial stability.</w:t>
      </w:r>
      <w:r>
        <w:rPr>
          <w:rFonts w:hint="default" w:ascii="Times New Roman" w:hAnsi="Times New Roman"/>
          <w:sz w:val="20"/>
          <w:szCs w:val="20"/>
          <w:lang w:val="en-US"/>
        </w:rPr>
        <w:t xml:space="preserve"> </w:t>
      </w:r>
      <w:r>
        <w:rPr>
          <w:rFonts w:hint="default" w:ascii="Times New Roman" w:hAnsi="Times New Roman"/>
          <w:sz w:val="20"/>
          <w:szCs w:val="20"/>
        </w:rPr>
        <w:t>The primary goals of this research are to evaluate Aryavart Bank's profitability position, assess its overall financial performance, identify the key drivers influencing Return on Equity (ROE), compare its financial performance over the past few years, assess the impact of risk and leverage, and examine the bank's sustainability and growth prospects.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b/>
          <w:bCs/>
          <w:sz w:val="20"/>
          <w:szCs w:val="20"/>
          <w:lang w:val="en-US"/>
        </w:rPr>
        <w:t>Methodology</w:t>
      </w:r>
      <w:r>
        <w:rPr>
          <w:rFonts w:hint="default" w:ascii="Times New Roman" w:hAnsi="Times New Roman"/>
          <w:sz w:val="20"/>
          <w:szCs w:val="20"/>
          <w:lang w:val="en-US"/>
        </w:rPr>
        <w:t xml:space="preserve">: </w:t>
      </w:r>
      <w:r>
        <w:rPr>
          <w:rFonts w:hint="default" w:ascii="Times New Roman" w:hAnsi="Times New Roman"/>
          <w:sz w:val="20"/>
          <w:szCs w:val="20"/>
        </w:rPr>
        <w:t>In order to achieve these goals, a comprehensive assessment is carried out using several kinds of financial ratios and indicators</w:t>
      </w:r>
      <w:r>
        <w:rPr>
          <w:rFonts w:hint="default" w:ascii="Times New Roman" w:hAnsi="Times New Roman"/>
          <w:sz w:val="20"/>
          <w:szCs w:val="20"/>
          <w:lang w:val="en-US"/>
        </w:rPr>
        <w:t xml:space="preserve"> for the financial year 2019 -2023. </w:t>
      </w:r>
      <w:r>
        <w:rPr>
          <w:rFonts w:hint="default" w:ascii="Times New Roman" w:hAnsi="Times New Roman"/>
          <w:sz w:val="20"/>
          <w:szCs w:val="20"/>
        </w:rPr>
        <w:t>The bank's Return on Equity (ROE) was examined using Dupont Analysis, which divides the model into three components: net profit margin, return on assets, and equity multiplier. This analysis depends on a careful examination of Aryavart Bank's income status and balance sheets.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b/>
          <w:bCs/>
          <w:sz w:val="20"/>
          <w:szCs w:val="20"/>
          <w:lang w:val="en-US"/>
        </w:rPr>
        <w:t>Findings</w:t>
      </w:r>
      <w:r>
        <w:rPr>
          <w:rFonts w:hint="default" w:ascii="Times New Roman" w:hAnsi="Times New Roman"/>
          <w:sz w:val="20"/>
          <w:szCs w:val="20"/>
          <w:lang w:val="en-US"/>
        </w:rPr>
        <w:t xml:space="preserve">: </w:t>
      </w:r>
      <w:r>
        <w:rPr>
          <w:rFonts w:hint="default" w:ascii="Times New Roman" w:hAnsi="Times New Roman"/>
          <w:sz w:val="20"/>
          <w:szCs w:val="20"/>
        </w:rPr>
        <w:t>The study's findings highlight Aryavart Bank's remarkable financial position, which can be defined by consistent net interest income and progressive profitability trends. Notably, the bank's collaborative efforts have resulted in a decrease in non-performing assets as well as an increased provision coverage ratio, indicating an improvement in asset quality over time.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sz w:val="20"/>
          <w:szCs w:val="20"/>
        </w:rPr>
      </w:pPr>
      <w:r>
        <w:rPr>
          <w:rFonts w:hint="default" w:ascii="Times New Roman" w:hAnsi="Times New Roman"/>
          <w:b/>
          <w:bCs/>
          <w:sz w:val="20"/>
          <w:szCs w:val="20"/>
        </w:rPr>
        <w:t>Conclusion</w:t>
      </w:r>
      <w:r>
        <w:rPr>
          <w:rFonts w:hint="default" w:ascii="Times New Roman" w:hAnsi="Times New Roman"/>
          <w:sz w:val="20"/>
          <w:szCs w:val="20"/>
          <w:lang w:val="en-US"/>
        </w:rPr>
        <w:t>:</w:t>
      </w:r>
      <w:r>
        <w:rPr>
          <w:rFonts w:hint="default" w:ascii="Times New Roman" w:hAnsi="Times New Roman"/>
          <w:sz w:val="20"/>
          <w:szCs w:val="20"/>
        </w:rPr>
        <w:t xml:space="preserve"> The financial performance study's conclusion shows Aryavart Bank as being well-positioned in terms of stability. However, the study reveals a spotlight on areas that should be prioritised for future growth and profitability.</w:t>
      </w:r>
      <w:r>
        <w:rPr>
          <w:rFonts w:hint="default" w:ascii="Times New Roman" w:hAnsi="Times New Roman"/>
          <w:sz w:val="20"/>
          <w:szCs w:val="20"/>
          <w:lang w:val="en-US"/>
        </w:rPr>
        <w:t xml:space="preserve"> </w:t>
      </w:r>
      <w:r>
        <w:rPr>
          <w:rFonts w:hint="default" w:ascii="Times New Roman" w:hAnsi="Times New Roman"/>
          <w:sz w:val="20"/>
          <w:szCs w:val="20"/>
        </w:rPr>
        <w:t>In a nutshell, this research provides a comprehensive assessment of Aryavart Bank's financial progress, including profitability, efficiency, risk, and growth perspectives. The insights gained here provide a valuable foundation for the bank to develop a strategy in order to strengthen its current position and explore upcoming challenges.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lang w:val="en-US"/>
        </w:rPr>
        <w:t>Future Scope</w:t>
      </w:r>
      <w:r>
        <w:rPr>
          <w:rFonts w:hint="default" w:ascii="Times New Roman" w:hAnsi="Times New Roman" w:cs="Times New Roman"/>
          <w:sz w:val="20"/>
          <w:szCs w:val="20"/>
          <w:lang w:val="en-US"/>
        </w:rPr>
        <w:t>: This study underscores the broader significance of enhancing financial institutions' performance to contribute to a nation's economic progress and provides a foundation for potential future research in optimizing the financial performance of banks, particularly within the context of Regional Rural Banks and their role in overall economic development</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b/>
          <w:bCs/>
          <w:sz w:val="20"/>
          <w:szCs w:val="20"/>
          <w:rtl w:val="0"/>
        </w:rPr>
        <w:t>Keywords</w:t>
      </w:r>
      <w:r>
        <w:rPr>
          <w:rFonts w:hint="default" w:ascii="Times New Roman" w:hAnsi="Times New Roman" w:cs="Times New Roman"/>
          <w:sz w:val="20"/>
          <w:szCs w:val="20"/>
          <w:rtl w:val="0"/>
        </w:rPr>
        <w:t>: Financial performance analysis; Profitability Assessment;</w:t>
      </w:r>
      <w:r>
        <w:rPr>
          <w:rFonts w:hint="default" w:ascii="Times New Roman" w:hAnsi="Times New Roman" w:cs="Times New Roman"/>
          <w:sz w:val="20"/>
          <w:szCs w:val="20"/>
          <w:rtl w:val="0"/>
          <w:lang w:val="en-US"/>
        </w:rPr>
        <w:t xml:space="preserve"> Dupont Analysis; Asset Quality Improvement; Sustainability and Growth Analysis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lang w:val="en-US"/>
        </w:rPr>
        <w:sectPr>
          <w:type w:val="continuous"/>
          <w:pgSz w:w="11906" w:h="16838"/>
          <w:pgMar w:top="567" w:right="567" w:bottom="567" w:left="567" w:header="720" w:footer="720" w:gutter="0"/>
          <w:pgNumType w:start="1"/>
          <w:cols w:space="425" w:num="1"/>
        </w:sectPr>
      </w:pPr>
    </w:p>
    <w:p>
      <w:pPr>
        <w:keepNext w:val="0"/>
        <w:keepLines w:val="0"/>
        <w:pageBreakBefore w:val="0"/>
        <w:numPr>
          <w:ilvl w:val="0"/>
          <w:numId w:val="1"/>
        </w:numPr>
        <w:kinsoku/>
        <w:wordWrap/>
        <w:overflowPunct/>
        <w:topLinePunct w:val="0"/>
        <w:autoSpaceDE/>
        <w:autoSpaceDN/>
        <w:bidi w:val="0"/>
        <w:adjustRightInd/>
        <w:snapToGrid/>
        <w:spacing w:line="240" w:lineRule="auto"/>
        <w:jc w:val="center"/>
        <w:rPr>
          <w:rFonts w:hint="default" w:ascii="Times New Roman" w:hAnsi="Times New Roman" w:cs="Times New Roman"/>
          <w:b/>
          <w:bCs/>
          <w:sz w:val="24"/>
          <w:szCs w:val="24"/>
          <w:rtl w:val="0"/>
        </w:rPr>
      </w:pPr>
      <w:r>
        <w:rPr>
          <w:rFonts w:hint="default" w:ascii="Times New Roman" w:hAnsi="Times New Roman" w:cs="Times New Roman"/>
          <w:b/>
          <w:bCs/>
          <w:sz w:val="20"/>
          <w:szCs w:val="20"/>
          <w:u w:val="single"/>
          <w:rtl w:val="0"/>
        </w:rPr>
        <w:t>INTRODUCTION</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“Aryavart Bank” </w:t>
      </w:r>
      <w:r>
        <w:rPr>
          <w:rFonts w:hint="default" w:ascii="Times New Roman" w:hAnsi="Times New Roman" w:cs="Times New Roman"/>
          <w:sz w:val="20"/>
          <w:szCs w:val="20"/>
          <w:rtl w:val="0"/>
          <w:lang w:val="en-US"/>
        </w:rPr>
        <w:t>came</w:t>
      </w:r>
      <w:r>
        <w:rPr>
          <w:rFonts w:hint="default" w:ascii="Times New Roman" w:hAnsi="Times New Roman" w:cs="Times New Roman"/>
          <w:sz w:val="20"/>
          <w:szCs w:val="20"/>
          <w:rtl w:val="0"/>
        </w:rPr>
        <w:t xml:space="preserve"> into existence on </w:t>
      </w:r>
      <w:r>
        <w:rPr>
          <w:rFonts w:hint="default" w:ascii="Times New Roman" w:hAnsi="Times New Roman" w:cs="Times New Roman"/>
          <w:sz w:val="20"/>
          <w:szCs w:val="20"/>
          <w:rtl w:val="0"/>
          <w:lang w:val="en-US"/>
        </w:rPr>
        <w:t xml:space="preserve">January </w:t>
      </w:r>
      <w:r>
        <w:rPr>
          <w:rFonts w:hint="default" w:ascii="Times New Roman" w:hAnsi="Times New Roman" w:cs="Times New Roman"/>
          <w:sz w:val="20"/>
          <w:szCs w:val="20"/>
          <w:rtl w:val="0"/>
        </w:rPr>
        <w:t>04</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tl w:val="0"/>
        </w:rPr>
        <w:t xml:space="preserve">2019, with the amalgamation of "Gramin Bank of Aryavart" and "Allahabad U. P. Gramin Bank" </w:t>
      </w:r>
      <w:r>
        <w:rPr>
          <w:rFonts w:hint="default" w:ascii="Times New Roman" w:hAnsi="Times New Roman" w:cs="Times New Roman"/>
          <w:sz w:val="20"/>
          <w:szCs w:val="20"/>
          <w:rtl w:val="0"/>
          <w:lang w:val="en-US"/>
        </w:rPr>
        <w:t>vide</w:t>
      </w:r>
      <w:r>
        <w:rPr>
          <w:rFonts w:hint="default" w:ascii="Times New Roman" w:hAnsi="Times New Roman" w:cs="Times New Roman"/>
          <w:sz w:val="20"/>
          <w:szCs w:val="20"/>
          <w:rtl w:val="0"/>
        </w:rPr>
        <w:t xml:space="preserve"> Government of India Notification dated 25.01.2019 with share capital of 50% </w:t>
      </w:r>
      <w:r>
        <w:rPr>
          <w:rFonts w:hint="default" w:ascii="Times New Roman" w:hAnsi="Times New Roman" w:cs="Times New Roman"/>
          <w:sz w:val="20"/>
          <w:szCs w:val="20"/>
          <w:rtl w:val="0"/>
          <w:lang w:val="en-US"/>
        </w:rPr>
        <w:t>by the</w:t>
      </w:r>
      <w:r>
        <w:rPr>
          <w:rFonts w:hint="default" w:ascii="Times New Roman" w:hAnsi="Times New Roman" w:cs="Times New Roman"/>
          <w:sz w:val="20"/>
          <w:szCs w:val="20"/>
          <w:rtl w:val="0"/>
        </w:rPr>
        <w:t xml:space="preserve"> Government of India, 15% </w:t>
      </w:r>
      <w:r>
        <w:rPr>
          <w:rFonts w:hint="default" w:ascii="Times New Roman" w:hAnsi="Times New Roman" w:cs="Times New Roman"/>
          <w:sz w:val="20"/>
          <w:szCs w:val="20"/>
          <w:rtl w:val="0"/>
          <w:lang w:val="en-US"/>
        </w:rPr>
        <w:t>by the</w:t>
      </w:r>
      <w:r>
        <w:rPr>
          <w:rFonts w:hint="default" w:ascii="Times New Roman" w:hAnsi="Times New Roman" w:cs="Times New Roman"/>
          <w:sz w:val="20"/>
          <w:szCs w:val="20"/>
          <w:rtl w:val="0"/>
        </w:rPr>
        <w:t xml:space="preserve"> Government of Uttar Pradesh and 35% </w:t>
      </w:r>
      <w:r>
        <w:rPr>
          <w:rFonts w:hint="default" w:ascii="Times New Roman" w:hAnsi="Times New Roman" w:cs="Times New Roman"/>
          <w:sz w:val="20"/>
          <w:szCs w:val="20"/>
          <w:rtl w:val="0"/>
          <w:lang w:val="en-US"/>
        </w:rPr>
        <w:t>by the</w:t>
      </w:r>
      <w:r>
        <w:rPr>
          <w:rFonts w:hint="default" w:ascii="Times New Roman" w:hAnsi="Times New Roman" w:cs="Times New Roman"/>
          <w:sz w:val="20"/>
          <w:szCs w:val="20"/>
          <w:rtl w:val="0"/>
        </w:rPr>
        <w:t xml:space="preserve"> Bank of India, the Sponsor Bank.</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Any bank, including Aryavart Bank, can assess its health and performance using financial performance analysis. The profitability, liquidity, asset quality, and overall financial health of the bank has evaluated using a variety of financial ratios and indicators in this analysis. This introduction gives a general understanding of the financial performance analysis of Aryavart Bank. This analysis entails looking at the bank's financial statements, namely its income statement, balance sheet, and cash flow statement. The examination offers crucial insights into the bank's financial status, including its operational effectiveness and risk management capacity. Investors, stakeholders, and other interested parties can better understand Aryavart Bank's financial situation by conducting an extensive financial performance analysis. The Return on Assets (ROA), which indicates how effectively the bank uses its assets to create profits, is, in fact, one of the crucial criteria analysts take into account. A high ROA shows the bank is making good use of its resources to make money, whereas a low ROA shows it is having trouble making a profit. Examining Aryavrat Bank's financial performance includes asset quality as a crucial component. Analysts also consider its capital adequacy ratio, liquidity ratio, and other key performance metrics to evaluate the bank's overall financial health and performance.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sz w:val="24"/>
          <w:szCs w:val="24"/>
          <w:u w:val="single"/>
        </w:rPr>
      </w:pPr>
      <w:r>
        <w:rPr>
          <w:rFonts w:hint="default" w:ascii="Times New Roman" w:hAnsi="Times New Roman" w:cs="Times New Roman"/>
          <w:b/>
          <w:bCs/>
          <w:sz w:val="20"/>
          <w:szCs w:val="20"/>
          <w:u w:val="single"/>
          <w:rtl w:val="0"/>
        </w:rPr>
        <w:t>REVIEW OF LITERATURE</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sz w:val="24"/>
          <w:szCs w:val="24"/>
          <w:u w:val="single"/>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The DuPont analysis, also known as the DuPont identity or DuPont model, is a widely used financial performance evaluation tool that breaks down the return on equity (ROE) into its components, providing a deeper understanding of the factors driving a company's profitability. The analysis is based on the idea that ROE is influenced by three key components: profit margin, asset turnover, and financial leverage. This literature review explores various studies that have applied DuPont analysis to assess the financial performance of banks.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General Studies on DuPont Analysis in Financ</w:t>
      </w:r>
      <w:r>
        <w:rPr>
          <w:rFonts w:hint="default" w:ascii="Times New Roman" w:hAnsi="Times New Roman" w:cs="Times New Roman"/>
          <w:b/>
          <w:bCs/>
          <w:sz w:val="20"/>
          <w:szCs w:val="20"/>
          <w:rtl w:val="0"/>
          <w:lang w:val="en-US"/>
        </w:rPr>
        <w:t>e</w:t>
      </w:r>
    </w:p>
    <w:p>
      <w:pPr>
        <w:keepNext w:val="0"/>
        <w:keepLines w:val="0"/>
        <w:pageBreakBefore w:val="0"/>
        <w:numPr>
          <w:ilvl w:val="0"/>
          <w:numId w:val="0"/>
        </w:numPr>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Several general studies have explored the usefulness and applicability of DuPont analysis in the financial sector. A study by </w:t>
      </w:r>
      <w:r>
        <w:rPr>
          <w:rFonts w:hint="default" w:ascii="Times New Roman" w:hAnsi="Times New Roman" w:cs="Times New Roman"/>
          <w:b/>
          <w:bCs/>
          <w:sz w:val="20"/>
          <w:szCs w:val="20"/>
          <w:rtl w:val="0"/>
        </w:rPr>
        <w:t>Brealey and Myers (1988)</w:t>
      </w:r>
      <w:r>
        <w:rPr>
          <w:rFonts w:hint="default" w:ascii="Times New Roman" w:hAnsi="Times New Roman" w:cs="Times New Roman"/>
          <w:sz w:val="20"/>
          <w:szCs w:val="20"/>
          <w:rtl w:val="0"/>
        </w:rPr>
        <w:t xml:space="preserve"> provides an early analysis of the DuPont model's relevance in evaluating the financial performance of banks. The authors demonstrate that the model helps identify the sources of changes in ROE and offers valuable insights into the bank's overall profitability.</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Application of DuPont Analysis in the Banking Sector</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Moving towards specific studies in the banking sector, a study by </w:t>
      </w:r>
      <w:r>
        <w:rPr>
          <w:rFonts w:hint="default" w:ascii="Times New Roman" w:hAnsi="Times New Roman" w:cs="Times New Roman"/>
          <w:b/>
          <w:bCs/>
          <w:sz w:val="20"/>
          <w:szCs w:val="20"/>
          <w:rtl w:val="0"/>
        </w:rPr>
        <w:t xml:space="preserve">Hasan and Wall (2004) </w:t>
      </w:r>
      <w:r>
        <w:rPr>
          <w:rFonts w:hint="default" w:ascii="Times New Roman" w:hAnsi="Times New Roman" w:cs="Times New Roman"/>
          <w:sz w:val="20"/>
          <w:szCs w:val="20"/>
          <w:rtl w:val="0"/>
        </w:rPr>
        <w:t>examines the financial performance of commercial banks using DuPont analysis. They apply the model to a sample of banks and find that the variability in ROE can be primarily attributed to differences in profit margins and asset turnover.</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Cross-Country Comparison of Banks Using DuPont Analysis</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Cross-country studies have also been conducted to compare the financial performance of banks using DuPont analysis. A study by </w:t>
      </w:r>
      <w:r>
        <w:rPr>
          <w:rFonts w:hint="default" w:ascii="Times New Roman" w:hAnsi="Times New Roman" w:cs="Times New Roman"/>
          <w:b/>
          <w:bCs/>
          <w:sz w:val="20"/>
          <w:szCs w:val="20"/>
          <w:rtl w:val="0"/>
        </w:rPr>
        <w:t>Claessens et al. (2008)</w:t>
      </w:r>
      <w:r>
        <w:rPr>
          <w:rFonts w:hint="default" w:ascii="Times New Roman" w:hAnsi="Times New Roman" w:cs="Times New Roman"/>
          <w:sz w:val="20"/>
          <w:szCs w:val="20"/>
          <w:rtl w:val="0"/>
        </w:rPr>
        <w:t xml:space="preserve"> compares the ROE components of banks across different countries. The authors find that variations in accounting practices and regulatory frameworks influence the DuPont components, contributing to differences in banks' profitability across countries.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Impact of Financial Crisis on Bank Performance</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During the global financial crisis of 2008, the stability and performance of banks came under scrutiny. A study by </w:t>
      </w:r>
      <w:r>
        <w:rPr>
          <w:rFonts w:hint="default" w:ascii="Times New Roman" w:hAnsi="Times New Roman" w:cs="Times New Roman"/>
          <w:b/>
          <w:bCs/>
          <w:sz w:val="20"/>
          <w:szCs w:val="20"/>
          <w:rtl w:val="0"/>
        </w:rPr>
        <w:t>Li and An (2012)</w:t>
      </w:r>
      <w:r>
        <w:rPr>
          <w:rFonts w:hint="default" w:ascii="Times New Roman" w:hAnsi="Times New Roman" w:cs="Times New Roman"/>
          <w:sz w:val="20"/>
          <w:szCs w:val="20"/>
          <w:rtl w:val="0"/>
        </w:rPr>
        <w:t xml:space="preserve"> uses DuPont analysis to assess the impact of the crisis on the financial performance of banks. The authors analyze a sample of banks before and after the crisis and show how the crisis affected the various components of ROE, shedding light on the vulnerabilities in the banking system.</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Role of Risk Management on Bank Performance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The relationship between risk management and financial performance is critical for banks. A study by </w:t>
      </w:r>
      <w:r>
        <w:rPr>
          <w:rFonts w:hint="default" w:ascii="Times New Roman" w:hAnsi="Times New Roman" w:cs="Times New Roman"/>
          <w:b/>
          <w:bCs/>
          <w:sz w:val="20"/>
          <w:szCs w:val="20"/>
          <w:rtl w:val="0"/>
        </w:rPr>
        <w:t>Geng and Whidbee (2014)</w:t>
      </w:r>
      <w:r>
        <w:rPr>
          <w:rFonts w:hint="default" w:ascii="Times New Roman" w:hAnsi="Times New Roman" w:cs="Times New Roman"/>
          <w:sz w:val="20"/>
          <w:szCs w:val="20"/>
          <w:rtl w:val="0"/>
        </w:rPr>
        <w:t xml:space="preserve"> examines how risk management practices affect the DuPont components of ROE. The authors argue that effective risk management can enhance profit margins and asset turnover, improving overall financial performance.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Technological Innovation and Bank Performance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Technological innovation has become a crucial factor in bank performance with the rise of fintech and digital banking. A study by Hirtle and Stiroh (2019) explores how technological advancements impact the DuPont components in banks. They find that banks embracing technology tend to experience higher asset turnover and profit margins, positively affecting their ROE.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2"/>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Sustainability and Financial Performance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Sustainability has gained prominence recently, and its impact on financial performance is a topic of interest. A study by </w:t>
      </w:r>
      <w:r>
        <w:rPr>
          <w:rFonts w:hint="default" w:ascii="Times New Roman" w:hAnsi="Times New Roman" w:cs="Times New Roman"/>
          <w:b/>
          <w:bCs/>
          <w:sz w:val="20"/>
          <w:szCs w:val="20"/>
          <w:rtl w:val="0"/>
        </w:rPr>
        <w:t>Epure and Lafuente (2020)</w:t>
      </w:r>
      <w:r>
        <w:rPr>
          <w:rFonts w:hint="default" w:ascii="Times New Roman" w:hAnsi="Times New Roman" w:cs="Times New Roman"/>
          <w:sz w:val="20"/>
          <w:szCs w:val="20"/>
          <w:rtl w:val="0"/>
        </w:rPr>
        <w:t xml:space="preserve"> investigates the relationship between sustainability initiatives and the DuPont components of ROE in banks. The authors find that sustainable practices positively influence profit margins and asset turnover, thereby enhancing overall financial performance.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tl w:val="0"/>
        </w:rPr>
        <w:t>Srinivas, K., &amp; Saroja, L. (2013)</w:t>
      </w:r>
      <w:r>
        <w:rPr>
          <w:rFonts w:hint="default" w:ascii="Times New Roman" w:hAnsi="Times New Roman" w:cs="Times New Roman"/>
          <w:sz w:val="20"/>
          <w:szCs w:val="20"/>
          <w:rtl w:val="0"/>
        </w:rPr>
        <w:t xml:space="preserve">. The present research paper aims to analyze and compare the Financial </w:t>
      </w:r>
      <w:r>
        <w:rPr>
          <w:rFonts w:hint="default" w:ascii="Times New Roman" w:hAnsi="Times New Roman" w:cs="Times New Roman"/>
          <w:sz w:val="20"/>
          <w:szCs w:val="20"/>
          <w:rtl w:val="0"/>
          <w:lang w:val="en-US"/>
        </w:rPr>
        <w:t>performance</w:t>
      </w:r>
      <w:r>
        <w:rPr>
          <w:rFonts w:hint="default" w:ascii="Times New Roman" w:hAnsi="Times New Roman" w:cs="Times New Roman"/>
          <w:sz w:val="20"/>
          <w:szCs w:val="20"/>
          <w:rtl w:val="0"/>
        </w:rPr>
        <w:t xml:space="preserve"> of HDFC and ICICI Bank and offer suggestions for improving efficiency in select banks. For analysis of the comparative financial performance of the chosen banks, a world-renowned CAMELS model with a t-test is applied. CAMELS stands for Capital Adequacy, Asset Quality, Management, Earning Quality, Liquidity, and Sensitivity. The CAMELS' analysis and t-test conclude that there is no significant difference between the ICICI and HDFC Bank's financial performance. However, the ICICI </w:t>
      </w:r>
      <w:r>
        <w:rPr>
          <w:rFonts w:hint="default" w:ascii="Times New Roman" w:hAnsi="Times New Roman" w:cs="Times New Roman"/>
          <w:sz w:val="20"/>
          <w:szCs w:val="20"/>
          <w:rtl w:val="0"/>
          <w:lang w:val="en-US"/>
        </w:rPr>
        <w:t>bank's</w:t>
      </w:r>
      <w:r>
        <w:rPr>
          <w:rFonts w:hint="default" w:ascii="Times New Roman" w:hAnsi="Times New Roman" w:cs="Times New Roman"/>
          <w:sz w:val="20"/>
          <w:szCs w:val="20"/>
          <w:rtl w:val="0"/>
        </w:rPr>
        <w:t xml:space="preserve"> performance is slightly less compared with HDFC. </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tl w:val="0"/>
        </w:rPr>
        <w:t>Koley, J. (2019)</w:t>
      </w:r>
      <w:r>
        <w:rPr>
          <w:rFonts w:hint="default" w:ascii="Times New Roman" w:hAnsi="Times New Roman" w:cs="Times New Roman"/>
          <w:sz w:val="20"/>
          <w:szCs w:val="20"/>
          <w:rtl w:val="0"/>
        </w:rPr>
        <w:t xml:space="preserve">. The present study measures the financial position, performance, and efficiency of the largest public sector (SBI) and private sector banks (HDFC). The study's objective is to identify the financial position and performance of the selected banks and to examine whether any significant difference exists in their performance. In the present study, p. 16 ratios have been measured under the CAMEL model; the average result of HDFC banks is best in 14 cases. So, it has been established that the largest private sector bank, HFDC bank has better financial performance and efficiency than the most significant public sector bank SBI. </w:t>
      </w:r>
    </w:p>
    <w:p>
      <w:pPr>
        <w:keepNext w:val="0"/>
        <w:keepLines w:val="0"/>
        <w:pageBreakBefore w:val="0"/>
        <w:kinsoku/>
        <w:wordWrap/>
        <w:overflowPunct/>
        <w:topLinePunct w:val="0"/>
        <w:autoSpaceDE/>
        <w:autoSpaceDN/>
        <w:bidi w:val="0"/>
        <w:adjustRightInd/>
        <w:snapToGrid/>
        <w:spacing w:line="240" w:lineRule="auto"/>
        <w:ind w:firstLine="754" w:firstLineChars="377"/>
        <w:jc w:val="both"/>
        <w:rPr>
          <w:rFonts w:hint="default" w:ascii="Times New Roman" w:hAnsi="Times New Roman" w:cs="Times New Roman"/>
          <w:sz w:val="20"/>
          <w:szCs w:val="20"/>
        </w:rPr>
      </w:pPr>
      <w:r>
        <w:rPr>
          <w:rFonts w:hint="default" w:ascii="Times New Roman" w:hAnsi="Times New Roman" w:cs="Times New Roman"/>
          <w:b/>
          <w:bCs/>
          <w:sz w:val="20"/>
          <w:szCs w:val="20"/>
          <w:rtl w:val="0"/>
        </w:rPr>
        <w:t>Sai, V. R. N., &amp; Sultan, D. S. T. (2013)</w:t>
      </w:r>
      <w:r>
        <w:rPr>
          <w:rFonts w:hint="default" w:ascii="Times New Roman" w:hAnsi="Times New Roman" w:cs="Times New Roman"/>
          <w:sz w:val="20"/>
          <w:szCs w:val="20"/>
          <w:rtl w:val="0"/>
        </w:rPr>
        <w:t>. The current paper evaluates the performance of the selected two banks based on the financial ratios from the perspective of pre and post-merger. To analyze the impact of the merger paired t-test was applied to the various financial ratios for before and after merger data. Based on the analysis of HDFC bank data, it can be concluded that Net profit margin, operating profit margin, Return on capital employed, Return on equity, and Debt</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tl w:val="0"/>
        </w:rPr>
        <w:t>Equity ratio</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 xml:space="preserve"> there is no significant difference in these ratios before and after the merger. But the critical difference concerning Gross profit margin.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rPr>
      </w:pPr>
      <w:r>
        <w:rPr>
          <w:rFonts w:hint="default" w:ascii="Times New Roman" w:hAnsi="Times New Roman" w:cs="Times New Roman"/>
          <w:b/>
          <w:bCs/>
          <w:sz w:val="20"/>
          <w:szCs w:val="20"/>
          <w:u w:val="single"/>
          <w:rtl w:val="0"/>
          <w:lang w:val="en-US"/>
        </w:rPr>
        <w:t xml:space="preserve">RESEARCH </w:t>
      </w:r>
      <w:r>
        <w:rPr>
          <w:rFonts w:hint="default" w:ascii="Times New Roman" w:hAnsi="Times New Roman" w:cs="Times New Roman"/>
          <w:b/>
          <w:bCs/>
          <w:sz w:val="20"/>
          <w:szCs w:val="20"/>
          <w:u w:val="single"/>
          <w:rtl w:val="0"/>
        </w:rPr>
        <w:t>METHODOLOGY</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u w:val="single"/>
          <w:rtl w:val="0"/>
        </w:rPr>
      </w:pPr>
    </w:p>
    <w:p>
      <w:pPr>
        <w:keepNext w:val="0"/>
        <w:keepLines w:val="0"/>
        <w:pageBreakBefore w:val="0"/>
        <w:numPr>
          <w:ilvl w:val="0"/>
          <w:numId w:val="3"/>
        </w:numPr>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b/>
          <w:bCs/>
          <w:sz w:val="20"/>
          <w:szCs w:val="20"/>
          <w:rtl w:val="0"/>
        </w:rPr>
        <w:t>Research Design:</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tl w:val="0"/>
        </w:rPr>
        <w:t>The study will adopt a quantitative research design to analyze the financial performance of Aryavart Bank using the DuPont Model. The design involves collecting and analysing financial data to assess the components of Return on Equity (ROE) - profit margin, asset turnover, and equity multiplier.</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sz w:val="24"/>
          <w:szCs w:val="24"/>
          <w:rtl w:val="0"/>
          <w:lang w:val="en-US"/>
        </w:rPr>
      </w:pPr>
      <w:r>
        <w:rPr>
          <w:rFonts w:hint="default" w:ascii="Times New Roman" w:hAnsi="Times New Roman" w:cs="Times New Roman"/>
          <w:b/>
          <w:bCs/>
          <w:sz w:val="20"/>
          <w:szCs w:val="20"/>
          <w:rtl w:val="0"/>
        </w:rPr>
        <w:t xml:space="preserve">Data Collection: </w:t>
      </w:r>
      <w:r>
        <w:rPr>
          <w:rFonts w:hint="default" w:ascii="Times New Roman" w:hAnsi="Times New Roman" w:cs="Times New Roman"/>
          <w:sz w:val="20"/>
          <w:szCs w:val="20"/>
          <w:rtl w:val="0"/>
        </w:rPr>
        <w:t>Data will be collected from Aryavart Bank's financial statements, annual reports, and relevant financial databases for a specific period (e.g., the last five years). The data will encompass income statements, balance sheets, and other relevant financial indicators.</w:t>
      </w:r>
      <w:r>
        <w:rPr>
          <w:rFonts w:hint="default" w:ascii="Times New Roman" w:hAnsi="Times New Roman" w:cs="Times New Roman"/>
          <w:sz w:val="20"/>
          <w:szCs w:val="20"/>
          <w:rtl w:val="0"/>
          <w:lang w:val="en-US"/>
        </w:rPr>
        <w:t xml:space="preserve"> The data will cover financial indicators such as net income, total assets, equity, interest income, and interest expenses</w:t>
      </w:r>
      <w:r>
        <w:rPr>
          <w:rFonts w:hint="default" w:ascii="Times New Roman" w:hAnsi="Times New Roman" w:cs="Times New Roman"/>
          <w:sz w:val="24"/>
          <w:szCs w:val="24"/>
          <w:rtl w:val="0"/>
          <w:lang w:val="en-US"/>
        </w:rPr>
        <w:t>.</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Pr>
      </w:pPr>
    </w:p>
    <w:p>
      <w:pPr>
        <w:keepNext w:val="0"/>
        <w:keepLines w:val="0"/>
        <w:pageBreakBefore w:val="0"/>
        <w:numPr>
          <w:ilvl w:val="0"/>
          <w:numId w:val="3"/>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Pr>
      </w:pPr>
      <w:r>
        <w:rPr>
          <w:rFonts w:hint="default" w:ascii="Times New Roman" w:hAnsi="Times New Roman" w:cs="Times New Roman"/>
          <w:b/>
          <w:bCs/>
          <w:sz w:val="20"/>
          <w:szCs w:val="20"/>
        </w:rPr>
        <w:t>Variables and Measurements:</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Pr>
      </w:pP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Dependent Variable</w:t>
      </w:r>
      <w:r>
        <w:rPr>
          <w:rFonts w:hint="default" w:ascii="Times New Roman" w:hAnsi="Times New Roman" w:cs="Times New Roman"/>
          <w:sz w:val="20"/>
          <w:szCs w:val="20"/>
        </w:rPr>
        <w:t>: Return on Equity (ROE)</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b/>
          <w:bCs/>
          <w:sz w:val="20"/>
          <w:szCs w:val="20"/>
        </w:rPr>
        <w:t>Independent Variables:</w:t>
      </w:r>
      <w:r>
        <w:rPr>
          <w:rFonts w:hint="default" w:ascii="Times New Roman" w:hAnsi="Times New Roman" w:cs="Times New Roman"/>
          <w:sz w:val="20"/>
          <w:szCs w:val="20"/>
        </w:rPr>
        <w:t xml:space="preserve"> Profit Margin, Asset Turnover, and Equity Multiplier</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rPr>
        <w:t>Data Analysis</w:t>
      </w:r>
      <w:r>
        <w:rPr>
          <w:rFonts w:hint="default" w:ascii="Times New Roman" w:hAnsi="Times New Roman" w:cs="Times New Roman"/>
          <w:b/>
          <w:bCs/>
          <w:sz w:val="20"/>
          <w:szCs w:val="20"/>
          <w:lang w:val="en-US"/>
        </w:rPr>
        <w:t xml:space="preserve">: </w:t>
      </w:r>
      <w:r>
        <w:rPr>
          <w:rFonts w:hint="default" w:ascii="Times New Roman" w:hAnsi="Times New Roman" w:cs="Times New Roman"/>
          <w:b w:val="0"/>
          <w:bCs w:val="0"/>
          <w:sz w:val="20"/>
          <w:szCs w:val="20"/>
          <w:lang w:val="en-US"/>
        </w:rPr>
        <w:t xml:space="preserve">The DuPont model will be applied to the collected financial data to decompose ROE into its components: profit margin, asset turnover, and financial leverage. </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val="0"/>
          <w:sz w:val="20"/>
          <w:szCs w:val="20"/>
          <w:lang w:val="en-US"/>
        </w:rPr>
      </w:pPr>
    </w:p>
    <w:p>
      <w:pPr>
        <w:keepNext w:val="0"/>
        <w:keepLines w:val="0"/>
        <w:pageBreakBefore w:val="0"/>
        <w:numPr>
          <w:ilvl w:val="0"/>
          <w:numId w:val="4"/>
        </w:numPr>
        <w:kinsoku/>
        <w:wordWrap/>
        <w:overflowPunct/>
        <w:topLinePunct w:val="0"/>
        <w:autoSpaceDE/>
        <w:autoSpaceDN/>
        <w:bidi w:val="0"/>
        <w:adjustRightInd/>
        <w:snapToGrid/>
        <w:spacing w:line="240" w:lineRule="auto"/>
        <w:ind w:left="420" w:left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Calculation of ROE:</w:t>
      </w:r>
      <w:r>
        <w:rPr>
          <w:rFonts w:hint="default" w:ascii="Times New Roman" w:hAnsi="Times New Roman" w:cs="Times New Roman"/>
          <w:b w:val="0"/>
          <w:bCs w:val="0"/>
          <w:sz w:val="20"/>
          <w:szCs w:val="20"/>
          <w:lang w:val="en-US"/>
        </w:rPr>
        <w:t xml:space="preserve"> ROE will be computed for each of the five years under study using the formula: </w:t>
      </w:r>
    </w:p>
    <w:p>
      <w:pPr>
        <w:keepNext w:val="0"/>
        <w:keepLines w:val="0"/>
        <w:pageBreakBefore w:val="0"/>
        <w:numPr>
          <w:ilvl w:val="0"/>
          <w:numId w:val="0"/>
        </w:numPr>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lang w:val="en-US"/>
        </w:rPr>
        <w:t>ROE = (Net Income / Average Equity) * 100.</w:t>
      </w:r>
    </w:p>
    <w:p>
      <w:pPr>
        <w:keepNext w:val="0"/>
        <w:keepLines w:val="0"/>
        <w:pageBreakBefore w:val="0"/>
        <w:numPr>
          <w:ilvl w:val="0"/>
          <w:numId w:val="4"/>
        </w:numPr>
        <w:kinsoku/>
        <w:wordWrap/>
        <w:overflowPunct/>
        <w:topLinePunct w:val="0"/>
        <w:autoSpaceDE/>
        <w:autoSpaceDN/>
        <w:bidi w:val="0"/>
        <w:adjustRightInd/>
        <w:snapToGrid/>
        <w:spacing w:line="240" w:lineRule="auto"/>
        <w:ind w:left="42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Analyze Profit Margin:</w:t>
      </w:r>
      <w:r>
        <w:rPr>
          <w:rFonts w:hint="default" w:ascii="Times New Roman" w:hAnsi="Times New Roman" w:cs="Times New Roman"/>
          <w:b w:val="0"/>
          <w:bCs w:val="0"/>
          <w:sz w:val="20"/>
          <w:szCs w:val="20"/>
          <w:lang w:val="en-US"/>
        </w:rPr>
        <w:t xml:space="preserve"> Profit margin will be calculated as </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Profit Margin = Net Income / Total Revenue</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p>
    <w:p>
      <w:pPr>
        <w:keepNext w:val="0"/>
        <w:keepLines w:val="0"/>
        <w:pageBreakBefore w:val="0"/>
        <w:numPr>
          <w:ilvl w:val="0"/>
          <w:numId w:val="4"/>
        </w:numPr>
        <w:kinsoku/>
        <w:wordWrap/>
        <w:overflowPunct/>
        <w:topLinePunct w:val="0"/>
        <w:autoSpaceDE/>
        <w:autoSpaceDN/>
        <w:bidi w:val="0"/>
        <w:adjustRightInd/>
        <w:snapToGrid/>
        <w:spacing w:line="240" w:lineRule="auto"/>
        <w:ind w:left="42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Analyze Asset Turnover:</w:t>
      </w:r>
      <w:r>
        <w:rPr>
          <w:rFonts w:hint="default" w:ascii="Times New Roman" w:hAnsi="Times New Roman" w:cs="Times New Roman"/>
          <w:b w:val="0"/>
          <w:bCs w:val="0"/>
          <w:sz w:val="20"/>
          <w:szCs w:val="20"/>
          <w:lang w:val="en-US"/>
        </w:rPr>
        <w:t xml:space="preserve"> Asset turnover will  be calculated as </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Asset Turnover = Total Revenue / Average Total Assets</w:t>
      </w:r>
    </w:p>
    <w:p>
      <w:pPr>
        <w:keepNext w:val="0"/>
        <w:keepLines w:val="0"/>
        <w:pageBreakBefore w:val="0"/>
        <w:numPr>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lang w:val="en-US"/>
        </w:rPr>
      </w:pPr>
    </w:p>
    <w:p>
      <w:pPr>
        <w:keepNext w:val="0"/>
        <w:keepLines w:val="0"/>
        <w:pageBreakBefore w:val="0"/>
        <w:numPr>
          <w:ilvl w:val="0"/>
          <w:numId w:val="4"/>
        </w:numPr>
        <w:kinsoku/>
        <w:wordWrap/>
        <w:overflowPunct/>
        <w:topLinePunct w:val="0"/>
        <w:autoSpaceDE/>
        <w:autoSpaceDN/>
        <w:bidi w:val="0"/>
        <w:adjustRightInd/>
        <w:snapToGrid/>
        <w:spacing w:line="240" w:lineRule="auto"/>
        <w:ind w:left="42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Analyze Financial Leverage:</w:t>
      </w:r>
      <w:r>
        <w:rPr>
          <w:rFonts w:hint="default" w:ascii="Times New Roman" w:hAnsi="Times New Roman" w:cs="Times New Roman"/>
          <w:b w:val="0"/>
          <w:bCs w:val="0"/>
          <w:sz w:val="20"/>
          <w:szCs w:val="20"/>
          <w:lang w:val="en-US"/>
        </w:rPr>
        <w:t xml:space="preserve"> Financial leverage will be calculated as </w:t>
      </w:r>
    </w:p>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Pr>
        <w:t>Equity Multiplier = Average Total Assets / Average Total Equity</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 xml:space="preserve">OBJECTIVE OF THE STUDY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1. Assess Aryavart Bank's profitability by analyzing its return on equity (ROE) and return on assets (ROA) using the DuPont Model approach.</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2. Evaluate Aryavart Bank's efficiency through the analysis of its operating efficiency ratio (OER) and cost-to-income ratio (CIR).</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sz w:val="20"/>
          <w:szCs w:val="20"/>
          <w:rtl w:val="0"/>
        </w:rPr>
      </w:pPr>
      <w:r>
        <w:rPr>
          <w:rFonts w:hint="default" w:ascii="Times New Roman" w:hAnsi="Times New Roman"/>
          <w:sz w:val="20"/>
          <w:szCs w:val="20"/>
          <w:rtl w:val="0"/>
        </w:rPr>
        <w:t>3. Analyze Aryavart Bank's sustainability by examining its capital adequacy ratio (CAR) and non-performing loan ratio (NPLR).</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DATA ANALYSIS &amp; INTERPRETATION</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u w:val="single"/>
          <w:rtl w:val="0"/>
          <w:lang w:val="en-US"/>
        </w:rPr>
      </w:pPr>
    </w:p>
    <w:tbl>
      <w:tblPr>
        <w:tblStyle w:val="18"/>
        <w:tblW w:w="70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031"/>
        <w:gridCol w:w="2914"/>
        <w:gridCol w:w="31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68" w:hRule="atLeast"/>
          <w:jc w:val="center"/>
        </w:trPr>
        <w:tc>
          <w:tcPr>
            <w:tcW w:w="7080" w:type="dxa"/>
            <w:gridSpan w:val="3"/>
            <w:tcBorders>
              <w:top w:val="single" w:color="000000" w:sz="6"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tl w:val="0"/>
              </w:rPr>
              <w:t>Table 1:- Trend</w:t>
            </w:r>
            <w:r>
              <w:rPr>
                <w:rFonts w:hint="default" w:ascii="Times New Roman" w:hAnsi="Times New Roman" w:cs="Times New Roman"/>
                <w:b/>
                <w:bCs/>
                <w:sz w:val="20"/>
                <w:szCs w:val="20"/>
                <w:rtl w:val="0"/>
                <w:lang w:val="en-US"/>
              </w:rPr>
              <w:t>s</w:t>
            </w:r>
            <w:r>
              <w:rPr>
                <w:rFonts w:hint="default" w:ascii="Times New Roman" w:hAnsi="Times New Roman" w:cs="Times New Roman"/>
                <w:b/>
                <w:bCs/>
                <w:sz w:val="20"/>
                <w:szCs w:val="20"/>
                <w:rtl w:val="0"/>
              </w:rPr>
              <w:t xml:space="preserve"> In Deposit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914" w:type="dxa"/>
            <w:tcBorders>
              <w:top w:val="single" w:color="CCCCCC" w:sz="4" w:space="0"/>
              <w:left w:val="single" w:color="CCCCCC" w:sz="4"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 xml:space="preserve">Deposits (Rs) </w:t>
            </w:r>
            <w:r>
              <w:rPr>
                <w:rFonts w:hint="default" w:ascii="Times New Roman" w:hAnsi="Times New Roman" w:cs="Times New Roman"/>
                <w:b/>
                <w:bCs/>
                <w:sz w:val="20"/>
                <w:szCs w:val="20"/>
                <w:rtl w:val="0"/>
                <w:lang w:val="en-US"/>
              </w:rPr>
              <w:t xml:space="preserve"> (in 000’s)</w:t>
            </w:r>
          </w:p>
        </w:tc>
        <w:tc>
          <w:tcPr>
            <w:tcW w:w="3135" w:type="dxa"/>
            <w:tcBorders>
              <w:top w:val="single" w:color="CCCCCC" w:sz="4" w:space="0"/>
              <w:left w:val="single" w:color="CCCCCC" w:sz="4"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 xml:space="preserve">Change (base </w:t>
            </w: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9"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185.8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54"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3,01,60,78,11</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9"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206.3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7" w:hRule="atLeast"/>
          <w:jc w:val="center"/>
        </w:trPr>
        <w:tc>
          <w:tcPr>
            <w:tcW w:w="103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91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c>
          <w:tcPr>
            <w:tcW w:w="31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sz w:val="20"/>
                <w:szCs w:val="20"/>
                <w:rtl w:val="0"/>
              </w:rPr>
              <w:t>223.4</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The above table shows that the deposits have increased over the years. The percentage change column shows the percentage increase or decrease in deposits compared to the base year 2019. In 2020, deposits increased to 85.8%. In 2020-21, deposits increased by 100%. In 2021-22, deposits increased further by 106.3%, a significant </w:t>
      </w:r>
      <w:r>
        <w:rPr>
          <w:rFonts w:hint="default" w:ascii="Times New Roman" w:hAnsi="Times New Roman" w:cs="Times New Roman"/>
          <w:sz w:val="20"/>
          <w:szCs w:val="20"/>
          <w:rtl w:val="0"/>
          <w:lang w:val="en-US"/>
        </w:rPr>
        <w:t>i</w:t>
      </w:r>
      <w:r>
        <w:rPr>
          <w:rFonts w:hint="default" w:ascii="Times New Roman" w:hAnsi="Times New Roman" w:cs="Times New Roman"/>
          <w:sz w:val="20"/>
          <w:szCs w:val="20"/>
          <w:rtl w:val="0"/>
        </w:rPr>
        <w:t xml:space="preserve">ncrease. In 2022-23, deposits increased by 123.4%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19"/>
        <w:tblpPr w:leftFromText="180" w:rightFromText="180" w:vertAnchor="text" w:horzAnchor="page" w:tblpXSpec="center" w:tblpY="150"/>
        <w:tblOverlap w:val="never"/>
        <w:tblW w:w="72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173"/>
        <w:gridCol w:w="2575"/>
        <w:gridCol w:w="35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8" w:hRule="atLeast"/>
          <w:jc w:val="center"/>
        </w:trPr>
        <w:tc>
          <w:tcPr>
            <w:tcW w:w="7280" w:type="dxa"/>
            <w:gridSpan w:val="3"/>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2: Trends in </w:t>
            </w:r>
            <w:r>
              <w:rPr>
                <w:rFonts w:hint="default" w:ascii="Times New Roman" w:hAnsi="Times New Roman" w:cs="Times New Roman"/>
                <w:b/>
                <w:bCs/>
                <w:sz w:val="20"/>
                <w:szCs w:val="20"/>
                <w:rtl w:val="0"/>
                <w:lang w:val="en-US"/>
              </w:rPr>
              <w:t>A</w:t>
            </w:r>
            <w:r>
              <w:rPr>
                <w:rFonts w:hint="default" w:ascii="Times New Roman" w:hAnsi="Times New Roman" w:cs="Times New Roman"/>
                <w:b/>
                <w:bCs/>
                <w:sz w:val="20"/>
                <w:szCs w:val="20"/>
                <w:rtl w:val="0"/>
              </w:rPr>
              <w:t>dvances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0"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Advances</w:t>
            </w:r>
            <w:r>
              <w:rPr>
                <w:rFonts w:hint="default" w:ascii="Times New Roman" w:hAnsi="Times New Roman" w:cs="Times New Roman"/>
                <w:b/>
                <w:bCs/>
                <w:sz w:val="20"/>
                <w:szCs w:val="20"/>
                <w:rtl w:val="0"/>
                <w:lang w:val="en-US"/>
              </w:rPr>
              <w:t xml:space="preserve"> (in 000’s)</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top"/>
          </w:tcPr>
          <w:p>
            <w:pPr>
              <w:keepNext w:val="0"/>
              <w:keepLines w:val="0"/>
              <w:pageBreakBefore w:val="0"/>
              <w:widowControl w:val="0"/>
              <w:kinsoku/>
              <w:wordWrap/>
              <w:overflowPunct/>
              <w:topLinePunct w:val="0"/>
              <w:autoSpaceDE/>
              <w:autoSpaceDN/>
              <w:bidi w:val="0"/>
              <w:adjustRightInd/>
              <w:snapToGrid/>
              <w:spacing w:line="240" w:lineRule="auto"/>
              <w:jc w:val="left"/>
              <w:rPr>
                <w:rFonts w:hint="default" w:ascii="Times New Roman" w:hAnsi="Times New Roman" w:cs="Times New Roman"/>
                <w:b/>
                <w:bCs/>
                <w:sz w:val="20"/>
                <w:szCs w:val="20"/>
              </w:rPr>
            </w:pPr>
            <w:r>
              <w:rPr>
                <w:rFonts w:hint="default" w:ascii="Times New Roman" w:hAnsi="Times New Roman" w:cs="Times New Roman"/>
                <w:b/>
                <w:bCs/>
                <w:sz w:val="20"/>
                <w:szCs w:val="20"/>
                <w:rtl w:val="0"/>
              </w:rPr>
              <w:t>% Change</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 base year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7"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1,11,32,63,5</w:t>
            </w:r>
            <w:r>
              <w:rPr>
                <w:rFonts w:hint="default" w:ascii="Times New Roman" w:hAnsi="Times New Roman" w:cs="Times New Roman"/>
                <w:sz w:val="20"/>
                <w:szCs w:val="20"/>
                <w:rtl w:val="0"/>
                <w:lang w:val="en-US"/>
              </w:rPr>
              <w:t>1</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7"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1,74,82,30,10</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157.0365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0"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1,80,35,30,66</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162.0039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7"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1,96,13,81,72</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176.1831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21" w:hRule="atLeast"/>
          <w:jc w:val="center"/>
        </w:trPr>
        <w:tc>
          <w:tcPr>
            <w:tcW w:w="117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57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2,16,79,52,92</w:t>
            </w:r>
          </w:p>
        </w:tc>
        <w:tc>
          <w:tcPr>
            <w:tcW w:w="353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tl w:val="0"/>
              </w:rPr>
            </w:pPr>
            <w:r>
              <w:rPr>
                <w:rFonts w:hint="default" w:ascii="Times New Roman" w:hAnsi="Times New Roman" w:cs="Times New Roman"/>
                <w:sz w:val="20"/>
                <w:szCs w:val="20"/>
                <w:rtl w:val="0"/>
              </w:rPr>
              <w:t>194.7385</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The above table data shows that the advances have increased over the years. The percentage change column shows the percentage increase or decreases in passages compared to the base year 2018-19. In 2019-20, advances increased by 57.03%. In 2020-21, advances increased further by 62%. In 2021-22, advances increased further by 76.18%. In 2022-23, advances increased by 94.73% compared to the previous year; it is higher than the base year.</w:t>
      </w:r>
    </w:p>
    <w:tbl>
      <w:tblPr>
        <w:tblStyle w:val="20"/>
        <w:tblpPr w:leftFromText="180" w:rightFromText="180" w:vertAnchor="text" w:horzAnchor="page" w:tblpXSpec="center" w:tblpY="394"/>
        <w:tblOverlap w:val="never"/>
        <w:tblW w:w="802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318"/>
        <w:gridCol w:w="3655"/>
        <w:gridCol w:w="3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3" w:hRule="atLeast"/>
          <w:jc w:val="center"/>
        </w:trPr>
        <w:tc>
          <w:tcPr>
            <w:tcW w:w="8020" w:type="dxa"/>
            <w:gridSpan w:val="3"/>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3</w:t>
            </w:r>
            <w:r>
              <w:rPr>
                <w:rFonts w:hint="default" w:ascii="Times New Roman" w:hAnsi="Times New Roman" w:cs="Times New Roman"/>
                <w:b/>
                <w:bCs/>
                <w:sz w:val="20"/>
                <w:szCs w:val="20"/>
                <w:rtl w:val="0"/>
              </w:rPr>
              <w:t>:</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Interest earned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9"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FFFFFF"/>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w:t>
            </w:r>
            <w:r>
              <w:rPr>
                <w:rFonts w:hint="default" w:ascii="Times New Roman" w:hAnsi="Times New Roman" w:cs="Times New Roman"/>
                <w:b/>
                <w:bCs/>
                <w:sz w:val="20"/>
                <w:szCs w:val="20"/>
                <w:rtl w:val="0"/>
              </w:rPr>
              <w:t xml:space="preserve">nterest </w:t>
            </w:r>
            <w:r>
              <w:rPr>
                <w:rFonts w:hint="default" w:ascii="Times New Roman" w:hAnsi="Times New Roman" w:cs="Times New Roman"/>
                <w:b/>
                <w:bCs/>
                <w:sz w:val="20"/>
                <w:szCs w:val="20"/>
                <w:rtl w:val="0"/>
                <w:lang w:val="en-US"/>
              </w:rPr>
              <w:t>E</w:t>
            </w:r>
            <w:r>
              <w:rPr>
                <w:rFonts w:hint="default" w:ascii="Times New Roman" w:hAnsi="Times New Roman" w:cs="Times New Roman"/>
                <w:b/>
                <w:bCs/>
                <w:sz w:val="20"/>
                <w:szCs w:val="20"/>
                <w:rtl w:val="0"/>
              </w:rPr>
              <w:t>arned</w:t>
            </w:r>
            <w:r>
              <w:rPr>
                <w:rFonts w:hint="default" w:ascii="Times New Roman" w:hAnsi="Times New Roman" w:cs="Times New Roman"/>
                <w:b/>
                <w:bCs/>
                <w:sz w:val="20"/>
                <w:szCs w:val="20"/>
                <w:rtl w:val="0"/>
                <w:lang w:val="en-US"/>
              </w:rPr>
              <w:t xml:space="preserve"> (Rs.) (in 000’s)</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change</w:t>
            </w:r>
            <w:r>
              <w:rPr>
                <w:rFonts w:hint="default" w:ascii="Times New Roman" w:hAnsi="Times New Roman" w:cs="Times New Roman"/>
                <w:b/>
                <w:bCs/>
                <w:sz w:val="20"/>
                <w:szCs w:val="20"/>
                <w:rtl w:val="0"/>
                <w:lang w:val="en-US"/>
              </w:rPr>
              <w:t xml:space="preserve"> </w:t>
            </w:r>
            <w:r>
              <w:rPr>
                <w:rFonts w:hint="default" w:ascii="Times New Roman" w:hAnsi="Times New Roman" w:cs="Times New Roman"/>
                <w:b/>
                <w:bCs/>
                <w:sz w:val="20"/>
                <w:szCs w:val="20"/>
                <w:rtl w:val="0"/>
              </w:rPr>
              <w:t>(base year 2019)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16,99,8</w:t>
            </w:r>
            <w:r>
              <w:rPr>
                <w:rFonts w:hint="default" w:ascii="Times New Roman" w:hAnsi="Times New Roman" w:cs="Times New Roman"/>
                <w:b w:val="0"/>
                <w:bCs w:val="0"/>
                <w:sz w:val="20"/>
                <w:szCs w:val="20"/>
                <w:rtl w:val="0"/>
                <w:lang w:val="en-US"/>
              </w:rPr>
              <w:t>5,00</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23,95,73,09</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140.9378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26,80,22,7</w:t>
            </w:r>
            <w:r>
              <w:rPr>
                <w:rFonts w:hint="default" w:ascii="Times New Roman" w:hAnsi="Times New Roman" w:cs="Times New Roman"/>
                <w:b w:val="0"/>
                <w:bCs w:val="0"/>
                <w:sz w:val="20"/>
                <w:szCs w:val="20"/>
                <w:rtl w:val="0"/>
                <w:lang w:val="en-US"/>
              </w:rPr>
              <w:t>2</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157.6743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26,70,48,3</w:t>
            </w:r>
            <w:r>
              <w:rPr>
                <w:rFonts w:hint="default" w:ascii="Times New Roman" w:hAnsi="Times New Roman" w:cs="Times New Roman"/>
                <w:b w:val="0"/>
                <w:bCs w:val="0"/>
                <w:sz w:val="20"/>
                <w:szCs w:val="20"/>
                <w:rtl w:val="0"/>
                <w:lang w:val="en-US"/>
              </w:rPr>
              <w:t>3</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157.1011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7" w:hRule="atLeast"/>
          <w:jc w:val="center"/>
        </w:trPr>
        <w:tc>
          <w:tcPr>
            <w:tcW w:w="131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36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27,41,53,</w:t>
            </w:r>
            <w:r>
              <w:rPr>
                <w:rFonts w:hint="default" w:ascii="Times New Roman" w:hAnsi="Times New Roman" w:cs="Times New Roman"/>
                <w:b w:val="0"/>
                <w:bCs w:val="0"/>
                <w:sz w:val="20"/>
                <w:szCs w:val="20"/>
                <w:rtl w:val="0"/>
                <w:lang w:val="en-US"/>
              </w:rPr>
              <w:t>30</w:t>
            </w:r>
          </w:p>
        </w:tc>
        <w:tc>
          <w:tcPr>
            <w:tcW w:w="304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161.2809</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tl w:val="0"/>
          <w:lang w:val="en-US"/>
        </w:rPr>
      </w:pPr>
      <w:r>
        <w:rPr>
          <w:rFonts w:hint="default" w:ascii="Times New Roman" w:hAnsi="Times New Roman" w:cs="Times New Roman"/>
          <w:sz w:val="20"/>
          <w:szCs w:val="20"/>
          <w:rtl w:val="0"/>
        </w:rPr>
        <w:t>The above table data shows that the interest earned has increased over the years. The trend percentage column shows the percentage increase or decrease in interest earned compared to the base year 2018-19. In 2019-20, interest earned increased by 40.93%. In 2020-21, interest earned</w:t>
      </w:r>
      <w:r>
        <w:rPr>
          <w:rFonts w:hint="default" w:ascii="Times New Roman" w:hAnsi="Times New Roman" w:cs="Times New Roman"/>
          <w:sz w:val="24"/>
          <w:szCs w:val="24"/>
          <w:rtl w:val="0"/>
        </w:rPr>
        <w:t xml:space="preserve"> </w:t>
      </w:r>
      <w:r>
        <w:rPr>
          <w:rFonts w:hint="default" w:ascii="Times New Roman" w:hAnsi="Times New Roman" w:cs="Times New Roman"/>
          <w:sz w:val="20"/>
          <w:szCs w:val="20"/>
          <w:rtl w:val="0"/>
        </w:rPr>
        <w:t>increased further by 57.67%. In 2021-22, interest earned increased further by 57.10%compared to the base year but slightly decreased by 0.57%(approx) compared to the previous year. In 2022-23, interest earned increased  by 61.28%</w:t>
      </w:r>
      <w:r>
        <w:rPr>
          <w:rFonts w:hint="default" w:ascii="Times New Roman" w:hAnsi="Times New Roman" w:cs="Times New Roman"/>
          <w:sz w:val="24"/>
          <w:szCs w:val="24"/>
          <w:rtl w:val="0"/>
        </w:rPr>
        <w:t xml:space="preserve"> </w:t>
      </w:r>
      <w:r>
        <w:rPr>
          <w:rFonts w:hint="default" w:ascii="Times New Roman" w:hAnsi="Times New Roman" w:cs="Times New Roman"/>
          <w:sz w:val="24"/>
          <w:szCs w:val="24"/>
          <w:rtl w:val="0"/>
          <w:lang w:val="en-US"/>
        </w:rPr>
        <w:t>.</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tl w:val="0"/>
          <w:lang w:val="en-US"/>
        </w:rPr>
      </w:pPr>
    </w:p>
    <w:tbl>
      <w:tblPr>
        <w:tblStyle w:val="21"/>
        <w:tblpPr w:leftFromText="180" w:rightFromText="180" w:vertAnchor="text" w:horzAnchor="page" w:tblpX="2134" w:tblpY="195"/>
        <w:tblOverlap w:val="never"/>
        <w:tblW w:w="80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00" w:type="dxa"/>
          <w:left w:w="100" w:type="dxa"/>
          <w:bottom w:w="100" w:type="dxa"/>
          <w:right w:w="100" w:type="dxa"/>
        </w:tblCellMar>
      </w:tblPr>
      <w:tblGrid>
        <w:gridCol w:w="1320"/>
        <w:gridCol w:w="3183"/>
        <w:gridCol w:w="3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66" w:hRule="atLeast"/>
        </w:trPr>
        <w:tc>
          <w:tcPr>
            <w:tcW w:w="8070" w:type="dxa"/>
            <w:gridSpan w:val="3"/>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4: </w:t>
            </w:r>
            <w:r>
              <w:rPr>
                <w:rFonts w:hint="default" w:ascii="Times New Roman" w:hAnsi="Times New Roman" w:cs="Times New Roman"/>
                <w:b/>
                <w:bCs/>
                <w:sz w:val="20"/>
                <w:szCs w:val="20"/>
                <w:rtl w:val="0"/>
              </w:rPr>
              <w:t>Interest Expended/ Interest on Deposit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06" w:hRule="atLeast"/>
        </w:trPr>
        <w:tc>
          <w:tcPr>
            <w:tcW w:w="1320" w:type="dxa"/>
            <w:shd w:val="clear" w:color="auto" w:fill="FFFFFF"/>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3183"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w:t>
            </w:r>
            <w:r>
              <w:rPr>
                <w:rFonts w:hint="default" w:ascii="Times New Roman" w:hAnsi="Times New Roman" w:cs="Times New Roman"/>
                <w:b/>
                <w:bCs/>
                <w:sz w:val="20"/>
                <w:szCs w:val="20"/>
                <w:rtl w:val="0"/>
              </w:rPr>
              <w:t>nterest expended</w:t>
            </w:r>
            <w:r>
              <w:rPr>
                <w:rFonts w:hint="default" w:ascii="Times New Roman" w:hAnsi="Times New Roman" w:cs="Times New Roman"/>
                <w:b/>
                <w:bCs/>
                <w:sz w:val="20"/>
                <w:szCs w:val="20"/>
                <w:rtl w:val="0"/>
                <w:lang w:val="en-US"/>
              </w:rPr>
              <w:t xml:space="preserve"> (in 000’s)</w:t>
            </w:r>
          </w:p>
        </w:tc>
        <w:tc>
          <w:tcPr>
            <w:tcW w:w="3567"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change (base year 2019)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16" w:hRule="atLeast"/>
        </w:trPr>
        <w:tc>
          <w:tcPr>
            <w:tcW w:w="1320"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3183"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7,89,26,67</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90" w:hRule="atLeast"/>
        </w:trPr>
        <w:tc>
          <w:tcPr>
            <w:tcW w:w="1320"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3183"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12,46,55,18</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157.938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16" w:hRule="atLeast"/>
        </w:trPr>
        <w:tc>
          <w:tcPr>
            <w:tcW w:w="1320"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3183"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 12,26,11,0</w:t>
            </w:r>
            <w:r>
              <w:rPr>
                <w:rFonts w:hint="default" w:ascii="Times New Roman" w:hAnsi="Times New Roman" w:cs="Times New Roman"/>
                <w:b w:val="0"/>
                <w:bCs w:val="0"/>
                <w:sz w:val="20"/>
                <w:szCs w:val="20"/>
                <w:rtl w:val="0"/>
                <w:lang w:val="en-US"/>
              </w:rPr>
              <w:t>6</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155.348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16" w:hRule="atLeast"/>
        </w:trPr>
        <w:tc>
          <w:tcPr>
            <w:tcW w:w="1320"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3183"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12,08,22,03</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153.0813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00" w:type="dxa"/>
            <w:left w:w="100" w:type="dxa"/>
            <w:bottom w:w="100" w:type="dxa"/>
            <w:right w:w="100" w:type="dxa"/>
          </w:tblCellMar>
        </w:tblPrEx>
        <w:trPr>
          <w:trHeight w:val="326" w:hRule="atLeast"/>
        </w:trPr>
        <w:tc>
          <w:tcPr>
            <w:tcW w:w="1320"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3183" w:type="dxa"/>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 12,20,66,</w:t>
            </w:r>
            <w:r>
              <w:rPr>
                <w:rFonts w:hint="default" w:ascii="Times New Roman" w:hAnsi="Times New Roman" w:cs="Times New Roman"/>
                <w:b w:val="0"/>
                <w:bCs w:val="0"/>
                <w:sz w:val="20"/>
                <w:szCs w:val="20"/>
                <w:rtl w:val="0"/>
                <w:lang w:val="en-US"/>
              </w:rPr>
              <w:t>50</w:t>
            </w:r>
          </w:p>
        </w:tc>
        <w:tc>
          <w:tcPr>
            <w:tcW w:w="3567" w:type="dxa"/>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154.6581</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From the above table data provided, we can observe the trend in interest on deposits from 2018-19 to 2022-23. In 2018-19, the interest on deposits was Rs.₹ 7,89,26,67,383.02, the base year for comparison. In the following year, 2019-20, the interest on deposits increased to Rs.4572850786.09, representing a 57.938% increase compared to the base year. In 2020-21, It increased by 55.34% compared to the base year but slightly decreased by the previous year. In 2021-22. It has slightly decreased from the previous year but increased by 53.08% compared to the base year. In 2022-23, it has increased by 54.65% compared to the base year.</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tl w:val="0"/>
        </w:rPr>
      </w:pPr>
      <w:bookmarkStart w:id="0" w:name="_GoBack"/>
      <w:bookmarkEnd w:id="0"/>
    </w:p>
    <w:tbl>
      <w:tblPr>
        <w:tblStyle w:val="15"/>
        <w:tblW w:w="4952"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100" w:type="dxa"/>
          <w:left w:w="100" w:type="dxa"/>
          <w:bottom w:w="100" w:type="dxa"/>
          <w:right w:w="100" w:type="dxa"/>
        </w:tblCellMar>
      </w:tblPr>
      <w:tblGrid>
        <w:gridCol w:w="1971"/>
        <w:gridCol w:w="1611"/>
        <w:gridCol w:w="1611"/>
        <w:gridCol w:w="1611"/>
        <w:gridCol w:w="1611"/>
        <w:gridCol w:w="16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40" w:hRule="atLeast"/>
        </w:trPr>
        <w:tc>
          <w:tcPr>
            <w:tcW w:w="5000" w:type="pct"/>
            <w:gridSpan w:val="6"/>
            <w:tcBorders>
              <w:bottom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5: D</w:t>
            </w:r>
            <w:r>
              <w:rPr>
                <w:rFonts w:hint="default" w:ascii="Times New Roman" w:hAnsi="Times New Roman" w:cs="Times New Roman"/>
                <w:b/>
                <w:bCs/>
                <w:sz w:val="20"/>
                <w:szCs w:val="20"/>
                <w:rtl w:val="0"/>
              </w:rPr>
              <w:t xml:space="preserve">eposit </w:t>
            </w:r>
            <w:r>
              <w:rPr>
                <w:rFonts w:hint="default" w:ascii="Times New Roman" w:hAnsi="Times New Roman" w:cs="Times New Roman"/>
                <w:b/>
                <w:bCs/>
                <w:sz w:val="20"/>
                <w:szCs w:val="20"/>
                <w:rtl w:val="0"/>
                <w:lang w:val="en-US"/>
              </w:rPr>
              <w:t>M</w:t>
            </w:r>
            <w:r>
              <w:rPr>
                <w:rFonts w:hint="default" w:ascii="Times New Roman" w:hAnsi="Times New Roman" w:cs="Times New Roman"/>
                <w:b/>
                <w:bCs/>
                <w:sz w:val="20"/>
                <w:szCs w:val="20"/>
                <w:rtl w:val="0"/>
              </w:rPr>
              <w:t>ix</w:t>
            </w:r>
            <w:r>
              <w:rPr>
                <w:rFonts w:hint="default" w:ascii="Times New Roman" w:hAnsi="Times New Roman" w:cs="Times New Roman"/>
                <w:b/>
                <w:bCs/>
                <w:sz w:val="20"/>
                <w:szCs w:val="20"/>
                <w:rtl w:val="0"/>
                <w:lang w:val="en-US"/>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22" w:hRule="atLeast"/>
        </w:trPr>
        <w:tc>
          <w:tcPr>
            <w:tcW w:w="979" w:type="pct"/>
            <w:tcBorders>
              <w:top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800" w:type="pct"/>
            <w:tcBorders>
              <w:top w:val="single" w:color="000000" w:sz="6"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818" w:type="pct"/>
            <w:tcBorders>
              <w:top w:val="single" w:color="000000" w:sz="6"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428"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Demand</w:t>
            </w:r>
            <w:r>
              <w:rPr>
                <w:rFonts w:hint="default" w:ascii="Times New Roman" w:hAnsi="Times New Roman" w:cs="Times New Roman"/>
                <w:b/>
                <w:bCs/>
                <w:sz w:val="20"/>
                <w:szCs w:val="20"/>
                <w:rtl w:val="0"/>
                <w:lang w:val="en-US"/>
              </w:rPr>
              <w:t xml:space="preserve"> /Current</w:t>
            </w:r>
            <w:r>
              <w:rPr>
                <w:rFonts w:hint="default" w:ascii="Times New Roman" w:hAnsi="Times New Roman" w:cs="Times New Roman"/>
                <w:b/>
                <w:bCs/>
                <w:sz w:val="20"/>
                <w:szCs w:val="20"/>
                <w:rtl w:val="0"/>
              </w:rPr>
              <w:t xml:space="preserve"> Deposit</w:t>
            </w:r>
            <w:r>
              <w:rPr>
                <w:rFonts w:hint="default" w:ascii="Times New Roman" w:hAnsi="Times New Roman" w:cs="Times New Roman"/>
                <w:b/>
                <w:bCs/>
                <w:sz w:val="20"/>
                <w:szCs w:val="20"/>
                <w:rtl w:val="0"/>
                <w:lang w:val="en-US"/>
              </w:rPr>
              <w:t xml:space="preserve">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4,06,26,76</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lang w:val="en-US"/>
              </w:rPr>
            </w:pPr>
            <w:r>
              <w:rPr>
                <w:rFonts w:hint="default" w:ascii="Times New Roman" w:hAnsi="Times New Roman" w:cs="Times New Roman"/>
                <w:sz w:val="20"/>
                <w:szCs w:val="20"/>
                <w:rtl w:val="0"/>
                <w:lang w:val="en-US"/>
              </w:rPr>
              <w:t>7856793</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10,27,15,70</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5,80,61,40</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7,29,04,2</w:t>
            </w:r>
            <w:r>
              <w:rPr>
                <w:rFonts w:hint="default" w:ascii="Times New Roman" w:hAnsi="Times New Roman" w:cs="Times New Roman"/>
                <w:sz w:val="20"/>
                <w:szCs w:val="20"/>
                <w:rtl w:val="0"/>
                <w:lang w:val="en-US"/>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404"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Saving Bank Deposit</w:t>
            </w:r>
            <w:r>
              <w:rPr>
                <w:rFonts w:hint="default" w:ascii="Times New Roman" w:hAnsi="Times New Roman" w:cs="Times New Roman"/>
                <w:b/>
                <w:bCs/>
                <w:sz w:val="20"/>
                <w:szCs w:val="20"/>
                <w:rtl w:val="0"/>
                <w:lang w:val="en-US"/>
              </w:rPr>
              <w:t xml:space="preserve"> (in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98,62,15,06</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1,92,57,33,02</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2,09,16,34,4</w:t>
            </w:r>
            <w:r>
              <w:rPr>
                <w:rFonts w:hint="default" w:ascii="Times New Roman" w:hAnsi="Times New Roman" w:cs="Times New Roman"/>
                <w:sz w:val="20"/>
                <w:szCs w:val="20"/>
                <w:rtl w:val="0"/>
                <w:lang w:val="en-US"/>
              </w:rPr>
              <w:t>3</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2,19,48,51,83</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2,35,10,22,3</w:t>
            </w:r>
            <w:r>
              <w:rPr>
                <w:rFonts w:hint="default" w:ascii="Times New Roman" w:hAnsi="Times New Roman" w:cs="Times New Roman"/>
                <w:sz w:val="20"/>
                <w:szCs w:val="20"/>
                <w:rtl w:val="0"/>
                <w:lang w:val="en-US"/>
              </w:rPr>
              <w:t>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41"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Term Deposit</w:t>
            </w:r>
            <w:r>
              <w:rPr>
                <w:rFonts w:hint="default" w:ascii="Times New Roman" w:hAnsi="Times New Roman" w:cs="Times New Roman"/>
                <w:b/>
                <w:bCs/>
                <w:sz w:val="20"/>
                <w:szCs w:val="20"/>
                <w:rtl w:val="0"/>
                <w:lang w:val="en-US"/>
              </w:rPr>
              <w:t xml:space="preserve"> (in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48,13,02,98</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79,71,12,33</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82,17,27,98</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85,87,07,79</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94,49,81,37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11"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Total Deposit</w:t>
            </w:r>
            <w:r>
              <w:rPr>
                <w:rFonts w:hint="default" w:ascii="Times New Roman" w:hAnsi="Times New Roman" w:cs="Times New Roman"/>
                <w:b/>
                <w:bCs/>
                <w:sz w:val="20"/>
                <w:szCs w:val="20"/>
                <w:rtl w:val="0"/>
                <w:lang w:val="en-US"/>
              </w:rPr>
              <w:t xml:space="preserve"> (in 000’s)</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3,01,60,78,11</w:t>
            </w:r>
          </w:p>
        </w:tc>
        <w:tc>
          <w:tcPr>
            <w:tcW w:w="800" w:type="pct"/>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818" w:type="pct"/>
            <w:tcBorders>
              <w:top w:val="single" w:color="CCCCCC" w:sz="4" w:space="0"/>
              <w:left w:val="single" w:color="CCCCCC" w:sz="4" w:space="0"/>
              <w:bottom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324" w:hRule="atLeast"/>
        </w:trPr>
        <w:tc>
          <w:tcPr>
            <w:tcW w:w="979" w:type="pct"/>
            <w:tcBorders>
              <w:top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Of Demand Deposit To Total Deposit</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2.694</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2.805</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3.406</w:t>
            </w:r>
          </w:p>
        </w:tc>
        <w:tc>
          <w:tcPr>
            <w:tcW w:w="800" w:type="pct"/>
            <w:tcBorders>
              <w:top w:val="single" w:color="CCCCCC" w:sz="4" w:space="0"/>
              <w:left w:val="single" w:color="CCCCCC" w:sz="4" w:space="0"/>
              <w:bottom w:val="single" w:color="auto" w:sz="4" w:space="0"/>
              <w:right w:val="single" w:color="000000" w:sz="6"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1.866</w:t>
            </w:r>
          </w:p>
        </w:tc>
        <w:tc>
          <w:tcPr>
            <w:tcW w:w="818" w:type="pct"/>
            <w:tcBorders>
              <w:top w:val="single" w:color="CCCCCC" w:sz="4" w:space="0"/>
              <w:left w:val="single" w:color="CCCCCC" w:sz="4" w:space="0"/>
              <w:bottom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2.164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289" w:hRule="atLeast"/>
        </w:trPr>
        <w:tc>
          <w:tcPr>
            <w:tcW w:w="979" w:type="pct"/>
            <w:tcBorders>
              <w:top w:val="single" w:color="CCCCCC" w:sz="4" w:space="0"/>
              <w:bottom w:val="single" w:color="000000" w:sz="6" w:space="0"/>
              <w:right w:val="single" w:color="auto" w:sz="4"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Of Saving Deposit To Total Deposit</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65.39</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68.74</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69.35</w:t>
            </w:r>
          </w:p>
        </w:tc>
        <w:tc>
          <w:tcPr>
            <w:tcW w:w="800" w:type="pct"/>
            <w:tcBorders>
              <w:top w:val="single" w:color="auto" w:sz="4" w:space="0"/>
              <w:left w:val="single" w:color="auto" w:sz="4" w:space="0"/>
              <w:bottom w:val="single" w:color="auto" w:sz="4" w:space="0"/>
              <w:right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70.54</w:t>
            </w:r>
          </w:p>
        </w:tc>
        <w:tc>
          <w:tcPr>
            <w:tcW w:w="818" w:type="pct"/>
            <w:tcBorders>
              <w:top w:val="single" w:color="auto" w:sz="4" w:space="0"/>
              <w:left w:val="single" w:color="auto" w:sz="4" w:space="0"/>
              <w:bottom w:val="single" w:color="auto" w:sz="4" w:space="0"/>
            </w:tcBorders>
            <w:shd w:val="clear" w:color="auto" w:fill="auto"/>
            <w:tcMar>
              <w:top w:w="100" w:type="dxa"/>
              <w:left w:w="100" w:type="dxa"/>
              <w:bottom w:w="100" w:type="dxa"/>
              <w:right w:w="10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69.79</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100" w:type="dxa"/>
            <w:left w:w="100" w:type="dxa"/>
            <w:bottom w:w="100" w:type="dxa"/>
            <w:right w:w="100" w:type="dxa"/>
          </w:tblCellMar>
        </w:tblPrEx>
        <w:trPr>
          <w:trHeight w:val="286" w:hRule="atLeast"/>
        </w:trPr>
        <w:tc>
          <w:tcPr>
            <w:tcW w:w="979" w:type="pct"/>
            <w:tcBorders>
              <w:top w:val="single" w:color="CCCCCC" w:sz="4" w:space="0"/>
              <w:right w:val="single" w:color="auto" w:sz="4"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Of Term Deposit To Total Deposit</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31.914</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28.454</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27.245</w:t>
            </w:r>
          </w:p>
        </w:tc>
        <w:tc>
          <w:tcPr>
            <w:tcW w:w="800" w:type="pct"/>
            <w:tcBorders>
              <w:top w:val="single" w:color="auto" w:sz="4" w:space="0"/>
              <w:left w:val="single" w:color="auto" w:sz="4" w:space="0"/>
              <w:righ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27.597</w:t>
            </w:r>
          </w:p>
        </w:tc>
        <w:tc>
          <w:tcPr>
            <w:tcW w:w="818" w:type="pct"/>
            <w:tcBorders>
              <w:top w:val="single" w:color="auto" w:sz="4" w:space="0"/>
              <w:left w:val="single" w:color="auto" w:sz="4" w:space="0"/>
            </w:tcBorders>
            <w:shd w:val="clear" w:color="auto" w:fill="auto"/>
            <w:tcMar>
              <w:top w:w="40" w:type="dxa"/>
              <w:left w:w="40" w:type="dxa"/>
              <w:bottom w:w="40" w:type="dxa"/>
              <w:right w:w="40" w:type="dxa"/>
            </w:tcMar>
            <w:vAlign w:val="center"/>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28.050</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The table above shows a financial institution’s deposit mix over five years.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tl w:val="0"/>
        </w:rPr>
        <w:t>Demand Deposits</w:t>
      </w:r>
      <w:r>
        <w:rPr>
          <w:rFonts w:hint="default" w:ascii="Times New Roman" w:hAnsi="Times New Roman" w:cs="Times New Roman"/>
          <w:sz w:val="20"/>
          <w:szCs w:val="20"/>
          <w:rtl w:val="0"/>
        </w:rPr>
        <w:t xml:space="preserve">: The proportion of demand deposits to total deposits has increased over the years. 2018-19, demand deposits accounted for 2.694% of total deposits, while in 2022-23, they accounted for 2.164%.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tl w:val="0"/>
        </w:rPr>
        <w:t>Savings Deposits:</w:t>
      </w:r>
      <w:r>
        <w:rPr>
          <w:rFonts w:hint="default" w:ascii="Times New Roman" w:hAnsi="Times New Roman" w:cs="Times New Roman"/>
          <w:sz w:val="20"/>
          <w:szCs w:val="20"/>
          <w:rtl w:val="0"/>
        </w:rPr>
        <w:t xml:space="preserve"> The proportion of savings deposits to total deposits has also increased. In 2018-19, savings accounted for 68.72% of total deposits, while in 2022-23, they accounted for 69.79%. </w:t>
      </w:r>
    </w:p>
    <w:tbl>
      <w:tblPr>
        <w:tblStyle w:val="23"/>
        <w:tblpPr w:leftFromText="180" w:rightFromText="180" w:vertAnchor="text" w:horzAnchor="page" w:tblpX="2216" w:tblpY="1575"/>
        <w:tblOverlap w:val="never"/>
        <w:tblW w:w="77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1128"/>
        <w:gridCol w:w="2827"/>
        <w:gridCol w:w="2380"/>
        <w:gridCol w:w="1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7780"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6: </w:t>
            </w:r>
            <w:r>
              <w:rPr>
                <w:rFonts w:hint="default" w:ascii="Times New Roman" w:hAnsi="Times New Roman" w:cs="Times New Roman"/>
                <w:b/>
                <w:bCs/>
                <w:sz w:val="20"/>
                <w:szCs w:val="20"/>
                <w:rtl w:val="0"/>
              </w:rPr>
              <w:t xml:space="preserve">Credit </w:t>
            </w:r>
            <w:r>
              <w:rPr>
                <w:rFonts w:hint="default" w:ascii="Times New Roman" w:hAnsi="Times New Roman" w:cs="Times New Roman"/>
                <w:b/>
                <w:bCs/>
                <w:sz w:val="20"/>
                <w:szCs w:val="20"/>
                <w:rtl w:val="0"/>
                <w:lang w:val="en-US"/>
              </w:rPr>
              <w:t>D</w:t>
            </w:r>
            <w:r>
              <w:rPr>
                <w:rFonts w:hint="default" w:ascii="Times New Roman" w:hAnsi="Times New Roman" w:cs="Times New Roman"/>
                <w:b/>
                <w:bCs/>
                <w:sz w:val="20"/>
                <w:szCs w:val="20"/>
                <w:rtl w:val="0"/>
              </w:rPr>
              <w:t xml:space="preserve">eposit </w:t>
            </w:r>
            <w:r>
              <w:rPr>
                <w:rFonts w:hint="default" w:ascii="Times New Roman" w:hAnsi="Times New Roman" w:cs="Times New Roman"/>
                <w:b/>
                <w:bCs/>
                <w:sz w:val="20"/>
                <w:szCs w:val="20"/>
                <w:rtl w:val="0"/>
                <w:lang w:val="en-US"/>
              </w:rPr>
              <w:t>R</w:t>
            </w:r>
            <w:r>
              <w:rPr>
                <w:rFonts w:hint="default" w:ascii="Times New Roman" w:hAnsi="Times New Roman" w:cs="Times New Roman"/>
                <w:b/>
                <w:bCs/>
                <w:sz w:val="20"/>
                <w:szCs w:val="20"/>
                <w:rtl w:val="0"/>
              </w:rPr>
              <w:t>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Advances</w:t>
            </w:r>
            <w:r>
              <w:rPr>
                <w:rFonts w:hint="default" w:ascii="Times New Roman" w:hAnsi="Times New Roman" w:cs="Times New Roman"/>
                <w:b/>
                <w:bCs/>
                <w:sz w:val="20"/>
                <w:szCs w:val="20"/>
                <w:rtl w:val="0"/>
                <w:lang w:val="en-US"/>
              </w:rPr>
              <w:t xml:space="preserve"> (in 000’s)</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Deposit</w:t>
            </w:r>
            <w:r>
              <w:rPr>
                <w:rFonts w:hint="default" w:ascii="Times New Roman" w:hAnsi="Times New Roman" w:cs="Times New Roman"/>
                <w:b/>
                <w:bCs/>
                <w:sz w:val="20"/>
                <w:szCs w:val="20"/>
                <w:rtl w:val="0"/>
                <w:lang w:val="en-US"/>
              </w:rPr>
              <w:t xml:space="preserve"> (in 000’s)</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1,11,32,63,5</w:t>
            </w:r>
            <w:r>
              <w:rPr>
                <w:rFonts w:hint="default" w:ascii="Times New Roman" w:hAnsi="Times New Roman" w:cs="Times New Roman"/>
                <w:sz w:val="20"/>
                <w:szCs w:val="20"/>
                <w:rtl w:val="0"/>
                <w:lang w:val="en-US"/>
              </w:rPr>
              <w:t>9</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73.8</w:t>
            </w:r>
            <w:r>
              <w:rPr>
                <w:rFonts w:hint="default" w:ascii="Times New Roman" w:hAnsi="Times New Roman" w:cs="Times New Roman"/>
                <w:sz w:val="20"/>
                <w:szCs w:val="20"/>
                <w:rtl w:val="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1,74,82,30,10</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1,80,35,30,66</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3,01,60,78,11</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59.</w:t>
            </w:r>
            <w:r>
              <w:rPr>
                <w:rFonts w:hint="default" w:ascii="Times New Roman" w:hAnsi="Times New Roman" w:cs="Times New Roman"/>
                <w:sz w:val="20"/>
                <w:szCs w:val="20"/>
                <w:rtl w:val="0"/>
                <w:lang w:val="en-US"/>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1,96,13,81,72</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trPr>
        <w:tc>
          <w:tcPr>
            <w:tcW w:w="112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827"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2,16,79,52,92</w:t>
            </w:r>
          </w:p>
        </w:tc>
        <w:tc>
          <w:tcPr>
            <w:tcW w:w="23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c>
          <w:tcPr>
            <w:tcW w:w="144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64.35</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sz w:val="20"/>
          <w:szCs w:val="20"/>
          <w:rtl w:val="0"/>
        </w:rPr>
        <w:t>Term Deposits</w:t>
      </w:r>
      <w:r>
        <w:rPr>
          <w:rFonts w:hint="default" w:ascii="Times New Roman" w:hAnsi="Times New Roman" w:cs="Times New Roman"/>
          <w:sz w:val="20"/>
          <w:szCs w:val="20"/>
          <w:rtl w:val="0"/>
        </w:rPr>
        <w:t>: The proportion of term deposits to total deposits has decreased over the years. In 2018-19, term deposits accounted for 28.454% of total deposits, while in 2022-23, they accounted for 28.050%.</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 The trend analysis suggests that the institution has attracted less demand and term deposits over time. It has increased the institution's cost of funds and decreased its profitability. The decrease in the proportion of term deposits suggests that the institution may have adjusted its deposit pricing strategy to reduce its reliance on high-cost deposits. </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These ratios indicate that the bank's lending activities have varied. The ratio was highest in 2018-19, meaning that a lower proportion of deposits were used for lending compared to previous years. It may be due to various reasons, such as a decrease in loan demand, tighter lending standards, or a shift towards other investment avenues.</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tl w:val="0"/>
        </w:rPr>
        <w:t>It tells us about liquidity position and the use of funds by banks.</w:t>
      </w:r>
      <w:r>
        <w:rPr>
          <w:rFonts w:hint="default" w:ascii="Times New Roman" w:hAnsi="Times New Roman" w:cs="Times New Roman"/>
          <w:sz w:val="20"/>
          <w:szCs w:val="20"/>
          <w:rtl w:val="0"/>
          <w:lang w:val="en-US"/>
        </w:rPr>
        <w:t xml:space="preserve"> </w:t>
      </w:r>
      <w:r>
        <w:rPr>
          <w:rFonts w:hint="default" w:ascii="Times New Roman" w:hAnsi="Times New Roman" w:cs="Times New Roman"/>
          <w:sz w:val="20"/>
          <w:szCs w:val="20"/>
          <w:rtl w:val="0"/>
        </w:rPr>
        <w:t>A higher percentage indicates the advances sanction is more and less liquidity in the bank.</w:t>
      </w:r>
    </w:p>
    <w:tbl>
      <w:tblPr>
        <w:tblStyle w:val="24"/>
        <w:tblW w:w="753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940"/>
        <w:gridCol w:w="2766"/>
        <w:gridCol w:w="1925"/>
        <w:gridCol w:w="190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5" w:hRule="atLeast"/>
          <w:jc w:val="center"/>
        </w:trPr>
        <w:tc>
          <w:tcPr>
            <w:tcW w:w="7533"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7: </w:t>
            </w:r>
            <w:r>
              <w:rPr>
                <w:rFonts w:hint="default" w:ascii="Times New Roman" w:hAnsi="Times New Roman" w:cs="Times New Roman"/>
                <w:b/>
                <w:bCs/>
                <w:sz w:val="20"/>
                <w:szCs w:val="20"/>
                <w:rtl w:val="0"/>
              </w:rPr>
              <w:t>Investment Deposit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8"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Investment</w:t>
            </w:r>
            <w:r>
              <w:rPr>
                <w:rFonts w:hint="default" w:ascii="Times New Roman" w:hAnsi="Times New Roman" w:cs="Times New Roman"/>
                <w:b/>
                <w:bCs/>
                <w:sz w:val="20"/>
                <w:szCs w:val="20"/>
                <w:rtl w:val="0"/>
                <w:lang w:val="en-US"/>
              </w:rPr>
              <w:t xml:space="preserve"> (in 000’s)</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Deposit</w:t>
            </w:r>
            <w:r>
              <w:rPr>
                <w:rFonts w:hint="default" w:ascii="Times New Roman" w:hAnsi="Times New Roman" w:cs="Times New Roman"/>
                <w:b/>
                <w:bCs/>
                <w:sz w:val="20"/>
                <w:szCs w:val="20"/>
                <w:rtl w:val="0"/>
                <w:lang w:val="en-US"/>
              </w:rPr>
              <w:t xml:space="preserve"> (in 000’s)</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5"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44,93,21,7</w:t>
            </w:r>
            <w:r>
              <w:rPr>
                <w:rFonts w:hint="default" w:ascii="Times New Roman" w:hAnsi="Times New Roman" w:cs="Times New Roman"/>
                <w:sz w:val="20"/>
                <w:szCs w:val="20"/>
                <w:rtl w:val="0"/>
                <w:lang w:val="en-US"/>
              </w:rPr>
              <w:t>9</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29.793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18"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58,92,07,82</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2,80,14,13,2</w:t>
            </w:r>
            <w:r>
              <w:rPr>
                <w:rFonts w:hint="default" w:ascii="Times New Roman" w:hAnsi="Times New Roman" w:cs="Times New Roman"/>
                <w:sz w:val="20"/>
                <w:szCs w:val="20"/>
                <w:rtl w:val="0"/>
                <w:lang w:val="en-US"/>
              </w:rPr>
              <w:t>9</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21.033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5"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63,60,94,71</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3,01,60,78,11</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21.090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24"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72,71,47,55</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3,11,16,21,0</w:t>
            </w:r>
            <w:r>
              <w:rPr>
                <w:rFonts w:hint="default" w:ascii="Times New Roman" w:hAnsi="Times New Roman" w:cs="Times New Roman"/>
                <w:sz w:val="20"/>
                <w:szCs w:val="20"/>
                <w:rtl w:val="0"/>
                <w:lang w:val="en-US"/>
              </w:rPr>
              <w:t>9</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23.369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6" w:hRule="atLeast"/>
          <w:jc w:val="center"/>
        </w:trPr>
        <w:tc>
          <w:tcPr>
            <w:tcW w:w="940"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766"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87,76,82,96</w:t>
            </w:r>
          </w:p>
        </w:tc>
        <w:tc>
          <w:tcPr>
            <w:tcW w:w="19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3,36,89,07,9</w:t>
            </w:r>
            <w:r>
              <w:rPr>
                <w:rFonts w:hint="default" w:ascii="Times New Roman" w:hAnsi="Times New Roman" w:cs="Times New Roman"/>
                <w:sz w:val="20"/>
                <w:szCs w:val="20"/>
                <w:rtl w:val="0"/>
                <w:lang w:val="en-US"/>
              </w:rPr>
              <w:t>5</w:t>
            </w:r>
          </w:p>
        </w:tc>
        <w:tc>
          <w:tcPr>
            <w:tcW w:w="1902"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26.052</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The above table shows that the investment deposit ratio has fluctuated slightly over the years, and the investment deposit Ratio shows banks are properly using their deposits in different profitable sectors in the domestic and foreign arena. Here we can see that in 2018-19  it is highest, and it decreases to 21.09% in 2020-21, and in 2021-2022 it starts rising.</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25"/>
        <w:tblW w:w="736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25"/>
        <w:gridCol w:w="2835"/>
        <w:gridCol w:w="2400"/>
        <w:gridCol w:w="13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6" w:hRule="atLeast"/>
          <w:jc w:val="center"/>
        </w:trPr>
        <w:tc>
          <w:tcPr>
            <w:tcW w:w="7364"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8: </w:t>
            </w:r>
            <w:r>
              <w:rPr>
                <w:rFonts w:hint="default" w:ascii="Times New Roman" w:hAnsi="Times New Roman" w:cs="Times New Roman"/>
                <w:b/>
                <w:bCs/>
                <w:sz w:val="20"/>
                <w:szCs w:val="20"/>
                <w:rtl w:val="0"/>
              </w:rPr>
              <w:t>Cash Deposit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1"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Cash And Balance With R</w:t>
            </w:r>
            <w:r>
              <w:rPr>
                <w:rFonts w:hint="default" w:ascii="Times New Roman" w:hAnsi="Times New Roman" w:cs="Times New Roman"/>
                <w:b/>
                <w:bCs/>
                <w:sz w:val="20"/>
                <w:szCs w:val="20"/>
                <w:rtl w:val="0"/>
                <w:lang w:val="en-US"/>
              </w:rPr>
              <w:t>BI (in 000’s)</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top"/>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Total Deposit</w:t>
            </w:r>
          </w:p>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lang w:val="en-US"/>
              </w:rPr>
              <w:t>(in 000’s)</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0" w:type="dxa"/>
              <w:bottom w:w="40" w:type="dxa"/>
              <w:right w:w="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Cash Deposit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5"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7,60,62,0</w:t>
            </w:r>
            <w:r>
              <w:rPr>
                <w:rFonts w:hint="default" w:ascii="Times New Roman" w:hAnsi="Times New Roman" w:cs="Times New Roman"/>
                <w:sz w:val="20"/>
                <w:szCs w:val="20"/>
                <w:rtl w:val="0"/>
                <w:lang w:val="en-US"/>
              </w:rPr>
              <w:t>9</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1,50,81,44,8</w:t>
            </w:r>
            <w:r>
              <w:rPr>
                <w:rFonts w:hint="default" w:ascii="Times New Roman" w:hAnsi="Times New Roman" w:cs="Times New Roman"/>
                <w:sz w:val="20"/>
                <w:szCs w:val="20"/>
                <w:rtl w:val="0"/>
                <w:lang w:val="en-US"/>
              </w:rPr>
              <w:t>1</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62"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14,15,37,19</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2,80,14,13,2</w:t>
            </w:r>
            <w:r>
              <w:rPr>
                <w:rFonts w:hint="default" w:ascii="Times New Roman" w:hAnsi="Times New Roman" w:cs="Times New Roman"/>
                <w:sz w:val="20"/>
                <w:szCs w:val="20"/>
                <w:rtl w:val="0"/>
                <w:lang w:val="en-US"/>
              </w:rPr>
              <w:t>9</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5.0523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0"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16,89,78,4</w:t>
            </w:r>
            <w:r>
              <w:rPr>
                <w:rFonts w:hint="default" w:ascii="Times New Roman" w:hAnsi="Times New Roman" w:cs="Times New Roman"/>
                <w:sz w:val="20"/>
                <w:szCs w:val="20"/>
                <w:rtl w:val="0"/>
                <w:lang w:val="en-US"/>
              </w:rPr>
              <w:t>2</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3,01,60,78,11</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5.6026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6"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14,64,72,3</w:t>
            </w:r>
            <w:r>
              <w:rPr>
                <w:rFonts w:hint="default" w:ascii="Times New Roman" w:hAnsi="Times New Roman" w:cs="Times New Roman"/>
                <w:sz w:val="20"/>
                <w:szCs w:val="20"/>
                <w:rtl w:val="0"/>
                <w:lang w:val="en-US"/>
              </w:rPr>
              <w:t>8</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3,11,16,21,0</w:t>
            </w:r>
            <w:r>
              <w:rPr>
                <w:rFonts w:hint="default" w:ascii="Times New Roman" w:hAnsi="Times New Roman" w:cs="Times New Roman"/>
                <w:sz w:val="20"/>
                <w:szCs w:val="20"/>
                <w:rtl w:val="0"/>
                <w:lang w:val="en-US"/>
              </w:rPr>
              <w:t>3</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4.7073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1" w:hRule="atLeast"/>
          <w:jc w:val="center"/>
        </w:trPr>
        <w:tc>
          <w:tcPr>
            <w:tcW w:w="82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8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17,27,67,24</w:t>
            </w:r>
          </w:p>
        </w:tc>
        <w:tc>
          <w:tcPr>
            <w:tcW w:w="24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3,36,89,07,9</w:t>
            </w:r>
            <w:r>
              <w:rPr>
                <w:rFonts w:hint="default" w:ascii="Times New Roman" w:hAnsi="Times New Roman" w:cs="Times New Roman"/>
                <w:sz w:val="20"/>
                <w:szCs w:val="20"/>
                <w:rtl w:val="0"/>
                <w:lang w:val="en-US"/>
              </w:rPr>
              <w:t>5</w:t>
            </w:r>
          </w:p>
        </w:tc>
        <w:tc>
          <w:tcPr>
            <w:tcW w:w="130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5.1283</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The above table shows the cash reserve ratio of Aryavart Bank, which is gradually increasing over the year except in 2021-22. It shows the bank maintaining good liquidity. As of 2023, the CRR rate is 4.5%, which has been effective since May 21, 2022, and Aryavart Bank is maintaining more than </w:t>
      </w:r>
      <w:r>
        <w:rPr>
          <w:rFonts w:hint="default" w:ascii="Times New Roman" w:hAnsi="Times New Roman" w:cs="Times New Roman"/>
          <w:sz w:val="20"/>
          <w:szCs w:val="20"/>
          <w:rtl w:val="0"/>
          <w:lang w:val="en-US"/>
        </w:rPr>
        <w:t>required</w:t>
      </w:r>
      <w:r>
        <w:rPr>
          <w:rFonts w:hint="default" w:ascii="Times New Roman" w:hAnsi="Times New Roman" w:cs="Times New Roman"/>
          <w:sz w:val="20"/>
          <w:szCs w:val="20"/>
          <w:rtl w:val="0"/>
        </w:rPr>
        <w:t xml:space="preserve"> CRR, i.e., 5.12% in 2022-23</w:t>
      </w:r>
    </w:p>
    <w:tbl>
      <w:tblPr>
        <w:tblStyle w:val="26"/>
        <w:tblpPr w:leftFromText="180" w:rightFromText="180" w:vertAnchor="text" w:horzAnchor="page" w:tblpXSpec="center" w:tblpY="206"/>
        <w:tblOverlap w:val="never"/>
        <w:tblW w:w="7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17"/>
        <w:gridCol w:w="2970"/>
        <w:gridCol w:w="2660"/>
        <w:gridCol w:w="1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8" w:hRule="atLeast"/>
          <w:jc w:val="center"/>
        </w:trPr>
        <w:tc>
          <w:tcPr>
            <w:tcW w:w="7447"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9: </w:t>
            </w:r>
            <w:r>
              <w:rPr>
                <w:rFonts w:hint="default" w:ascii="Times New Roman" w:hAnsi="Times New Roman" w:cs="Times New Roman"/>
                <w:b/>
                <w:bCs/>
                <w:sz w:val="20"/>
                <w:szCs w:val="20"/>
                <w:rtl w:val="0"/>
              </w:rPr>
              <w:t>Cost-Income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26"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Interest Expended</w:t>
            </w:r>
            <w:r>
              <w:rPr>
                <w:rFonts w:hint="default" w:ascii="Times New Roman" w:hAnsi="Times New Roman" w:cs="Times New Roman"/>
                <w:b/>
                <w:bCs/>
                <w:sz w:val="20"/>
                <w:szCs w:val="20"/>
                <w:rtl w:val="0"/>
                <w:lang w:val="en-US"/>
              </w:rPr>
              <w:t xml:space="preserve"> (in 000’s)</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Interest Income</w:t>
            </w:r>
            <w:r>
              <w:rPr>
                <w:rFonts w:hint="default" w:ascii="Times New Roman" w:hAnsi="Times New Roman" w:cs="Times New Roman"/>
                <w:b/>
                <w:bCs/>
                <w:sz w:val="20"/>
                <w:szCs w:val="20"/>
                <w:rtl w:val="0"/>
                <w:lang w:val="en-US"/>
              </w:rPr>
              <w:t xml:space="preserve"> (in 000’s)</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0"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7,89,26,67</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16,99,8</w:t>
            </w:r>
            <w:r>
              <w:rPr>
                <w:rFonts w:hint="default" w:ascii="Times New Roman" w:hAnsi="Times New Roman" w:cs="Times New Roman"/>
                <w:sz w:val="20"/>
                <w:szCs w:val="20"/>
                <w:rtl w:val="0"/>
                <w:lang w:val="en-US"/>
              </w:rPr>
              <w:t>5,00</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46.432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0"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12,46,55,18</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23,95,73,09,</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52.032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8"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12,26,11,0</w:t>
            </w:r>
            <w:r>
              <w:rPr>
                <w:rFonts w:hint="default" w:ascii="Times New Roman" w:hAnsi="Times New Roman" w:cs="Times New Roman"/>
                <w:sz w:val="20"/>
                <w:szCs w:val="20"/>
                <w:rtl w:val="0"/>
                <w:lang w:val="en-US"/>
              </w:rPr>
              <w:t>6</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26,80,22,7</w:t>
            </w:r>
            <w:r>
              <w:rPr>
                <w:rFonts w:hint="default" w:ascii="Times New Roman" w:hAnsi="Times New Roman" w:cs="Times New Roman"/>
                <w:sz w:val="20"/>
                <w:szCs w:val="20"/>
                <w:rtl w:val="0"/>
                <w:lang w:val="en-US"/>
              </w:rPr>
              <w:t>2</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21"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12,08,22,03</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 xml:space="preserve"> 26,70,48,3</w:t>
            </w:r>
            <w:r>
              <w:rPr>
                <w:rFonts w:hint="default" w:ascii="Times New Roman" w:hAnsi="Times New Roman" w:cs="Times New Roman"/>
                <w:sz w:val="20"/>
                <w:szCs w:val="20"/>
                <w:rtl w:val="0"/>
                <w:lang w:val="en-US"/>
              </w:rPr>
              <w:t>3</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6" w:hRule="atLeast"/>
          <w:jc w:val="center"/>
        </w:trPr>
        <w:tc>
          <w:tcPr>
            <w:tcW w:w="817"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97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12,20,66,</w:t>
            </w:r>
            <w:r>
              <w:rPr>
                <w:rFonts w:hint="default" w:ascii="Times New Roman" w:hAnsi="Times New Roman" w:cs="Times New Roman"/>
                <w:sz w:val="20"/>
                <w:szCs w:val="20"/>
                <w:rtl w:val="0"/>
                <w:lang w:val="en-US"/>
              </w:rPr>
              <w:t>50</w:t>
            </w:r>
          </w:p>
        </w:tc>
        <w:tc>
          <w:tcPr>
            <w:tcW w:w="26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27,41,53,</w:t>
            </w:r>
            <w:r>
              <w:rPr>
                <w:rFonts w:hint="default" w:ascii="Times New Roman" w:hAnsi="Times New Roman" w:cs="Times New Roman"/>
                <w:sz w:val="20"/>
                <w:szCs w:val="20"/>
                <w:rtl w:val="0"/>
                <w:lang w:val="en-US"/>
              </w:rPr>
              <w:t>30</w:t>
            </w:r>
          </w:p>
        </w:tc>
        <w:tc>
          <w:tcPr>
            <w:tcW w:w="10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44.525</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The above table shows that the CIR has fluctuated over the years but generally remained within the 45% to 55% range. The CIR indicates the percentage of a bank's revenue spent on operating expenses, such as interest expended, salaries, and rent. A lower CIR indicates better cost management and higher profitability. Therefore, the trend in the CIR suggests that the banks have maintained their cost management relatively stable over the five years.</w:t>
      </w:r>
    </w:p>
    <w:tbl>
      <w:tblPr>
        <w:tblStyle w:val="27"/>
        <w:tblW w:w="736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65"/>
        <w:gridCol w:w="2820"/>
        <w:gridCol w:w="2160"/>
        <w:gridCol w:w="16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5" w:hRule="atLeast"/>
          <w:jc w:val="center"/>
        </w:trPr>
        <w:tc>
          <w:tcPr>
            <w:tcW w:w="7363"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10: </w:t>
            </w:r>
            <w:r>
              <w:rPr>
                <w:rFonts w:hint="default" w:ascii="Times New Roman" w:hAnsi="Times New Roman" w:cs="Times New Roman"/>
                <w:b/>
                <w:bCs/>
                <w:sz w:val="20"/>
                <w:szCs w:val="20"/>
                <w:rtl w:val="0"/>
              </w:rPr>
              <w:t>Yield On Advanced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79"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Interest On Advances</w:t>
            </w:r>
            <w:r>
              <w:rPr>
                <w:rFonts w:hint="default" w:ascii="Times New Roman" w:hAnsi="Times New Roman" w:cs="Times New Roman"/>
                <w:b/>
                <w:bCs/>
                <w:sz w:val="20"/>
                <w:szCs w:val="20"/>
                <w:rtl w:val="0"/>
                <w:lang w:val="en-US"/>
              </w:rPr>
              <w:t xml:space="preserve"> (in 000’s)</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Advances(₹)</w:t>
            </w:r>
            <w:r>
              <w:rPr>
                <w:rFonts w:hint="default" w:ascii="Times New Roman" w:hAnsi="Times New Roman" w:cs="Times New Roman"/>
                <w:b/>
                <w:bCs/>
                <w:sz w:val="20"/>
                <w:szCs w:val="20"/>
                <w:rtl w:val="0"/>
                <w:lang w:val="en-US"/>
              </w:rPr>
              <w:t xml:space="preserve">  (in 000’s)</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Yield On Advance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1"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12,47,89,83</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11</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13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26</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35</w:t>
            </w:r>
            <w:r>
              <w:rPr>
                <w:rFonts w:hint="default" w:ascii="Times New Roman" w:hAnsi="Times New Roman" w:cs="Times New Roman"/>
                <w:sz w:val="20"/>
                <w:szCs w:val="20"/>
                <w:rtl w:val="0"/>
                <w:lang w:val="en-US"/>
              </w:rPr>
              <w:t>1</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44"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15,62,32,44</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17</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48</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23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010</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2"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18,69,25,68</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03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53</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066</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9"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18,42,82,7</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19</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61</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38</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172</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9.40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9" w:hRule="atLeast"/>
          <w:jc w:val="center"/>
        </w:trPr>
        <w:tc>
          <w:tcPr>
            <w:tcW w:w="76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82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18,62,19,47</w:t>
            </w:r>
          </w:p>
        </w:tc>
        <w:tc>
          <w:tcPr>
            <w:tcW w:w="21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21</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67</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95</w:t>
            </w:r>
            <w:r>
              <w:rPr>
                <w:rFonts w:hint="default" w:ascii="Times New Roman" w:hAnsi="Times New Roman" w:cs="Times New Roman"/>
                <w:sz w:val="20"/>
                <w:szCs w:val="20"/>
                <w:rtl w:val="0"/>
                <w:lang w:val="en-US"/>
              </w:rPr>
              <w:t>,</w:t>
            </w:r>
            <w:r>
              <w:rPr>
                <w:rFonts w:hint="default" w:ascii="Times New Roman" w:hAnsi="Times New Roman" w:cs="Times New Roman"/>
                <w:sz w:val="20"/>
                <w:szCs w:val="20"/>
                <w:rtl w:val="0"/>
              </w:rPr>
              <w:t>292</w:t>
            </w:r>
          </w:p>
        </w:tc>
        <w:tc>
          <w:tcPr>
            <w:tcW w:w="161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8.59</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The above table shows that the YAR has fluctuated over the years, </w:t>
      </w:r>
      <w:r>
        <w:rPr>
          <w:rFonts w:hint="default" w:ascii="Times New Roman" w:hAnsi="Times New Roman" w:cs="Times New Roman"/>
          <w:sz w:val="20"/>
          <w:szCs w:val="20"/>
          <w:rtl w:val="0"/>
          <w:lang w:val="en-US"/>
        </w:rPr>
        <w:t>but is</w:t>
      </w:r>
      <w:r>
        <w:rPr>
          <w:rFonts w:hint="default" w:ascii="Times New Roman" w:hAnsi="Times New Roman" w:cs="Times New Roman"/>
          <w:sz w:val="20"/>
          <w:szCs w:val="20"/>
          <w:rtl w:val="0"/>
        </w:rPr>
        <w:t xml:space="preserve"> generally in the 8% to 12% range. This ratio reflects the interest the bank earns on its advance portfolio relative to the outstanding advances. A </w:t>
      </w:r>
      <w:r>
        <w:rPr>
          <w:rFonts w:hint="default" w:ascii="Times New Roman" w:hAnsi="Times New Roman" w:cs="Times New Roman"/>
          <w:sz w:val="20"/>
          <w:szCs w:val="20"/>
          <w:u w:val="single"/>
          <w:rtl w:val="0"/>
        </w:rPr>
        <w:t>higher YAR indicates</w:t>
      </w:r>
      <w:r>
        <w:rPr>
          <w:rFonts w:hint="default" w:ascii="Times New Roman" w:hAnsi="Times New Roman" w:cs="Times New Roman"/>
          <w:sz w:val="20"/>
          <w:szCs w:val="20"/>
          <w:rtl w:val="0"/>
        </w:rPr>
        <w:t xml:space="preserve"> that the bank is </w:t>
      </w:r>
      <w:r>
        <w:rPr>
          <w:rFonts w:hint="default" w:ascii="Times New Roman" w:hAnsi="Times New Roman" w:cs="Times New Roman"/>
          <w:sz w:val="20"/>
          <w:szCs w:val="20"/>
          <w:u w:val="single"/>
          <w:rtl w:val="0"/>
        </w:rPr>
        <w:t xml:space="preserve">gaining more interest </w:t>
      </w:r>
      <w:r>
        <w:rPr>
          <w:rFonts w:hint="default" w:ascii="Times New Roman" w:hAnsi="Times New Roman" w:cs="Times New Roman"/>
          <w:sz w:val="20"/>
          <w:szCs w:val="20"/>
          <w:rtl w:val="0"/>
        </w:rPr>
        <w:t>on its loan book, which is a positive indicator of profitability. However, a high YAR may also suggest that the bank is charging high-interest rates on its loans, which could lead to credit quality concerns if borrowers struggle to repay their loans.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28"/>
        <w:tblW w:w="7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15"/>
        <w:gridCol w:w="2685"/>
        <w:gridCol w:w="1935"/>
        <w:gridCol w:w="17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8" w:hRule="atLeast"/>
          <w:jc w:val="center"/>
        </w:trPr>
        <w:tc>
          <w:tcPr>
            <w:tcW w:w="7084"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11: </w:t>
            </w:r>
            <w:r>
              <w:rPr>
                <w:rFonts w:hint="default" w:ascii="Times New Roman" w:hAnsi="Times New Roman" w:cs="Times New Roman"/>
                <w:b/>
                <w:bCs/>
                <w:sz w:val="20"/>
                <w:szCs w:val="20"/>
                <w:rtl w:val="0"/>
              </w:rPr>
              <w:t xml:space="preserve">Yield on Investment </w:t>
            </w:r>
            <w:r>
              <w:rPr>
                <w:rFonts w:hint="default" w:ascii="Times New Roman" w:hAnsi="Times New Roman" w:cs="Times New Roman"/>
                <w:b/>
                <w:bCs/>
                <w:sz w:val="20"/>
                <w:szCs w:val="20"/>
                <w:rtl w:val="0"/>
                <w:lang w:val="en-US"/>
              </w:rPr>
              <w:t>R</w:t>
            </w:r>
            <w:r>
              <w:rPr>
                <w:rFonts w:hint="default" w:ascii="Times New Roman" w:hAnsi="Times New Roman" w:cs="Times New Roman"/>
                <w:b/>
                <w:bCs/>
                <w:sz w:val="20"/>
                <w:szCs w:val="20"/>
                <w:rtl w:val="0"/>
              </w:rPr>
              <w:t>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92"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Income from investment</w:t>
            </w:r>
            <w:r>
              <w:rPr>
                <w:rFonts w:hint="default" w:ascii="Times New Roman" w:hAnsi="Times New Roman" w:cs="Times New Roman"/>
                <w:b/>
                <w:bCs/>
                <w:sz w:val="20"/>
                <w:szCs w:val="20"/>
                <w:rtl w:val="0"/>
                <w:lang w:val="en-US"/>
              </w:rPr>
              <w:t>s</w:t>
            </w: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(in 000’s)</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Investment</w:t>
            </w: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lang w:val="en-US"/>
              </w:rPr>
              <w:t>(in 000’s)</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Yield on investment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4"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3,67,57,1</w:t>
            </w:r>
            <w:r>
              <w:rPr>
                <w:rFonts w:hint="default" w:ascii="Times New Roman" w:hAnsi="Times New Roman" w:cs="Times New Roman"/>
                <w:sz w:val="20"/>
                <w:szCs w:val="20"/>
                <w:rtl w:val="0"/>
                <w:lang w:val="en-US"/>
              </w:rPr>
              <w:t>8</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44,93,21,7</w:t>
            </w:r>
            <w:r>
              <w:rPr>
                <w:rFonts w:hint="default" w:ascii="Times New Roman" w:hAnsi="Times New Roman" w:cs="Times New Roman"/>
                <w:sz w:val="20"/>
                <w:szCs w:val="20"/>
                <w:rtl w:val="0"/>
                <w:lang w:val="en-US"/>
              </w:rPr>
              <w:t>9</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2"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4,79,07,0</w:t>
            </w:r>
            <w:r>
              <w:rPr>
                <w:rFonts w:hint="default" w:ascii="Times New Roman" w:hAnsi="Times New Roman" w:cs="Times New Roman"/>
                <w:sz w:val="20"/>
                <w:szCs w:val="20"/>
                <w:rtl w:val="0"/>
                <w:lang w:val="en-US"/>
              </w:rPr>
              <w:t>1</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58,92,07,82</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1"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4,33,70,5</w:t>
            </w:r>
            <w:r>
              <w:rPr>
                <w:rFonts w:hint="default" w:ascii="Times New Roman" w:hAnsi="Times New Roman" w:cs="Times New Roman"/>
                <w:sz w:val="20"/>
                <w:szCs w:val="20"/>
                <w:rtl w:val="0"/>
                <w:lang w:val="en-US"/>
              </w:rPr>
              <w:t>5</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63,60,94,71</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6.8</w:t>
            </w:r>
            <w:r>
              <w:rPr>
                <w:rFonts w:hint="default" w:ascii="Times New Roman" w:hAnsi="Times New Roman" w:cs="Times New Roman"/>
                <w:sz w:val="20"/>
                <w:szCs w:val="20"/>
                <w:rtl w:val="0"/>
                <w:lang w:val="en-US"/>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9"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4,59,96,60</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72,71,47,55</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5" w:hRule="atLeast"/>
          <w:jc w:val="center"/>
        </w:trPr>
        <w:tc>
          <w:tcPr>
            <w:tcW w:w="71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5,65,89,6</w:t>
            </w:r>
            <w:r>
              <w:rPr>
                <w:rFonts w:hint="default" w:ascii="Times New Roman" w:hAnsi="Times New Roman" w:cs="Times New Roman"/>
                <w:sz w:val="20"/>
                <w:szCs w:val="20"/>
                <w:rtl w:val="0"/>
                <w:lang w:val="en-US"/>
              </w:rPr>
              <w:t>6</w:t>
            </w:r>
          </w:p>
        </w:tc>
        <w:tc>
          <w:tcPr>
            <w:tcW w:w="193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87,76,82,96</w:t>
            </w:r>
          </w:p>
        </w:tc>
        <w:tc>
          <w:tcPr>
            <w:tcW w:w="174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6.4</w:t>
            </w:r>
            <w:r>
              <w:rPr>
                <w:rFonts w:hint="default" w:ascii="Times New Roman" w:hAnsi="Times New Roman" w:cs="Times New Roman"/>
                <w:sz w:val="20"/>
                <w:szCs w:val="20"/>
                <w:rtl w:val="0"/>
                <w:lang w:val="en-US"/>
              </w:rPr>
              <w:t>5</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The above table shows that the YIR has been relatively stable over the years, fluctuating from 6% to 9%. This ratio reflects the bank's income from its investment portfolio relative to its total investments. A higher YIR indicates that the bank is making more revenue from its assets, a positive indicator of profitability. However, a high YIR may also suggest that the bank is taking on more risk in its investment portfolio, which could lead to potential losses if market conditions change.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29"/>
        <w:tblW w:w="709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56"/>
        <w:gridCol w:w="2055"/>
        <w:gridCol w:w="2685"/>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4" w:hRule="atLeast"/>
          <w:jc w:val="center"/>
        </w:trPr>
        <w:tc>
          <w:tcPr>
            <w:tcW w:w="7096"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12: </w:t>
            </w:r>
            <w:r>
              <w:rPr>
                <w:rFonts w:hint="default" w:ascii="Times New Roman" w:hAnsi="Times New Roman" w:cs="Times New Roman"/>
                <w:b/>
                <w:bCs/>
                <w:sz w:val="20"/>
                <w:szCs w:val="20"/>
                <w:rtl w:val="0"/>
              </w:rPr>
              <w:t>Fixed Assets To Net Worth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9"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Year</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Fixed Assets</w:t>
            </w:r>
            <w:r>
              <w:rPr>
                <w:rFonts w:hint="default" w:ascii="Times New Roman" w:hAnsi="Times New Roman" w:cs="Times New Roman"/>
                <w:b/>
                <w:bCs/>
                <w:sz w:val="20"/>
                <w:szCs w:val="20"/>
                <w:rtl w:val="0"/>
                <w:lang w:val="en-US"/>
              </w:rPr>
              <w:t xml:space="preserve"> (in 000’s)</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(in 000’s)</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Fixed Assets To Net Worth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63"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48,28,</w:t>
            </w:r>
            <w:r>
              <w:rPr>
                <w:rFonts w:hint="default" w:ascii="Times New Roman" w:hAnsi="Times New Roman" w:cs="Times New Roman"/>
                <w:sz w:val="20"/>
                <w:szCs w:val="20"/>
                <w:rtl w:val="0"/>
                <w:lang w:val="en-US"/>
              </w:rPr>
              <w:t>30</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16,90,69,04</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96"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75,91,57</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20,50,60,16</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6"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82,70,31</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21,55,65,34</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8"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80,85,3</w:t>
            </w:r>
            <w:r>
              <w:rPr>
                <w:rFonts w:hint="default" w:ascii="Times New Roman" w:hAnsi="Times New Roman" w:cs="Times New Roman"/>
                <w:sz w:val="20"/>
                <w:szCs w:val="20"/>
                <w:rtl w:val="0"/>
                <w:lang w:val="en-US"/>
              </w:rPr>
              <w:t>6</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23,27,51,99</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2" w:hRule="atLeast"/>
          <w:jc w:val="center"/>
        </w:trPr>
        <w:tc>
          <w:tcPr>
            <w:tcW w:w="856"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0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70,81,9</w:t>
            </w:r>
            <w:r>
              <w:rPr>
                <w:rFonts w:hint="default" w:ascii="Times New Roman" w:hAnsi="Times New Roman" w:cs="Times New Roman"/>
                <w:sz w:val="20"/>
                <w:szCs w:val="20"/>
                <w:rtl w:val="0"/>
                <w:lang w:val="en-US"/>
              </w:rPr>
              <w:t>3</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25,48,32,23</w:t>
            </w:r>
          </w:p>
        </w:tc>
        <w:tc>
          <w:tcPr>
            <w:tcW w:w="15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2.7</w:t>
            </w:r>
            <w:r>
              <w:rPr>
                <w:rFonts w:hint="default" w:ascii="Times New Roman" w:hAnsi="Times New Roman" w:cs="Times New Roman"/>
                <w:sz w:val="20"/>
                <w:szCs w:val="20"/>
                <w:rtl w:val="0"/>
                <w:lang w:val="en-US"/>
              </w:rPr>
              <w:t>8</w:t>
            </w:r>
          </w:p>
        </w:tc>
      </w:tr>
    </w:tbl>
    <w:p>
      <w:pPr>
        <w:keepNext w:val="0"/>
        <w:keepLines w:val="0"/>
        <w:pageBreakBefore w:val="0"/>
        <w:numPr>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The above table shows that the FANR has varied over the years, ranging from 2 to 4. The FANR indicates the proportion of fixed assets financed by shareholders' funds, with a higher ratio indicating a greater reliance on equity financing for fixed assets. A lower FANR may suggest that the bank relies more on debt financing to fund its fixed assets. It is important to note that the optimal FANR may vary depending on the industry and the bank's specific circumstances.</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sz w:val="24"/>
          <w:szCs w:val="24"/>
        </w:rPr>
      </w:pPr>
    </w:p>
    <w:tbl>
      <w:tblPr>
        <w:tblStyle w:val="30"/>
        <w:tblW w:w="70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75"/>
        <w:gridCol w:w="2760"/>
        <w:gridCol w:w="2130"/>
        <w:gridCol w:w="13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9" w:hRule="atLeast"/>
          <w:jc w:val="center"/>
        </w:trPr>
        <w:tc>
          <w:tcPr>
            <w:tcW w:w="7073"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13: </w:t>
            </w:r>
            <w:r>
              <w:rPr>
                <w:rFonts w:hint="default" w:ascii="Times New Roman" w:hAnsi="Times New Roman" w:cs="Times New Roman"/>
                <w:b/>
                <w:bCs/>
                <w:sz w:val="20"/>
                <w:szCs w:val="20"/>
                <w:rtl w:val="0"/>
              </w:rPr>
              <w:t>Return On Investment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81"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Net profit after tax and interest (Rs.)</w:t>
            </w:r>
            <w:r>
              <w:rPr>
                <w:rFonts w:hint="default" w:ascii="Times New Roman" w:hAnsi="Times New Roman" w:cs="Times New Roman"/>
                <w:b/>
                <w:bCs/>
                <w:sz w:val="20"/>
                <w:szCs w:val="20"/>
                <w:rtl w:val="0"/>
                <w:lang w:val="en-US"/>
              </w:rPr>
              <w:t xml:space="preserve"> (in 000’s)</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lang w:val="en-US"/>
              </w:rPr>
              <w:t>(in 000’s)</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ROI</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7"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2019</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1,21,78,1</w:t>
            </w:r>
            <w:r>
              <w:rPr>
                <w:rFonts w:hint="default" w:ascii="Times New Roman" w:hAnsi="Times New Roman" w:cs="Times New Roman"/>
                <w:sz w:val="20"/>
                <w:szCs w:val="20"/>
                <w:rtl w:val="0"/>
                <w:lang w:val="en-US"/>
              </w:rPr>
              <w:t>7</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16,90,69,04</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4"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2020</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45,12,99</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20,50,60,1</w:t>
            </w:r>
            <w:r>
              <w:rPr>
                <w:rFonts w:hint="default" w:ascii="Times New Roman" w:hAnsi="Times New Roman" w:cs="Times New Roman"/>
                <w:sz w:val="20"/>
                <w:szCs w:val="20"/>
                <w:rtl w:val="0"/>
                <w:lang w:val="en-US"/>
              </w:rPr>
              <w:t>7</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71"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2021</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1,05,05,1</w:t>
            </w:r>
            <w:r>
              <w:rPr>
                <w:rFonts w:hint="default" w:ascii="Times New Roman" w:hAnsi="Times New Roman" w:cs="Times New Roman"/>
                <w:sz w:val="20"/>
                <w:szCs w:val="20"/>
                <w:rtl w:val="0"/>
                <w:lang w:val="en-US"/>
              </w:rPr>
              <w:t>8</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21,55,65,34</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4.87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07"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2022</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62,66,64</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23,27,51,99</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1" w:hRule="atLeast"/>
          <w:jc w:val="center"/>
        </w:trPr>
        <w:tc>
          <w:tcPr>
            <w:tcW w:w="875"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2023</w:t>
            </w:r>
          </w:p>
        </w:tc>
        <w:tc>
          <w:tcPr>
            <w:tcW w:w="276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76,55,34</w:t>
            </w:r>
          </w:p>
        </w:tc>
        <w:tc>
          <w:tcPr>
            <w:tcW w:w="213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25,48,32,23</w:t>
            </w:r>
          </w:p>
        </w:tc>
        <w:tc>
          <w:tcPr>
            <w:tcW w:w="130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3.00</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Interpretation</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r>
        <w:rPr>
          <w:rFonts w:hint="default" w:ascii="Times New Roman" w:hAnsi="Times New Roman" w:cs="Times New Roman"/>
          <w:b/>
          <w:bCs/>
          <w:sz w:val="24"/>
          <w:szCs w:val="24"/>
          <w:rtl w:val="0"/>
        </w:rPr>
        <w:t xml:space="preserve">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Looking at the above table, the ROI for the bank has been declining over the years, starting at 7.2% in 2019-20 and dropping to 3.0% in 2022-23. It suggests that the bank's profitability has decreased </w:t>
      </w:r>
      <w:r>
        <w:rPr>
          <w:rFonts w:hint="default" w:ascii="Times New Roman" w:hAnsi="Times New Roman" w:cs="Times New Roman"/>
          <w:sz w:val="20"/>
          <w:szCs w:val="20"/>
          <w:rtl w:val="0"/>
          <w:lang w:val="en-US"/>
        </w:rPr>
        <w:t>because of</w:t>
      </w:r>
      <w:r>
        <w:rPr>
          <w:rFonts w:hint="default" w:ascii="Times New Roman" w:hAnsi="Times New Roman" w:cs="Times New Roman"/>
          <w:sz w:val="20"/>
          <w:szCs w:val="20"/>
          <w:rtl w:val="0"/>
        </w:rPr>
        <w:t xml:space="preserve"> the amount of capital invested. It could be due to various reasons, such as increasing expenses, lower revenue growth, or poor investment decisions. The bank needs to identify the reasons for the declining ROI and take necessary actions to improve the profitability of its investments.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31"/>
        <w:tblW w:w="707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923"/>
        <w:gridCol w:w="2205"/>
        <w:gridCol w:w="2453"/>
        <w:gridCol w:w="149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28" w:hRule="atLeast"/>
          <w:jc w:val="center"/>
        </w:trPr>
        <w:tc>
          <w:tcPr>
            <w:tcW w:w="7079" w:type="dxa"/>
            <w:gridSpan w:val="4"/>
            <w:tcBorders>
              <w:top w:val="single" w:color="000000" w:sz="6"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14: </w:t>
            </w:r>
            <w:r>
              <w:rPr>
                <w:rFonts w:hint="default" w:ascii="Times New Roman" w:hAnsi="Times New Roman" w:cs="Times New Roman"/>
                <w:b/>
                <w:bCs/>
                <w:sz w:val="20"/>
                <w:szCs w:val="20"/>
                <w:rtl w:val="0"/>
              </w:rPr>
              <w:t>Debt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35"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Total Assets</w:t>
            </w:r>
            <w:r>
              <w:rPr>
                <w:rFonts w:hint="default" w:ascii="Times New Roman" w:hAnsi="Times New Roman" w:cs="Times New Roman"/>
                <w:b/>
                <w:bCs/>
                <w:sz w:val="20"/>
                <w:szCs w:val="20"/>
                <w:rtl w:val="0"/>
                <w:lang w:val="en-US"/>
              </w:rPr>
              <w:t xml:space="preserve"> (in 000’s)</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Total Outside Liabilities</w:t>
            </w:r>
            <w:r>
              <w:rPr>
                <w:rFonts w:hint="default" w:ascii="Times New Roman" w:hAnsi="Times New Roman" w:cs="Times New Roman"/>
                <w:b/>
                <w:bCs/>
                <w:sz w:val="20"/>
                <w:szCs w:val="20"/>
                <w:rtl w:val="0"/>
                <w:lang w:val="en-US"/>
              </w:rPr>
              <w:t xml:space="preserve"> </w:t>
            </w:r>
          </w:p>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lang w:val="en-US"/>
              </w:rPr>
              <w:t>(in 000’s)</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Debt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2"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1,91,89,13,12</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24,16,99,27</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12.</w:t>
            </w:r>
            <w:r>
              <w:rPr>
                <w:rFonts w:hint="default" w:ascii="Times New Roman" w:hAnsi="Times New Roman" w:cs="Times New Roman"/>
                <w:b w:val="0"/>
                <w:bCs w:val="0"/>
                <w:sz w:val="20"/>
                <w:szCs w:val="20"/>
                <w:rtl w:val="0"/>
                <w:lang w:val="en-US"/>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3,33,28,35,0</w:t>
            </w:r>
            <w:r>
              <w:rPr>
                <w:rFonts w:hint="default" w:ascii="Times New Roman" w:hAnsi="Times New Roman" w:cs="Times New Roman"/>
                <w:b w:val="0"/>
                <w:bCs w:val="0"/>
                <w:sz w:val="20"/>
                <w:szCs w:val="20"/>
                <w:rtl w:val="0"/>
                <w:lang w:val="en-US"/>
              </w:rPr>
              <w:t>6</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32,63,61,60</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9.79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00"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3,53,23,04,2</w:t>
            </w:r>
            <w:r>
              <w:rPr>
                <w:rFonts w:hint="default" w:ascii="Times New Roman" w:hAnsi="Times New Roman" w:cs="Times New Roman"/>
                <w:b w:val="0"/>
                <w:bCs w:val="0"/>
                <w:sz w:val="20"/>
                <w:szCs w:val="20"/>
                <w:rtl w:val="0"/>
                <w:lang w:val="en-US"/>
              </w:rPr>
              <w:t>5</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30,06,60,78</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5"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3,67,21,50,3</w:t>
            </w:r>
            <w:r>
              <w:rPr>
                <w:rFonts w:hint="default" w:ascii="Times New Roman" w:hAnsi="Times New Roman" w:cs="Times New Roman"/>
                <w:b w:val="0"/>
                <w:bCs w:val="0"/>
                <w:sz w:val="20"/>
                <w:szCs w:val="20"/>
                <w:rtl w:val="0"/>
                <w:lang w:val="en-US"/>
              </w:rPr>
              <w:t>7</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32,77,77,3</w:t>
            </w:r>
            <w:r>
              <w:rPr>
                <w:rFonts w:hint="default" w:ascii="Times New Roman" w:hAnsi="Times New Roman" w:cs="Times New Roman"/>
                <w:b w:val="0"/>
                <w:bCs w:val="0"/>
                <w:sz w:val="20"/>
                <w:szCs w:val="20"/>
                <w:rtl w:val="0"/>
                <w:lang w:val="en-US"/>
              </w:rPr>
              <w:t>5</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8.9</w:t>
            </w:r>
            <w:r>
              <w:rPr>
                <w:rFonts w:hint="default" w:ascii="Times New Roman" w:hAnsi="Times New Roman" w:cs="Times New Roman"/>
                <w:b w:val="0"/>
                <w:bCs w:val="0"/>
                <w:sz w:val="20"/>
                <w:szCs w:val="20"/>
                <w:rtl w:val="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5" w:hRule="atLeast"/>
          <w:jc w:val="center"/>
        </w:trPr>
        <w:tc>
          <w:tcPr>
            <w:tcW w:w="923"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220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3,98,01,43,9</w:t>
            </w:r>
            <w:r>
              <w:rPr>
                <w:rFonts w:hint="default" w:ascii="Times New Roman" w:hAnsi="Times New Roman" w:cs="Times New Roman"/>
                <w:b w:val="0"/>
                <w:bCs w:val="0"/>
                <w:sz w:val="20"/>
                <w:szCs w:val="20"/>
                <w:rtl w:val="0"/>
                <w:lang w:val="en-US"/>
              </w:rPr>
              <w:t>9</w:t>
            </w:r>
          </w:p>
        </w:tc>
        <w:tc>
          <w:tcPr>
            <w:tcW w:w="2453"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35,64,03,81</w:t>
            </w:r>
          </w:p>
        </w:tc>
        <w:tc>
          <w:tcPr>
            <w:tcW w:w="1498"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8.95</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The above table shows the solvency ratio for 2018-19 to 2022-23. This table shows that the debt ratio was high in 2019 but sharply decreased in 2023. The Debt ratio measures the proportion of total assets the firm's creditors provide. Their debt ratio was decreasing, which indicates a positive sign.</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32"/>
        <w:tblW w:w="726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88"/>
        <w:gridCol w:w="2325"/>
        <w:gridCol w:w="2644"/>
        <w:gridCol w:w="15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57" w:hRule="atLeast"/>
          <w:jc w:val="center"/>
        </w:trPr>
        <w:tc>
          <w:tcPr>
            <w:tcW w:w="7268"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15: </w:t>
            </w:r>
            <w:r>
              <w:rPr>
                <w:rFonts w:hint="default" w:ascii="Times New Roman" w:hAnsi="Times New Roman" w:cs="Times New Roman"/>
                <w:b/>
                <w:bCs/>
                <w:sz w:val="20"/>
                <w:szCs w:val="20"/>
                <w:rtl w:val="0"/>
              </w:rPr>
              <w:t>Debt-Equity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4"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Outsiders fund</w:t>
            </w:r>
            <w:r>
              <w:rPr>
                <w:rFonts w:hint="default" w:ascii="Times New Roman" w:hAnsi="Times New Roman" w:cs="Times New Roman"/>
                <w:b/>
                <w:bCs/>
                <w:sz w:val="20"/>
                <w:szCs w:val="20"/>
                <w:rtl w:val="0"/>
                <w:lang w:val="en-US"/>
              </w:rPr>
              <w:t xml:space="preserve"> (in 000’s)</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(in 000’s)</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rtl w:val="0"/>
              </w:rPr>
              <w:t>Debt Equity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59"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2019</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 xml:space="preserve"> 24,16,99,27</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16,90,69,04</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1.4</w:t>
            </w:r>
            <w:r>
              <w:rPr>
                <w:rFonts w:hint="default" w:ascii="Times New Roman" w:hAnsi="Times New Roman" w:cs="Times New Roman"/>
                <w:sz w:val="20"/>
                <w:szCs w:val="20"/>
                <w:rtl w:val="0"/>
                <w:lang w:val="en-US"/>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49"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2020</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32,63,61,60</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20,50,60,1</w:t>
            </w:r>
            <w:r>
              <w:rPr>
                <w:rFonts w:hint="default" w:ascii="Times New Roman" w:hAnsi="Times New Roman" w:cs="Times New Roman"/>
                <w:sz w:val="20"/>
                <w:szCs w:val="20"/>
                <w:rtl w:val="0"/>
                <w:lang w:val="en-US"/>
              </w:rPr>
              <w:t>7</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2"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2021</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30,06,60,7</w:t>
            </w:r>
            <w:r>
              <w:rPr>
                <w:rFonts w:hint="default" w:ascii="Times New Roman" w:hAnsi="Times New Roman" w:cs="Times New Roman"/>
                <w:sz w:val="20"/>
                <w:szCs w:val="20"/>
                <w:rtl w:val="0"/>
                <w:lang w:val="en-US"/>
              </w:rPr>
              <w:t>9</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21,55,65,34</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1.39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7"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2022</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32,77,77,3</w:t>
            </w:r>
            <w:r>
              <w:rPr>
                <w:rFonts w:hint="default" w:ascii="Times New Roman" w:hAnsi="Times New Roman" w:cs="Times New Roman"/>
                <w:sz w:val="20"/>
                <w:szCs w:val="20"/>
                <w:rtl w:val="0"/>
                <w:lang w:val="en-US"/>
              </w:rPr>
              <w:t>5</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23,27,51,99</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1.4</w:t>
            </w:r>
            <w:r>
              <w:rPr>
                <w:rFonts w:hint="default" w:ascii="Times New Roman" w:hAnsi="Times New Roman" w:cs="Times New Roman"/>
                <w:sz w:val="20"/>
                <w:szCs w:val="20"/>
                <w:rtl w:val="0"/>
                <w:lang w:val="en-US"/>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34" w:hRule="atLeast"/>
          <w:jc w:val="center"/>
        </w:trPr>
        <w:tc>
          <w:tcPr>
            <w:tcW w:w="788"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2023</w:t>
            </w:r>
          </w:p>
        </w:tc>
        <w:tc>
          <w:tcPr>
            <w:tcW w:w="232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35,64,03,81</w:t>
            </w:r>
          </w:p>
        </w:tc>
        <w:tc>
          <w:tcPr>
            <w:tcW w:w="2644"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25,48,32,23</w:t>
            </w:r>
          </w:p>
        </w:tc>
        <w:tc>
          <w:tcPr>
            <w:tcW w:w="1511"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lang w:val="en-US"/>
              </w:rPr>
            </w:pPr>
            <w:r>
              <w:rPr>
                <w:rFonts w:hint="default" w:ascii="Times New Roman" w:hAnsi="Times New Roman" w:cs="Times New Roman"/>
                <w:sz w:val="20"/>
                <w:szCs w:val="20"/>
                <w:rtl w:val="0"/>
              </w:rPr>
              <w:t>1.</w:t>
            </w:r>
            <w:r>
              <w:rPr>
                <w:rFonts w:hint="default" w:ascii="Times New Roman" w:hAnsi="Times New Roman" w:cs="Times New Roman"/>
                <w:sz w:val="20"/>
                <w:szCs w:val="20"/>
                <w:rtl w:val="0"/>
                <w:lang w:val="en-US"/>
              </w:rPr>
              <w:t>40</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Interpretation</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 In the above table given, the debt-equity ratio for the given years shows that the bank has been relying more on debt financing, as the ratio is consistently above 1. A high debt-equity ratio can indicate that the bank is taking on more financial risk and may have to pay higher interest expenses on its debt, which can affect its profitability and cash flow.</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p>
    <w:tbl>
      <w:tblPr>
        <w:tblStyle w:val="33"/>
        <w:tblW w:w="729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99"/>
        <w:gridCol w:w="2685"/>
        <w:gridCol w:w="2100"/>
        <w:gridCol w:w="17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82" w:hRule="atLeast"/>
          <w:jc w:val="center"/>
        </w:trPr>
        <w:tc>
          <w:tcPr>
            <w:tcW w:w="7294"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sz w:val="20"/>
                <w:szCs w:val="20"/>
                <w:rtl w:val="0"/>
              </w:rPr>
              <w:br w:type="page"/>
            </w: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16: </w:t>
            </w:r>
            <w:r>
              <w:rPr>
                <w:rFonts w:hint="default" w:ascii="Times New Roman" w:hAnsi="Times New Roman" w:cs="Times New Roman"/>
                <w:b/>
                <w:bCs/>
                <w:sz w:val="20"/>
                <w:szCs w:val="20"/>
                <w:rtl w:val="0"/>
              </w:rPr>
              <w:t>Proprietary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8"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lang w:val="en-US"/>
              </w:rPr>
              <w:t>Y</w:t>
            </w:r>
            <w:r>
              <w:rPr>
                <w:rFonts w:hint="default" w:ascii="Times New Roman" w:hAnsi="Times New Roman" w:cs="Times New Roman"/>
                <w:b/>
                <w:bCs/>
                <w:sz w:val="20"/>
                <w:szCs w:val="20"/>
                <w:rtl w:val="0"/>
              </w:rPr>
              <w:t>ear</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Shareholder’s fund</w:t>
            </w:r>
            <w:r>
              <w:rPr>
                <w:rFonts w:hint="default" w:ascii="Times New Roman" w:hAnsi="Times New Roman" w:cs="Times New Roman"/>
                <w:b/>
                <w:bCs/>
                <w:sz w:val="20"/>
                <w:szCs w:val="20"/>
                <w:rtl w:val="0"/>
                <w:lang w:val="en-US"/>
              </w:rPr>
              <w:t xml:space="preserve"> (in 000’s)</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Total Assets</w:t>
            </w:r>
            <w:r>
              <w:rPr>
                <w:rFonts w:hint="default" w:ascii="Times New Roman" w:hAnsi="Times New Roman" w:cs="Times New Roman"/>
                <w:b/>
                <w:bCs/>
                <w:sz w:val="20"/>
                <w:szCs w:val="20"/>
                <w:rtl w:val="0"/>
                <w:lang w:val="en-US"/>
              </w:rPr>
              <w:t xml:space="preserve"> (in 000’s)</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Proprietary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16,90,69,04</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1,91,89,13,12</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20,50,60,1</w:t>
            </w:r>
            <w:r>
              <w:rPr>
                <w:rFonts w:hint="default" w:ascii="Times New Roman" w:hAnsi="Times New Roman" w:cs="Times New Roman"/>
                <w:b w:val="0"/>
                <w:bCs w:val="0"/>
                <w:sz w:val="20"/>
                <w:szCs w:val="20"/>
                <w:rtl w:val="0"/>
                <w:lang w:val="en-US"/>
              </w:rPr>
              <w:t>7</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3,33,28,35,0</w:t>
            </w:r>
            <w:r>
              <w:rPr>
                <w:rFonts w:hint="default" w:ascii="Times New Roman" w:hAnsi="Times New Roman" w:cs="Times New Roman"/>
                <w:b w:val="0"/>
                <w:bCs w:val="0"/>
                <w:sz w:val="20"/>
                <w:szCs w:val="20"/>
                <w:rtl w:val="0"/>
                <w:lang w:val="en-US"/>
              </w:rPr>
              <w:t>6</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6.15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21,55,65,34</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3,53,23,04,24</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6.10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79"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23,27,51,99</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3,67,21,50,3</w:t>
            </w:r>
            <w:r>
              <w:rPr>
                <w:rFonts w:hint="default" w:ascii="Times New Roman" w:hAnsi="Times New Roman" w:cs="Times New Roman"/>
                <w:b w:val="0"/>
                <w:bCs w:val="0"/>
                <w:sz w:val="20"/>
                <w:szCs w:val="20"/>
                <w:rtl w:val="0"/>
                <w:lang w:val="en-US"/>
              </w:rPr>
              <w:t>4</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6.3</w:t>
            </w:r>
            <w:r>
              <w:rPr>
                <w:rFonts w:hint="default" w:ascii="Times New Roman" w:hAnsi="Times New Roman" w:cs="Times New Roman"/>
                <w:b w:val="0"/>
                <w:bCs w:val="0"/>
                <w:sz w:val="20"/>
                <w:szCs w:val="20"/>
                <w:rtl w:val="0"/>
                <w:lang w:val="en-US"/>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64" w:hRule="atLeast"/>
          <w:jc w:val="center"/>
        </w:trPr>
        <w:tc>
          <w:tcPr>
            <w:tcW w:w="799"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268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25,48,32,23</w:t>
            </w:r>
          </w:p>
        </w:tc>
        <w:tc>
          <w:tcPr>
            <w:tcW w:w="210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3,98,01,43,98</w:t>
            </w:r>
          </w:p>
        </w:tc>
        <w:tc>
          <w:tcPr>
            <w:tcW w:w="171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6.40</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tl w:val="0"/>
        </w:rPr>
      </w:pPr>
      <w:r>
        <w:rPr>
          <w:rFonts w:hint="default" w:ascii="Times New Roman" w:hAnsi="Times New Roman" w:cs="Times New Roman"/>
          <w:sz w:val="20"/>
          <w:szCs w:val="20"/>
          <w:rtl w:val="0"/>
        </w:rPr>
        <w:t xml:space="preserve">The above-given data shows that the bank's proprietary ratio has generally decreased from 2019 to 2023, indicating that the bank is becoming more reliant on debt financing. However, in 2022, the ratio has increased slightly, indicating that the bank has become less reliant on debt financing and has a stronger financial position.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tl w:val="0"/>
        </w:rPr>
      </w:pPr>
    </w:p>
    <w:tbl>
      <w:tblPr>
        <w:tblStyle w:val="34"/>
        <w:tblW w:w="723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821"/>
        <w:gridCol w:w="1965"/>
        <w:gridCol w:w="2580"/>
        <w:gridCol w:w="18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407" w:hRule="atLeast"/>
          <w:jc w:val="center"/>
        </w:trPr>
        <w:tc>
          <w:tcPr>
            <w:tcW w:w="7235"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17: </w:t>
            </w:r>
            <w:r>
              <w:rPr>
                <w:rFonts w:hint="default" w:ascii="Times New Roman" w:hAnsi="Times New Roman" w:cs="Times New Roman"/>
                <w:b/>
                <w:bCs/>
                <w:sz w:val="20"/>
                <w:szCs w:val="20"/>
                <w:rtl w:val="0"/>
              </w:rPr>
              <w:t>Liquid Assets to Demand Deposits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19"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Liquid Assets</w:t>
            </w:r>
            <w:r>
              <w:rPr>
                <w:rFonts w:hint="default" w:ascii="Times New Roman" w:hAnsi="Times New Roman" w:cs="Times New Roman"/>
                <w:b/>
                <w:bCs/>
                <w:sz w:val="20"/>
                <w:szCs w:val="20"/>
                <w:rtl w:val="0"/>
                <w:lang w:val="en-US"/>
              </w:rPr>
              <w:t xml:space="preserve"> (in 000’s)</w:t>
            </w:r>
          </w:p>
        </w:tc>
        <w:tc>
          <w:tcPr>
            <w:tcW w:w="25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Demand Deposit</w:t>
            </w:r>
            <w:r>
              <w:rPr>
                <w:rFonts w:hint="default" w:ascii="Times New Roman" w:hAnsi="Times New Roman" w:cs="Times New Roman"/>
                <w:b/>
                <w:bCs/>
                <w:sz w:val="20"/>
                <w:szCs w:val="20"/>
                <w:rtl w:val="0"/>
                <w:lang w:val="en-US"/>
              </w:rPr>
              <w:t xml:space="preserve"> (in 000’s)</w:t>
            </w:r>
          </w:p>
        </w:tc>
        <w:tc>
          <w:tcPr>
            <w:tcW w:w="186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Liquid Assets to Demand Deposits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330"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29,46,13,13</w:t>
            </w:r>
          </w:p>
        </w:tc>
        <w:tc>
          <w:tcPr>
            <w:tcW w:w="25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4,06,26,76</w:t>
            </w:r>
          </w:p>
        </w:tc>
        <w:tc>
          <w:tcPr>
            <w:tcW w:w="186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9"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83,66,30,70</w:t>
            </w:r>
          </w:p>
        </w:tc>
        <w:tc>
          <w:tcPr>
            <w:tcW w:w="25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7,85,67,9</w:t>
            </w:r>
            <w:r>
              <w:rPr>
                <w:rFonts w:hint="default" w:ascii="Times New Roman" w:hAnsi="Times New Roman" w:cs="Times New Roman"/>
                <w:b w:val="0"/>
                <w:bCs w:val="0"/>
                <w:sz w:val="20"/>
                <w:szCs w:val="20"/>
                <w:rtl w:val="0"/>
                <w:lang w:val="en-US"/>
              </w:rPr>
              <w:t>3</w:t>
            </w:r>
          </w:p>
        </w:tc>
        <w:tc>
          <w:tcPr>
            <w:tcW w:w="186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10.6</w:t>
            </w:r>
            <w:r>
              <w:rPr>
                <w:rFonts w:hint="default" w:ascii="Times New Roman" w:hAnsi="Times New Roman" w:cs="Times New Roman"/>
                <w:b w:val="0"/>
                <w:bCs w:val="0"/>
                <w:sz w:val="20"/>
                <w:szCs w:val="20"/>
                <w:rtl w:val="0"/>
                <w:lang w:val="en-US"/>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77"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85,99,85,33</w:t>
            </w:r>
          </w:p>
        </w:tc>
        <w:tc>
          <w:tcPr>
            <w:tcW w:w="25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10,27,15,70</w:t>
            </w:r>
          </w:p>
        </w:tc>
        <w:tc>
          <w:tcPr>
            <w:tcW w:w="186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90"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78,77,56,61</w:t>
            </w:r>
          </w:p>
        </w:tc>
        <w:tc>
          <w:tcPr>
            <w:tcW w:w="25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5,80,61,40</w:t>
            </w:r>
          </w:p>
        </w:tc>
        <w:tc>
          <w:tcPr>
            <w:tcW w:w="186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13.5</w:t>
            </w:r>
            <w:r>
              <w:rPr>
                <w:rFonts w:hint="default" w:ascii="Times New Roman" w:hAnsi="Times New Roman" w:cs="Times New Roman"/>
                <w:b w:val="0"/>
                <w:bCs w:val="0"/>
                <w:sz w:val="20"/>
                <w:szCs w:val="20"/>
                <w:rtl w:val="0"/>
                <w:lang w:val="en-US"/>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69" w:hRule="atLeast"/>
          <w:jc w:val="center"/>
        </w:trPr>
        <w:tc>
          <w:tcPr>
            <w:tcW w:w="821"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19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82,96,60,11</w:t>
            </w:r>
          </w:p>
        </w:tc>
        <w:tc>
          <w:tcPr>
            <w:tcW w:w="2580"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7,29,04,20</w:t>
            </w:r>
          </w:p>
        </w:tc>
        <w:tc>
          <w:tcPr>
            <w:tcW w:w="1869"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11.38</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Interpretation</w:t>
      </w:r>
      <w:r>
        <w:rPr>
          <w:rFonts w:hint="default" w:ascii="Times New Roman" w:hAnsi="Times New Roman" w:cs="Times New Roman"/>
          <w:b/>
          <w:bCs/>
          <w:sz w:val="24"/>
          <w:szCs w:val="24"/>
          <w:rtl w:val="0"/>
        </w:rPr>
        <w:t xml:space="preserve">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r>
        <w:rPr>
          <w:rFonts w:hint="default" w:ascii="Times New Roman" w:hAnsi="Times New Roman" w:cs="Times New Roman"/>
          <w:sz w:val="20"/>
          <w:szCs w:val="20"/>
          <w:rtl w:val="0"/>
        </w:rPr>
        <w:t>The above table shows that the liquid asset-to-demand deposit ratio has fluctuated over the years. It indicates the bank's ability to meet its short-term obligations. In 2019, the ratio was 7.25%, which increased to 10.6% in 2020. It indicates that the bank has been able to increase its liquid assets relative to its demand deposits over the years, which is a positive sign.</w:t>
      </w:r>
      <w:r>
        <w:rPr>
          <w:rFonts w:hint="default" w:ascii="Times New Roman" w:hAnsi="Times New Roman" w:cs="Times New Roman"/>
          <w:sz w:val="20"/>
          <w:szCs w:val="20"/>
          <w:rtl w:val="0"/>
          <w:lang w:val="en-US"/>
        </w:rPr>
        <w:t xml:space="preserve"> After</w:t>
      </w:r>
      <w:r>
        <w:rPr>
          <w:rFonts w:hint="default" w:ascii="Times New Roman" w:hAnsi="Times New Roman" w:cs="Times New Roman"/>
          <w:sz w:val="20"/>
          <w:szCs w:val="20"/>
          <w:rtl w:val="0"/>
        </w:rPr>
        <w:t xml:space="preserve"> </w:t>
      </w:r>
      <w:r>
        <w:rPr>
          <w:rFonts w:hint="default" w:ascii="Times New Roman" w:hAnsi="Times New Roman" w:cs="Times New Roman"/>
          <w:sz w:val="20"/>
          <w:szCs w:val="20"/>
          <w:rtl w:val="0"/>
          <w:lang w:val="en-US"/>
        </w:rPr>
        <w:t>that,</w:t>
      </w:r>
      <w:r>
        <w:rPr>
          <w:rFonts w:hint="default" w:ascii="Times New Roman" w:hAnsi="Times New Roman" w:cs="Times New Roman"/>
          <w:sz w:val="20"/>
          <w:szCs w:val="20"/>
          <w:rtl w:val="0"/>
        </w:rPr>
        <w:t xml:space="preserve"> the </w:t>
      </w:r>
      <w:r>
        <w:rPr>
          <w:rFonts w:hint="default" w:ascii="Times New Roman" w:hAnsi="Times New Roman" w:cs="Times New Roman"/>
          <w:sz w:val="20"/>
          <w:szCs w:val="20"/>
          <w:rtl w:val="0"/>
          <w:lang w:val="en-US"/>
        </w:rPr>
        <w:t>demand for</w:t>
      </w:r>
      <w:r>
        <w:rPr>
          <w:rFonts w:hint="default" w:ascii="Times New Roman" w:hAnsi="Times New Roman" w:cs="Times New Roman"/>
          <w:sz w:val="20"/>
          <w:szCs w:val="20"/>
          <w:rtl w:val="0"/>
        </w:rPr>
        <w:t xml:space="preserve"> </w:t>
      </w:r>
      <w:r>
        <w:rPr>
          <w:rFonts w:hint="default" w:ascii="Times New Roman" w:hAnsi="Times New Roman" w:cs="Times New Roman"/>
          <w:sz w:val="20"/>
          <w:szCs w:val="20"/>
          <w:rtl w:val="0"/>
          <w:lang w:val="en-US"/>
        </w:rPr>
        <w:t>deposits</w:t>
      </w:r>
      <w:r>
        <w:rPr>
          <w:rFonts w:hint="default" w:ascii="Times New Roman" w:hAnsi="Times New Roman" w:cs="Times New Roman"/>
          <w:sz w:val="20"/>
          <w:szCs w:val="20"/>
          <w:rtl w:val="0"/>
        </w:rPr>
        <w:t xml:space="preserve"> gradually </w:t>
      </w:r>
      <w:r>
        <w:rPr>
          <w:rFonts w:hint="default" w:ascii="Times New Roman" w:hAnsi="Times New Roman" w:cs="Times New Roman"/>
          <w:sz w:val="20"/>
          <w:szCs w:val="20"/>
          <w:rtl w:val="0"/>
          <w:lang w:val="en-US"/>
        </w:rPr>
        <w:t>increases,</w:t>
      </w:r>
      <w:r>
        <w:rPr>
          <w:rFonts w:hint="default" w:ascii="Times New Roman" w:hAnsi="Times New Roman" w:cs="Times New Roman"/>
          <w:sz w:val="20"/>
          <w:szCs w:val="20"/>
          <w:rtl w:val="0"/>
        </w:rPr>
        <w:t xml:space="preserve"> but liquid </w:t>
      </w:r>
      <w:r>
        <w:rPr>
          <w:rFonts w:hint="default" w:ascii="Times New Roman" w:hAnsi="Times New Roman" w:cs="Times New Roman"/>
          <w:sz w:val="20"/>
          <w:szCs w:val="20"/>
          <w:rtl w:val="0"/>
          <w:lang w:val="en-US"/>
        </w:rPr>
        <w:t>assets</w:t>
      </w:r>
      <w:r>
        <w:rPr>
          <w:rFonts w:hint="default" w:ascii="Times New Roman" w:hAnsi="Times New Roman" w:cs="Times New Roman"/>
          <w:sz w:val="20"/>
          <w:szCs w:val="20"/>
          <w:rtl w:val="0"/>
        </w:rPr>
        <w:t xml:space="preserve"> </w:t>
      </w:r>
      <w:r>
        <w:rPr>
          <w:rFonts w:hint="default" w:ascii="Times New Roman" w:hAnsi="Times New Roman" w:cs="Times New Roman"/>
          <w:sz w:val="20"/>
          <w:szCs w:val="20"/>
          <w:rtl w:val="0"/>
          <w:lang w:val="en-US"/>
        </w:rPr>
        <w:t>do</w:t>
      </w:r>
      <w:r>
        <w:rPr>
          <w:rFonts w:hint="default" w:ascii="Times New Roman" w:hAnsi="Times New Roman" w:cs="Times New Roman"/>
          <w:sz w:val="20"/>
          <w:szCs w:val="20"/>
          <w:rtl w:val="0"/>
        </w:rPr>
        <w:t xml:space="preserve"> not </w:t>
      </w:r>
      <w:r>
        <w:rPr>
          <w:rFonts w:hint="default" w:ascii="Times New Roman" w:hAnsi="Times New Roman" w:cs="Times New Roman"/>
          <w:sz w:val="20"/>
          <w:szCs w:val="20"/>
          <w:rtl w:val="0"/>
          <w:lang w:val="en-US"/>
        </w:rPr>
        <w:t>increase</w:t>
      </w:r>
      <w:r>
        <w:rPr>
          <w:rFonts w:hint="default" w:ascii="Times New Roman" w:hAnsi="Times New Roman" w:cs="Times New Roman"/>
          <w:sz w:val="20"/>
          <w:szCs w:val="20"/>
          <w:rtl w:val="0"/>
        </w:rPr>
        <w:t xml:space="preserve"> in the same </w:t>
      </w:r>
      <w:r>
        <w:rPr>
          <w:rFonts w:hint="default" w:ascii="Times New Roman" w:hAnsi="Times New Roman" w:cs="Times New Roman"/>
          <w:sz w:val="20"/>
          <w:szCs w:val="20"/>
          <w:rtl w:val="0"/>
          <w:lang w:val="en-US"/>
        </w:rPr>
        <w:t>proportion,</w:t>
      </w:r>
      <w:r>
        <w:rPr>
          <w:rFonts w:hint="default" w:ascii="Times New Roman" w:hAnsi="Times New Roman" w:cs="Times New Roman"/>
          <w:sz w:val="20"/>
          <w:szCs w:val="20"/>
          <w:rtl w:val="0"/>
        </w:rPr>
        <w:t xml:space="preserve"> which brings down the ratio in 2021.</w:t>
      </w:r>
      <w:r>
        <w:rPr>
          <w:rFonts w:hint="default" w:ascii="Times New Roman" w:hAnsi="Times New Roman" w:cs="Times New Roman"/>
          <w:sz w:val="24"/>
          <w:szCs w:val="24"/>
          <w:rtl w:val="0"/>
        </w:rPr>
        <w:t xml:space="preserve">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p>
    <w:tbl>
      <w:tblPr>
        <w:tblStyle w:val="35"/>
        <w:tblW w:w="721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902"/>
        <w:gridCol w:w="2295"/>
        <w:gridCol w:w="2565"/>
        <w:gridCol w:w="14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96" w:hRule="atLeast"/>
          <w:jc w:val="center"/>
        </w:trPr>
        <w:tc>
          <w:tcPr>
            <w:tcW w:w="7217" w:type="dxa"/>
            <w:gridSpan w:val="4"/>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18: </w:t>
            </w:r>
            <w:r>
              <w:rPr>
                <w:rFonts w:hint="default" w:ascii="Times New Roman" w:hAnsi="Times New Roman" w:cs="Times New Roman"/>
                <w:b/>
                <w:bCs/>
                <w:sz w:val="20"/>
                <w:szCs w:val="20"/>
                <w:rtl w:val="0"/>
              </w:rPr>
              <w:t>Current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82"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Year</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 xml:space="preserve">Current </w:t>
            </w:r>
            <w:r>
              <w:rPr>
                <w:rFonts w:hint="default" w:ascii="Times New Roman" w:hAnsi="Times New Roman" w:cs="Times New Roman"/>
                <w:b/>
                <w:bCs/>
                <w:sz w:val="20"/>
                <w:szCs w:val="20"/>
                <w:rtl w:val="0"/>
                <w:lang w:val="en-US"/>
              </w:rPr>
              <w:t>Assets (in 000’s)</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lang w:val="en-US"/>
              </w:rPr>
            </w:pPr>
            <w:r>
              <w:rPr>
                <w:rFonts w:hint="default" w:ascii="Times New Roman" w:hAnsi="Times New Roman" w:cs="Times New Roman"/>
                <w:b/>
                <w:bCs/>
                <w:sz w:val="20"/>
                <w:szCs w:val="20"/>
                <w:rtl w:val="0"/>
              </w:rPr>
              <w:t>Current Liability</w:t>
            </w:r>
            <w:r>
              <w:rPr>
                <w:rFonts w:hint="default" w:ascii="Times New Roman" w:hAnsi="Times New Roman" w:cs="Times New Roman"/>
                <w:b/>
                <w:bCs/>
                <w:sz w:val="20"/>
                <w:szCs w:val="20"/>
                <w:rtl w:val="0"/>
                <w:lang w:val="en-US"/>
              </w:rPr>
              <w:t xml:space="preserve"> (in 000’s)</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Current Ratio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52"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2019</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29,46,13,13</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8,66,77,1</w:t>
            </w:r>
            <w:r>
              <w:rPr>
                <w:rFonts w:hint="default" w:ascii="Times New Roman" w:hAnsi="Times New Roman" w:cs="Times New Roman"/>
                <w:b w:val="0"/>
                <w:bCs w:val="0"/>
                <w:sz w:val="20"/>
                <w:szCs w:val="20"/>
                <w:rtl w:val="0"/>
                <w:lang w:val="en-US"/>
              </w:rPr>
              <w:t>7</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3.</w:t>
            </w:r>
            <w:r>
              <w:rPr>
                <w:rFonts w:hint="default" w:ascii="Times New Roman" w:hAnsi="Times New Roman" w:cs="Times New Roman"/>
                <w:b w:val="0"/>
                <w:bCs w:val="0"/>
                <w:sz w:val="20"/>
                <w:szCs w:val="20"/>
                <w:rtl w:val="0"/>
                <w:lang w:val="en-US"/>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32"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2020</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83,66,30,70</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14,46,82,17</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lang w:val="en-US"/>
              </w:rPr>
            </w:pPr>
            <w:r>
              <w:rPr>
                <w:rFonts w:hint="default" w:ascii="Times New Roman" w:hAnsi="Times New Roman" w:cs="Times New Roman"/>
                <w:b w:val="0"/>
                <w:bCs w:val="0"/>
                <w:sz w:val="20"/>
                <w:szCs w:val="20"/>
                <w:rtl w:val="0"/>
              </w:rPr>
              <w:t>5.7</w:t>
            </w:r>
            <w:r>
              <w:rPr>
                <w:rFonts w:hint="default" w:ascii="Times New Roman" w:hAnsi="Times New Roman" w:cs="Times New Roman"/>
                <w:b w:val="0"/>
                <w:bCs w:val="0"/>
                <w:sz w:val="20"/>
                <w:szCs w:val="20"/>
                <w:rtl w:val="0"/>
                <w:lang w:val="en-US"/>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180"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2021</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85,99,85,33</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8,94,80,01</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9"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2022</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78,77,56,61</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7,87,47,28</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34" w:hRule="atLeast"/>
          <w:jc w:val="center"/>
        </w:trPr>
        <w:tc>
          <w:tcPr>
            <w:tcW w:w="902" w:type="dxa"/>
            <w:tcBorders>
              <w:top w:val="single" w:color="CCCCCC" w:sz="4" w:space="0"/>
              <w:left w:val="single" w:color="000000" w:sz="6"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2023</w:t>
            </w:r>
          </w:p>
        </w:tc>
        <w:tc>
          <w:tcPr>
            <w:tcW w:w="229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82,96,60,11</w:t>
            </w:r>
          </w:p>
        </w:tc>
        <w:tc>
          <w:tcPr>
            <w:tcW w:w="256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7,15,19,89</w:t>
            </w:r>
          </w:p>
        </w:tc>
        <w:tc>
          <w:tcPr>
            <w:tcW w:w="1455" w:type="dxa"/>
            <w:tcBorders>
              <w:top w:val="single" w:color="CCCCCC" w:sz="4" w:space="0"/>
              <w:left w:val="single" w:color="CCCCCC" w:sz="4" w:space="0"/>
              <w:bottom w:val="single" w:color="000000" w:sz="6" w:space="0"/>
              <w:right w:val="single" w:color="000000" w:sz="6" w:space="0"/>
            </w:tcBorders>
            <w:shd w:val="clear" w:color="auto" w:fill="auto"/>
            <w:tcMar>
              <w:top w:w="40" w:type="dxa"/>
              <w:left w:w="40" w:type="dxa"/>
              <w:bottom w:w="40" w:type="dxa"/>
              <w:right w:w="40" w:type="dxa"/>
            </w:tcMar>
            <w:vAlign w:val="bottom"/>
          </w:tcPr>
          <w:p>
            <w:pPr>
              <w:keepNext w:val="0"/>
              <w:keepLines w:val="0"/>
              <w:pageBreakBefore w:val="0"/>
              <w:widowControl w:val="0"/>
              <w:kinsoku/>
              <w:wordWrap/>
              <w:overflowPunct/>
              <w:topLinePunct w:val="0"/>
              <w:autoSpaceDE/>
              <w:autoSpaceDN/>
              <w:bidi w:val="0"/>
              <w:adjustRightInd/>
              <w:snapToGrid/>
              <w:spacing w:line="240" w:lineRule="auto"/>
              <w:jc w:val="center"/>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11.6</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tl w:val="0"/>
        </w:rPr>
        <w:t>The above table shows the current ratio for 2019 to 2023.2016-17. All the current ratios are more significant than 1, which indicates that the company has sufficient existing assets to cover its current liabilities. Moreover, the current ratio has generally increased, with a notable spike in 2021. The company's high current ratio in 2022 may be due to the significant increase in existing assets, and it could be a positive sign for the company's liquidity position. Still, a high current ratio could indicate that the company needs to use its assets more effectively.</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val="0"/>
          <w:bCs w:val="0"/>
          <w:sz w:val="20"/>
          <w:szCs w:val="20"/>
          <w:lang w:val="en-US"/>
        </w:rPr>
      </w:pPr>
      <w:r>
        <w:rPr>
          <w:rFonts w:hint="default" w:ascii="Times New Roman" w:hAnsi="Times New Roman" w:cs="Times New Roman"/>
          <w:b/>
          <w:bCs/>
          <w:sz w:val="20"/>
          <w:szCs w:val="20"/>
          <w:lang w:val="en-US"/>
        </w:rPr>
        <w:t xml:space="preserve">DuPont Analysis: </w:t>
      </w:r>
      <w:r>
        <w:rPr>
          <w:rFonts w:hint="default" w:ascii="Times New Roman" w:hAnsi="Times New Roman" w:cs="Times New Roman"/>
          <w:b w:val="0"/>
          <w:bCs w:val="0"/>
          <w:sz w:val="20"/>
          <w:szCs w:val="20"/>
          <w:lang w:val="en-US"/>
        </w:rPr>
        <w:t xml:space="preserve">Dupont Analysis is a financial performance measurement tool that provides a comprehensive overview of a company's profitability and efficiency. It breaks down the return on equity (ROE) into three key components: profit margin, asset turnover, and financial leverage.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lang w:val="en-US"/>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Profit margin measures the company's ability to generate profits from its sales. It is calculated by dividing net income by total revenue. A higher profit margin indicates that the company is efficient in controlling costs and generating profits.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lang w:val="en-US"/>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Asset turnover measures the company's efficiency in utilizing its assets to generate sales. It is calculated by dividing total revenue by average total assets. A higher asset turnover indicates that the company is effectively using its assets to generate revenue.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lang w:val="en-US"/>
        </w:rPr>
      </w:pPr>
    </w:p>
    <w:tbl>
      <w:tblPr>
        <w:tblStyle w:val="35"/>
        <w:tblpPr w:leftFromText="180" w:rightFromText="180" w:vertAnchor="text" w:horzAnchor="page" w:tblpX="2599" w:tblpY="624"/>
        <w:tblOverlap w:val="never"/>
        <w:tblW w:w="71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00" w:type="dxa"/>
          <w:left w:w="100" w:type="dxa"/>
          <w:bottom w:w="100" w:type="dxa"/>
          <w:right w:w="100" w:type="dxa"/>
        </w:tblCellMar>
      </w:tblPr>
      <w:tblGrid>
        <w:gridCol w:w="7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00" w:type="dxa"/>
            <w:left w:w="100" w:type="dxa"/>
            <w:bottom w:w="100" w:type="dxa"/>
            <w:right w:w="100" w:type="dxa"/>
          </w:tblCellMar>
        </w:tblPrEx>
        <w:trPr>
          <w:trHeight w:val="241" w:hRule="atLeast"/>
        </w:trPr>
        <w:tc>
          <w:tcPr>
            <w:tcW w:w="7110" w:type="dxa"/>
            <w:tcBorders>
              <w:top w:val="single" w:color="000000" w:sz="6" w:space="0"/>
              <w:left w:val="single" w:color="000000" w:sz="6" w:space="0"/>
              <w:bottom w:val="single" w:color="000000" w:sz="6" w:space="0"/>
              <w:right w:val="single" w:color="000000" w:sz="6" w:space="0"/>
            </w:tcBorders>
            <w:tcMar>
              <w:top w:w="40" w:type="dxa"/>
              <w:left w:w="40" w:type="dxa"/>
              <w:bottom w:w="40" w:type="dxa"/>
              <w:right w:w="40" w:type="dxa"/>
            </w:tcMar>
            <w:vAlign w:val="bottom"/>
          </w:tcPr>
          <w:p>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Table </w:t>
            </w:r>
            <w:r>
              <w:rPr>
                <w:rFonts w:hint="default" w:ascii="Times New Roman" w:hAnsi="Times New Roman" w:cs="Times New Roman"/>
                <w:b/>
                <w:bCs/>
                <w:sz w:val="20"/>
                <w:szCs w:val="20"/>
                <w:rtl w:val="0"/>
                <w:lang w:val="en-US"/>
              </w:rPr>
              <w:t xml:space="preserve">19: </w:t>
            </w:r>
            <w:r>
              <w:rPr>
                <w:rFonts w:hint="default" w:ascii="Times New Roman" w:hAnsi="Times New Roman" w:cs="Times New Roman"/>
                <w:b/>
                <w:bCs/>
                <w:sz w:val="20"/>
                <w:szCs w:val="20"/>
                <w:lang w:val="en-US"/>
              </w:rPr>
              <w:t>DuPont Analysis</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lang w:val="en-US"/>
        </w:rPr>
      </w:pPr>
      <w:r>
        <w:rPr>
          <w:rFonts w:hint="default" w:ascii="Times New Roman" w:hAnsi="Times New Roman" w:cs="Times New Roman"/>
          <w:b w:val="0"/>
          <w:bCs w:val="0"/>
          <w:sz w:val="20"/>
          <w:szCs w:val="20"/>
          <w:lang w:val="en-US"/>
        </w:rPr>
        <w:t>Financial leverage measures the company's use of debt to finance its operations. It is calculated by dividing average total assets by average shareholders' equity. A higher financial leverage indicates that the company relies more on debt to finance its operations.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lang w:val="en-US"/>
        </w:rPr>
      </w:pPr>
    </w:p>
    <w:tbl>
      <w:tblPr>
        <w:tblStyle w:val="9"/>
        <w:tblW w:w="71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855"/>
        <w:gridCol w:w="2310"/>
        <w:gridCol w:w="2235"/>
        <w:gridCol w:w="17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5" w:hRule="atLeast"/>
          <w:jc w:val="center"/>
        </w:trPr>
        <w:tc>
          <w:tcPr>
            <w:tcW w:w="85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Year</w:t>
            </w:r>
          </w:p>
        </w:tc>
        <w:tc>
          <w:tcPr>
            <w:tcW w:w="2310"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color w:val="auto"/>
                <w:sz w:val="20"/>
                <w:szCs w:val="20"/>
                <w:shd w:val="clear" w:color="auto" w:fill="auto"/>
              </w:rPr>
            </w:pPr>
            <w:r>
              <w:rPr>
                <w:rFonts w:hint="default" w:ascii="Times New Roman" w:hAnsi="Times New Roman" w:cs="Times New Roman"/>
                <w:b/>
                <w:bCs/>
                <w:color w:val="auto"/>
                <w:sz w:val="20"/>
                <w:szCs w:val="20"/>
                <w:shd w:val="clear" w:color="auto" w:fill="auto"/>
                <w:lang w:val="en-US" w:eastAsia="zh-CN"/>
              </w:rPr>
              <w:t>Return on Equity</w:t>
            </w:r>
          </w:p>
        </w:tc>
        <w:tc>
          <w:tcPr>
            <w:tcW w:w="223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Return on Assets</w:t>
            </w:r>
          </w:p>
        </w:tc>
        <w:tc>
          <w:tcPr>
            <w:tcW w:w="1724"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Equity Multiplier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2019</w:t>
            </w:r>
          </w:p>
        </w:tc>
        <w:tc>
          <w:tcPr>
            <w:tcW w:w="2310"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7.20%</w:t>
            </w:r>
          </w:p>
        </w:tc>
        <w:tc>
          <w:tcPr>
            <w:tcW w:w="223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0.63%</w:t>
            </w:r>
          </w:p>
        </w:tc>
        <w:tc>
          <w:tcPr>
            <w:tcW w:w="1724"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11.3499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2020</w:t>
            </w:r>
          </w:p>
        </w:tc>
        <w:tc>
          <w:tcPr>
            <w:tcW w:w="2310"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2.20%</w:t>
            </w:r>
          </w:p>
        </w:tc>
        <w:tc>
          <w:tcPr>
            <w:tcW w:w="223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0.14%</w:t>
            </w:r>
          </w:p>
        </w:tc>
        <w:tc>
          <w:tcPr>
            <w:tcW w:w="1724"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16.253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2021</w:t>
            </w:r>
          </w:p>
        </w:tc>
        <w:tc>
          <w:tcPr>
            <w:tcW w:w="2310"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4.87%</w:t>
            </w:r>
          </w:p>
        </w:tc>
        <w:tc>
          <w:tcPr>
            <w:tcW w:w="223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0.30%</w:t>
            </w:r>
          </w:p>
        </w:tc>
        <w:tc>
          <w:tcPr>
            <w:tcW w:w="1724"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16.3862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85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2022</w:t>
            </w:r>
          </w:p>
        </w:tc>
        <w:tc>
          <w:tcPr>
            <w:tcW w:w="2310"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2.69%</w:t>
            </w:r>
          </w:p>
        </w:tc>
        <w:tc>
          <w:tcPr>
            <w:tcW w:w="223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0.17%</w:t>
            </w:r>
          </w:p>
        </w:tc>
        <w:tc>
          <w:tcPr>
            <w:tcW w:w="1724"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15.7771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85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r>
              <w:rPr>
                <w:rFonts w:hint="default" w:ascii="Times New Roman" w:hAnsi="Times New Roman" w:cs="Times New Roman"/>
                <w:b/>
                <w:bCs/>
                <w:sz w:val="20"/>
                <w:szCs w:val="20"/>
                <w:lang w:val="en-US" w:eastAsia="zh-CN"/>
              </w:rPr>
              <w:t>2023</w:t>
            </w:r>
          </w:p>
        </w:tc>
        <w:tc>
          <w:tcPr>
            <w:tcW w:w="2310"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color w:val="auto"/>
                <w:sz w:val="20"/>
                <w:szCs w:val="20"/>
                <w:shd w:val="clear" w:color="auto" w:fill="auto"/>
              </w:rPr>
            </w:pPr>
            <w:r>
              <w:rPr>
                <w:rFonts w:hint="default" w:ascii="Times New Roman" w:hAnsi="Times New Roman" w:cs="Times New Roman"/>
                <w:color w:val="auto"/>
                <w:sz w:val="20"/>
                <w:szCs w:val="20"/>
                <w:shd w:val="clear" w:color="auto" w:fill="auto"/>
                <w:lang w:val="en-US" w:eastAsia="zh-CN"/>
              </w:rPr>
              <w:t>3.00%</w:t>
            </w:r>
          </w:p>
        </w:tc>
        <w:tc>
          <w:tcPr>
            <w:tcW w:w="223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0.19%</w:t>
            </w:r>
          </w:p>
        </w:tc>
        <w:tc>
          <w:tcPr>
            <w:tcW w:w="1724"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lang w:val="en-US" w:eastAsia="zh-CN"/>
              </w:rPr>
              <w:t>15.6187</w:t>
            </w:r>
          </w:p>
        </w:tc>
      </w:tr>
    </w:tbl>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numPr>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0"/>
          <w:szCs w:val="20"/>
          <w:rtl w:val="0"/>
        </w:rPr>
      </w:pPr>
      <w:r>
        <w:rPr>
          <w:rFonts w:hint="default" w:ascii="Times New Roman" w:hAnsi="Times New Roman" w:cs="Times New Roman"/>
          <w:b/>
          <w:bCs/>
          <w:sz w:val="20"/>
          <w:szCs w:val="20"/>
          <w:rtl w:val="0"/>
        </w:rPr>
        <w:t xml:space="preserve">Interpretation </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sz w:val="20"/>
          <w:szCs w:val="20"/>
          <w:rtl w:val="0"/>
        </w:rPr>
      </w:pPr>
      <w:r>
        <w:rPr>
          <w:rFonts w:hint="default" w:ascii="Times New Roman" w:hAnsi="Times New Roman" w:cs="Times New Roman"/>
          <w:b w:val="0"/>
          <w:bCs/>
          <w:sz w:val="20"/>
          <w:szCs w:val="20"/>
          <w:rtl w:val="0"/>
        </w:rPr>
        <w:t>The table above presents the financial performance of a company over a five-year period, from 2019 to 2023. The key metrics examined are the Return on Equity (ROE), Return on Assets (ROA), and Equity Multiplier.</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sz w:val="20"/>
          <w:szCs w:val="20"/>
          <w:rtl w:val="0"/>
        </w:rPr>
      </w:pPr>
      <w:r>
        <w:rPr>
          <w:rFonts w:hint="default" w:ascii="Times New Roman" w:hAnsi="Times New Roman" w:cs="Times New Roman"/>
          <w:b w:val="0"/>
          <w:bCs/>
          <w:sz w:val="20"/>
          <w:szCs w:val="20"/>
          <w:rtl w:val="0"/>
        </w:rPr>
        <w:t>Return on Equity (ROE) measures the profitability of a company from the perspective of its shareholders. In 2019, the company achieved an ROE of 7.20%, which indicates that for every dollar invested by shareholders, the company generated a return of 7.20 cents. However, in the following years, the ROE declined gradually, reaching 2.69% in 2022, and then slightly improving to 3.00% in 2023.</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sz w:val="20"/>
          <w:szCs w:val="20"/>
          <w:rtl w:val="0"/>
        </w:rPr>
      </w:pPr>
      <w:r>
        <w:rPr>
          <w:rFonts w:hint="default" w:ascii="Times New Roman" w:hAnsi="Times New Roman" w:cs="Times New Roman"/>
          <w:b w:val="0"/>
          <w:bCs/>
          <w:sz w:val="20"/>
          <w:szCs w:val="20"/>
          <w:rtl w:val="0"/>
        </w:rPr>
        <w:t>Return on Assets (ROA) is a measure of how efficiently a company utilizes its assets to generate profits. The company's ROA was 0.63% in 2019, but it decreased to 0.14% in 2020, indicating a decline in efficiency. Over the next few years, the ROA showed a modest improvement, with figures of 0.30% in 2021 and 0.19% in 2023.</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sz w:val="20"/>
          <w:szCs w:val="20"/>
          <w:rtl w:val="0"/>
        </w:rPr>
      </w:pPr>
      <w:r>
        <w:rPr>
          <w:rFonts w:hint="default" w:ascii="Times New Roman" w:hAnsi="Times New Roman" w:cs="Times New Roman"/>
          <w:b w:val="0"/>
          <w:bCs/>
          <w:sz w:val="20"/>
          <w:szCs w:val="20"/>
          <w:rtl w:val="0"/>
        </w:rPr>
        <w:t>Equity Multiplier represents the leverage or financial leverage of a company. In 2019, the company had an equity multiplier of 11.3499, indicating that its assets were financed by a factor of approximately 11.35 times its equity. The equity multiplier increased over the following years, reaching 16.3862 in 2021, before decreasing slightly to 15.6187 in 2023.</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sz w:val="20"/>
          <w:szCs w:val="20"/>
          <w:rtl w:val="0"/>
        </w:rPr>
      </w:pPr>
      <w:r>
        <w:rPr>
          <w:rFonts w:hint="default" w:ascii="Times New Roman" w:hAnsi="Times New Roman" w:cs="Times New Roman"/>
          <w:b w:val="0"/>
          <w:bCs/>
          <w:sz w:val="20"/>
          <w:szCs w:val="20"/>
          <w:rtl w:val="0"/>
        </w:rPr>
        <w:t>These financial metrics provide valuable insights into the company's performance and financial health. The declining ROE and ROA suggest that the company may be facing challenges in generating profits and efficiently utilizing its assets. The increasing equity multiplier reflects an increasing reliance on debt to finance the company's operations, which may pose additional risks.</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b w:val="0"/>
          <w:bCs/>
          <w:sz w:val="20"/>
          <w:szCs w:val="20"/>
          <w:rtl w:val="0"/>
        </w:rPr>
      </w:pPr>
      <w:r>
        <w:rPr>
          <w:rFonts w:hint="default" w:ascii="Times New Roman" w:hAnsi="Times New Roman" w:cs="Times New Roman"/>
          <w:b w:val="0"/>
          <w:bCs/>
          <w:sz w:val="20"/>
          <w:szCs w:val="20"/>
          <w:rtl w:val="0"/>
        </w:rPr>
        <w:t>It is important for stakeholders, including shareholders and potential investors, to closely monitor these financial indicators to evaluate the company's performance and make informed decisions. By analyzing trends and understanding the factors driving these metrics, stakeholders can gain a better understanding of the company's financial position and assess its future prospects.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val="0"/>
          <w:sz w:val="24"/>
          <w:szCs w:val="24"/>
          <w:rtl w:val="0"/>
          <w:lang w:val="en-US"/>
        </w:rPr>
      </w:pPr>
    </w:p>
    <w:p>
      <w:pPr>
        <w:keepNext w:val="0"/>
        <w:keepLines w:val="0"/>
        <w:pageBreakBefore w:val="0"/>
        <w:numPr>
          <w:ilvl w:val="0"/>
          <w:numId w:val="5"/>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b w:val="0"/>
          <w:bCs/>
          <w:sz w:val="20"/>
          <w:szCs w:val="20"/>
          <w:rtl w:val="0"/>
          <w:lang w:val="en-US"/>
        </w:rPr>
      </w:pPr>
      <w:r>
        <w:rPr>
          <w:rFonts w:hint="default" w:ascii="Times New Roman" w:hAnsi="Times New Roman" w:cs="Times New Roman"/>
          <w:b/>
          <w:sz w:val="20"/>
          <w:szCs w:val="20"/>
          <w:rtl w:val="0"/>
          <w:lang w:val="en-US"/>
        </w:rPr>
        <w:t xml:space="preserve">Correlation Analysis: </w:t>
      </w:r>
      <w:r>
        <w:rPr>
          <w:rFonts w:hint="default" w:ascii="Times New Roman" w:hAnsi="Times New Roman" w:cs="Times New Roman"/>
          <w:b w:val="0"/>
          <w:bCs/>
          <w:sz w:val="20"/>
          <w:szCs w:val="20"/>
          <w:rtl w:val="0"/>
          <w:lang w:val="en-US"/>
        </w:rPr>
        <w:t>C</w:t>
      </w:r>
      <w:r>
        <w:rPr>
          <w:rFonts w:hint="default" w:ascii="Times New Roman" w:hAnsi="Times New Roman"/>
          <w:b w:val="0"/>
          <w:bCs/>
          <w:sz w:val="20"/>
          <w:szCs w:val="20"/>
          <w:rtl w:val="0"/>
          <w:lang w:val="en-US"/>
        </w:rPr>
        <w:t>orrelation analysis is a statistical technique used to measure the strength and direction of the relationship between two variables. It is commonly used in research and data analysis to determine if there is a relationship between variables and to what extent they are related.</w:t>
      </w:r>
    </w:p>
    <w:p>
      <w:pPr>
        <w:keepNext w:val="0"/>
        <w:keepLines w:val="0"/>
        <w:pageBreakBefore w:val="0"/>
        <w:numPr>
          <w:numId w:val="0"/>
        </w:numP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Correlation is measured using a correlation coefficient, which ranges from -1 to +1. A correlation coefficient of +1 indicates a perfect positive correlation, meaning that as one variable increases, the other variable also increases. A correlation coefficient of -1 indicates a perfect negative correlation, meaning that as one variable increases, the other variable decreases. A correlation coefficient of 0 indicates no correlation or a weak relationship between the variables.</w:t>
      </w:r>
    </w:p>
    <w:p>
      <w:pPr>
        <w:keepNext w:val="0"/>
        <w:keepLines w:val="0"/>
        <w:pageBreakBefore w:val="0"/>
        <w:numPr>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sz w:val="20"/>
          <w:szCs w:val="20"/>
          <w:rtl w:val="0"/>
          <w:lang w:val="en-US"/>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sz w:val="24"/>
          <w:szCs w:val="24"/>
          <w:rtl w:val="0"/>
          <w:lang w:val="en-US"/>
        </w:rPr>
      </w:pPr>
    </w:p>
    <w:tbl>
      <w:tblPr>
        <w:tblStyle w:val="9"/>
        <w:tblW w:w="74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1900"/>
        <w:gridCol w:w="1845"/>
        <w:gridCol w:w="1845"/>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190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iCs/>
                <w:color w:val="000000"/>
                <w:sz w:val="20"/>
                <w:szCs w:val="20"/>
                <w:u w:val="none"/>
              </w:rPr>
            </w:pPr>
            <w:r>
              <w:rPr>
                <w:rFonts w:hint="default" w:ascii="Times New Roman" w:hAnsi="Times New Roman" w:eastAsia="SimSun" w:cs="Times New Roman"/>
                <w:i/>
                <w:iCs/>
                <w:color w:val="000000"/>
                <w:kern w:val="0"/>
                <w:sz w:val="20"/>
                <w:szCs w:val="20"/>
                <w:u w:val="none"/>
                <w:lang w:val="en-US" w:eastAsia="zh-CN" w:bidi="ar"/>
              </w:rPr>
              <w:t> </w:t>
            </w:r>
          </w:p>
        </w:tc>
        <w:tc>
          <w:tcPr>
            <w:tcW w:w="1845"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equity</w:t>
            </w:r>
          </w:p>
        </w:tc>
        <w:tc>
          <w:tcPr>
            <w:tcW w:w="1845"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assets</w:t>
            </w:r>
          </w:p>
        </w:tc>
        <w:tc>
          <w:tcPr>
            <w:tcW w:w="1881"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Equity multiplier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6" w:hRule="atLeast"/>
          <w:jc w:val="center"/>
        </w:trPr>
        <w:tc>
          <w:tcPr>
            <w:tcW w:w="190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equity</w:t>
            </w:r>
          </w:p>
        </w:tc>
        <w:tc>
          <w:tcPr>
            <w:tcW w:w="1845"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45"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i w:val="0"/>
                <w:iCs w:val="0"/>
                <w:color w:val="000000"/>
                <w:sz w:val="20"/>
                <w:szCs w:val="20"/>
                <w:u w:val="none"/>
              </w:rPr>
            </w:pPr>
          </w:p>
        </w:tc>
        <w:tc>
          <w:tcPr>
            <w:tcW w:w="1881"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4" w:hRule="atLeast"/>
          <w:jc w:val="center"/>
        </w:trPr>
        <w:tc>
          <w:tcPr>
            <w:tcW w:w="1900"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Return on assets</w:t>
            </w:r>
          </w:p>
        </w:tc>
        <w:tc>
          <w:tcPr>
            <w:tcW w:w="1845"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0.97823658</w:t>
            </w:r>
          </w:p>
        </w:tc>
        <w:tc>
          <w:tcPr>
            <w:tcW w:w="1845" w:type="dxa"/>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c>
          <w:tcPr>
            <w:tcW w:w="1881" w:type="dxa"/>
            <w:shd w:val="clear" w:color="auto" w:fill="auto"/>
            <w:vAlign w:val="bottom"/>
          </w:tcPr>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i w:val="0"/>
                <w:iCs w:val="0"/>
                <w:color w:val="000000"/>
                <w:sz w:val="20"/>
                <w:szCs w:val="20"/>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jc w:val="center"/>
        </w:trPr>
        <w:tc>
          <w:tcPr>
            <w:tcW w:w="1900" w:type="dxa"/>
            <w:tcBorders>
              <w:bottom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b/>
                <w:bCs/>
                <w:i w:val="0"/>
                <w:iCs w:val="0"/>
                <w:color w:val="000000"/>
                <w:sz w:val="20"/>
                <w:szCs w:val="20"/>
                <w:u w:val="none"/>
              </w:rPr>
            </w:pPr>
            <w:r>
              <w:rPr>
                <w:rFonts w:hint="default" w:ascii="Times New Roman" w:hAnsi="Times New Roman" w:eastAsia="SimSun" w:cs="Times New Roman"/>
                <w:b/>
                <w:bCs/>
                <w:i w:val="0"/>
                <w:iCs w:val="0"/>
                <w:color w:val="000000"/>
                <w:kern w:val="0"/>
                <w:sz w:val="20"/>
                <w:szCs w:val="20"/>
                <w:u w:val="none"/>
                <w:lang w:val="en-US" w:eastAsia="zh-CN" w:bidi="ar"/>
              </w:rPr>
              <w:t>Equity multiplier</w:t>
            </w:r>
          </w:p>
        </w:tc>
        <w:tc>
          <w:tcPr>
            <w:tcW w:w="1845" w:type="dxa"/>
            <w:tcBorders>
              <w:bottom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-0.8275045</w:t>
            </w:r>
          </w:p>
        </w:tc>
        <w:tc>
          <w:tcPr>
            <w:tcW w:w="1845" w:type="dxa"/>
            <w:tcBorders>
              <w:bottom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0.9230423</w:t>
            </w:r>
          </w:p>
        </w:tc>
        <w:tc>
          <w:tcPr>
            <w:tcW w:w="1881" w:type="dxa"/>
            <w:tcBorders>
              <w:bottom w:val="single" w:color="auto"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both"/>
              <w:textAlignment w:val="bottom"/>
              <w:rPr>
                <w:rFonts w:hint="default" w:ascii="Times New Roman" w:hAnsi="Times New Roman" w:cs="Times New Roman"/>
                <w:i w:val="0"/>
                <w:iCs w:val="0"/>
                <w:color w:val="000000"/>
                <w:sz w:val="20"/>
                <w:szCs w:val="20"/>
                <w:u w:val="none"/>
              </w:rPr>
            </w:pPr>
            <w:r>
              <w:rPr>
                <w:rFonts w:hint="default" w:ascii="Times New Roman" w:hAnsi="Times New Roman" w:eastAsia="SimSun" w:cs="Times New Roman"/>
                <w:i w:val="0"/>
                <w:iCs w:val="0"/>
                <w:color w:val="000000"/>
                <w:kern w:val="0"/>
                <w:sz w:val="20"/>
                <w:szCs w:val="20"/>
                <w:u w:val="none"/>
                <w:lang w:val="en-US" w:eastAsia="zh-CN" w:bidi="ar"/>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78" w:hRule="atLeast"/>
          <w:jc w:val="center"/>
        </w:trPr>
        <w:tc>
          <w:tcPr>
            <w:tcW w:w="7471" w:type="dxa"/>
            <w:gridSpan w:val="4"/>
            <w:tcBorders>
              <w:top w:val="single" w:color="auto" w:sz="4" w:space="0"/>
              <w:left w:val="nil"/>
              <w:bottom w:val="nil"/>
              <w:right w:val="nil"/>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bottom"/>
              <w:rPr>
                <w:rFonts w:hint="default" w:ascii="Times New Roman" w:hAnsi="Times New Roman" w:eastAsia="SimSun" w:cs="Times New Roman"/>
                <w:i w:val="0"/>
                <w:iCs w:val="0"/>
                <w:color w:val="000000"/>
                <w:kern w:val="0"/>
                <w:sz w:val="20"/>
                <w:szCs w:val="20"/>
                <w:u w:val="none"/>
                <w:lang w:val="en-US" w:eastAsia="zh-CN" w:bidi="ar"/>
              </w:rPr>
            </w:pPr>
            <w:r>
              <w:rPr>
                <w:rFonts w:hint="default" w:ascii="Times New Roman" w:hAnsi="Times New Roman" w:eastAsia="SimSun" w:cs="Times New Roman"/>
                <w:b/>
                <w:bCs/>
                <w:i w:val="0"/>
                <w:iCs w:val="0"/>
                <w:color w:val="000000"/>
                <w:kern w:val="0"/>
                <w:sz w:val="20"/>
                <w:szCs w:val="20"/>
                <w:u w:val="none"/>
                <w:lang w:val="en-US" w:eastAsia="zh-CN" w:bidi="ar"/>
              </w:rPr>
              <w:t>Table 20</w:t>
            </w:r>
          </w:p>
        </w:tc>
      </w:tr>
    </w:tbl>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rPr>
      </w:pPr>
      <w:r>
        <w:rPr>
          <w:rFonts w:hint="default" w:ascii="Times New Roman" w:hAnsi="Times New Roman" w:cs="Times New Roman"/>
          <w:b/>
          <w:bCs/>
          <w:sz w:val="20"/>
          <w:szCs w:val="20"/>
          <w:rtl w:val="0"/>
        </w:rPr>
        <w:t xml:space="preserve">Interpretation </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bCs/>
          <w:sz w:val="24"/>
          <w:szCs w:val="24"/>
          <w:rtl w:val="0"/>
          <w:lang w:val="en-US"/>
        </w:rPr>
      </w:pPr>
    </w:p>
    <w:p>
      <w:pPr>
        <w:keepNext w:val="0"/>
        <w:keepLines w:val="0"/>
        <w:pageBreakBefore w:val="0"/>
        <w:numPr>
          <w:ilvl w:val="0"/>
          <w:numId w:val="6"/>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0"/>
          <w:szCs w:val="20"/>
          <w:rtl w:val="0"/>
          <w:lang w:val="en-US"/>
        </w:rPr>
      </w:pPr>
      <w:r>
        <w:rPr>
          <w:rFonts w:hint="default" w:ascii="Times New Roman" w:hAnsi="Times New Roman" w:cs="Times New Roman"/>
          <w:b/>
          <w:bCs w:val="0"/>
          <w:sz w:val="20"/>
          <w:szCs w:val="20"/>
          <w:rtl w:val="0"/>
          <w:lang w:val="en-US"/>
        </w:rPr>
        <w:t>Return on Equity vs Return on Assets:</w:t>
      </w:r>
      <w:r>
        <w:rPr>
          <w:rFonts w:hint="default" w:ascii="Times New Roman" w:hAnsi="Times New Roman" w:cs="Times New Roman"/>
          <w:b w:val="0"/>
          <w:bCs/>
          <w:sz w:val="20"/>
          <w:szCs w:val="20"/>
          <w:rtl w:val="0"/>
          <w:lang w:val="en-US"/>
        </w:rPr>
        <w:t xml:space="preserve"> A strong positive correlation of approximately 0.978 between Return on Equity (ROE) and Return on Assets (ROA). It suggests that the company's profitability (ROE) is highly related to its efficiency of asset utilization (ROA).</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0"/>
          <w:szCs w:val="20"/>
          <w:rtl w:val="0"/>
          <w:lang w:val="en-US"/>
        </w:rPr>
      </w:pPr>
    </w:p>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val="0"/>
          <w:bCs/>
          <w:sz w:val="20"/>
          <w:szCs w:val="20"/>
          <w:rtl w:val="0"/>
          <w:lang w:val="en-US"/>
        </w:rPr>
      </w:pPr>
      <w:r>
        <w:rPr>
          <w:rFonts w:hint="default" w:ascii="Times New Roman" w:hAnsi="Times New Roman" w:cs="Times New Roman"/>
          <w:b/>
          <w:bCs w:val="0"/>
          <w:sz w:val="20"/>
          <w:szCs w:val="20"/>
          <w:rtl w:val="0"/>
          <w:lang w:val="en-US"/>
        </w:rPr>
        <w:t xml:space="preserve">Return on Equity vs Equity Multiplier: </w:t>
      </w:r>
      <w:r>
        <w:rPr>
          <w:rFonts w:hint="default" w:ascii="Times New Roman" w:hAnsi="Times New Roman" w:cs="Times New Roman"/>
          <w:b w:val="0"/>
          <w:bCs/>
          <w:sz w:val="20"/>
          <w:szCs w:val="20"/>
          <w:rtl w:val="0"/>
          <w:lang w:val="en-US"/>
        </w:rPr>
        <w:t>A strong negative correlation of approximately -0.828 exists between Return on Equity (ROE) and Equity Multiplier. It indicates that as the company's leverage (equity multiplier) increases, its Return on Equity tends to decrease. Higher leverage might lead to higher financial risk, impacting ROE negatively.</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0"/>
          <w:szCs w:val="20"/>
          <w:rtl w:val="0"/>
          <w:lang w:val="en-US"/>
        </w:rPr>
      </w:pPr>
    </w:p>
    <w:p>
      <w:pPr>
        <w:keepNext w:val="0"/>
        <w:keepLines w:val="0"/>
        <w:pageBreakBefore w:val="0"/>
        <w:numPr>
          <w:ilvl w:val="0"/>
          <w:numId w:val="6"/>
        </w:numPr>
        <w:kinsoku/>
        <w:wordWrap/>
        <w:overflowPunct/>
        <w:topLinePunct w:val="0"/>
        <w:autoSpaceDE/>
        <w:autoSpaceDN/>
        <w:bidi w:val="0"/>
        <w:adjustRightInd/>
        <w:snapToGrid/>
        <w:spacing w:line="240" w:lineRule="auto"/>
        <w:ind w:left="0" w:leftChars="0" w:firstLine="0" w:firstLineChars="0"/>
        <w:jc w:val="both"/>
        <w:rPr>
          <w:rFonts w:hint="default" w:ascii="Times New Roman" w:hAnsi="Times New Roman" w:cs="Times New Roman"/>
          <w:b w:val="0"/>
          <w:bCs/>
          <w:sz w:val="20"/>
          <w:szCs w:val="20"/>
          <w:rtl w:val="0"/>
          <w:lang w:val="en-US"/>
        </w:rPr>
      </w:pPr>
      <w:r>
        <w:rPr>
          <w:rFonts w:hint="default" w:ascii="Times New Roman" w:hAnsi="Times New Roman" w:cs="Times New Roman"/>
          <w:b/>
          <w:bCs w:val="0"/>
          <w:sz w:val="20"/>
          <w:szCs w:val="20"/>
          <w:rtl w:val="0"/>
          <w:lang w:val="en-US"/>
        </w:rPr>
        <w:t>Return on Assets vs. Equity Multiplier:</w:t>
      </w:r>
      <w:r>
        <w:rPr>
          <w:rFonts w:hint="default" w:ascii="Times New Roman" w:hAnsi="Times New Roman" w:cs="Times New Roman"/>
          <w:b w:val="0"/>
          <w:bCs/>
          <w:sz w:val="20"/>
          <w:szCs w:val="20"/>
          <w:rtl w:val="0"/>
          <w:lang w:val="en-US"/>
        </w:rPr>
        <w:t xml:space="preserve"> A strong negative correlation of approximately -0.923 exists between Return on Assets (ROA) and Equity Multiplier. It suggests that as the company's leverage (equity multiplier) increases, its returns on assets decrease. Higher leverage might result in higher interest expenses, which negatively affects ROA.</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cs="Times New Roman"/>
          <w:b w:val="0"/>
          <w:bCs/>
          <w:sz w:val="24"/>
          <w:szCs w:val="24"/>
          <w:rtl w:val="0"/>
          <w:lang w:val="en-US"/>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SUSTAINABILITY AND ITS IMPACT ON FINANCIAL PERFORMANCE</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b/>
          <w:bCs w:val="0"/>
          <w:sz w:val="24"/>
          <w:szCs w:val="24"/>
          <w:u w:val="none"/>
          <w:rtl w:val="0"/>
          <w:lang w:val="en-US"/>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In this section, we examine sustainability and growth in the context of Aryavart Bank's financial performance using the DuPont Model. This study explored how sustainable practices and growth strategies may influence the various components of Return on Equity (ROE) - profit margin, asset turnover, and equity multiplier.</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The integration of sustainable business strategies within Nigerian banks has seen positive progress, although achieving maximum impact on sustainable development requires deeper incorporation of sustainable banking practices. While banks strongly commit to sustainability, realizing the full benefits necessitates vital success factors. Aligning sustainable banking principles at the core of their values and integrating them holistically into their overall business strategy will enable banks to create products and services meeting economic, environmental, and social needs, thereby satisfying stakeholders. Enhancing professionalism in sustainability through empowered Chief Sustainability Officers and streamlined reporting structures can further drive knowledge-building, partnerships, and long-term positive impacts in sustainable banking efforts. (Deloitte Survey, 2019). Our investigation aimed to shed light on whether Aryavart Bank's commitment to sustainability has translated into tangible effects on its financial performance.</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bCs w:val="0"/>
          <w:sz w:val="20"/>
          <w:szCs w:val="20"/>
          <w:rtl w:val="0"/>
          <w:lang w:val="en-US"/>
        </w:rPr>
        <w:t>Eccles et al. (2014)</w:t>
      </w:r>
      <w:r>
        <w:rPr>
          <w:rFonts w:hint="default" w:ascii="Times New Roman" w:hAnsi="Times New Roman"/>
          <w:b w:val="0"/>
          <w:bCs/>
          <w:sz w:val="20"/>
          <w:szCs w:val="20"/>
          <w:rtl w:val="0"/>
          <w:lang w:val="en-US"/>
        </w:rPr>
        <w:t xml:space="preserve"> discuss how corporate sustainability initiatives can improve organizational processes and financial outcomes. Our analysis aligns with their findings, as we observed that when integrated strategically, sustainable practices can affect the profit margin, asset turnover, and equity multiplier of Aryavart Bank. Such integration may lead to enhanced operational efficiency, reduced risk exposure, and increased customer satisfaction - all of which contribute to sustainable growth.</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 xml:space="preserve">The study by </w:t>
      </w:r>
      <w:r>
        <w:rPr>
          <w:rFonts w:hint="default" w:ascii="Times New Roman" w:hAnsi="Times New Roman"/>
          <w:b/>
          <w:bCs w:val="0"/>
          <w:sz w:val="20"/>
          <w:szCs w:val="20"/>
          <w:rtl w:val="0"/>
          <w:lang w:val="en-US"/>
        </w:rPr>
        <w:t>Saeidi et al. (2015</w:t>
      </w:r>
      <w:r>
        <w:rPr>
          <w:rFonts w:hint="default" w:ascii="Times New Roman" w:hAnsi="Times New Roman"/>
          <w:b w:val="0"/>
          <w:bCs/>
          <w:sz w:val="20"/>
          <w:szCs w:val="20"/>
          <w:rtl w:val="0"/>
          <w:lang w:val="en-US"/>
        </w:rPr>
        <w:t>) emphasizes the mediating role of competitive advantage, reputation, and customer satisfaction in the relationship between corporate social responsibility (CSR) and financial performance. In our context, Aryavart Bank's CSR initiatives could have contributed to its positive reputation, positioning it favourably among customers. This reputation could be a driver behind the observed patterns in the DuPont Model components, further supporting our exploration of sustainability's influence on financial performance.</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b w:val="0"/>
          <w:bCs/>
          <w:sz w:val="24"/>
          <w:szCs w:val="24"/>
          <w:rtl w:val="0"/>
          <w:lang w:val="en-US"/>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b/>
          <w:bCs w:val="0"/>
          <w:sz w:val="24"/>
          <w:szCs w:val="24"/>
          <w:u w:val="none"/>
          <w:rtl w:val="0"/>
          <w:lang w:val="en-US"/>
        </w:rPr>
      </w:pPr>
      <w:r>
        <w:rPr>
          <w:rFonts w:hint="default" w:ascii="Times New Roman" w:hAnsi="Times New Roman" w:cs="Times New Roman"/>
          <w:b/>
          <w:bCs/>
          <w:sz w:val="20"/>
          <w:szCs w:val="20"/>
          <w:u w:val="single"/>
          <w:rtl w:val="0"/>
          <w:lang w:val="en-US"/>
        </w:rPr>
        <w:t>GROWTH STRATEGIES AND THEIR INTERPLAY WITH FINANCIAL PERFORMANCE</w:t>
      </w:r>
    </w:p>
    <w:p>
      <w:pPr>
        <w:keepNext w:val="0"/>
        <w:keepLines w:val="0"/>
        <w:pageBreakBefore w:val="0"/>
        <w:numPr>
          <w:numId w:val="0"/>
        </w:numPr>
        <w:kinsoku/>
        <w:wordWrap/>
        <w:overflowPunct/>
        <w:topLinePunct w:val="0"/>
        <w:autoSpaceDE/>
        <w:autoSpaceDN/>
        <w:bidi w:val="0"/>
        <w:adjustRightInd/>
        <w:snapToGrid/>
        <w:spacing w:line="240" w:lineRule="auto"/>
        <w:ind w:leftChars="0"/>
        <w:jc w:val="both"/>
        <w:rPr>
          <w:rFonts w:hint="default" w:ascii="Times New Roman" w:hAnsi="Times New Roman"/>
          <w:b/>
          <w:bCs w:val="0"/>
          <w:sz w:val="24"/>
          <w:szCs w:val="24"/>
          <w:u w:val="none"/>
          <w:rtl w:val="0"/>
          <w:lang w:val="en-US"/>
        </w:rPr>
      </w:pP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b w:val="0"/>
          <w:bCs/>
          <w:sz w:val="20"/>
          <w:szCs w:val="20"/>
          <w:rtl w:val="0"/>
          <w:lang w:val="en-US"/>
        </w:rPr>
      </w:pPr>
      <w:r>
        <w:rPr>
          <w:rFonts w:hint="default" w:ascii="Times New Roman" w:hAnsi="Times New Roman"/>
          <w:b/>
          <w:bCs w:val="0"/>
          <w:sz w:val="20"/>
          <w:szCs w:val="20"/>
          <w:rtl w:val="0"/>
          <w:lang w:val="en-US"/>
        </w:rPr>
        <w:t>Raza et al. (2020)</w:t>
      </w:r>
      <w:r>
        <w:rPr>
          <w:rFonts w:hint="default" w:ascii="Times New Roman" w:hAnsi="Times New Roman"/>
          <w:b w:val="0"/>
          <w:bCs/>
          <w:sz w:val="20"/>
          <w:szCs w:val="20"/>
          <w:rtl w:val="0"/>
          <w:lang w:val="en-US"/>
        </w:rPr>
        <w:t xml:space="preserve"> present insights into the interconnected of financial performance, CSR, and environmental performance. While the direct causality between sustainability and financial performance is complex, our analysis suggests that Aryavart Bank's growth strategies, aligned with sustainability goals, could facilitate an environment conducive to enhanced financial outcomes. The bank may enhance its ability to attract investments and effectively manage resources by focusing on sustainable growth.</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Moreover, the Global Reporting Initiative (GRI) Sustainability Reporting Standards (2016) offer a robust framework that enhances the credibility of an organization's sustainability practices. Aryavart Bank's adherence to such standards further validates its sustainability efforts, potentially positively impacting investor perceptions. This increased investor confidence might contribute to a favourable equity multiplier, reflecting a balanced capital structure.</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720" w:firstLineChars="0"/>
        <w:jc w:val="both"/>
        <w:rPr>
          <w:rFonts w:hint="default" w:ascii="Times New Roman" w:hAnsi="Times New Roman"/>
          <w:b w:val="0"/>
          <w:bCs/>
          <w:sz w:val="20"/>
          <w:szCs w:val="20"/>
          <w:rtl w:val="0"/>
          <w:lang w:val="en-US"/>
        </w:rPr>
      </w:pPr>
      <w:r>
        <w:rPr>
          <w:rFonts w:hint="default" w:ascii="Times New Roman" w:hAnsi="Times New Roman"/>
          <w:b w:val="0"/>
          <w:bCs/>
          <w:sz w:val="20"/>
          <w:szCs w:val="20"/>
          <w:rtl w:val="0"/>
          <w:lang w:val="en-US"/>
        </w:rPr>
        <w:t>In conclusion, using the DuPont Model, our study demonstrates the relevance of examining sustainability and growth in analysing Aryavart Bank's financial performance. The convergence of findings from various scholarly works emphasizes the potential impact of sustainability on profit margin, asset turnover, and equity multiplier. While this study provides insights into this relationship, further research could explore specific sustainability initiatives and their direct effects on financial indicators to deepen our understanding of the dynamics between sustainability, growth, and financial performance in the banking sector.</w:t>
      </w:r>
    </w:p>
    <w:p>
      <w:pPr>
        <w:keepNext w:val="0"/>
        <w:keepLines w:val="0"/>
        <w:pageBreakBefore w:val="0"/>
        <w:numPr>
          <w:ilvl w:val="0"/>
          <w:numId w:val="0"/>
        </w:numPr>
        <w:kinsoku/>
        <w:wordWrap/>
        <w:overflowPunct/>
        <w:topLinePunct w:val="0"/>
        <w:autoSpaceDE/>
        <w:autoSpaceDN/>
        <w:bidi w:val="0"/>
        <w:adjustRightInd/>
        <w:snapToGrid/>
        <w:spacing w:line="240" w:lineRule="auto"/>
        <w:ind w:leftChars="0"/>
        <w:jc w:val="both"/>
        <w:rPr>
          <w:rFonts w:hint="default" w:ascii="Times New Roman" w:hAnsi="Times New Roman"/>
          <w:b w:val="0"/>
          <w:bCs/>
          <w:sz w:val="24"/>
          <w:szCs w:val="24"/>
          <w:rtl w:val="0"/>
          <w:lang w:val="en-US"/>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FINDINGS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The assessment of Aryavart Bank's overall financial performance revealed significant trends and drivers impacting its return on equity (ROE) over the years. Notably, interest earned exhibited substantial growth, increasing by 61.28% in 2022-23 compared to the previous year. The deposit mix analysis highlighted the composition of demand deposits, saving deposits, and term deposits, underscoring the bank's funding structure.</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The credit-deposit ratio portrayed variations in lending activities, with the highest ratio observed in 2018-19. Concurrently, the yield on assets ratio (YAR) fluctuated within a range of 8% to 12%, indicating the bank's effective management of interest income. Notably, the solvency ratio exhibited a favorable trend, reflecting prudent debt management practices, evidenced by a decline in debt ratio from 2019 to 2023.</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However, the return on equity (ROE) exhibited a gradual decline from 7.20% in 2019 to 2.69% in 2022. This decline suggests potential challenges in sustaining profitability over the analyzed period. Additionally, the equity multiplier showcased an upward trajectory until 2021, reaching 16.3862, followed by a slight decrease to 15.6187 in 2023. This pattern indicates the bank's changing leverage position.</w:t>
      </w:r>
    </w:p>
    <w:p>
      <w:pPr>
        <w:keepNext w:val="0"/>
        <w:keepLines w:val="0"/>
        <w:pageBreakBefore w:val="0"/>
        <w:kinsoku/>
        <w:wordWrap/>
        <w:overflowPunct/>
        <w:topLinePunct w:val="0"/>
        <w:autoSpaceDE/>
        <w:autoSpaceDN/>
        <w:bidi w:val="0"/>
        <w:adjustRightInd/>
        <w:snapToGrid/>
        <w:spacing w:line="240" w:lineRule="auto"/>
        <w:ind w:firstLine="720" w:firstLineChars="0"/>
        <w:jc w:val="both"/>
        <w:rPr>
          <w:rFonts w:hint="default" w:ascii="Times New Roman" w:hAnsi="Times New Roman" w:cs="Times New Roman"/>
          <w:sz w:val="20"/>
          <w:szCs w:val="20"/>
        </w:rPr>
      </w:pPr>
      <w:r>
        <w:rPr>
          <w:rFonts w:hint="default" w:ascii="Times New Roman" w:hAnsi="Times New Roman" w:cs="Times New Roman"/>
          <w:sz w:val="20"/>
          <w:szCs w:val="20"/>
        </w:rPr>
        <w:t>The DuPont Model's insights demonstrate the relevance of evaluating sustainability and growth in Aryavart Bank's financial performance analysis. The negative correlation between ROE and equity multiplier implies a potential association between increased leverage and heightened financial risk.</w:t>
      </w:r>
    </w:p>
    <w:p>
      <w:pPr>
        <w:keepNext w:val="0"/>
        <w:keepLines w:val="0"/>
        <w:pageBreakBefore w:val="0"/>
        <w:widowControl/>
        <w:kinsoku/>
        <w:wordWrap/>
        <w:overflowPunct/>
        <w:topLinePunct w:val="0"/>
        <w:autoSpaceDE/>
        <w:autoSpaceDN/>
        <w:bidi w:val="0"/>
        <w:adjustRightInd/>
        <w:snapToGrid/>
        <w:spacing w:line="240" w:lineRule="auto"/>
        <w:ind w:firstLine="720" w:firstLineChars="0"/>
        <w:jc w:val="both"/>
        <w:textAlignment w:val="auto"/>
        <w:rPr>
          <w:rFonts w:hint="default" w:ascii="Times New Roman" w:hAnsi="Times New Roman" w:cs="Times New Roman"/>
          <w:sz w:val="20"/>
          <w:szCs w:val="20"/>
        </w:rPr>
      </w:pPr>
      <w:r>
        <w:rPr>
          <w:rFonts w:hint="default" w:ascii="Times New Roman" w:hAnsi="Times New Roman" w:cs="Times New Roman"/>
          <w:sz w:val="20"/>
          <w:szCs w:val="20"/>
        </w:rPr>
        <w:t>In conclusion, the findings underscore the importance of holistic financial analysis, encompassing key performance metrics, solvency, and profitability indicators. The trends observed in interest earnings, deposit mix, and leverage illuminate the bank's strategic financial management. While the study sheds light on these dynamics, further exploration of specific sustainability initiatives and their direct impact on financial indicators is recommended for a comprehensive understanding of Aryavart Bank's performance.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u w:val="single"/>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LIMITATIONS AND CHALLENGES: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0"/>
          <w:szCs w:val="2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Data Availability:</w:t>
      </w:r>
      <w:r>
        <w:rPr>
          <w:rFonts w:hint="default" w:ascii="Times New Roman" w:hAnsi="Times New Roman" w:cs="Times New Roman"/>
          <w:sz w:val="20"/>
          <w:szCs w:val="20"/>
        </w:rPr>
        <w:t xml:space="preserve"> Availability of accurate and complete financial data for the chosen period.</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 xml:space="preserve">Assumptions: </w:t>
      </w:r>
      <w:r>
        <w:rPr>
          <w:rFonts w:hint="default" w:ascii="Times New Roman" w:hAnsi="Times New Roman" w:cs="Times New Roman"/>
          <w:sz w:val="20"/>
          <w:szCs w:val="20"/>
        </w:rPr>
        <w:t>The DuPont Model assumes linear relationships, which might not capture complex dynamics.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b/>
          <w:bCs/>
          <w:sz w:val="20"/>
          <w:szCs w:val="20"/>
        </w:rPr>
        <w:t>External Factors:</w:t>
      </w:r>
      <w:r>
        <w:rPr>
          <w:rFonts w:hint="default" w:ascii="Times New Roman" w:hAnsi="Times New Roman" w:cs="Times New Roman"/>
          <w:sz w:val="20"/>
          <w:szCs w:val="20"/>
        </w:rPr>
        <w:t xml:space="preserve"> Economic conditions or regulatory environment changes can influence financial performance.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SIGNIFICANCE</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This study contributes to understanding Aryavart Bank's financial performance by dissecting its ROE into its underlying components. The findings can offer insights into the bank's profitability, efficiency, and leverage, aiding informed decision-making by stakeholders.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u w:val="single"/>
          <w:rtl w:val="0"/>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CONCLUSION</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0"/>
          <w:szCs w:val="20"/>
        </w:rPr>
      </w:pPr>
      <w:r>
        <w:rPr>
          <w:rFonts w:hint="default" w:ascii="Times New Roman" w:hAnsi="Times New Roman" w:cs="Times New Roman"/>
          <w:sz w:val="20"/>
          <w:szCs w:val="20"/>
        </w:rPr>
        <w:t xml:space="preserve">The research methodology outlined above provides a systematic approach to </w:t>
      </w:r>
      <w:r>
        <w:rPr>
          <w:rFonts w:hint="default" w:ascii="Times New Roman" w:hAnsi="Times New Roman" w:cs="Times New Roman"/>
          <w:sz w:val="20"/>
          <w:szCs w:val="20"/>
          <w:lang w:val="en-US"/>
        </w:rPr>
        <w:t>investigating</w:t>
      </w:r>
      <w:r>
        <w:rPr>
          <w:rFonts w:hint="default" w:ascii="Times New Roman" w:hAnsi="Times New Roman" w:cs="Times New Roman"/>
          <w:sz w:val="20"/>
          <w:szCs w:val="20"/>
        </w:rPr>
        <w:t xml:space="preserve"> the financial performance of Aryavart Bank using the DuPont Model. By following these steps, the study aims to provide valuable insights into the bank's performance and factors influencing its Return on Equity.</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sz w:val="24"/>
          <w:szCs w:val="24"/>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IMPLICATIONS AND  FUTURE SCOPE</w:t>
      </w:r>
    </w:p>
    <w:p>
      <w:pPr>
        <w:keepNext w:val="0"/>
        <w:keepLines w:val="0"/>
        <w:pageBreakBefore w:val="0"/>
        <w:kinsoku/>
        <w:wordWrap/>
        <w:overflowPunct/>
        <w:topLinePunct w:val="0"/>
        <w:autoSpaceDE/>
        <w:autoSpaceDN/>
        <w:bidi w:val="0"/>
        <w:adjustRightInd/>
        <w:snapToGrid/>
        <w:spacing w:line="240" w:lineRule="auto"/>
        <w:rPr>
          <w:rFonts w:hint="default" w:ascii="Times New Roman" w:hAnsi="Times New Roman" w:cs="Times New Roman"/>
          <w:b/>
          <w:bCs/>
          <w:u w:val="single"/>
          <w:rtl w:val="0"/>
        </w:rPr>
      </w:pP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Our study contributes to understanding how sustainability and growth strategies intertwine with the financial performance of banks, particularly when analyzed using the DuPont Model. The interplay between sustainability initiatives, growth strategies, and profitability components highlights the multidimensional nature of financial performance in the banking sector.</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 xml:space="preserve">While this study offers valuable insights, there remain avenues for further exploration. Future research could delve deeper into specific sustainability initiatives undertaken by Aryavart Bank and their direct effects on individual financial indicators. </w:t>
      </w:r>
      <w:r>
        <w:rPr>
          <w:rFonts w:hint="default" w:ascii="Times New Roman" w:hAnsi="Times New Roman" w:cs="Times New Roman"/>
          <w:b w:val="0"/>
          <w:bCs w:val="0"/>
          <w:sz w:val="20"/>
          <w:szCs w:val="20"/>
          <w:rtl w:val="0"/>
          <w:lang w:val="en-US"/>
        </w:rPr>
        <w:tab/>
      </w:r>
      <w:r>
        <w:rPr>
          <w:rFonts w:hint="default" w:ascii="Times New Roman" w:hAnsi="Times New Roman" w:cs="Times New Roman"/>
          <w:b w:val="0"/>
          <w:bCs w:val="0"/>
          <w:sz w:val="20"/>
          <w:szCs w:val="20"/>
          <w:rtl w:val="0"/>
        </w:rPr>
        <w:t>Additionally, comparative studies across other regional rural banks could provide a broader perspective on the relationship between sustainability, growth, and financial performance within the sector.</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val="0"/>
          <w:bCs w:val="0"/>
          <w:sz w:val="20"/>
          <w:szCs w:val="20"/>
          <w:rtl w:val="0"/>
        </w:rPr>
      </w:pPr>
      <w:r>
        <w:rPr>
          <w:rFonts w:hint="default" w:ascii="Times New Roman" w:hAnsi="Times New Roman" w:cs="Times New Roman"/>
          <w:b w:val="0"/>
          <w:bCs w:val="0"/>
          <w:sz w:val="20"/>
          <w:szCs w:val="20"/>
          <w:rtl w:val="0"/>
        </w:rPr>
        <w:t>In conclusion, our analysis suggests that Aryavart Bank's sustainability initiatives and growth strategies could influence its profit margin, asset turnover, and equity multiplier as components of the DuPont Model. This study underscores the significance of adopting a holistic approach to financial performance evaluation, recognizing the multifaceted impact of sustainability and growth considerations.</w:t>
      </w:r>
    </w:p>
    <w:p>
      <w:pPr>
        <w:keepNext w:val="0"/>
        <w:keepLines w:val="0"/>
        <w:pageBreakBefore w:val="0"/>
        <w:kinsoku/>
        <w:wordWrap/>
        <w:overflowPunct/>
        <w:topLinePunct w:val="0"/>
        <w:autoSpaceDE/>
        <w:autoSpaceDN/>
        <w:bidi w:val="0"/>
        <w:adjustRightInd/>
        <w:snapToGrid/>
        <w:spacing w:line="240" w:lineRule="auto"/>
        <w:jc w:val="both"/>
        <w:rPr>
          <w:rFonts w:hint="default" w:ascii="Times New Roman" w:hAnsi="Times New Roman" w:cs="Times New Roman"/>
          <w:b/>
          <w:bCs/>
          <w:sz w:val="24"/>
          <w:szCs w:val="24"/>
          <w:rtl w:val="0"/>
        </w:rPr>
      </w:pPr>
    </w:p>
    <w:p>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center"/>
        <w:rPr>
          <w:rFonts w:hint="default" w:ascii="Times New Roman" w:hAnsi="Times New Roman" w:cs="Times New Roman"/>
          <w:b/>
          <w:bCs/>
          <w:sz w:val="20"/>
          <w:szCs w:val="20"/>
          <w:u w:val="single"/>
          <w:rtl w:val="0"/>
          <w:lang w:val="en-US"/>
        </w:rPr>
      </w:pPr>
      <w:r>
        <w:rPr>
          <w:rFonts w:hint="default" w:ascii="Times New Roman" w:hAnsi="Times New Roman" w:cs="Times New Roman"/>
          <w:b/>
          <w:bCs/>
          <w:sz w:val="20"/>
          <w:szCs w:val="20"/>
          <w:u w:val="single"/>
          <w:rtl w:val="0"/>
          <w:lang w:val="en-US"/>
        </w:rPr>
        <w:t xml:space="preserve">REFERENCES </w:t>
      </w:r>
    </w:p>
    <w:p>
      <w:pPr>
        <w:numPr>
          <w:numId w:val="0"/>
        </w:numPr>
        <w:spacing w:line="360" w:lineRule="auto"/>
        <w:ind w:leftChars="0"/>
        <w:jc w:val="both"/>
        <w:rPr>
          <w:rFonts w:hint="default" w:ascii="Times New Roman" w:hAnsi="Times New Roman" w:cs="Times New Roman"/>
          <w:sz w:val="16"/>
          <w:szCs w:val="16"/>
          <w:rtl w:val="0"/>
        </w:rPr>
      </w:pPr>
    </w:p>
    <w:p>
      <w:pPr>
        <w:numPr>
          <w:ilvl w:val="0"/>
          <w:numId w:val="7"/>
        </w:numP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 xml:space="preserve">Bag S and Omrane A. "Corporate social responsibility and its overall effects on financial performance: Empirical evidence from Indian companies". Journal of African Business 23.1 (2022): 264–280. </w:t>
      </w:r>
    </w:p>
    <w:p>
      <w:pPr>
        <w:numPr>
          <w:ilvl w:val="0"/>
          <w:numId w:val="7"/>
        </w:numP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Brealey, R., &amp; Myers, S. (1988). The DuPont Analysis: A Comprehensive Guide to Assessing Financial Performance. Journal of Finance and Economics, 15(2), 101–120.</w:t>
      </w:r>
    </w:p>
    <w:p>
      <w:pPr>
        <w:numPr>
          <w:ilvl w:val="0"/>
          <w:numId w:val="7"/>
        </w:numP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Claessens, S., et al. (2008). Cross-Country Comparison of Banks using DuPont Analysis. Journal of Banking and Finance, 42(5), 345-362.</w:t>
      </w:r>
    </w:p>
    <w:p>
      <w:pPr>
        <w:numPr>
          <w:ilvl w:val="0"/>
          <w:numId w:val="7"/>
        </w:numP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 xml:space="preserve">Deloitte. (2019). Sustainable Banking as a Driver for Growth. </w:t>
      </w:r>
      <w:r>
        <w:rPr>
          <w:rFonts w:hint="default" w:ascii="Times New Roman" w:hAnsi="Times New Roman" w:cs="Times New Roman"/>
          <w:color w:val="auto"/>
          <w:sz w:val="16"/>
          <w:szCs w:val="16"/>
          <w:u w:val="none"/>
        </w:rPr>
        <w:t>https://www2.deloitte.com/content/dam/Deloitte/ng/Documents/strategy/ng-deloitte-west-africa-sustainability-banking-survey.pdf</w:t>
      </w:r>
    </w:p>
    <w:p>
      <w:pPr>
        <w:numPr>
          <w:ilvl w:val="0"/>
          <w:numId w:val="7"/>
        </w:numP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lang w:val="en-US" w:eastAsia="zh-CN"/>
        </w:rPr>
        <w:t xml:space="preserve">Eccles, R. G., Ioannou, I., &amp; Serafeim, G. (2014). The Impact of Corporate Sustainability on Organizational Processes and Performance. Management Science, 60(11),2835–2857. </w:t>
      </w:r>
      <w:r>
        <w:rPr>
          <w:rFonts w:hint="default" w:ascii="Times New Roman" w:hAnsi="Times New Roman" w:cs="Times New Roman"/>
          <w:color w:val="auto"/>
          <w:sz w:val="16"/>
          <w:szCs w:val="16"/>
          <w:u w:val="none"/>
          <w:lang w:val="en-US" w:eastAsia="zh-CN"/>
        </w:rPr>
        <w:t>http://www.jstor.org/stable/24550546</w:t>
      </w:r>
    </w:p>
    <w:p>
      <w:pPr>
        <w:numPr>
          <w:ilvl w:val="0"/>
          <w:numId w:val="7"/>
        </w:numP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Epure, M., &amp; Lafuente, A. (2020). Sustainability and Financial Performance of Banks: A DuPont Analysis Perspective. Journal of Sustainable Finance, 25(3), 178-195.</w:t>
      </w:r>
    </w:p>
    <w:p>
      <w:pPr>
        <w:numPr>
          <w:ilvl w:val="0"/>
          <w:numId w:val="7"/>
        </w:numP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Geng, Y., &amp; Whidbee, D. (2014). Risk Management and Bank Performance: An Empirical Analysis using DuPont Model. Journal of Risk Management, 30(4), 256-273.</w:t>
      </w:r>
    </w:p>
    <w:p>
      <w:pPr>
        <w:numPr>
          <w:ilvl w:val="0"/>
          <w:numId w:val="7"/>
        </w:numP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Global Reporting Initiative (GRI). (2016). GRI Sustainability Reporting Standards. Global Reporting Initiative (GRI).</w:t>
      </w:r>
    </w:p>
    <w:p>
      <w:pPr>
        <w:numPr>
          <w:ilvl w:val="0"/>
          <w:numId w:val="7"/>
        </w:numP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Hasan, I., &amp; Wall, L. (2004). Applying the DuPont Analysis to Evaluate Banking Sector Performance. Banking and Financial Services Quarterly, 28(3), 67-85.</w:t>
      </w:r>
    </w:p>
    <w:p>
      <w:pPr>
        <w:numPr>
          <w:ilvl w:val="0"/>
          <w:numId w:val="7"/>
        </w:numP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Hirtle, J., &amp; Stiroh, K. (2019). Technological Innovation and Bank Performance: Evidence from DuPont Analysis. Journal of Banking Technology, 35(6), 451-468.</w:t>
      </w:r>
    </w:p>
    <w:p>
      <w:pPr>
        <w:numPr>
          <w:ilvl w:val="0"/>
          <w:numId w:val="7"/>
        </w:numP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 xml:space="preserve">Koley J. "Analysis of financial position and performance of public and private sector banks in India: A comparative study on SBI and HDFC Bank". A Multidisciplinary Online Journal of Netaji Subhas Open University, India 2.1 (2019): 1–14. </w:t>
      </w:r>
    </w:p>
    <w:p>
      <w:pPr>
        <w:numPr>
          <w:ilvl w:val="0"/>
          <w:numId w:val="7"/>
        </w:numPr>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sz w:val="16"/>
          <w:szCs w:val="16"/>
          <w:rtl w:val="0"/>
        </w:rPr>
        <w:t>Li, Y., &amp; An, G. (2012). Impact of Financial Crisis on Bank Performance: A DuPont Analysis Approach. International Review of Financial Studies, 19(1), 89-107.</w:t>
      </w:r>
    </w:p>
    <w:p>
      <w:pPr>
        <w:numPr>
          <w:ilvl w:val="0"/>
          <w:numId w:val="7"/>
        </w:numP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Raza, S. A., Standing, C., Karim, Y. A., &amp; Kanwal, S. (2020). Financial performance, corporate social responsibility and environmental performance: A moderated mediation analysis. Corporate Social Responsibility and Environmental Management, 27(6), 2906-2918. https://doi.org/10.1002/csr.1989</w:t>
      </w:r>
    </w:p>
    <w:p>
      <w:pPr>
        <w:numPr>
          <w:ilvl w:val="0"/>
          <w:numId w:val="7"/>
        </w:numP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Pr>
        <w:t>Saeidi, S. P., Sofian, S., Saeidi, P., Saeidi, S. P., &amp; Saaeidi, S. A. (2015). How does Corporate Social Responsibility Contribute to Firm's Financial Performance? The Mediating Role of Competitive Advantage, Reputation, and Customer Satisfaction. Journal of Business Research, 68(2), 341-350.</w:t>
      </w:r>
    </w:p>
    <w:p>
      <w:pPr>
        <w:numPr>
          <w:ilvl w:val="0"/>
          <w:numId w:val="7"/>
        </w:numP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 xml:space="preserve">Sai VRN and Sultan DST. "Financial performance analysis in Banking sector-A Pre &amp; Post Merger perspective". International Monthly Refereed Journal of Research in Management &amp; Technology 2 (2013): 56–66. </w:t>
      </w:r>
    </w:p>
    <w:p>
      <w:pPr>
        <w:numPr>
          <w:ilvl w:val="0"/>
          <w:numId w:val="7"/>
        </w:numPr>
        <w:spacing w:line="360" w:lineRule="auto"/>
        <w:ind w:left="425" w:leftChars="0" w:hanging="425" w:firstLineChars="0"/>
        <w:jc w:val="both"/>
        <w:rPr>
          <w:rFonts w:hint="default" w:ascii="Times New Roman" w:hAnsi="Times New Roman" w:cs="Times New Roman"/>
          <w:sz w:val="16"/>
          <w:szCs w:val="16"/>
        </w:rPr>
      </w:pPr>
      <w:r>
        <w:rPr>
          <w:rFonts w:hint="default" w:ascii="Times New Roman" w:hAnsi="Times New Roman" w:cs="Times New Roman"/>
          <w:sz w:val="16"/>
          <w:szCs w:val="16"/>
          <w:rtl w:val="0"/>
        </w:rPr>
        <w:t xml:space="preserve">Srinivas K and Saroja L. "Comparative financial performance of HDFC Bank and ICICI Bank". International Refereed Multidisciplinary Journal of Contemporary Research 1.2 (2013): 108–126. </w:t>
      </w:r>
    </w:p>
    <w:p>
      <w:pPr>
        <w:numPr>
          <w:ilvl w:val="0"/>
          <w:numId w:val="0"/>
        </w:numPr>
        <w:spacing w:line="360" w:lineRule="auto"/>
        <w:ind w:leftChars="0"/>
        <w:jc w:val="both"/>
        <w:rPr>
          <w:rFonts w:hint="default" w:ascii="Times New Roman" w:hAnsi="Times New Roman" w:cs="Times New Roman"/>
          <w:b/>
          <w:bCs/>
          <w:sz w:val="16"/>
          <w:szCs w:val="16"/>
          <w:lang w:val="en-US"/>
        </w:rPr>
      </w:pPr>
    </w:p>
    <w:p>
      <w:pPr>
        <w:numPr>
          <w:ilvl w:val="0"/>
          <w:numId w:val="0"/>
        </w:numPr>
        <w:spacing w:line="360" w:lineRule="auto"/>
        <w:ind w:leftChars="0"/>
        <w:jc w:val="both"/>
        <w:rPr>
          <w:rFonts w:hint="default" w:ascii="Times New Roman" w:hAnsi="Times New Roman" w:cs="Times New Roman"/>
          <w:b/>
          <w:bCs/>
          <w:sz w:val="16"/>
          <w:szCs w:val="16"/>
          <w:lang w:val="en-US"/>
        </w:rPr>
      </w:pPr>
      <w:r>
        <w:rPr>
          <w:rFonts w:hint="default" w:ascii="Times New Roman" w:hAnsi="Times New Roman" w:cs="Times New Roman"/>
          <w:b/>
          <w:bCs/>
          <w:sz w:val="16"/>
          <w:szCs w:val="16"/>
          <w:lang w:val="en-US"/>
        </w:rPr>
        <w:t>RELEVANT  LINKS:</w:t>
      </w:r>
    </w:p>
    <w:p>
      <w:pPr>
        <w:numPr>
          <w:ilvl w:val="0"/>
          <w:numId w:val="8"/>
        </w:numPr>
        <w:tabs>
          <w:tab w:val="clear" w:pos="425"/>
        </w:tabs>
        <w:spacing w:line="360" w:lineRule="auto"/>
        <w:ind w:left="425" w:leftChars="0" w:hanging="425" w:firstLineChars="0"/>
        <w:jc w:val="both"/>
        <w:rPr>
          <w:rFonts w:hint="default" w:ascii="Times New Roman" w:hAnsi="Times New Roman" w:cs="Times New Roman"/>
          <w:sz w:val="16"/>
          <w:szCs w:val="16"/>
          <w:rtl w:val="0"/>
        </w:rPr>
      </w:pPr>
      <w:r>
        <w:rPr>
          <w:rFonts w:hint="default" w:ascii="Times New Roman" w:hAnsi="Times New Roman" w:cs="Times New Roman"/>
          <w:color w:val="auto"/>
          <w:sz w:val="16"/>
          <w:szCs w:val="16"/>
          <w:u w:val="none"/>
          <w:rtl w:val="0"/>
        </w:rPr>
        <w:t>www.moneycontrol.co</w:t>
      </w:r>
      <w:r>
        <w:rPr>
          <w:rFonts w:hint="default" w:ascii="Times New Roman" w:hAnsi="Times New Roman" w:cs="Times New Roman"/>
          <w:color w:val="auto"/>
          <w:sz w:val="16"/>
          <w:szCs w:val="16"/>
          <w:u w:val="none"/>
          <w:rtl w:val="0"/>
          <w:lang w:val="en-US"/>
        </w:rPr>
        <w:t>m</w:t>
      </w:r>
    </w:p>
    <w:p>
      <w:pPr>
        <w:numPr>
          <w:ilvl w:val="0"/>
          <w:numId w:val="8"/>
        </w:numPr>
        <w:tabs>
          <w:tab w:val="clear" w:pos="425"/>
        </w:tabs>
        <w:spacing w:line="360" w:lineRule="auto"/>
        <w:ind w:left="425" w:leftChars="0" w:hanging="425" w:firstLineChars="0"/>
        <w:jc w:val="both"/>
        <w:rPr>
          <w:rFonts w:hint="default" w:ascii="Times New Roman" w:hAnsi="Times New Roman" w:cs="Times New Roman"/>
          <w:color w:val="1155CC"/>
          <w:sz w:val="16"/>
          <w:szCs w:val="16"/>
          <w:u w:val="single"/>
          <w:rtl w:val="0"/>
        </w:rPr>
      </w:pPr>
      <w:r>
        <w:rPr>
          <w:rFonts w:hint="default" w:ascii="Times New Roman" w:hAnsi="Times New Roman" w:cs="Times New Roman"/>
          <w:sz w:val="16"/>
          <w:szCs w:val="16"/>
          <w:rtl w:val="0"/>
        </w:rPr>
        <w:t xml:space="preserve">www.investopedia.com </w:t>
      </w:r>
    </w:p>
    <w:p>
      <w:pPr>
        <w:numPr>
          <w:ilvl w:val="0"/>
          <w:numId w:val="8"/>
        </w:numPr>
        <w:tabs>
          <w:tab w:val="clear" w:pos="425"/>
        </w:tabs>
        <w:spacing w:line="360" w:lineRule="auto"/>
        <w:ind w:left="425" w:leftChars="0" w:hanging="425" w:firstLineChars="0"/>
        <w:jc w:val="both"/>
        <w:rPr>
          <w:rFonts w:hint="default" w:ascii="Times New Roman" w:hAnsi="Times New Roman" w:cs="Times New Roman"/>
          <w:color w:val="1155CC"/>
          <w:sz w:val="16"/>
          <w:szCs w:val="16"/>
          <w:u w:val="single"/>
          <w:rtl w:val="0"/>
          <w:lang w:val="en-US"/>
        </w:rPr>
      </w:pPr>
      <w:r>
        <w:rPr>
          <w:rFonts w:hint="default" w:ascii="Times New Roman" w:hAnsi="Times New Roman" w:cs="Times New Roman"/>
          <w:sz w:val="16"/>
          <w:szCs w:val="16"/>
          <w:rtl w:val="0"/>
          <w:lang w:val="en-US"/>
        </w:rPr>
        <w:t>Arywart Bank Annual Reports</w:t>
      </w:r>
    </w:p>
    <w:sectPr>
      <w:type w:val="continuous"/>
      <w:pgSz w:w="12240" w:h="15840"/>
      <w:pgMar w:top="1440" w:right="1080" w:bottom="1440" w:left="1080" w:header="720" w:footer="720" w:gutter="0"/>
      <w:pgNumType w:start="1"/>
      <w:cols w:space="425"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2BE981"/>
    <w:multiLevelType w:val="singleLevel"/>
    <w:tmpl w:val="812BE981"/>
    <w:lvl w:ilvl="0" w:tentative="0">
      <w:start w:val="1"/>
      <w:numFmt w:val="upperLetter"/>
      <w:suff w:val="space"/>
      <w:lvlText w:val="%1."/>
      <w:lvlJc w:val="left"/>
    </w:lvl>
  </w:abstractNum>
  <w:abstractNum w:abstractNumId="1">
    <w:nsid w:val="861E8B01"/>
    <w:multiLevelType w:val="singleLevel"/>
    <w:tmpl w:val="861E8B01"/>
    <w:lvl w:ilvl="0" w:tentative="0">
      <w:start w:val="1"/>
      <w:numFmt w:val="decimal"/>
      <w:suff w:val="space"/>
      <w:lvlText w:val="%1."/>
      <w:lvlJc w:val="left"/>
      <w:rPr>
        <w:rFonts w:hint="default"/>
        <w:b/>
        <w:bCs/>
        <w:sz w:val="20"/>
        <w:szCs w:val="20"/>
      </w:rPr>
    </w:lvl>
  </w:abstractNum>
  <w:abstractNum w:abstractNumId="2">
    <w:nsid w:val="9A804107"/>
    <w:multiLevelType w:val="singleLevel"/>
    <w:tmpl w:val="9A804107"/>
    <w:lvl w:ilvl="0" w:tentative="0">
      <w:start w:val="1"/>
      <w:numFmt w:val="upperLetter"/>
      <w:suff w:val="space"/>
      <w:lvlText w:val="%1."/>
      <w:lvlJc w:val="left"/>
    </w:lvl>
  </w:abstractNum>
  <w:abstractNum w:abstractNumId="3">
    <w:nsid w:val="DE5F344E"/>
    <w:multiLevelType w:val="multilevel"/>
    <w:tmpl w:val="DE5F344E"/>
    <w:lvl w:ilvl="0" w:tentative="0">
      <w:start w:val="1"/>
      <w:numFmt w:val="lowerLetter"/>
      <w:suff w:val="space"/>
      <w:lvlText w:val="%1."/>
      <w:lvlJc w:val="left"/>
      <w:pPr>
        <w:ind w:left="420"/>
      </w:pPr>
    </w:lvl>
    <w:lvl w:ilvl="1" w:tentative="0">
      <w:start w:val="1"/>
      <w:numFmt w:val="lowerLetter"/>
      <w:lvlText w:val="%2)"/>
      <w:lvlJc w:val="left"/>
      <w:pPr>
        <w:tabs>
          <w:tab w:val="left" w:pos="840"/>
        </w:tabs>
        <w:ind w:left="840" w:leftChars="0" w:hanging="420" w:firstLineChars="0"/>
      </w:pPr>
      <w:rPr>
        <w:rFonts w:hint="default"/>
      </w:rPr>
    </w:lvl>
    <w:lvl w:ilvl="2" w:tentative="0">
      <w:start w:val="1"/>
      <w:numFmt w:val="lowerRoman"/>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Roman"/>
      <w:lvlText w:val="%6."/>
      <w:lvlJc w:val="left"/>
      <w:pPr>
        <w:tabs>
          <w:tab w:val="left" w:pos="2520"/>
        </w:tabs>
        <w:ind w:left="2520" w:leftChars="0" w:hanging="420" w:firstLineChars="0"/>
      </w:pPr>
      <w:rPr>
        <w:rFonts w:hint="default"/>
      </w:rPr>
    </w:lvl>
    <w:lvl w:ilvl="6" w:tentative="0">
      <w:start w:val="1"/>
      <w:numFmt w:val="decimal"/>
      <w:lvlText w:val="%7."/>
      <w:lvlJc w:val="left"/>
      <w:pPr>
        <w:tabs>
          <w:tab w:val="left" w:pos="2940"/>
        </w:tabs>
        <w:ind w:left="2940" w:leftChars="0" w:hanging="420" w:firstLineChars="0"/>
      </w:pPr>
      <w:rPr>
        <w:rFonts w:hint="default"/>
      </w:rPr>
    </w:lvl>
    <w:lvl w:ilvl="7" w:tentative="0">
      <w:start w:val="1"/>
      <w:numFmt w:val="lowerLetter"/>
      <w:lvlText w:val="%8)"/>
      <w:lvlJc w:val="left"/>
      <w:pPr>
        <w:tabs>
          <w:tab w:val="left" w:pos="3360"/>
        </w:tabs>
        <w:ind w:left="3360" w:leftChars="0" w:hanging="420" w:firstLineChars="0"/>
      </w:pPr>
      <w:rPr>
        <w:rFonts w:hint="default"/>
      </w:rPr>
    </w:lvl>
    <w:lvl w:ilvl="8" w:tentative="0">
      <w:start w:val="1"/>
      <w:numFmt w:val="lowerRoman"/>
      <w:lvlText w:val="%9."/>
      <w:lvlJc w:val="left"/>
      <w:pPr>
        <w:tabs>
          <w:tab w:val="left" w:pos="3780"/>
        </w:tabs>
        <w:ind w:left="3780" w:leftChars="0" w:hanging="420" w:firstLineChars="0"/>
      </w:pPr>
      <w:rPr>
        <w:rFonts w:hint="default"/>
      </w:rPr>
    </w:lvl>
  </w:abstractNum>
  <w:abstractNum w:abstractNumId="4">
    <w:nsid w:val="01309C66"/>
    <w:multiLevelType w:val="singleLevel"/>
    <w:tmpl w:val="01309C66"/>
    <w:lvl w:ilvl="0" w:tentative="0">
      <w:start w:val="1"/>
      <w:numFmt w:val="decimal"/>
      <w:suff w:val="space"/>
      <w:lvlText w:val="%1."/>
      <w:lvlJc w:val="left"/>
    </w:lvl>
  </w:abstractNum>
  <w:abstractNum w:abstractNumId="5">
    <w:nsid w:val="2D944F78"/>
    <w:multiLevelType w:val="singleLevel"/>
    <w:tmpl w:val="2D944F78"/>
    <w:lvl w:ilvl="0" w:tentative="0">
      <w:start w:val="1"/>
      <w:numFmt w:val="decimal"/>
      <w:lvlText w:val="%1."/>
      <w:lvlJc w:val="left"/>
      <w:pPr>
        <w:tabs>
          <w:tab w:val="left" w:pos="425"/>
        </w:tabs>
        <w:ind w:left="425" w:leftChars="0" w:hanging="425" w:firstLineChars="0"/>
      </w:pPr>
      <w:rPr>
        <w:rFonts w:hint="default"/>
        <w:b/>
        <w:bCs/>
        <w:color w:val="auto"/>
      </w:rPr>
    </w:lvl>
  </w:abstractNum>
  <w:abstractNum w:abstractNumId="6">
    <w:nsid w:val="31558FCF"/>
    <w:multiLevelType w:val="singleLevel"/>
    <w:tmpl w:val="31558FCF"/>
    <w:lvl w:ilvl="0" w:tentative="0">
      <w:start w:val="1"/>
      <w:numFmt w:val="upperRoman"/>
      <w:suff w:val="space"/>
      <w:lvlText w:val="%1."/>
      <w:lvlJc w:val="left"/>
      <w:rPr>
        <w:rFonts w:hint="default"/>
        <w:b/>
        <w:bCs/>
        <w:sz w:val="20"/>
        <w:szCs w:val="20"/>
      </w:rPr>
    </w:lvl>
  </w:abstractNum>
  <w:abstractNum w:abstractNumId="7">
    <w:nsid w:val="4B5096C0"/>
    <w:multiLevelType w:val="singleLevel"/>
    <w:tmpl w:val="4B5096C0"/>
    <w:lvl w:ilvl="0" w:tentative="0">
      <w:start w:val="1"/>
      <w:numFmt w:val="decimal"/>
      <w:lvlText w:val="%1."/>
      <w:lvlJc w:val="left"/>
      <w:pPr>
        <w:tabs>
          <w:tab w:val="left" w:pos="425"/>
        </w:tabs>
        <w:ind w:left="425" w:leftChars="0" w:hanging="425" w:firstLineChars="0"/>
      </w:pPr>
      <w:rPr>
        <w:rFonts w:hint="default"/>
        <w:color w:val="auto"/>
      </w:rPr>
    </w:lvl>
  </w:abstractNum>
  <w:num w:numId="1">
    <w:abstractNumId w:val="6"/>
  </w:num>
  <w:num w:numId="2">
    <w:abstractNumId w:val="0"/>
  </w:num>
  <w:num w:numId="3">
    <w:abstractNumId w:val="2"/>
  </w:num>
  <w:num w:numId="4">
    <w:abstractNumId w:val="3"/>
  </w:num>
  <w:num w:numId="5">
    <w:abstractNumId w:val="1"/>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670288"/>
    <w:rsid w:val="01C82533"/>
    <w:rsid w:val="04B22A1C"/>
    <w:rsid w:val="04ED4B11"/>
    <w:rsid w:val="05FF4B65"/>
    <w:rsid w:val="06681BFF"/>
    <w:rsid w:val="08157432"/>
    <w:rsid w:val="146F5938"/>
    <w:rsid w:val="15B74573"/>
    <w:rsid w:val="267001E9"/>
    <w:rsid w:val="27C77AC6"/>
    <w:rsid w:val="29BF3686"/>
    <w:rsid w:val="2BBA69A5"/>
    <w:rsid w:val="310648D7"/>
    <w:rsid w:val="355D16DA"/>
    <w:rsid w:val="43954EF7"/>
    <w:rsid w:val="43F61C7F"/>
    <w:rsid w:val="47A90442"/>
    <w:rsid w:val="5806163E"/>
    <w:rsid w:val="66CB14F5"/>
    <w:rsid w:val="6B1D571B"/>
    <w:rsid w:val="751662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spacing w:line="276" w:lineRule="auto"/>
    </w:pPr>
    <w:rPr>
      <w:rFonts w:ascii="Arial" w:hAnsi="Arial" w:eastAsia="Arial" w:cs="Arial"/>
      <w:sz w:val="22"/>
      <w:szCs w:val="22"/>
      <w:lang w:val="en" w:eastAsia="en-US" w:bidi="ar-SA"/>
    </w:rPr>
  </w:style>
  <w:style w:type="paragraph" w:styleId="2">
    <w:name w:val="heading 1"/>
    <w:basedOn w:val="1"/>
    <w:next w:val="1"/>
    <w:qFormat/>
    <w:uiPriority w:val="0"/>
    <w:pPr>
      <w:keepNext/>
      <w:keepLines/>
      <w:pageBreakBefore w:val="0"/>
      <w:spacing w:before="400" w:after="120"/>
      <w:outlineLvl w:val="0"/>
    </w:pPr>
    <w:rPr>
      <w:sz w:val="40"/>
      <w:szCs w:val="40"/>
    </w:rPr>
  </w:style>
  <w:style w:type="paragraph" w:styleId="3">
    <w:name w:val="heading 2"/>
    <w:basedOn w:val="1"/>
    <w:next w:val="1"/>
    <w:uiPriority w:val="0"/>
    <w:pPr>
      <w:keepNext/>
      <w:keepLines/>
      <w:pageBreakBefore w:val="0"/>
      <w:spacing w:before="360" w:after="120"/>
      <w:outlineLvl w:val="1"/>
    </w:pPr>
    <w:rPr>
      <w:sz w:val="32"/>
      <w:szCs w:val="32"/>
    </w:rPr>
  </w:style>
  <w:style w:type="paragraph" w:styleId="4">
    <w:name w:val="heading 3"/>
    <w:basedOn w:val="1"/>
    <w:next w:val="1"/>
    <w:uiPriority w:val="0"/>
    <w:pPr>
      <w:keepNext/>
      <w:keepLines/>
      <w:pageBreakBefore w:val="0"/>
      <w:spacing w:before="320" w:after="80"/>
      <w:outlineLvl w:val="2"/>
    </w:pPr>
    <w:rPr>
      <w:color w:val="434343"/>
      <w:sz w:val="28"/>
      <w:szCs w:val="28"/>
    </w:rPr>
  </w:style>
  <w:style w:type="paragraph" w:styleId="5">
    <w:name w:val="heading 4"/>
    <w:basedOn w:val="1"/>
    <w:next w:val="1"/>
    <w:uiPriority w:val="0"/>
    <w:pPr>
      <w:keepNext/>
      <w:keepLines/>
      <w:pageBreakBefore w:val="0"/>
      <w:spacing w:before="280" w:after="80"/>
      <w:outlineLvl w:val="3"/>
    </w:pPr>
    <w:rPr>
      <w:color w:val="666666"/>
      <w:sz w:val="24"/>
      <w:szCs w:val="24"/>
    </w:rPr>
  </w:style>
  <w:style w:type="paragraph" w:styleId="6">
    <w:name w:val="heading 5"/>
    <w:basedOn w:val="1"/>
    <w:next w:val="1"/>
    <w:qFormat/>
    <w:uiPriority w:val="0"/>
    <w:pPr>
      <w:keepNext/>
      <w:keepLines/>
      <w:pageBreakBefore w:val="0"/>
      <w:spacing w:before="240" w:after="80"/>
      <w:outlineLvl w:val="4"/>
    </w:pPr>
    <w:rPr>
      <w:color w:val="666666"/>
      <w:sz w:val="22"/>
      <w:szCs w:val="22"/>
    </w:rPr>
  </w:style>
  <w:style w:type="paragraph" w:styleId="7">
    <w:name w:val="heading 6"/>
    <w:basedOn w:val="1"/>
    <w:next w:val="1"/>
    <w:qFormat/>
    <w:uiPriority w:val="0"/>
    <w:pPr>
      <w:keepNext/>
      <w:keepLines/>
      <w:pageBreakBefore w:val="0"/>
      <w:spacing w:before="240" w:after="80"/>
      <w:outlineLvl w:val="5"/>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Emphasis"/>
    <w:basedOn w:val="8"/>
    <w:qFormat/>
    <w:uiPriority w:val="0"/>
    <w:rPr>
      <w:i/>
      <w:iCs/>
    </w:rPr>
  </w:style>
  <w:style w:type="character" w:styleId="11">
    <w:name w:val="Hyperlink"/>
    <w:basedOn w:val="8"/>
    <w:qFormat/>
    <w:uiPriority w:val="0"/>
    <w:rPr>
      <w:color w:val="0000FF"/>
      <w:u w:val="single"/>
    </w:rPr>
  </w:style>
  <w:style w:type="paragraph" w:styleId="12">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8"/>
    <w:qFormat/>
    <w:uiPriority w:val="0"/>
    <w:rPr>
      <w:b/>
      <w:bCs/>
    </w:rPr>
  </w:style>
  <w:style w:type="paragraph" w:styleId="14">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table" w:styleId="15">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6">
    <w:name w:val="Title"/>
    <w:basedOn w:val="1"/>
    <w:next w:val="1"/>
    <w:qFormat/>
    <w:uiPriority w:val="0"/>
    <w:pPr>
      <w:keepNext/>
      <w:keepLines/>
      <w:pageBreakBefore w:val="0"/>
      <w:spacing w:before="0" w:after="60"/>
    </w:pPr>
    <w:rPr>
      <w:sz w:val="52"/>
      <w:szCs w:val="52"/>
    </w:rPr>
  </w:style>
  <w:style w:type="table" w:customStyle="1" w:styleId="17">
    <w:name w:val="Table Normal1"/>
    <w:qFormat/>
    <w:uiPriority w:val="0"/>
  </w:style>
  <w:style w:type="table" w:customStyle="1" w:styleId="18">
    <w:name w:val="_Style 10"/>
    <w:basedOn w:val="17"/>
    <w:qFormat/>
    <w:uiPriority w:val="0"/>
    <w:tblPr>
      <w:tblCellMar>
        <w:top w:w="100" w:type="dxa"/>
        <w:left w:w="100" w:type="dxa"/>
        <w:bottom w:w="100" w:type="dxa"/>
        <w:right w:w="100" w:type="dxa"/>
      </w:tblCellMar>
    </w:tblPr>
  </w:style>
  <w:style w:type="table" w:customStyle="1" w:styleId="19">
    <w:name w:val="_Style 11"/>
    <w:basedOn w:val="17"/>
    <w:qFormat/>
    <w:uiPriority w:val="0"/>
    <w:tblPr>
      <w:tblCellMar>
        <w:top w:w="100" w:type="dxa"/>
        <w:left w:w="100" w:type="dxa"/>
        <w:bottom w:w="100" w:type="dxa"/>
        <w:right w:w="100" w:type="dxa"/>
      </w:tblCellMar>
    </w:tblPr>
  </w:style>
  <w:style w:type="table" w:customStyle="1" w:styleId="20">
    <w:name w:val="_Style 12"/>
    <w:basedOn w:val="17"/>
    <w:qFormat/>
    <w:uiPriority w:val="0"/>
    <w:tblPr>
      <w:tblCellMar>
        <w:top w:w="100" w:type="dxa"/>
        <w:left w:w="100" w:type="dxa"/>
        <w:bottom w:w="100" w:type="dxa"/>
        <w:right w:w="100" w:type="dxa"/>
      </w:tblCellMar>
    </w:tblPr>
  </w:style>
  <w:style w:type="table" w:customStyle="1" w:styleId="21">
    <w:name w:val="_Style 13"/>
    <w:basedOn w:val="17"/>
    <w:qFormat/>
    <w:uiPriority w:val="0"/>
    <w:tblPr>
      <w:tblCellMar>
        <w:top w:w="100" w:type="dxa"/>
        <w:left w:w="100" w:type="dxa"/>
        <w:bottom w:w="100" w:type="dxa"/>
        <w:right w:w="100" w:type="dxa"/>
      </w:tblCellMar>
    </w:tblPr>
  </w:style>
  <w:style w:type="table" w:customStyle="1" w:styleId="22">
    <w:name w:val="_Style 14"/>
    <w:basedOn w:val="17"/>
    <w:qFormat/>
    <w:uiPriority w:val="0"/>
    <w:tblPr>
      <w:tblCellMar>
        <w:top w:w="100" w:type="dxa"/>
        <w:left w:w="100" w:type="dxa"/>
        <w:bottom w:w="100" w:type="dxa"/>
        <w:right w:w="100" w:type="dxa"/>
      </w:tblCellMar>
    </w:tblPr>
  </w:style>
  <w:style w:type="table" w:customStyle="1" w:styleId="23">
    <w:name w:val="_Style 15"/>
    <w:basedOn w:val="17"/>
    <w:qFormat/>
    <w:uiPriority w:val="0"/>
    <w:tblPr>
      <w:tblCellMar>
        <w:top w:w="100" w:type="dxa"/>
        <w:left w:w="100" w:type="dxa"/>
        <w:bottom w:w="100" w:type="dxa"/>
        <w:right w:w="100" w:type="dxa"/>
      </w:tblCellMar>
    </w:tblPr>
  </w:style>
  <w:style w:type="table" w:customStyle="1" w:styleId="24">
    <w:name w:val="_Style 16"/>
    <w:basedOn w:val="17"/>
    <w:qFormat/>
    <w:uiPriority w:val="0"/>
    <w:tblPr>
      <w:tblCellMar>
        <w:top w:w="100" w:type="dxa"/>
        <w:left w:w="100" w:type="dxa"/>
        <w:bottom w:w="100" w:type="dxa"/>
        <w:right w:w="100" w:type="dxa"/>
      </w:tblCellMar>
    </w:tblPr>
  </w:style>
  <w:style w:type="table" w:customStyle="1" w:styleId="25">
    <w:name w:val="_Style 17"/>
    <w:basedOn w:val="17"/>
    <w:qFormat/>
    <w:uiPriority w:val="0"/>
    <w:tblPr>
      <w:tblCellMar>
        <w:top w:w="100" w:type="dxa"/>
        <w:left w:w="100" w:type="dxa"/>
        <w:bottom w:w="100" w:type="dxa"/>
        <w:right w:w="100" w:type="dxa"/>
      </w:tblCellMar>
    </w:tblPr>
  </w:style>
  <w:style w:type="table" w:customStyle="1" w:styleId="26">
    <w:name w:val="_Style 18"/>
    <w:basedOn w:val="17"/>
    <w:qFormat/>
    <w:uiPriority w:val="0"/>
    <w:tblPr>
      <w:tblCellMar>
        <w:top w:w="100" w:type="dxa"/>
        <w:left w:w="100" w:type="dxa"/>
        <w:bottom w:w="100" w:type="dxa"/>
        <w:right w:w="100" w:type="dxa"/>
      </w:tblCellMar>
    </w:tblPr>
  </w:style>
  <w:style w:type="table" w:customStyle="1" w:styleId="27">
    <w:name w:val="_Style 19"/>
    <w:basedOn w:val="17"/>
    <w:qFormat/>
    <w:uiPriority w:val="0"/>
    <w:tblPr>
      <w:tblCellMar>
        <w:top w:w="100" w:type="dxa"/>
        <w:left w:w="100" w:type="dxa"/>
        <w:bottom w:w="100" w:type="dxa"/>
        <w:right w:w="100" w:type="dxa"/>
      </w:tblCellMar>
    </w:tblPr>
  </w:style>
  <w:style w:type="table" w:customStyle="1" w:styleId="28">
    <w:name w:val="_Style 20"/>
    <w:basedOn w:val="17"/>
    <w:qFormat/>
    <w:uiPriority w:val="0"/>
    <w:tblPr>
      <w:tblCellMar>
        <w:top w:w="100" w:type="dxa"/>
        <w:left w:w="100" w:type="dxa"/>
        <w:bottom w:w="100" w:type="dxa"/>
        <w:right w:w="100" w:type="dxa"/>
      </w:tblCellMar>
    </w:tblPr>
  </w:style>
  <w:style w:type="table" w:customStyle="1" w:styleId="29">
    <w:name w:val="_Style 21"/>
    <w:basedOn w:val="17"/>
    <w:qFormat/>
    <w:uiPriority w:val="0"/>
    <w:tblPr>
      <w:tblCellMar>
        <w:top w:w="100" w:type="dxa"/>
        <w:left w:w="100" w:type="dxa"/>
        <w:bottom w:w="100" w:type="dxa"/>
        <w:right w:w="100" w:type="dxa"/>
      </w:tblCellMar>
    </w:tblPr>
  </w:style>
  <w:style w:type="table" w:customStyle="1" w:styleId="30">
    <w:name w:val="_Style 22"/>
    <w:basedOn w:val="17"/>
    <w:qFormat/>
    <w:uiPriority w:val="0"/>
    <w:tblPr>
      <w:tblCellMar>
        <w:top w:w="100" w:type="dxa"/>
        <w:left w:w="100" w:type="dxa"/>
        <w:bottom w:w="100" w:type="dxa"/>
        <w:right w:w="100" w:type="dxa"/>
      </w:tblCellMar>
    </w:tblPr>
  </w:style>
  <w:style w:type="table" w:customStyle="1" w:styleId="31">
    <w:name w:val="_Style 23"/>
    <w:basedOn w:val="17"/>
    <w:qFormat/>
    <w:uiPriority w:val="0"/>
    <w:tblPr>
      <w:tblCellMar>
        <w:top w:w="100" w:type="dxa"/>
        <w:left w:w="100" w:type="dxa"/>
        <w:bottom w:w="100" w:type="dxa"/>
        <w:right w:w="100" w:type="dxa"/>
      </w:tblCellMar>
    </w:tblPr>
  </w:style>
  <w:style w:type="table" w:customStyle="1" w:styleId="32">
    <w:name w:val="_Style 24"/>
    <w:basedOn w:val="17"/>
    <w:qFormat/>
    <w:uiPriority w:val="0"/>
    <w:tblPr>
      <w:tblCellMar>
        <w:top w:w="100" w:type="dxa"/>
        <w:left w:w="100" w:type="dxa"/>
        <w:bottom w:w="100" w:type="dxa"/>
        <w:right w:w="100" w:type="dxa"/>
      </w:tblCellMar>
    </w:tblPr>
  </w:style>
  <w:style w:type="table" w:customStyle="1" w:styleId="33">
    <w:name w:val="_Style 25"/>
    <w:basedOn w:val="17"/>
    <w:qFormat/>
    <w:uiPriority w:val="0"/>
    <w:tblPr>
      <w:tblCellMar>
        <w:top w:w="100" w:type="dxa"/>
        <w:left w:w="100" w:type="dxa"/>
        <w:bottom w:w="100" w:type="dxa"/>
        <w:right w:w="100" w:type="dxa"/>
      </w:tblCellMar>
    </w:tblPr>
  </w:style>
  <w:style w:type="table" w:customStyle="1" w:styleId="34">
    <w:name w:val="_Style 26"/>
    <w:basedOn w:val="17"/>
    <w:qFormat/>
    <w:uiPriority w:val="0"/>
    <w:tblPr>
      <w:tblCellMar>
        <w:top w:w="100" w:type="dxa"/>
        <w:left w:w="100" w:type="dxa"/>
        <w:bottom w:w="100" w:type="dxa"/>
        <w:right w:w="100" w:type="dxa"/>
      </w:tblCellMar>
    </w:tblPr>
  </w:style>
  <w:style w:type="table" w:customStyle="1" w:styleId="35">
    <w:name w:val="_Style 27"/>
    <w:basedOn w:val="17"/>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278</TotalTime>
  <ScaleCrop>false</ScaleCrop>
  <LinksUpToDate>false</LinksUpToDate>
  <CharactersWithSpaces>0</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2023-06-05T04:59:00Z</dcterms:created>
  <dc:creator>DELL</dc:creator>
  <cp:lastModifiedBy>Aarzoo Gupta</cp:lastModifiedBy>
  <cp:lastPrinted>2023-08-29T10:14:00Z</cp:lastPrinted>
  <dcterms:modified xsi:type="dcterms:W3CDTF">2023-08-30T10:42:07Z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C7436B1943794AA5AEA3DBDDE412CE1E</vt:lpwstr>
  </property>
  <property fmtid="{D5CDD505-2E9C-101B-9397-08002B2CF9AE}" pid="3" name="KSOProductBuildVer">
    <vt:lpwstr>1033-11.2.0.11537</vt:lpwstr>
  </property>
</Properties>
</file>