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03" w:rsidRDefault="001A3C03" w:rsidP="001E64C4">
      <w:pPr>
        <w:pStyle w:val="papertitle"/>
        <w:spacing w:after="0"/>
        <w:rPr>
          <w:rFonts w:eastAsia="MS Mincho"/>
        </w:rPr>
      </w:pPr>
      <w:r w:rsidRPr="001A3C03">
        <w:rPr>
          <w:rFonts w:eastAsia="MS Mincho"/>
        </w:rPr>
        <w:t>Facial Emotion Recognition using Modified VGG16 Model through Transfer Learning</w:t>
      </w:r>
    </w:p>
    <w:p w:rsidR="008A55B5" w:rsidRDefault="008A55B5" w:rsidP="00466548">
      <w:pPr>
        <w:rPr>
          <w:rFonts w:eastAsia="MS Mincho"/>
        </w:rPr>
      </w:pPr>
    </w:p>
    <w:p w:rsidR="001A3C03" w:rsidRPr="00466548" w:rsidRDefault="001A3C03"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A3C03" w:rsidP="00466548">
      <w:pPr>
        <w:pStyle w:val="Author"/>
        <w:spacing w:before="0" w:after="0"/>
        <w:rPr>
          <w:rFonts w:eastAsia="MS Mincho"/>
          <w:sz w:val="20"/>
          <w:szCs w:val="20"/>
        </w:rPr>
      </w:pPr>
      <w:r>
        <w:rPr>
          <w:rFonts w:eastAsia="MS Mincho"/>
          <w:sz w:val="20"/>
          <w:szCs w:val="20"/>
        </w:rPr>
        <w:lastRenderedPageBreak/>
        <w:t>Rakshith M D</w:t>
      </w:r>
    </w:p>
    <w:p w:rsidR="008A55B5" w:rsidRPr="00466548" w:rsidRDefault="001A3C03" w:rsidP="00466548">
      <w:pPr>
        <w:pStyle w:val="Affiliation"/>
        <w:rPr>
          <w:rFonts w:eastAsia="MS Mincho"/>
        </w:rPr>
      </w:pPr>
      <w:r>
        <w:rPr>
          <w:rFonts w:eastAsia="MS Mincho"/>
        </w:rPr>
        <w:t xml:space="preserve">Computer Science and Engineering </w:t>
      </w:r>
    </w:p>
    <w:p w:rsidR="008A55B5" w:rsidRPr="00466548" w:rsidRDefault="001A3C03" w:rsidP="00466548">
      <w:pPr>
        <w:pStyle w:val="Affiliation"/>
        <w:rPr>
          <w:rFonts w:eastAsia="MS Mincho"/>
        </w:rPr>
      </w:pPr>
      <w:r>
        <w:rPr>
          <w:rFonts w:eastAsia="MS Mincho"/>
        </w:rPr>
        <w:t>Canara Engineering College</w:t>
      </w:r>
    </w:p>
    <w:p w:rsidR="008A55B5" w:rsidRPr="00466548" w:rsidRDefault="001A3C03" w:rsidP="00466548">
      <w:pPr>
        <w:pStyle w:val="Affiliation"/>
        <w:rPr>
          <w:rFonts w:eastAsia="MS Mincho"/>
        </w:rPr>
      </w:pPr>
      <w:r>
        <w:rPr>
          <w:rFonts w:eastAsia="MS Mincho"/>
        </w:rPr>
        <w:t>Bantwal, India</w:t>
      </w:r>
    </w:p>
    <w:p w:rsidR="008A55B5" w:rsidRDefault="001A3C03" w:rsidP="00466548">
      <w:pPr>
        <w:pStyle w:val="Affiliation"/>
        <w:rPr>
          <w:rFonts w:eastAsia="MS Mincho"/>
        </w:rPr>
      </w:pPr>
      <w:r>
        <w:rPr>
          <w:rFonts w:eastAsia="MS Mincho"/>
        </w:rPr>
        <w:t xml:space="preserve">rakshithmd@canaraengineering.in </w:t>
      </w:r>
    </w:p>
    <w:p w:rsidR="00466548" w:rsidRPr="00466548" w:rsidRDefault="00466548" w:rsidP="00466548">
      <w:pPr>
        <w:pStyle w:val="Affiliation"/>
        <w:rPr>
          <w:rFonts w:eastAsia="MS Mincho"/>
        </w:rPr>
      </w:pPr>
    </w:p>
    <w:p w:rsidR="008A55B5" w:rsidRPr="00466548" w:rsidRDefault="001A3C03" w:rsidP="00466548">
      <w:pPr>
        <w:pStyle w:val="Author"/>
        <w:spacing w:before="0" w:after="0"/>
        <w:rPr>
          <w:rFonts w:eastAsia="MS Mincho"/>
          <w:sz w:val="20"/>
          <w:szCs w:val="20"/>
        </w:rPr>
      </w:pPr>
      <w:r>
        <w:rPr>
          <w:rFonts w:eastAsia="MS Mincho"/>
          <w:sz w:val="20"/>
          <w:szCs w:val="20"/>
        </w:rPr>
        <w:lastRenderedPageBreak/>
        <w:t>Harish H Kenchannavar</w:t>
      </w:r>
    </w:p>
    <w:p w:rsidR="008A55B5" w:rsidRPr="00466548" w:rsidRDefault="001A3C03" w:rsidP="00466548">
      <w:pPr>
        <w:pStyle w:val="Affiliation"/>
        <w:rPr>
          <w:rFonts w:eastAsia="MS Mincho"/>
        </w:rPr>
      </w:pPr>
      <w:r>
        <w:rPr>
          <w:rFonts w:eastAsia="MS Mincho"/>
        </w:rPr>
        <w:t>Information Science and Engineering</w:t>
      </w:r>
    </w:p>
    <w:p w:rsidR="008A55B5" w:rsidRPr="00466548" w:rsidRDefault="001A3C03" w:rsidP="00466548">
      <w:pPr>
        <w:pStyle w:val="Affiliation"/>
        <w:rPr>
          <w:rFonts w:eastAsia="MS Mincho"/>
        </w:rPr>
      </w:pPr>
      <w:r>
        <w:rPr>
          <w:rFonts w:eastAsia="MS Mincho"/>
        </w:rPr>
        <w:t>Gogte Institute of Technology</w:t>
      </w:r>
    </w:p>
    <w:p w:rsidR="008A55B5" w:rsidRPr="00466548" w:rsidRDefault="001A3C03" w:rsidP="00466548">
      <w:pPr>
        <w:pStyle w:val="Affiliation"/>
        <w:rPr>
          <w:rFonts w:eastAsia="MS Mincho"/>
        </w:rPr>
      </w:pPr>
      <w:r>
        <w:rPr>
          <w:rFonts w:eastAsia="MS Mincho"/>
        </w:rPr>
        <w:t>Belagavi, India</w:t>
      </w:r>
    </w:p>
    <w:p w:rsidR="008A55B5" w:rsidRDefault="001A3C03" w:rsidP="00466548">
      <w:pPr>
        <w:pStyle w:val="Affiliation"/>
        <w:rPr>
          <w:rFonts w:eastAsia="MS Mincho"/>
        </w:rPr>
      </w:pPr>
      <w:r>
        <w:rPr>
          <w:rFonts w:eastAsia="MS Mincho"/>
        </w:rPr>
        <w:t>harishhk@git.edu</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1A3C03" w:rsidRPr="001A3C03" w:rsidRDefault="00402841" w:rsidP="001A3C03">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1A3C03" w:rsidRPr="001A3C03" w:rsidRDefault="001A3C03" w:rsidP="00402841">
      <w:pPr>
        <w:pStyle w:val="Abstract"/>
        <w:spacing w:after="0"/>
        <w:ind w:firstLine="720"/>
        <w:rPr>
          <w:b w:val="0"/>
          <w:sz w:val="20"/>
          <w:szCs w:val="20"/>
        </w:rPr>
      </w:pPr>
      <w:r w:rsidRPr="001A3C03">
        <w:rPr>
          <w:b w:val="0"/>
          <w:sz w:val="20"/>
          <w:szCs w:val="20"/>
        </w:rPr>
        <w:t xml:space="preserve">Emotion is a modality through which the intention and state of the person can be inferred. It plays a significant part in maintaining interpersonal relations. The meaningful aspects of human behavior in society can be exhibited through emotions. Recognizing the emotions of a person through his facial expressions has become a challenging task in different applications like video surveillance, entertainment, education, and healthcare. In the proposed research, following datasets: Extended Cohn -Kanade (CK+) and FER2013 were considered. Transfer learning based VGG16-M model, a variant of Deep Convolutional Neural Network (DCNN) is applied for performing the emotion recognition task. The presented model provides the test accuracy of 97.15% and 58.83% on CK+ and FER2013 datasets with 50 epochs. The limitation of the present work is that it only focuses on recognizing expressions from static images rather than dynamic ones. </w:t>
      </w:r>
      <w:r w:rsidRPr="001A3C03">
        <w:rPr>
          <w:b w:val="0"/>
          <w:iCs/>
          <w:sz w:val="20"/>
          <w:szCs w:val="20"/>
        </w:rPr>
        <w:t xml:space="preserve">                                                                  </w:t>
      </w:r>
    </w:p>
    <w:p w:rsidR="001A3C03" w:rsidRDefault="001A3C03" w:rsidP="001A3C03">
      <w:pPr>
        <w:pStyle w:val="Abstract"/>
        <w:spacing w:after="0"/>
        <w:ind w:firstLine="0"/>
        <w:rPr>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1A3C03" w:rsidRPr="001A3C03">
        <w:t xml:space="preserve"> </w:t>
      </w:r>
      <w:r w:rsidR="001A3C03" w:rsidRPr="001A3C03">
        <w:rPr>
          <w:rFonts w:eastAsia="MS Mincho"/>
          <w:b w:val="0"/>
          <w:i w:val="0"/>
          <w:sz w:val="20"/>
          <w:szCs w:val="20"/>
        </w:rPr>
        <w:t>Emotion, Facial expression, Transfer learning, Convolution.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6A4CAE" w:rsidRDefault="006A4CAE" w:rsidP="00466548">
      <w:pPr>
        <w:pStyle w:val="BodyText"/>
        <w:spacing w:after="0" w:line="240" w:lineRule="auto"/>
        <w:ind w:firstLine="0"/>
      </w:pPr>
      <w:r>
        <w:rPr>
          <w:rFonts w:asciiTheme="majorHAnsi" w:hAnsiTheme="majorHAnsi"/>
        </w:rPr>
        <w:tab/>
      </w:r>
      <w:r>
        <w:rPr>
          <w:rFonts w:asciiTheme="majorHAnsi" w:hAnsiTheme="majorHAnsi"/>
        </w:rPr>
        <w:tab/>
      </w:r>
      <w:r w:rsidRPr="006A4CAE">
        <w:t>Emotions are internal conscious states that we infer in others and ourselves. The observable behaviour associated with emotion is inferred to gain private experiences. Emotion is a significant life event that involves four components: feelings, social-expressive, bodily arousal, and sense of purpose. Feelings vary in intensity and quality. During the occurrence of emotion, the adaptive coping behaviour is activated by bodily arousal. The purposive component gives emotion its goal directed force. Social-expressive components like gestures, vocalizations and facial expressions make our emotions public. Mainly there are two categories of emotions: 1) Anticipatory emotions involve desire and fear. 2) Outcome emotions deal with happiness, sadness, regret, relief, and anxiety. Factors affecting emotions are personality, culture, weather, stress, age, gender, environment, organization, and marital relation. (Friesen et al., 1978) developed FACS for emotion recognition. (Aneja et al., 2016), (Edwards, Jackson, &amp; Pattison, 2002) proved that the impression of a person’s emotion can be learnt through his face in different applications like animation and health. (Chu et al., 2017). illustrated about the disorders diagnostics in children. Because of the low-resolution images and varying backgrounds, emotion recognition using facial images has become a challenging task. (Mollahosseini, Chan, &amp; Mahoor, 2016) achieved the task of emotion recognition through facial expressions. Convolutional neural networks (CNNs) are drastically used for extracting the features from facial expressions thereby contributes in developing efficient facial expression recognition system. (Gao, Luo, &amp; Ma, 2021) presented an OpenCV based method to detect emotions from a video stream by extracting eye and mouth features. (Stewart et al., 2005) designed a hybrid approach to classify facial expressions from multiple pose images. (Wang et al., 2020) performed the task of fingerprint minutiae matching by applying deep convolutional neural network. (Ali et al., 2020) presented a method to classify facial expressions from multiple pose images. In the presented work, by taking into account the above observations a deep learning based model with transfer learning is incorporated for recognizing facial expressions.</w:t>
      </w:r>
    </w:p>
    <w:p w:rsidR="006A4CAE" w:rsidRPr="006A4CAE" w:rsidRDefault="006A4CAE" w:rsidP="006A4CAE">
      <w:pPr>
        <w:ind w:firstLine="720"/>
        <w:jc w:val="both"/>
      </w:pPr>
      <w:r w:rsidRPr="006A4CAE">
        <w:t xml:space="preserve">We make an attempt to illustrate that by using transfer learning even with less number of epochs a network will be able to obtain high accuracy. The contributions of the presented research are as follows:  </w:t>
      </w:r>
    </w:p>
    <w:p w:rsidR="006A4CAE" w:rsidRPr="006A4CAE" w:rsidRDefault="006A4CAE" w:rsidP="006A4CAE">
      <w:pPr>
        <w:jc w:val="both"/>
      </w:pPr>
      <w:r w:rsidRPr="006A4CAE">
        <w:t xml:space="preserve">1) A transfer learning based deep CNN model is proposed to recognize emotions from facial expressions and also to obtain higher accuracy than the existing techniques.  </w:t>
      </w:r>
    </w:p>
    <w:p w:rsidR="006A4CAE" w:rsidRPr="006A4CAE" w:rsidRDefault="006A4CAE" w:rsidP="006A4CAE">
      <w:pPr>
        <w:jc w:val="both"/>
      </w:pPr>
      <w:r w:rsidRPr="006A4CAE">
        <w:t>2) A compact CNN model for recognizing seven facial expressions is proposed. Longer training sets are considered for illustrating consistency.</w:t>
      </w:r>
    </w:p>
    <w:p w:rsidR="006A4CAE" w:rsidRPr="006A4CAE" w:rsidRDefault="006A4CAE" w:rsidP="006A4CAE">
      <w:pPr>
        <w:jc w:val="both"/>
      </w:pPr>
      <w:r w:rsidRPr="006A4CAE">
        <w:t>3) The proposed model provides an accuracy of about 95% with respect to testing in the minimum number of epochs.</w:t>
      </w:r>
    </w:p>
    <w:p w:rsidR="006A4CAE" w:rsidRPr="006A4CAE" w:rsidRDefault="006B577B" w:rsidP="00466548">
      <w:pPr>
        <w:pStyle w:val="BodyText"/>
        <w:spacing w:after="0" w:line="240" w:lineRule="auto"/>
        <w:ind w:firstLine="0"/>
      </w:pPr>
      <w:r w:rsidRPr="006A4CAE">
        <w:lastRenderedPageBreak/>
        <w:tab/>
      </w:r>
      <w:r w:rsidRPr="006A4CAE">
        <w:tab/>
      </w:r>
    </w:p>
    <w:p w:rsidR="006A4CAE" w:rsidRPr="006A4CAE" w:rsidRDefault="006A4CAE"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6A4CAE" w:rsidRPr="006A4CAE" w:rsidRDefault="006A4CAE" w:rsidP="006A4CAE">
      <w:pPr>
        <w:pStyle w:val="Heading1"/>
        <w:spacing w:before="0"/>
        <w:ind w:firstLine="0"/>
        <w:rPr>
          <w:rFonts w:eastAsia="MS Mincho"/>
        </w:rPr>
      </w:pPr>
      <w:r w:rsidRPr="006A4CAE">
        <w:rPr>
          <w:rFonts w:ascii="Times New Roman" w:eastAsia="MS Mincho" w:hAnsi="Times New Roman"/>
          <w:sz w:val="20"/>
          <w:szCs w:val="20"/>
        </w:rPr>
        <w:t>ARCHITECTURE OF FACIAL EXPRESSION RECOGNITION</w:t>
      </w:r>
      <w:r>
        <w:rPr>
          <w:rFonts w:ascii="Times New Roman" w:eastAsia="MS Mincho" w:hAnsi="Times New Roman"/>
          <w:sz w:val="20"/>
          <w:szCs w:val="20"/>
        </w:rPr>
        <w:t xml:space="preserve"> (FER)</w:t>
      </w:r>
      <w:r>
        <w:rPr>
          <w:rFonts w:eastAsia="MS Mincho"/>
        </w:rPr>
        <w:t xml:space="preserve"> </w:t>
      </w:r>
      <w:r w:rsidRPr="006A4CAE">
        <w:rPr>
          <w:rFonts w:ascii="Times New Roman" w:eastAsia="MS Mincho" w:hAnsi="Times New Roman"/>
          <w:sz w:val="20"/>
          <w:szCs w:val="20"/>
        </w:rPr>
        <w:t>SYSTEM</w:t>
      </w:r>
    </w:p>
    <w:p w:rsidR="006A4CAE" w:rsidRPr="006A4CAE" w:rsidRDefault="006A4CAE" w:rsidP="006A4CAE">
      <w:pPr>
        <w:spacing w:after="240"/>
        <w:jc w:val="both"/>
      </w:pPr>
      <w:r w:rsidRPr="006A4CAE">
        <w:t>Artificial intelligence (AI) is a broad domain which involves transfer learning. It enables the transfer of learning obtained from pre-trained models to the data of interest thereby reusing the knowledge. It is the most widely used technique for building the models with reasonably less time and learning the patterns from the already obtained information.</w:t>
      </w:r>
    </w:p>
    <w:p w:rsidR="00466548" w:rsidRPr="006A4CAE" w:rsidRDefault="006A4CAE" w:rsidP="006A4CAE">
      <w:pPr>
        <w:pStyle w:val="Heading1"/>
        <w:numPr>
          <w:ilvl w:val="0"/>
          <w:numId w:val="0"/>
        </w:numPr>
        <w:spacing w:before="0" w:after="0"/>
        <w:rPr>
          <w:rFonts w:eastAsia="MS Mincho"/>
        </w:rPr>
      </w:pPr>
      <w:r w:rsidRPr="006A4CAE">
        <w:rPr>
          <w:rFonts w:ascii="Times New Roman" w:eastAsia="MS Mincho" w:hAnsi="Times New Roman"/>
          <w:sz w:val="20"/>
          <w:szCs w:val="20"/>
        </w:rPr>
        <w:drawing>
          <wp:inline distT="0" distB="0" distL="0" distR="0">
            <wp:extent cx="5461381" cy="3190875"/>
            <wp:effectExtent l="19050" t="0" r="596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66467" cy="3193846"/>
                    </a:xfrm>
                    <a:prstGeom prst="rect">
                      <a:avLst/>
                    </a:prstGeom>
                    <a:noFill/>
                    <a:ln w="9525">
                      <a:noFill/>
                      <a:miter lim="800000"/>
                      <a:headEnd/>
                      <a:tailEnd/>
                    </a:ln>
                  </pic:spPr>
                </pic:pic>
              </a:graphicData>
            </a:graphic>
          </wp:inline>
        </w:drawing>
      </w:r>
    </w:p>
    <w:p w:rsidR="006A4CAE" w:rsidRPr="006A4CAE" w:rsidRDefault="006A4CAE" w:rsidP="006A4CAE">
      <w:pPr>
        <w:rPr>
          <w:b/>
        </w:rPr>
      </w:pPr>
      <w:r w:rsidRPr="006A4CAE">
        <w:rPr>
          <w:b/>
        </w:rPr>
        <w:t>Figure 1: Architecture of Transfer learning based FER System</w:t>
      </w:r>
    </w:p>
    <w:p w:rsidR="006A4CAE" w:rsidRDefault="006A4CAE" w:rsidP="006A4CAE">
      <w:pPr>
        <w:pStyle w:val="Heading2"/>
        <w:numPr>
          <w:ilvl w:val="0"/>
          <w:numId w:val="0"/>
        </w:numPr>
        <w:spacing w:before="0" w:after="0"/>
        <w:rPr>
          <w:b/>
          <w:i w:val="0"/>
        </w:rPr>
      </w:pPr>
    </w:p>
    <w:p w:rsidR="006A4CAE" w:rsidRDefault="006A4CAE" w:rsidP="006A4CAE">
      <w:pPr>
        <w:ind w:firstLine="720"/>
        <w:jc w:val="both"/>
      </w:pPr>
      <w:r w:rsidRPr="006A4CAE">
        <w:t>VGG16 involves 16 layers which are combination of convolution and fully connected layers. The proposed FER system is illustrated in Figure 1. The VGG16 model is applied on the ImageNet dataset comprising of 1000 classes. For training 1.28 million images were used. Testing was incorporated with 50,000 images. This model is refined to obtain VGG16-M model by adding 2 dense layers with 128 and 64 hidden units. Activation function used is ‘relu’. The proposed model is applied on the corresponding data and its recognition accuracy is observed. The table 1 illustrates the base VGG16 model and the modifications that have been incorporated to derive VGG16-M model.</w:t>
      </w:r>
    </w:p>
    <w:p w:rsidR="006A4CAE" w:rsidRPr="006A4CAE" w:rsidRDefault="006A4CAE" w:rsidP="006A4CAE">
      <w:pPr>
        <w:ind w:firstLine="720"/>
        <w:jc w:val="both"/>
      </w:pPr>
    </w:p>
    <w:p w:rsidR="006A4CAE" w:rsidRPr="006A4CAE" w:rsidRDefault="006A4CAE" w:rsidP="006A4CAE">
      <w:pPr>
        <w:autoSpaceDE w:val="0"/>
        <w:autoSpaceDN w:val="0"/>
        <w:adjustRightInd w:val="0"/>
        <w:spacing w:line="360" w:lineRule="auto"/>
        <w:rPr>
          <w:b/>
          <w:color w:val="000000"/>
        </w:rPr>
      </w:pPr>
      <w:r w:rsidRPr="006A4CAE">
        <w:rPr>
          <w:b/>
          <w:color w:val="000000"/>
        </w:rPr>
        <w:t>Table 1: Summary of the Proposed Model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9"/>
        <w:gridCol w:w="1218"/>
      </w:tblGrid>
      <w:tr w:rsidR="006A4CAE" w:rsidRPr="006A4CAE" w:rsidTr="009F1081">
        <w:trPr>
          <w:jc w:val="center"/>
        </w:trPr>
        <w:tc>
          <w:tcPr>
            <w:tcW w:w="1488" w:type="dxa"/>
          </w:tcPr>
          <w:p w:rsidR="006A4CAE" w:rsidRPr="006A4CAE" w:rsidRDefault="006A4CAE" w:rsidP="009F1081">
            <w:pPr>
              <w:autoSpaceDE w:val="0"/>
              <w:autoSpaceDN w:val="0"/>
              <w:rPr>
                <w:rFonts w:eastAsia="Calibri"/>
                <w:b/>
              </w:rPr>
            </w:pPr>
            <w:r w:rsidRPr="006A4CAE">
              <w:rPr>
                <w:rFonts w:eastAsia="Calibri"/>
                <w:b/>
              </w:rPr>
              <w:t>Layer (Type)</w:t>
            </w:r>
          </w:p>
        </w:tc>
        <w:tc>
          <w:tcPr>
            <w:tcW w:w="1559" w:type="dxa"/>
          </w:tcPr>
          <w:p w:rsidR="006A4CAE" w:rsidRPr="006A4CAE" w:rsidRDefault="006A4CAE" w:rsidP="009F1081">
            <w:pPr>
              <w:pStyle w:val="ListParagraph"/>
              <w:autoSpaceDE w:val="0"/>
              <w:autoSpaceDN w:val="0"/>
              <w:spacing w:line="240" w:lineRule="auto"/>
              <w:ind w:left="33"/>
              <w:jc w:val="both"/>
              <w:rPr>
                <w:rFonts w:ascii="Times New Roman" w:eastAsia="Calibri" w:hAnsi="Times New Roman" w:cs="Times New Roman"/>
                <w:b/>
                <w:sz w:val="20"/>
                <w:szCs w:val="20"/>
              </w:rPr>
            </w:pPr>
            <w:r w:rsidRPr="006A4CAE">
              <w:rPr>
                <w:rFonts w:ascii="Times New Roman" w:eastAsia="Calibri" w:hAnsi="Times New Roman" w:cs="Times New Roman"/>
                <w:b/>
                <w:sz w:val="20"/>
                <w:szCs w:val="20"/>
              </w:rPr>
              <w:t>Output Shape</w:t>
            </w:r>
          </w:p>
        </w:tc>
        <w:tc>
          <w:tcPr>
            <w:tcW w:w="1218" w:type="dxa"/>
          </w:tcPr>
          <w:p w:rsidR="006A4CAE" w:rsidRPr="006A4CAE" w:rsidRDefault="006A4CAE" w:rsidP="009F1081">
            <w:pPr>
              <w:pStyle w:val="ListParagraph"/>
              <w:autoSpaceDE w:val="0"/>
              <w:autoSpaceDN w:val="0"/>
              <w:spacing w:line="240" w:lineRule="auto"/>
              <w:ind w:left="0"/>
              <w:rPr>
                <w:rFonts w:ascii="Times New Roman" w:eastAsia="Calibri" w:hAnsi="Times New Roman" w:cs="Times New Roman"/>
                <w:b/>
                <w:sz w:val="20"/>
                <w:szCs w:val="20"/>
              </w:rPr>
            </w:pPr>
            <w:r w:rsidRPr="006A4CAE">
              <w:rPr>
                <w:rFonts w:ascii="Times New Roman" w:eastAsia="Calibri" w:hAnsi="Times New Roman" w:cs="Times New Roman"/>
                <w:b/>
                <w:sz w:val="20"/>
                <w:szCs w:val="20"/>
              </w:rPr>
              <w:t>Parameters</w:t>
            </w:r>
          </w:p>
        </w:tc>
      </w:tr>
      <w:tr w:rsidR="006A4CAE" w:rsidRPr="006A4CAE" w:rsidTr="009F1081">
        <w:trPr>
          <w:jc w:val="center"/>
        </w:trPr>
        <w:tc>
          <w:tcPr>
            <w:tcW w:w="1488" w:type="dxa"/>
          </w:tcPr>
          <w:p w:rsidR="006A4CAE" w:rsidRPr="006A4CAE" w:rsidRDefault="006A4CAE" w:rsidP="009F1081">
            <w:pPr>
              <w:pStyle w:val="ListParagraph"/>
              <w:autoSpaceDE w:val="0"/>
              <w:autoSpaceDN w:val="0"/>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t>VGG16 (the base model)</w:t>
            </w:r>
          </w:p>
        </w:tc>
        <w:tc>
          <w:tcPr>
            <w:tcW w:w="1559" w:type="dxa"/>
          </w:tcPr>
          <w:p w:rsidR="006A4CAE" w:rsidRPr="006A4CAE" w:rsidRDefault="006A4CAE" w:rsidP="009F10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0"/>
              <w:textAlignment w:val="baseline"/>
              <w:rPr>
                <w:rFonts w:eastAsia="Calibri"/>
              </w:rPr>
            </w:pPr>
            <w:r w:rsidRPr="006A4CAE">
              <w:rPr>
                <w:rFonts w:eastAsia="Calibri"/>
                <w:color w:val="000000"/>
                <w:lang w:eastAsia="en-IN"/>
              </w:rPr>
              <w:t>(None, 7, 7, 512)</w:t>
            </w:r>
          </w:p>
        </w:tc>
        <w:tc>
          <w:tcPr>
            <w:tcW w:w="1218" w:type="dxa"/>
            <w:vMerge w:val="restart"/>
          </w:tcPr>
          <w:p w:rsidR="006A4CAE" w:rsidRPr="006A4CAE" w:rsidRDefault="006A4CAE" w:rsidP="009F1081">
            <w:pPr>
              <w:autoSpaceDE w:val="0"/>
              <w:autoSpaceDN w:val="0"/>
              <w:spacing w:line="360" w:lineRule="auto"/>
              <w:rPr>
                <w:rFonts w:eastAsia="Calibri"/>
              </w:rPr>
            </w:pPr>
            <w:r w:rsidRPr="006A4CAE">
              <w:rPr>
                <w:color w:val="000000"/>
                <w:lang w:val="en-IN" w:eastAsia="en-IN"/>
              </w:rPr>
              <w:t xml:space="preserve">      14,789,063</w:t>
            </w:r>
          </w:p>
        </w:tc>
      </w:tr>
      <w:tr w:rsidR="006A4CAE" w:rsidRPr="006A4CAE" w:rsidTr="009F1081">
        <w:trPr>
          <w:jc w:val="center"/>
        </w:trPr>
        <w:tc>
          <w:tcPr>
            <w:tcW w:w="1488" w:type="dxa"/>
          </w:tcPr>
          <w:p w:rsidR="006A4CAE" w:rsidRPr="006A4CAE" w:rsidRDefault="006A4CAE" w:rsidP="009F1081">
            <w:pPr>
              <w:pStyle w:val="ListParagraph"/>
              <w:autoSpaceDE w:val="0"/>
              <w:autoSpaceDN w:val="0"/>
              <w:spacing w:line="360" w:lineRule="auto"/>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t>Dense (ReLU)</w:t>
            </w:r>
          </w:p>
        </w:tc>
        <w:tc>
          <w:tcPr>
            <w:tcW w:w="1559" w:type="dxa"/>
          </w:tcPr>
          <w:p w:rsidR="006A4CAE" w:rsidRPr="006A4CAE" w:rsidRDefault="006A4CAE" w:rsidP="009F1081">
            <w:pPr>
              <w:pStyle w:val="ListParagraph"/>
              <w:autoSpaceDE w:val="0"/>
              <w:autoSpaceDN w:val="0"/>
              <w:spacing w:line="360" w:lineRule="auto"/>
              <w:ind w:left="223" w:hanging="36"/>
              <w:rPr>
                <w:rFonts w:ascii="Times New Roman" w:eastAsia="Calibri" w:hAnsi="Times New Roman" w:cs="Times New Roman"/>
                <w:sz w:val="20"/>
                <w:szCs w:val="20"/>
              </w:rPr>
            </w:pPr>
            <w:r w:rsidRPr="006A4CAE">
              <w:rPr>
                <w:rFonts w:ascii="Times New Roman" w:eastAsia="Calibri" w:hAnsi="Times New Roman" w:cs="Times New Roman"/>
                <w:sz w:val="20"/>
                <w:szCs w:val="20"/>
              </w:rPr>
              <w:t>128</w:t>
            </w:r>
          </w:p>
        </w:tc>
        <w:tc>
          <w:tcPr>
            <w:tcW w:w="1218" w:type="dxa"/>
            <w:vMerge/>
          </w:tcPr>
          <w:p w:rsidR="006A4CAE" w:rsidRPr="006A4CAE" w:rsidRDefault="006A4CAE" w:rsidP="009F1081">
            <w:pPr>
              <w:pStyle w:val="ListParagraph"/>
              <w:autoSpaceDE w:val="0"/>
              <w:autoSpaceDN w:val="0"/>
              <w:spacing w:line="360" w:lineRule="auto"/>
              <w:ind w:firstLine="300"/>
              <w:rPr>
                <w:rFonts w:ascii="Times New Roman" w:eastAsia="Calibri" w:hAnsi="Times New Roman" w:cs="Times New Roman"/>
                <w:sz w:val="20"/>
                <w:szCs w:val="20"/>
              </w:rPr>
            </w:pPr>
          </w:p>
        </w:tc>
      </w:tr>
      <w:tr w:rsidR="006A4CAE" w:rsidRPr="006A4CAE" w:rsidTr="009F1081">
        <w:trPr>
          <w:jc w:val="center"/>
        </w:trPr>
        <w:tc>
          <w:tcPr>
            <w:tcW w:w="1488" w:type="dxa"/>
          </w:tcPr>
          <w:p w:rsidR="006A4CAE" w:rsidRPr="006A4CAE" w:rsidRDefault="006A4CAE" w:rsidP="009F1081">
            <w:pPr>
              <w:pStyle w:val="ListParagraph"/>
              <w:autoSpaceDE w:val="0"/>
              <w:autoSpaceDN w:val="0"/>
              <w:spacing w:line="360" w:lineRule="auto"/>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t>Dense (ReLU)</w:t>
            </w:r>
          </w:p>
        </w:tc>
        <w:tc>
          <w:tcPr>
            <w:tcW w:w="1559" w:type="dxa"/>
          </w:tcPr>
          <w:p w:rsidR="006A4CAE" w:rsidRPr="006A4CAE" w:rsidRDefault="006A4CAE" w:rsidP="009F1081">
            <w:pPr>
              <w:pStyle w:val="ListParagraph"/>
              <w:autoSpaceDE w:val="0"/>
              <w:autoSpaceDN w:val="0"/>
              <w:spacing w:line="360" w:lineRule="auto"/>
              <w:ind w:left="223"/>
              <w:rPr>
                <w:rFonts w:ascii="Times New Roman" w:eastAsia="Calibri" w:hAnsi="Times New Roman" w:cs="Times New Roman"/>
                <w:sz w:val="20"/>
                <w:szCs w:val="20"/>
              </w:rPr>
            </w:pPr>
            <w:r w:rsidRPr="006A4CAE">
              <w:rPr>
                <w:rFonts w:ascii="Times New Roman" w:eastAsia="Calibri" w:hAnsi="Times New Roman" w:cs="Times New Roman"/>
                <w:sz w:val="20"/>
                <w:szCs w:val="20"/>
              </w:rPr>
              <w:t>64</w:t>
            </w:r>
          </w:p>
        </w:tc>
        <w:tc>
          <w:tcPr>
            <w:tcW w:w="1218" w:type="dxa"/>
            <w:vMerge/>
          </w:tcPr>
          <w:p w:rsidR="006A4CAE" w:rsidRPr="006A4CAE" w:rsidRDefault="006A4CAE" w:rsidP="009F1081">
            <w:pPr>
              <w:pStyle w:val="ListParagraph"/>
              <w:autoSpaceDE w:val="0"/>
              <w:autoSpaceDN w:val="0"/>
              <w:spacing w:line="360" w:lineRule="auto"/>
              <w:ind w:firstLine="300"/>
              <w:rPr>
                <w:rFonts w:ascii="Times New Roman" w:eastAsia="Calibri" w:hAnsi="Times New Roman" w:cs="Times New Roman"/>
                <w:sz w:val="20"/>
                <w:szCs w:val="20"/>
              </w:rPr>
            </w:pPr>
          </w:p>
        </w:tc>
      </w:tr>
      <w:tr w:rsidR="006A4CAE" w:rsidRPr="006A4CAE" w:rsidTr="009F1081">
        <w:trPr>
          <w:trHeight w:val="217"/>
          <w:jc w:val="center"/>
        </w:trPr>
        <w:tc>
          <w:tcPr>
            <w:tcW w:w="1488" w:type="dxa"/>
          </w:tcPr>
          <w:p w:rsidR="006A4CAE" w:rsidRPr="006A4CAE" w:rsidRDefault="006A4CAE" w:rsidP="009F1081">
            <w:pPr>
              <w:pStyle w:val="ListParagraph"/>
              <w:autoSpaceDE w:val="0"/>
              <w:autoSpaceDN w:val="0"/>
              <w:spacing w:line="360" w:lineRule="auto"/>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t>Dense(Softmax)</w:t>
            </w:r>
          </w:p>
        </w:tc>
        <w:tc>
          <w:tcPr>
            <w:tcW w:w="1559" w:type="dxa"/>
          </w:tcPr>
          <w:p w:rsidR="006A4CAE" w:rsidRPr="006A4CAE" w:rsidRDefault="006A4CAE" w:rsidP="009F1081">
            <w:pPr>
              <w:pStyle w:val="ListParagraph"/>
              <w:autoSpaceDE w:val="0"/>
              <w:autoSpaceDN w:val="0"/>
              <w:spacing w:line="360" w:lineRule="auto"/>
              <w:ind w:left="365" w:hanging="71"/>
              <w:rPr>
                <w:rFonts w:ascii="Times New Roman" w:eastAsia="Calibri" w:hAnsi="Times New Roman" w:cs="Times New Roman"/>
                <w:sz w:val="20"/>
                <w:szCs w:val="20"/>
              </w:rPr>
            </w:pPr>
            <w:r w:rsidRPr="006A4CAE">
              <w:rPr>
                <w:rFonts w:ascii="Times New Roman" w:eastAsia="Calibri" w:hAnsi="Times New Roman" w:cs="Times New Roman"/>
                <w:sz w:val="20"/>
                <w:szCs w:val="20"/>
              </w:rPr>
              <w:t>7</w:t>
            </w:r>
          </w:p>
        </w:tc>
        <w:tc>
          <w:tcPr>
            <w:tcW w:w="1218" w:type="dxa"/>
            <w:vMerge/>
          </w:tcPr>
          <w:p w:rsidR="006A4CAE" w:rsidRPr="006A4CAE" w:rsidRDefault="006A4CAE" w:rsidP="009F1081">
            <w:pPr>
              <w:pStyle w:val="ListParagraph"/>
              <w:autoSpaceDE w:val="0"/>
              <w:autoSpaceDN w:val="0"/>
              <w:spacing w:line="360" w:lineRule="auto"/>
              <w:ind w:firstLine="300"/>
              <w:rPr>
                <w:rFonts w:ascii="Times New Roman" w:eastAsia="Calibri" w:hAnsi="Times New Roman" w:cs="Times New Roman"/>
                <w:sz w:val="20"/>
                <w:szCs w:val="20"/>
              </w:rPr>
            </w:pPr>
          </w:p>
        </w:tc>
      </w:tr>
    </w:tbl>
    <w:p w:rsidR="006A4CAE" w:rsidRPr="006A4CAE" w:rsidRDefault="006A4CAE" w:rsidP="006A4CAE">
      <w:pPr>
        <w:jc w:val="both"/>
      </w:pPr>
    </w:p>
    <w:p w:rsidR="006A4CAE" w:rsidRPr="006A4CAE" w:rsidRDefault="006A4CAE" w:rsidP="006A4CAE">
      <w:pPr>
        <w:pStyle w:val="Heading1"/>
        <w:rPr>
          <w:rFonts w:ascii="Times New Roman" w:hAnsi="Times New Roman"/>
          <w:sz w:val="20"/>
          <w:szCs w:val="20"/>
        </w:rPr>
      </w:pPr>
      <w:r w:rsidRPr="006A4CAE">
        <w:rPr>
          <w:rFonts w:ascii="Times New Roman" w:hAnsi="Times New Roman"/>
          <w:sz w:val="20"/>
          <w:szCs w:val="20"/>
        </w:rPr>
        <w:t>RESULTS</w:t>
      </w:r>
    </w:p>
    <w:p w:rsidR="006A4CAE" w:rsidRPr="006A4CAE" w:rsidRDefault="006A4CAE" w:rsidP="003F63D2">
      <w:pPr>
        <w:spacing w:after="240"/>
        <w:ind w:firstLine="720"/>
        <w:jc w:val="both"/>
      </w:pPr>
      <w:r w:rsidRPr="006A4CAE">
        <w:t xml:space="preserve">The performance of the presented FER system using TL on CK+ (Lucey et al., 2010) and the Facial Expression Recognition 2013 (FER2013) (Courville et al., 2013) datasets is analyzed in this section. Primarily, the datasets have been described. Secondarily, the presented model’s performance is compared with the existing methods to understand its efficiency. CK+ dataset includes spontaneous expressions of 123 subjects with 593 sequences. FER2013 dataset incorporates 35,887 images with size 48 × 48. In CK+ dataset, training involved </w:t>
      </w:r>
      <w:r w:rsidRPr="006A4CAE">
        <w:lastRenderedPageBreak/>
        <w:t xml:space="preserve">735 images and testing is incorporated with 246 images. In the case of FER2013 dataset, training phase involved 28,709 images and testing phase incorporates 7178 images. The split ratio considered for training and testing was 80:20. Adam optimizer was used for training the model with 50 epochs. </w:t>
      </w:r>
    </w:p>
    <w:p w:rsidR="006A4CAE" w:rsidRDefault="006A4CAE" w:rsidP="006A4CAE">
      <w:pPr>
        <w:rPr>
          <w:rFonts w:asciiTheme="majorHAnsi" w:hAnsiTheme="majorHAnsi"/>
          <w:b/>
        </w:rPr>
      </w:pPr>
      <w:r w:rsidRPr="00AE2C46">
        <w:rPr>
          <w:rFonts w:asciiTheme="majorHAnsi" w:hAnsiTheme="majorHAnsi"/>
          <w:noProof/>
        </w:rPr>
        <w:drawing>
          <wp:inline distT="0" distB="0" distL="0" distR="0">
            <wp:extent cx="2905125" cy="200025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22220" cy="2012020"/>
                    </a:xfrm>
                    <a:prstGeom prst="rect">
                      <a:avLst/>
                    </a:prstGeom>
                    <a:noFill/>
                    <a:ln w="9525">
                      <a:noFill/>
                      <a:miter lim="800000"/>
                      <a:headEnd/>
                      <a:tailEnd/>
                    </a:ln>
                  </pic:spPr>
                </pic:pic>
              </a:graphicData>
            </a:graphic>
          </wp:inline>
        </w:drawing>
      </w:r>
    </w:p>
    <w:p w:rsidR="006A4CAE" w:rsidRPr="006A4CAE" w:rsidRDefault="006A4CAE" w:rsidP="006A4CAE">
      <w:pPr>
        <w:rPr>
          <w:b/>
        </w:rPr>
      </w:pPr>
      <w:r w:rsidRPr="006A4CAE">
        <w:rPr>
          <w:b/>
        </w:rPr>
        <w:t>Fig</w:t>
      </w:r>
      <w:r>
        <w:rPr>
          <w:b/>
        </w:rPr>
        <w:t xml:space="preserve">ure </w:t>
      </w:r>
      <w:r w:rsidRPr="006A4CAE">
        <w:rPr>
          <w:b/>
        </w:rPr>
        <w:t>2: Accuracy on CK+</w:t>
      </w:r>
    </w:p>
    <w:p w:rsidR="006A4CAE" w:rsidRDefault="006A4CAE" w:rsidP="006A4CAE"/>
    <w:p w:rsidR="003F63D2" w:rsidRPr="003F63D2" w:rsidRDefault="003F63D2" w:rsidP="003F63D2">
      <w:pPr>
        <w:spacing w:after="240"/>
        <w:ind w:firstLine="720"/>
        <w:jc w:val="both"/>
      </w:pPr>
      <w:r w:rsidRPr="003F63D2">
        <w:t>Figure 2 depicts the accuracy obtained by the model</w:t>
      </w:r>
      <w:r>
        <w:t xml:space="preserve"> on CK+</w:t>
      </w:r>
      <w:r w:rsidRPr="003F63D2">
        <w:t>. Similarly, Figure 3 illustrates the loss obtained. Sum of errors obtained for each example in the test set is indicated by loss. Accuracy and the loss are the two most important parameters required for testing the performance of a deep learning model.</w:t>
      </w:r>
    </w:p>
    <w:p w:rsidR="003F63D2" w:rsidRDefault="003F63D2" w:rsidP="003F63D2">
      <w:pPr>
        <w:rPr>
          <w:rFonts w:asciiTheme="majorHAnsi" w:hAnsiTheme="majorHAnsi"/>
        </w:rPr>
      </w:pPr>
      <w:r>
        <w:rPr>
          <w:rFonts w:asciiTheme="majorHAnsi" w:hAnsiTheme="majorHAnsi"/>
          <w:noProof/>
        </w:rPr>
        <w:t xml:space="preserve">     </w:t>
      </w:r>
      <w:r w:rsidRPr="003A75FA">
        <w:rPr>
          <w:rFonts w:asciiTheme="majorHAnsi" w:hAnsiTheme="majorHAnsi"/>
          <w:noProof/>
        </w:rPr>
        <w:drawing>
          <wp:inline distT="0" distB="0" distL="0" distR="0">
            <wp:extent cx="2914650" cy="20669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18699" cy="2069796"/>
                    </a:xfrm>
                    <a:prstGeom prst="rect">
                      <a:avLst/>
                    </a:prstGeom>
                    <a:noFill/>
                    <a:ln w="9525">
                      <a:noFill/>
                      <a:miter lim="800000"/>
                      <a:headEnd/>
                      <a:tailEnd/>
                    </a:ln>
                  </pic:spPr>
                </pic:pic>
              </a:graphicData>
            </a:graphic>
          </wp:inline>
        </w:drawing>
      </w:r>
    </w:p>
    <w:p w:rsidR="003F63D2" w:rsidRDefault="003F63D2" w:rsidP="003F63D2">
      <w:pPr>
        <w:spacing w:line="360" w:lineRule="auto"/>
        <w:rPr>
          <w:b/>
        </w:rPr>
      </w:pPr>
      <w:r>
        <w:rPr>
          <w:b/>
        </w:rPr>
        <w:t xml:space="preserve">Figure </w:t>
      </w:r>
      <w:r w:rsidRPr="003F63D2">
        <w:rPr>
          <w:b/>
        </w:rPr>
        <w:t>3: Loss on CK+</w:t>
      </w:r>
    </w:p>
    <w:p w:rsidR="003F63D2" w:rsidRPr="003F63D2" w:rsidRDefault="003F63D2" w:rsidP="003F63D2">
      <w:pPr>
        <w:spacing w:after="240"/>
        <w:ind w:firstLine="720"/>
        <w:jc w:val="both"/>
      </w:pPr>
      <w:r w:rsidRPr="003F63D2">
        <w:t>Figure 4 illustrates the confusion matrix obtained by the proposed model on the test set. For each class of emotion the test set involves the following number of images: anger: 24, disgust: 50, fear: 16, happy: 54, neutral: 15, sadness: 30, and surprise: 57.</w:t>
      </w:r>
    </w:p>
    <w:p w:rsidR="003F63D2" w:rsidRDefault="003F63D2" w:rsidP="003F63D2">
      <w:pPr>
        <w:rPr>
          <w:rFonts w:asciiTheme="majorHAnsi" w:hAnsiTheme="majorHAnsi"/>
        </w:rPr>
      </w:pPr>
      <w:r w:rsidRPr="003A75FA">
        <w:rPr>
          <w:rFonts w:asciiTheme="majorHAnsi" w:hAnsiTheme="majorHAnsi"/>
          <w:noProof/>
        </w:rPr>
        <w:drawing>
          <wp:inline distT="0" distB="0" distL="0" distR="0">
            <wp:extent cx="3124200" cy="210502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128539" cy="2107949"/>
                    </a:xfrm>
                    <a:prstGeom prst="rect">
                      <a:avLst/>
                    </a:prstGeom>
                    <a:noFill/>
                    <a:ln w="9525">
                      <a:noFill/>
                      <a:miter lim="800000"/>
                      <a:headEnd/>
                      <a:tailEnd/>
                    </a:ln>
                  </pic:spPr>
                </pic:pic>
              </a:graphicData>
            </a:graphic>
          </wp:inline>
        </w:drawing>
      </w:r>
    </w:p>
    <w:p w:rsidR="003F63D2" w:rsidRPr="003F63D2" w:rsidRDefault="003F63D2" w:rsidP="003F63D2">
      <w:pPr>
        <w:spacing w:line="360" w:lineRule="auto"/>
        <w:rPr>
          <w:b/>
        </w:rPr>
      </w:pPr>
      <w:r>
        <w:rPr>
          <w:b/>
        </w:rPr>
        <w:t>Figure</w:t>
      </w:r>
      <w:r w:rsidRPr="003F63D2">
        <w:rPr>
          <w:b/>
        </w:rPr>
        <w:t xml:space="preserve"> 4: Confusion matrix for CK+</w:t>
      </w:r>
    </w:p>
    <w:p w:rsidR="003F63D2" w:rsidRDefault="003F63D2" w:rsidP="003F63D2">
      <w:pPr>
        <w:spacing w:after="240"/>
        <w:jc w:val="both"/>
      </w:pPr>
      <w:r w:rsidRPr="003F63D2">
        <w:lastRenderedPageBreak/>
        <w:t>Figure 5 illustrates the training and validation accuracy obtained by the proposed model on FER2013 dataset. Similarly, Figure 6 depicts the loss obtained.</w:t>
      </w:r>
    </w:p>
    <w:p w:rsidR="003F63D2" w:rsidRDefault="003F63D2" w:rsidP="003F63D2">
      <w:pPr>
        <w:rPr>
          <w:rFonts w:asciiTheme="majorHAnsi" w:hAnsiTheme="majorHAnsi"/>
        </w:rPr>
      </w:pPr>
      <w:r w:rsidRPr="00C12B37">
        <w:rPr>
          <w:rFonts w:asciiTheme="majorHAnsi" w:hAnsiTheme="majorHAnsi"/>
          <w:noProof/>
        </w:rPr>
        <w:drawing>
          <wp:inline distT="0" distB="0" distL="0" distR="0">
            <wp:extent cx="2838450" cy="20383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839030" cy="2038767"/>
                    </a:xfrm>
                    <a:prstGeom prst="rect">
                      <a:avLst/>
                    </a:prstGeom>
                    <a:noFill/>
                    <a:ln w="9525">
                      <a:noFill/>
                      <a:miter lim="800000"/>
                      <a:headEnd/>
                      <a:tailEnd/>
                    </a:ln>
                  </pic:spPr>
                </pic:pic>
              </a:graphicData>
            </a:graphic>
          </wp:inline>
        </w:drawing>
      </w:r>
    </w:p>
    <w:p w:rsidR="003F63D2" w:rsidRPr="003F63D2" w:rsidRDefault="003F63D2" w:rsidP="003F63D2">
      <w:pPr>
        <w:spacing w:after="240"/>
        <w:rPr>
          <w:b/>
        </w:rPr>
      </w:pPr>
      <w:r w:rsidRPr="003F63D2">
        <w:rPr>
          <w:b/>
        </w:rPr>
        <w:t>Figure 5: Accuracy on CK+</w:t>
      </w:r>
    </w:p>
    <w:p w:rsidR="003F63D2" w:rsidRDefault="003F63D2" w:rsidP="003F63D2">
      <w:pPr>
        <w:rPr>
          <w:rFonts w:asciiTheme="majorHAnsi" w:hAnsiTheme="majorHAnsi"/>
        </w:rPr>
      </w:pPr>
      <w:r w:rsidRPr="00C12B37">
        <w:rPr>
          <w:rFonts w:asciiTheme="majorHAnsi" w:hAnsiTheme="majorHAnsi"/>
          <w:noProof/>
        </w:rPr>
        <w:drawing>
          <wp:inline distT="0" distB="0" distL="0" distR="0">
            <wp:extent cx="2930134" cy="2047875"/>
            <wp:effectExtent l="19050" t="0" r="356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939991" cy="2054764"/>
                    </a:xfrm>
                    <a:prstGeom prst="rect">
                      <a:avLst/>
                    </a:prstGeom>
                    <a:noFill/>
                    <a:ln w="9525">
                      <a:noFill/>
                      <a:miter lim="800000"/>
                      <a:headEnd/>
                      <a:tailEnd/>
                    </a:ln>
                  </pic:spPr>
                </pic:pic>
              </a:graphicData>
            </a:graphic>
          </wp:inline>
        </w:drawing>
      </w:r>
    </w:p>
    <w:p w:rsidR="003F63D2" w:rsidRPr="003F63D2" w:rsidRDefault="003F63D2" w:rsidP="003F63D2">
      <w:pPr>
        <w:spacing w:line="360" w:lineRule="auto"/>
        <w:rPr>
          <w:b/>
        </w:rPr>
      </w:pPr>
      <w:r w:rsidRPr="003F63D2">
        <w:rPr>
          <w:b/>
        </w:rPr>
        <w:t>Figure 6: Loss on FER2013</w:t>
      </w:r>
    </w:p>
    <w:p w:rsidR="003F63D2" w:rsidRPr="003F63D2" w:rsidRDefault="003F63D2" w:rsidP="003F63D2">
      <w:pPr>
        <w:spacing w:after="240"/>
        <w:ind w:firstLine="720"/>
        <w:jc w:val="both"/>
      </w:pPr>
      <w:r w:rsidRPr="003F63D2">
        <w:t>Figure 7 shows the confusion matrix obtained by the proposed model on the test set. For each class of emotion the test set involves the following number of images: angry: 1035, disgust: 118, fear: 979, happy: 1799, neutral: 1291, sad: 1190, and surprise: 766.</w:t>
      </w:r>
    </w:p>
    <w:p w:rsidR="003F63D2" w:rsidRDefault="003F63D2" w:rsidP="003F63D2">
      <w:pPr>
        <w:rPr>
          <w:rFonts w:asciiTheme="majorHAnsi" w:hAnsiTheme="majorHAnsi"/>
        </w:rPr>
      </w:pPr>
      <w:r w:rsidRPr="00C12B37">
        <w:rPr>
          <w:rFonts w:asciiTheme="majorHAnsi" w:hAnsiTheme="majorHAnsi"/>
          <w:noProof/>
        </w:rPr>
        <w:drawing>
          <wp:inline distT="0" distB="0" distL="0" distR="0">
            <wp:extent cx="3305175" cy="2190750"/>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310004" cy="2193951"/>
                    </a:xfrm>
                    <a:prstGeom prst="rect">
                      <a:avLst/>
                    </a:prstGeom>
                    <a:noFill/>
                    <a:ln w="9525">
                      <a:noFill/>
                      <a:miter lim="800000"/>
                      <a:headEnd/>
                      <a:tailEnd/>
                    </a:ln>
                  </pic:spPr>
                </pic:pic>
              </a:graphicData>
            </a:graphic>
          </wp:inline>
        </w:drawing>
      </w:r>
    </w:p>
    <w:p w:rsidR="003F63D2" w:rsidRPr="003F63D2" w:rsidRDefault="003F63D2" w:rsidP="003F63D2">
      <w:pPr>
        <w:spacing w:line="360" w:lineRule="auto"/>
        <w:rPr>
          <w:b/>
        </w:rPr>
      </w:pPr>
      <w:r w:rsidRPr="003F63D2">
        <w:rPr>
          <w:b/>
        </w:rPr>
        <w:t>Figure 7: Confusion matrix for FER2013</w:t>
      </w:r>
    </w:p>
    <w:p w:rsidR="003F63D2" w:rsidRPr="003F63D2" w:rsidRDefault="003F63D2" w:rsidP="003F63D2">
      <w:pPr>
        <w:jc w:val="both"/>
      </w:pPr>
    </w:p>
    <w:p w:rsidR="00863A9E" w:rsidRPr="00863A9E" w:rsidRDefault="00863A9E" w:rsidP="00863A9E">
      <w:pPr>
        <w:jc w:val="both"/>
      </w:pPr>
      <w:r w:rsidRPr="00863A9E">
        <w:t>The proposed model’s outcomes with respect to performance by considering accuracy metric is represented in the Table 2.</w:t>
      </w:r>
    </w:p>
    <w:p w:rsidR="00863A9E" w:rsidRDefault="00863A9E" w:rsidP="00863A9E">
      <w:pPr>
        <w:autoSpaceDE w:val="0"/>
        <w:autoSpaceDN w:val="0"/>
        <w:adjustRightInd w:val="0"/>
        <w:spacing w:line="360" w:lineRule="auto"/>
        <w:rPr>
          <w:rFonts w:asciiTheme="majorHAnsi" w:hAnsiTheme="majorHAnsi"/>
          <w:b/>
          <w:color w:val="000000"/>
        </w:rPr>
      </w:pPr>
    </w:p>
    <w:p w:rsidR="00863A9E" w:rsidRDefault="00863A9E" w:rsidP="00863A9E">
      <w:pPr>
        <w:autoSpaceDE w:val="0"/>
        <w:autoSpaceDN w:val="0"/>
        <w:adjustRightInd w:val="0"/>
        <w:spacing w:line="360" w:lineRule="auto"/>
        <w:rPr>
          <w:rFonts w:asciiTheme="majorHAnsi" w:hAnsiTheme="majorHAnsi"/>
          <w:b/>
          <w:color w:val="000000"/>
        </w:rPr>
      </w:pPr>
    </w:p>
    <w:p w:rsidR="00863A9E" w:rsidRPr="00863A9E" w:rsidRDefault="00863A9E" w:rsidP="00863A9E">
      <w:pPr>
        <w:autoSpaceDE w:val="0"/>
        <w:autoSpaceDN w:val="0"/>
        <w:adjustRightInd w:val="0"/>
        <w:spacing w:line="360" w:lineRule="auto"/>
        <w:rPr>
          <w:b/>
          <w:color w:val="000000"/>
        </w:rPr>
      </w:pPr>
      <w:r w:rsidRPr="00863A9E">
        <w:rPr>
          <w:b/>
          <w:color w:val="000000"/>
        </w:rPr>
        <w:lastRenderedPageBreak/>
        <w:t>Table 2: Comparative Analysis for CK+</w:t>
      </w:r>
    </w:p>
    <w:tbl>
      <w:tblPr>
        <w:tblStyle w:val="TableGrid"/>
        <w:tblW w:w="0" w:type="auto"/>
        <w:jc w:val="center"/>
        <w:tblLook w:val="04A0"/>
      </w:tblPr>
      <w:tblGrid>
        <w:gridCol w:w="2647"/>
        <w:gridCol w:w="1235"/>
      </w:tblGrid>
      <w:tr w:rsidR="00863A9E" w:rsidTr="00863A9E">
        <w:trPr>
          <w:jc w:val="center"/>
        </w:trPr>
        <w:tc>
          <w:tcPr>
            <w:tcW w:w="2647"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Technique</w:t>
            </w:r>
          </w:p>
        </w:tc>
        <w:tc>
          <w:tcPr>
            <w:tcW w:w="1235"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 xml:space="preserve">Accuracy </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Deep features + HOG </w:t>
            </w:r>
          </w:p>
          <w:p w:rsidR="00863A9E" w:rsidRPr="00863A9E" w:rsidRDefault="00863A9E" w:rsidP="009F1081">
            <w:pPr>
              <w:rPr>
                <w:rFonts w:cs="Times New Roman"/>
                <w:sz w:val="20"/>
                <w:szCs w:val="20"/>
              </w:rPr>
            </w:pPr>
            <w:r w:rsidRPr="00863A9E">
              <w:rPr>
                <w:rFonts w:cs="Times New Roman"/>
                <w:sz w:val="20"/>
                <w:szCs w:val="20"/>
              </w:rPr>
              <w:t xml:space="preserve">(Hao et al., 2020) </w:t>
            </w:r>
          </w:p>
        </w:tc>
        <w:tc>
          <w:tcPr>
            <w:tcW w:w="1235" w:type="dxa"/>
          </w:tcPr>
          <w:p w:rsidR="00863A9E" w:rsidRPr="00863A9E" w:rsidRDefault="00863A9E" w:rsidP="009F1081">
            <w:pPr>
              <w:rPr>
                <w:rFonts w:cs="Times New Roman"/>
                <w:sz w:val="20"/>
                <w:szCs w:val="20"/>
              </w:rPr>
            </w:pPr>
            <w:r w:rsidRPr="00863A9E">
              <w:rPr>
                <w:rFonts w:cs="Times New Roman"/>
                <w:sz w:val="20"/>
                <w:szCs w:val="20"/>
              </w:rPr>
              <w:t>90.58%</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Single Deep CNNs </w:t>
            </w:r>
          </w:p>
          <w:p w:rsidR="00863A9E" w:rsidRPr="00863A9E" w:rsidRDefault="00863A9E" w:rsidP="009F1081">
            <w:pPr>
              <w:rPr>
                <w:rFonts w:cs="Times New Roman"/>
                <w:sz w:val="20"/>
                <w:szCs w:val="20"/>
              </w:rPr>
            </w:pPr>
            <w:r w:rsidRPr="00863A9E">
              <w:rPr>
                <w:rFonts w:cs="Times New Roman"/>
                <w:sz w:val="20"/>
                <w:szCs w:val="20"/>
              </w:rPr>
              <w:t xml:space="preserve">(Jain et al., 2019) </w:t>
            </w:r>
          </w:p>
        </w:tc>
        <w:tc>
          <w:tcPr>
            <w:tcW w:w="1235" w:type="dxa"/>
          </w:tcPr>
          <w:p w:rsidR="00863A9E" w:rsidRPr="00863A9E" w:rsidRDefault="00863A9E" w:rsidP="009F1081">
            <w:pPr>
              <w:rPr>
                <w:rFonts w:cs="Times New Roman"/>
                <w:sz w:val="20"/>
                <w:szCs w:val="20"/>
              </w:rPr>
            </w:pPr>
            <w:r w:rsidRPr="00863A9E">
              <w:rPr>
                <w:rFonts w:cs="Times New Roman"/>
                <w:sz w:val="20"/>
                <w:szCs w:val="20"/>
              </w:rPr>
              <w:t>93.24%</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CNN+LSTM </w:t>
            </w:r>
          </w:p>
          <w:p w:rsidR="00863A9E" w:rsidRPr="00863A9E" w:rsidRDefault="00863A9E" w:rsidP="009F1081">
            <w:pPr>
              <w:rPr>
                <w:rFonts w:cs="Times New Roman"/>
                <w:sz w:val="20"/>
                <w:szCs w:val="20"/>
              </w:rPr>
            </w:pPr>
            <w:r w:rsidRPr="00863A9E">
              <w:rPr>
                <w:rFonts w:cs="Times New Roman"/>
                <w:sz w:val="20"/>
                <w:szCs w:val="20"/>
              </w:rPr>
              <w:t xml:space="preserve">(Li et al., 2019) </w:t>
            </w:r>
          </w:p>
        </w:tc>
        <w:tc>
          <w:tcPr>
            <w:tcW w:w="1235" w:type="dxa"/>
          </w:tcPr>
          <w:p w:rsidR="00863A9E" w:rsidRPr="00863A9E" w:rsidRDefault="00863A9E" w:rsidP="009F1081">
            <w:pPr>
              <w:rPr>
                <w:rFonts w:cs="Times New Roman"/>
                <w:sz w:val="20"/>
                <w:szCs w:val="20"/>
              </w:rPr>
            </w:pPr>
            <w:r w:rsidRPr="00863A9E">
              <w:rPr>
                <w:rFonts w:cs="Times New Roman"/>
                <w:sz w:val="20"/>
                <w:szCs w:val="20"/>
              </w:rPr>
              <w:t>90.51%</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Proposed model(VGG16 -M) </w:t>
            </w:r>
          </w:p>
        </w:tc>
        <w:tc>
          <w:tcPr>
            <w:tcW w:w="1235" w:type="dxa"/>
          </w:tcPr>
          <w:p w:rsidR="00863A9E" w:rsidRPr="00863A9E" w:rsidRDefault="00863A9E" w:rsidP="009F1081">
            <w:pPr>
              <w:rPr>
                <w:rFonts w:cs="Times New Roman"/>
                <w:sz w:val="20"/>
                <w:szCs w:val="20"/>
              </w:rPr>
            </w:pPr>
            <w:r w:rsidRPr="00863A9E">
              <w:rPr>
                <w:rFonts w:cs="Times New Roman"/>
                <w:sz w:val="20"/>
                <w:szCs w:val="20"/>
              </w:rPr>
              <w:t>97.15%</w:t>
            </w:r>
          </w:p>
        </w:tc>
      </w:tr>
    </w:tbl>
    <w:p w:rsidR="00863A9E" w:rsidRDefault="00863A9E" w:rsidP="00863A9E">
      <w:pPr>
        <w:jc w:val="both"/>
        <w:rPr>
          <w:rFonts w:asciiTheme="majorHAnsi" w:hAnsiTheme="majorHAnsi"/>
        </w:rPr>
      </w:pPr>
    </w:p>
    <w:p w:rsidR="00863A9E" w:rsidRPr="00863A9E" w:rsidRDefault="00863A9E" w:rsidP="00863A9E">
      <w:pPr>
        <w:spacing w:after="240"/>
        <w:jc w:val="both"/>
      </w:pPr>
      <w:r w:rsidRPr="00863A9E">
        <w:t>Table 3 shows the performance analysis of the proposed model on FER2013 dataset.</w:t>
      </w:r>
    </w:p>
    <w:p w:rsidR="00863A9E" w:rsidRPr="00863A9E" w:rsidRDefault="00863A9E" w:rsidP="00863A9E">
      <w:pPr>
        <w:autoSpaceDE w:val="0"/>
        <w:autoSpaceDN w:val="0"/>
        <w:adjustRightInd w:val="0"/>
        <w:spacing w:line="360" w:lineRule="auto"/>
        <w:rPr>
          <w:b/>
          <w:color w:val="000000"/>
        </w:rPr>
      </w:pPr>
      <w:r w:rsidRPr="00863A9E">
        <w:rPr>
          <w:b/>
          <w:color w:val="000000"/>
        </w:rPr>
        <w:t>Table 3: Comparative Analysis for FER2013</w:t>
      </w:r>
    </w:p>
    <w:tbl>
      <w:tblPr>
        <w:tblStyle w:val="TableGrid"/>
        <w:tblW w:w="0" w:type="auto"/>
        <w:jc w:val="center"/>
        <w:tblLook w:val="04A0"/>
      </w:tblPr>
      <w:tblGrid>
        <w:gridCol w:w="2498"/>
        <w:gridCol w:w="1154"/>
      </w:tblGrid>
      <w:tr w:rsidR="00863A9E" w:rsidRPr="00863A9E" w:rsidTr="009F1081">
        <w:trPr>
          <w:jc w:val="center"/>
        </w:trPr>
        <w:tc>
          <w:tcPr>
            <w:tcW w:w="2498"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Technique</w:t>
            </w:r>
          </w:p>
        </w:tc>
        <w:tc>
          <w:tcPr>
            <w:tcW w:w="1154"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 xml:space="preserve">Accuracy </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VGG+SVM (MarianaIuliana, 2018) </w:t>
            </w:r>
          </w:p>
        </w:tc>
        <w:tc>
          <w:tcPr>
            <w:tcW w:w="1154" w:type="dxa"/>
          </w:tcPr>
          <w:p w:rsidR="00863A9E" w:rsidRPr="00863A9E" w:rsidRDefault="00863A9E" w:rsidP="009F1081">
            <w:pPr>
              <w:rPr>
                <w:rFonts w:cs="Times New Roman"/>
                <w:sz w:val="20"/>
                <w:szCs w:val="20"/>
              </w:rPr>
            </w:pPr>
            <w:r w:rsidRPr="00863A9E">
              <w:rPr>
                <w:rFonts w:cs="Times New Roman"/>
                <w:sz w:val="20"/>
                <w:szCs w:val="20"/>
              </w:rPr>
              <w:t>66.31%</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Bag of Words (Tudor et al., 2013) </w:t>
            </w:r>
          </w:p>
        </w:tc>
        <w:tc>
          <w:tcPr>
            <w:tcW w:w="1154" w:type="dxa"/>
          </w:tcPr>
          <w:p w:rsidR="00863A9E" w:rsidRPr="00863A9E" w:rsidRDefault="00863A9E" w:rsidP="009F1081">
            <w:pPr>
              <w:rPr>
                <w:rFonts w:cs="Times New Roman"/>
                <w:sz w:val="20"/>
                <w:szCs w:val="20"/>
              </w:rPr>
            </w:pPr>
            <w:r w:rsidRPr="00863A9E">
              <w:rPr>
                <w:rFonts w:cs="Times New Roman"/>
                <w:sz w:val="20"/>
                <w:szCs w:val="20"/>
              </w:rPr>
              <w:t>67.4%</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GoogleNet (Panagiotis et al., 2018) </w:t>
            </w:r>
          </w:p>
        </w:tc>
        <w:tc>
          <w:tcPr>
            <w:tcW w:w="1154" w:type="dxa"/>
          </w:tcPr>
          <w:p w:rsidR="00863A9E" w:rsidRPr="00863A9E" w:rsidRDefault="00863A9E" w:rsidP="009F1081">
            <w:pPr>
              <w:rPr>
                <w:rFonts w:cs="Times New Roman"/>
                <w:sz w:val="20"/>
                <w:szCs w:val="20"/>
              </w:rPr>
            </w:pPr>
            <w:r w:rsidRPr="00863A9E">
              <w:rPr>
                <w:rFonts w:cs="Times New Roman"/>
                <w:sz w:val="20"/>
                <w:szCs w:val="20"/>
              </w:rPr>
              <w:t>65.2%</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Proposed model(VGG16-M) </w:t>
            </w:r>
          </w:p>
        </w:tc>
        <w:tc>
          <w:tcPr>
            <w:tcW w:w="1154" w:type="dxa"/>
          </w:tcPr>
          <w:p w:rsidR="00863A9E" w:rsidRPr="00863A9E" w:rsidRDefault="00863A9E" w:rsidP="009F1081">
            <w:pPr>
              <w:rPr>
                <w:rFonts w:cs="Times New Roman"/>
                <w:sz w:val="20"/>
                <w:szCs w:val="20"/>
              </w:rPr>
            </w:pPr>
            <w:r w:rsidRPr="00863A9E">
              <w:rPr>
                <w:rFonts w:cs="Times New Roman"/>
                <w:sz w:val="20"/>
                <w:szCs w:val="20"/>
              </w:rPr>
              <w:t>58.83%</w:t>
            </w:r>
          </w:p>
        </w:tc>
      </w:tr>
    </w:tbl>
    <w:p w:rsidR="00863A9E" w:rsidRPr="00863A9E" w:rsidRDefault="00863A9E" w:rsidP="00863A9E">
      <w:pPr>
        <w:jc w:val="both"/>
      </w:pPr>
    </w:p>
    <w:p w:rsidR="00863A9E" w:rsidRPr="00863A9E" w:rsidRDefault="00863A9E" w:rsidP="00863A9E">
      <w:pPr>
        <w:pStyle w:val="Heading1"/>
        <w:rPr>
          <w:rFonts w:ascii="Times New Roman" w:hAnsi="Times New Roman"/>
          <w:sz w:val="20"/>
          <w:szCs w:val="20"/>
        </w:rPr>
      </w:pPr>
      <w:r w:rsidRPr="00863A9E">
        <w:rPr>
          <w:rFonts w:ascii="Times New Roman" w:hAnsi="Times New Roman"/>
          <w:sz w:val="20"/>
          <w:szCs w:val="20"/>
        </w:rPr>
        <w:t>CONCLUSION</w:t>
      </w:r>
    </w:p>
    <w:p w:rsidR="00863A9E" w:rsidRPr="00863A9E" w:rsidRDefault="00863A9E" w:rsidP="00863A9E">
      <w:pPr>
        <w:ind w:firstLine="720"/>
        <w:jc w:val="both"/>
      </w:pPr>
      <w:r w:rsidRPr="00863A9E">
        <w:t>A DCNN model using TL for recognizing the emotions from facial expressions is presented in this paper. Experimental results illustrate that the model VGG16-M provides recognition accuracy of 97.15% on CK+ and 58.83% on FER2013 datasets for 50 epochs. However, the task of recognizing emotions can also be performed with the help of modalities such as speech, gesture, and physiological signals in real-time applications. From the experimental results it is inferred that the proposed model obtain higher accuracy on CK+ when compared with FER2013.</w:t>
      </w:r>
    </w:p>
    <w:p w:rsidR="003F63D2" w:rsidRDefault="003F63D2" w:rsidP="003F63D2">
      <w:pPr>
        <w:spacing w:line="360" w:lineRule="auto"/>
        <w:rPr>
          <w:b/>
        </w:rPr>
      </w:pPr>
    </w:p>
    <w:p w:rsidR="00863A9E" w:rsidRPr="00863A9E" w:rsidRDefault="00863A9E" w:rsidP="00863A9E">
      <w:pPr>
        <w:spacing w:after="240"/>
        <w:rPr>
          <w:b/>
        </w:rPr>
      </w:pPr>
      <w:r w:rsidRPr="00863A9E">
        <w:rPr>
          <w:b/>
        </w:rPr>
        <w:t>REFERENCES</w:t>
      </w:r>
    </w:p>
    <w:p w:rsidR="00863A9E" w:rsidRPr="00863A9E" w:rsidRDefault="00863A9E" w:rsidP="00863A9E">
      <w:pPr>
        <w:ind w:left="720" w:hanging="720"/>
        <w:jc w:val="both"/>
        <w:rPr>
          <w:sz w:val="16"/>
          <w:szCs w:val="16"/>
        </w:rPr>
      </w:pPr>
      <w:r w:rsidRPr="00863A9E">
        <w:rPr>
          <w:sz w:val="16"/>
          <w:szCs w:val="16"/>
        </w:rPr>
        <w:t>[1]</w:t>
      </w:r>
      <w:r w:rsidRPr="00863A9E">
        <w:rPr>
          <w:sz w:val="16"/>
          <w:szCs w:val="16"/>
        </w:rPr>
        <w:tab/>
        <w:t>A.M. Ali, H. Zhuang and A.K. Ibrahim, “Multi-pose facial expression recognition using rectangular HOG feature extractor and label-consistent KSVD classifier,” International Journal of Biometrics, Vol.12 No.2, pp.147– 162, 2020.</w:t>
      </w:r>
    </w:p>
    <w:p w:rsidR="009F1081" w:rsidRPr="009F1081" w:rsidRDefault="00863A9E" w:rsidP="009F1081">
      <w:pPr>
        <w:ind w:left="720" w:hanging="720"/>
        <w:jc w:val="both"/>
        <w:rPr>
          <w:sz w:val="16"/>
          <w:szCs w:val="16"/>
        </w:rPr>
      </w:pPr>
      <w:r w:rsidRPr="009F1081">
        <w:rPr>
          <w:sz w:val="16"/>
          <w:szCs w:val="16"/>
        </w:rPr>
        <w:t>[2]</w:t>
      </w:r>
      <w:r>
        <w:rPr>
          <w:sz w:val="24"/>
          <w:szCs w:val="24"/>
        </w:rPr>
        <w:tab/>
      </w:r>
      <w:r w:rsidRPr="009F1081">
        <w:rPr>
          <w:sz w:val="16"/>
          <w:szCs w:val="16"/>
        </w:rPr>
        <w:t>D. Aneja D, A. Colburn, G. Faigin, L. Shapiro, B. Mones, “Modeling stylized character expressions via deep learning,”</w:t>
      </w:r>
      <w:r w:rsidR="009F1081" w:rsidRPr="009F1081">
        <w:rPr>
          <w:sz w:val="16"/>
          <w:szCs w:val="16"/>
        </w:rPr>
        <w:t xml:space="preserve"> i</w:t>
      </w:r>
      <w:r w:rsidRPr="009F1081">
        <w:rPr>
          <w:sz w:val="16"/>
          <w:szCs w:val="16"/>
        </w:rPr>
        <w:t>n Asian Conference on Computer Vision. Springer: Cham, Switzerland, pp. 136-153</w:t>
      </w:r>
      <w:r w:rsidR="009F1081" w:rsidRPr="009F1081">
        <w:rPr>
          <w:sz w:val="16"/>
          <w:szCs w:val="16"/>
        </w:rPr>
        <w:t>, 2016</w:t>
      </w:r>
      <w:r w:rsidRPr="009F1081">
        <w:rPr>
          <w:sz w:val="16"/>
          <w:szCs w:val="16"/>
        </w:rPr>
        <w:t>.</w:t>
      </w:r>
    </w:p>
    <w:p w:rsidR="009F1081" w:rsidRPr="009F1081" w:rsidRDefault="009F1081" w:rsidP="009F1081">
      <w:pPr>
        <w:ind w:left="720" w:hanging="720"/>
        <w:jc w:val="both"/>
        <w:rPr>
          <w:sz w:val="16"/>
          <w:szCs w:val="16"/>
        </w:rPr>
      </w:pPr>
      <w:r w:rsidRPr="009F1081">
        <w:rPr>
          <w:sz w:val="16"/>
          <w:szCs w:val="16"/>
        </w:rPr>
        <w:t>[3]</w:t>
      </w:r>
      <w:r w:rsidRPr="009F1081">
        <w:rPr>
          <w:sz w:val="16"/>
          <w:szCs w:val="16"/>
        </w:rPr>
        <w:tab/>
        <w:t>H.C. Chu</w:t>
      </w:r>
      <w:r w:rsidR="00863A9E" w:rsidRPr="009F1081">
        <w:rPr>
          <w:sz w:val="16"/>
          <w:szCs w:val="16"/>
        </w:rPr>
        <w:t xml:space="preserve">, </w:t>
      </w:r>
      <w:r w:rsidRPr="009F1081">
        <w:rPr>
          <w:sz w:val="16"/>
          <w:szCs w:val="16"/>
        </w:rPr>
        <w:t xml:space="preserve">W.W. </w:t>
      </w:r>
      <w:r w:rsidR="00863A9E" w:rsidRPr="009F1081">
        <w:rPr>
          <w:sz w:val="16"/>
          <w:szCs w:val="16"/>
        </w:rPr>
        <w:t>Tsai</w:t>
      </w:r>
      <w:r w:rsidRPr="009F1081">
        <w:rPr>
          <w:sz w:val="16"/>
          <w:szCs w:val="16"/>
        </w:rPr>
        <w:t>, M.J. Liao</w:t>
      </w:r>
      <w:r w:rsidR="00863A9E" w:rsidRPr="009F1081">
        <w:rPr>
          <w:sz w:val="16"/>
          <w:szCs w:val="16"/>
        </w:rPr>
        <w:t xml:space="preserve">, </w:t>
      </w:r>
      <w:r w:rsidRPr="009F1081">
        <w:rPr>
          <w:sz w:val="16"/>
          <w:szCs w:val="16"/>
        </w:rPr>
        <w:t>Y.M. Chen Y.M,</w:t>
      </w:r>
      <w:r w:rsidR="00863A9E" w:rsidRPr="009F1081">
        <w:rPr>
          <w:sz w:val="16"/>
          <w:szCs w:val="16"/>
        </w:rPr>
        <w:t xml:space="preserve"> </w:t>
      </w:r>
      <w:r w:rsidRPr="009F1081">
        <w:rPr>
          <w:sz w:val="16"/>
          <w:szCs w:val="16"/>
        </w:rPr>
        <w:t>“</w:t>
      </w:r>
      <w:r w:rsidR="00863A9E" w:rsidRPr="009F1081">
        <w:rPr>
          <w:sz w:val="16"/>
          <w:szCs w:val="16"/>
        </w:rPr>
        <w:t>Facial emotion recognition with transition detection for students with high functioning autism in adaptive e-learning</w:t>
      </w:r>
      <w:r w:rsidRPr="009F1081">
        <w:rPr>
          <w:sz w:val="16"/>
          <w:szCs w:val="16"/>
        </w:rPr>
        <w:t>,”</w:t>
      </w:r>
      <w:r w:rsidR="00863A9E" w:rsidRPr="009F1081">
        <w:rPr>
          <w:sz w:val="16"/>
          <w:szCs w:val="16"/>
        </w:rPr>
        <w:t xml:space="preserve"> Soft Comput 22: 2973–2999</w:t>
      </w:r>
      <w:r w:rsidRPr="009F1081">
        <w:rPr>
          <w:sz w:val="16"/>
          <w:szCs w:val="16"/>
        </w:rPr>
        <w:t>, 2017</w:t>
      </w:r>
      <w:r w:rsidR="00863A9E" w:rsidRPr="009F1081">
        <w:rPr>
          <w:sz w:val="16"/>
          <w:szCs w:val="16"/>
        </w:rPr>
        <w:t>.</w:t>
      </w:r>
    </w:p>
    <w:p w:rsidR="009F1081" w:rsidRPr="00E04FC3" w:rsidRDefault="009F1081" w:rsidP="00E04FC3">
      <w:pPr>
        <w:ind w:left="720" w:hanging="720"/>
        <w:jc w:val="both"/>
        <w:rPr>
          <w:sz w:val="16"/>
          <w:szCs w:val="16"/>
        </w:rPr>
      </w:pPr>
      <w:r w:rsidRPr="009F1081">
        <w:rPr>
          <w:sz w:val="16"/>
          <w:szCs w:val="16"/>
        </w:rPr>
        <w:t>[4]</w:t>
      </w:r>
      <w:r w:rsidRPr="009F1081">
        <w:rPr>
          <w:sz w:val="16"/>
          <w:szCs w:val="16"/>
        </w:rPr>
        <w:tab/>
        <w:t>P.L.C. Courville</w:t>
      </w:r>
      <w:r w:rsidR="00863A9E" w:rsidRPr="009F1081">
        <w:rPr>
          <w:sz w:val="16"/>
          <w:szCs w:val="16"/>
        </w:rPr>
        <w:t xml:space="preserve">, </w:t>
      </w:r>
      <w:r w:rsidRPr="009F1081">
        <w:rPr>
          <w:sz w:val="16"/>
          <w:szCs w:val="16"/>
        </w:rPr>
        <w:t>A. Goodfellow</w:t>
      </w:r>
      <w:r w:rsidR="00863A9E" w:rsidRPr="009F1081">
        <w:rPr>
          <w:sz w:val="16"/>
          <w:szCs w:val="16"/>
        </w:rPr>
        <w:t xml:space="preserve">, </w:t>
      </w:r>
      <w:r w:rsidRPr="009F1081">
        <w:rPr>
          <w:sz w:val="16"/>
          <w:szCs w:val="16"/>
        </w:rPr>
        <w:t>I.J.M. Mirza</w:t>
      </w:r>
      <w:r w:rsidR="00863A9E" w:rsidRPr="009F1081">
        <w:rPr>
          <w:sz w:val="16"/>
          <w:szCs w:val="16"/>
        </w:rPr>
        <w:t xml:space="preserve">, </w:t>
      </w:r>
      <w:r w:rsidRPr="009F1081">
        <w:rPr>
          <w:sz w:val="16"/>
          <w:szCs w:val="16"/>
        </w:rPr>
        <w:t>Y. Bengio, “FER-2013 Face Database,”</w:t>
      </w:r>
      <w:r w:rsidR="00863A9E" w:rsidRPr="009F1081">
        <w:rPr>
          <w:sz w:val="16"/>
          <w:szCs w:val="16"/>
        </w:rPr>
        <w:t xml:space="preserve"> Universit de Montreal: Montréal, QC, Canada</w:t>
      </w:r>
      <w:r w:rsidRPr="009F1081">
        <w:rPr>
          <w:sz w:val="16"/>
          <w:szCs w:val="16"/>
        </w:rPr>
        <w:t>, 2013</w:t>
      </w:r>
      <w:r w:rsidR="00863A9E" w:rsidRPr="009F1081">
        <w:rPr>
          <w:sz w:val="16"/>
          <w:szCs w:val="16"/>
        </w:rPr>
        <w:t>.</w:t>
      </w:r>
    </w:p>
    <w:p w:rsidR="00E04FC3" w:rsidRPr="00E04FC3" w:rsidRDefault="009F1081" w:rsidP="00E04FC3">
      <w:pPr>
        <w:ind w:left="720" w:hanging="720"/>
        <w:jc w:val="both"/>
        <w:rPr>
          <w:sz w:val="16"/>
          <w:szCs w:val="16"/>
        </w:rPr>
      </w:pPr>
      <w:r w:rsidRPr="00E04FC3">
        <w:rPr>
          <w:sz w:val="16"/>
          <w:szCs w:val="16"/>
        </w:rPr>
        <w:t xml:space="preserve">[5] </w:t>
      </w:r>
      <w:r w:rsidR="00E04FC3" w:rsidRPr="00E04FC3">
        <w:rPr>
          <w:sz w:val="16"/>
          <w:szCs w:val="16"/>
        </w:rPr>
        <w:tab/>
      </w:r>
      <w:r w:rsidRPr="00E04FC3">
        <w:rPr>
          <w:sz w:val="16"/>
          <w:szCs w:val="16"/>
        </w:rPr>
        <w:t xml:space="preserve">E. </w:t>
      </w:r>
      <w:r w:rsidR="00863A9E" w:rsidRPr="00E04FC3">
        <w:rPr>
          <w:sz w:val="16"/>
          <w:szCs w:val="16"/>
        </w:rPr>
        <w:t>Edward</w:t>
      </w:r>
      <w:r w:rsidRPr="00E04FC3">
        <w:rPr>
          <w:sz w:val="16"/>
          <w:szCs w:val="16"/>
        </w:rPr>
        <w:t>s</w:t>
      </w:r>
      <w:r w:rsidR="00863A9E" w:rsidRPr="00E04FC3">
        <w:rPr>
          <w:sz w:val="16"/>
          <w:szCs w:val="16"/>
        </w:rPr>
        <w:t xml:space="preserve">, </w:t>
      </w:r>
      <w:r w:rsidRPr="00E04FC3">
        <w:rPr>
          <w:sz w:val="16"/>
          <w:szCs w:val="16"/>
        </w:rPr>
        <w:t>H.J. Jackson</w:t>
      </w:r>
      <w:r w:rsidR="00863A9E" w:rsidRPr="00E04FC3">
        <w:rPr>
          <w:sz w:val="16"/>
          <w:szCs w:val="16"/>
        </w:rPr>
        <w:t xml:space="preserve">, </w:t>
      </w:r>
      <w:r w:rsidRPr="00E04FC3">
        <w:rPr>
          <w:sz w:val="16"/>
          <w:szCs w:val="16"/>
        </w:rPr>
        <w:t>P.E. Pattison,</w:t>
      </w:r>
      <w:r w:rsidR="00863A9E" w:rsidRPr="00E04FC3">
        <w:rPr>
          <w:sz w:val="16"/>
          <w:szCs w:val="16"/>
        </w:rPr>
        <w:t xml:space="preserve"> </w:t>
      </w:r>
      <w:r w:rsidRPr="00E04FC3">
        <w:rPr>
          <w:sz w:val="16"/>
          <w:szCs w:val="16"/>
        </w:rPr>
        <w:t>“</w:t>
      </w:r>
      <w:r w:rsidR="00863A9E" w:rsidRPr="00E04FC3">
        <w:rPr>
          <w:sz w:val="16"/>
          <w:szCs w:val="16"/>
        </w:rPr>
        <w:t>Emotion recognition via facial expression and affective prosody in schizop</w:t>
      </w:r>
      <w:r w:rsidRPr="00E04FC3">
        <w:rPr>
          <w:sz w:val="16"/>
          <w:szCs w:val="16"/>
        </w:rPr>
        <w:t>hrenia: A methodological review,”</w:t>
      </w:r>
      <w:r w:rsidR="00863A9E" w:rsidRPr="00E04FC3">
        <w:rPr>
          <w:sz w:val="16"/>
          <w:szCs w:val="16"/>
        </w:rPr>
        <w:t xml:space="preserve"> Clin. Psychol. Rev 22: 789–832</w:t>
      </w:r>
      <w:r w:rsidRPr="00E04FC3">
        <w:rPr>
          <w:sz w:val="16"/>
          <w:szCs w:val="16"/>
        </w:rPr>
        <w:t>, 2002</w:t>
      </w:r>
      <w:r w:rsidR="00863A9E" w:rsidRPr="00E04FC3">
        <w:rPr>
          <w:sz w:val="16"/>
          <w:szCs w:val="16"/>
        </w:rPr>
        <w:t>. [CrossRef].</w:t>
      </w:r>
    </w:p>
    <w:p w:rsidR="00863A9E" w:rsidRPr="00E04FC3" w:rsidRDefault="00E04FC3" w:rsidP="00863A9E">
      <w:pPr>
        <w:ind w:left="720" w:hanging="720"/>
        <w:jc w:val="both"/>
        <w:rPr>
          <w:sz w:val="16"/>
          <w:szCs w:val="16"/>
        </w:rPr>
      </w:pPr>
      <w:r w:rsidRPr="00E04FC3">
        <w:rPr>
          <w:sz w:val="16"/>
          <w:szCs w:val="16"/>
        </w:rPr>
        <w:t>[6]</w:t>
      </w:r>
      <w:r w:rsidRPr="00E04FC3">
        <w:rPr>
          <w:sz w:val="16"/>
          <w:szCs w:val="16"/>
        </w:rPr>
        <w:tab/>
        <w:t>E. Friesen</w:t>
      </w:r>
      <w:r w:rsidR="00863A9E" w:rsidRPr="00E04FC3">
        <w:rPr>
          <w:sz w:val="16"/>
          <w:szCs w:val="16"/>
        </w:rPr>
        <w:t xml:space="preserve">, </w:t>
      </w:r>
      <w:r w:rsidRPr="00E04FC3">
        <w:rPr>
          <w:sz w:val="16"/>
          <w:szCs w:val="16"/>
        </w:rPr>
        <w:t>P. Ekman</w:t>
      </w:r>
      <w:r w:rsidR="00863A9E" w:rsidRPr="00E04FC3">
        <w:rPr>
          <w:sz w:val="16"/>
          <w:szCs w:val="16"/>
        </w:rPr>
        <w:t xml:space="preserve">, </w:t>
      </w:r>
      <w:r w:rsidRPr="00E04FC3">
        <w:rPr>
          <w:sz w:val="16"/>
          <w:szCs w:val="16"/>
        </w:rPr>
        <w:t>W. Friesen</w:t>
      </w:r>
      <w:r w:rsidR="00863A9E" w:rsidRPr="00E04FC3">
        <w:rPr>
          <w:sz w:val="16"/>
          <w:szCs w:val="16"/>
        </w:rPr>
        <w:t xml:space="preserve">, </w:t>
      </w:r>
      <w:r w:rsidRPr="00E04FC3">
        <w:rPr>
          <w:sz w:val="16"/>
          <w:szCs w:val="16"/>
        </w:rPr>
        <w:t xml:space="preserve">J. </w:t>
      </w:r>
      <w:r w:rsidR="00863A9E" w:rsidRPr="00E04FC3">
        <w:rPr>
          <w:sz w:val="16"/>
          <w:szCs w:val="16"/>
        </w:rPr>
        <w:t>Hager</w:t>
      </w:r>
      <w:r w:rsidRPr="00E04FC3">
        <w:rPr>
          <w:sz w:val="16"/>
          <w:szCs w:val="16"/>
        </w:rPr>
        <w:t>, “</w:t>
      </w:r>
      <w:r w:rsidR="00863A9E" w:rsidRPr="00E04FC3">
        <w:rPr>
          <w:sz w:val="16"/>
          <w:szCs w:val="16"/>
        </w:rPr>
        <w:t>Facial Action Coding System: A Technique for the</w:t>
      </w:r>
      <w:r w:rsidRPr="00E04FC3">
        <w:rPr>
          <w:sz w:val="16"/>
          <w:szCs w:val="16"/>
        </w:rPr>
        <w:t xml:space="preserve"> Measurement of Facial Movement,”</w:t>
      </w:r>
      <w:r w:rsidR="00863A9E" w:rsidRPr="00E04FC3">
        <w:rPr>
          <w:sz w:val="16"/>
          <w:szCs w:val="16"/>
        </w:rPr>
        <w:t xml:space="preserve"> Psychologists Press: Hove, UK</w:t>
      </w:r>
      <w:r w:rsidRPr="00E04FC3">
        <w:rPr>
          <w:sz w:val="16"/>
          <w:szCs w:val="16"/>
        </w:rPr>
        <w:t>, 1978</w:t>
      </w:r>
      <w:r w:rsidR="00863A9E" w:rsidRPr="00E04FC3">
        <w:rPr>
          <w:sz w:val="16"/>
          <w:szCs w:val="16"/>
        </w:rPr>
        <w:t>.</w:t>
      </w:r>
    </w:p>
    <w:p w:rsidR="00863A9E" w:rsidRPr="00E04FC3" w:rsidRDefault="00E04FC3" w:rsidP="00863A9E">
      <w:pPr>
        <w:ind w:left="720" w:hanging="720"/>
        <w:jc w:val="both"/>
        <w:rPr>
          <w:sz w:val="16"/>
          <w:szCs w:val="16"/>
        </w:rPr>
      </w:pPr>
      <w:r w:rsidRPr="00E04FC3">
        <w:rPr>
          <w:sz w:val="16"/>
          <w:szCs w:val="16"/>
        </w:rPr>
        <w:t>[7]</w:t>
      </w:r>
      <w:r w:rsidRPr="00E04FC3">
        <w:rPr>
          <w:sz w:val="16"/>
          <w:szCs w:val="16"/>
        </w:rPr>
        <w:tab/>
        <w:t>F. Gao</w:t>
      </w:r>
      <w:r w:rsidR="00863A9E" w:rsidRPr="00E04FC3">
        <w:rPr>
          <w:sz w:val="16"/>
          <w:szCs w:val="16"/>
        </w:rPr>
        <w:t xml:space="preserve">, </w:t>
      </w:r>
      <w:r w:rsidRPr="00E04FC3">
        <w:rPr>
          <w:sz w:val="16"/>
          <w:szCs w:val="16"/>
        </w:rPr>
        <w:t>D. Luo</w:t>
      </w:r>
      <w:r w:rsidR="00863A9E" w:rsidRPr="00E04FC3">
        <w:rPr>
          <w:sz w:val="16"/>
          <w:szCs w:val="16"/>
        </w:rPr>
        <w:t xml:space="preserve">, </w:t>
      </w:r>
      <w:r w:rsidRPr="00E04FC3">
        <w:rPr>
          <w:sz w:val="16"/>
          <w:szCs w:val="16"/>
        </w:rPr>
        <w:t>X. Ma,</w:t>
      </w:r>
      <w:r w:rsidR="00863A9E" w:rsidRPr="00E04FC3">
        <w:rPr>
          <w:sz w:val="16"/>
          <w:szCs w:val="16"/>
        </w:rPr>
        <w:t xml:space="preserve"> </w:t>
      </w:r>
      <w:r w:rsidRPr="00E04FC3">
        <w:rPr>
          <w:sz w:val="16"/>
          <w:szCs w:val="16"/>
        </w:rPr>
        <w:t>“</w:t>
      </w:r>
      <w:r w:rsidR="00863A9E" w:rsidRPr="00E04FC3">
        <w:rPr>
          <w:sz w:val="16"/>
          <w:szCs w:val="16"/>
        </w:rPr>
        <w:t xml:space="preserve">Research on facial expression recognition </w:t>
      </w:r>
      <w:r w:rsidRPr="00E04FC3">
        <w:rPr>
          <w:sz w:val="16"/>
          <w:szCs w:val="16"/>
        </w:rPr>
        <w:t>of video stream based on OpenCV,”</w:t>
      </w:r>
      <w:r w:rsidR="00863A9E" w:rsidRPr="00E04FC3">
        <w:rPr>
          <w:sz w:val="16"/>
          <w:szCs w:val="16"/>
        </w:rPr>
        <w:t xml:space="preserve"> International Journal of Biometrics, Vol.13 No.1, pp.114 – 129,</w:t>
      </w:r>
      <w:r w:rsidRPr="00E04FC3">
        <w:rPr>
          <w:sz w:val="16"/>
          <w:szCs w:val="16"/>
        </w:rPr>
        <w:t>2021.</w:t>
      </w:r>
      <w:r w:rsidR="00863A9E" w:rsidRPr="00E04FC3">
        <w:rPr>
          <w:sz w:val="16"/>
          <w:szCs w:val="16"/>
        </w:rPr>
        <w:t xml:space="preserve"> DOI:10.1504/IJBM.2021.112219.</w:t>
      </w:r>
    </w:p>
    <w:p w:rsidR="00863A9E" w:rsidRPr="00E04FC3" w:rsidRDefault="00E04FC3" w:rsidP="00863A9E">
      <w:pPr>
        <w:ind w:left="720" w:hanging="720"/>
        <w:jc w:val="both"/>
        <w:rPr>
          <w:sz w:val="16"/>
          <w:szCs w:val="16"/>
        </w:rPr>
      </w:pPr>
      <w:r w:rsidRPr="00E04FC3">
        <w:rPr>
          <w:sz w:val="16"/>
          <w:szCs w:val="16"/>
        </w:rPr>
        <w:t>[8]</w:t>
      </w:r>
      <w:r w:rsidRPr="00E04FC3">
        <w:rPr>
          <w:sz w:val="16"/>
          <w:szCs w:val="16"/>
        </w:rPr>
        <w:tab/>
        <w:t xml:space="preserve">W. </w:t>
      </w:r>
      <w:r w:rsidR="00863A9E" w:rsidRPr="00E04FC3">
        <w:rPr>
          <w:sz w:val="16"/>
          <w:szCs w:val="16"/>
        </w:rPr>
        <w:t>H</w:t>
      </w:r>
      <w:r w:rsidRPr="00E04FC3">
        <w:rPr>
          <w:sz w:val="16"/>
          <w:szCs w:val="16"/>
        </w:rPr>
        <w:t>ao, S. Wei, B. Fang, “</w:t>
      </w:r>
      <w:r w:rsidR="00863A9E" w:rsidRPr="00E04FC3">
        <w:rPr>
          <w:sz w:val="16"/>
          <w:szCs w:val="16"/>
        </w:rPr>
        <w:t>Facial expression recognition using iterative fusion of MO-HOG and deep features</w:t>
      </w:r>
      <w:r w:rsidRPr="00E04FC3">
        <w:rPr>
          <w:sz w:val="16"/>
          <w:szCs w:val="16"/>
        </w:rPr>
        <w:t>,”</w:t>
      </w:r>
      <w:r w:rsidR="00863A9E" w:rsidRPr="00E04FC3">
        <w:rPr>
          <w:sz w:val="16"/>
          <w:szCs w:val="16"/>
        </w:rPr>
        <w:t xml:space="preserve"> J. Supercomput. 2020, 76, 3211–3221.</w:t>
      </w:r>
    </w:p>
    <w:p w:rsidR="00863A9E" w:rsidRPr="00E04FC3" w:rsidRDefault="00E04FC3" w:rsidP="00863A9E">
      <w:pPr>
        <w:ind w:left="720" w:hanging="720"/>
        <w:jc w:val="both"/>
        <w:rPr>
          <w:sz w:val="16"/>
          <w:szCs w:val="16"/>
        </w:rPr>
      </w:pPr>
      <w:r w:rsidRPr="00E04FC3">
        <w:rPr>
          <w:sz w:val="16"/>
          <w:szCs w:val="16"/>
        </w:rPr>
        <w:t>[9]</w:t>
      </w:r>
      <w:r w:rsidRPr="00E04FC3">
        <w:rPr>
          <w:sz w:val="16"/>
          <w:szCs w:val="16"/>
        </w:rPr>
        <w:tab/>
        <w:t>N. Jain</w:t>
      </w:r>
      <w:r w:rsidR="00863A9E" w:rsidRPr="00E04FC3">
        <w:rPr>
          <w:sz w:val="16"/>
          <w:szCs w:val="16"/>
        </w:rPr>
        <w:t xml:space="preserve">, </w:t>
      </w:r>
      <w:r w:rsidRPr="00E04FC3">
        <w:rPr>
          <w:sz w:val="16"/>
          <w:szCs w:val="16"/>
        </w:rPr>
        <w:t>S. Kumar</w:t>
      </w:r>
      <w:r w:rsidR="00863A9E" w:rsidRPr="00E04FC3">
        <w:rPr>
          <w:sz w:val="16"/>
          <w:szCs w:val="16"/>
        </w:rPr>
        <w:t xml:space="preserve">, </w:t>
      </w:r>
      <w:r w:rsidRPr="00E04FC3">
        <w:rPr>
          <w:sz w:val="16"/>
          <w:szCs w:val="16"/>
        </w:rPr>
        <w:t xml:space="preserve">P. Shamsolmoali </w:t>
      </w:r>
      <w:r w:rsidR="00863A9E" w:rsidRPr="00E04FC3">
        <w:rPr>
          <w:sz w:val="16"/>
          <w:szCs w:val="16"/>
        </w:rPr>
        <w:t xml:space="preserve">and </w:t>
      </w:r>
      <w:r w:rsidRPr="00E04FC3">
        <w:rPr>
          <w:sz w:val="16"/>
          <w:szCs w:val="16"/>
        </w:rPr>
        <w:t>M. Zareapoor, “</w:t>
      </w:r>
      <w:r w:rsidR="00863A9E" w:rsidRPr="00E04FC3">
        <w:rPr>
          <w:sz w:val="16"/>
          <w:szCs w:val="16"/>
        </w:rPr>
        <w:t>Hybrid deep neural networks for facial emotion recognition,</w:t>
      </w:r>
      <w:r w:rsidRPr="00E04FC3">
        <w:rPr>
          <w:sz w:val="16"/>
          <w:szCs w:val="16"/>
        </w:rPr>
        <w:t>”</w:t>
      </w:r>
      <w:r w:rsidR="00863A9E" w:rsidRPr="00E04FC3">
        <w:rPr>
          <w:sz w:val="16"/>
          <w:szCs w:val="16"/>
        </w:rPr>
        <w:t xml:space="preserve"> in: Pattern Recognition Letters, 115, pp.101-106</w:t>
      </w:r>
      <w:r w:rsidRPr="00E04FC3">
        <w:rPr>
          <w:sz w:val="16"/>
          <w:szCs w:val="16"/>
        </w:rPr>
        <w:t>, 2019</w:t>
      </w:r>
      <w:r w:rsidR="00863A9E" w:rsidRPr="00E04FC3">
        <w:rPr>
          <w:sz w:val="16"/>
          <w:szCs w:val="16"/>
        </w:rPr>
        <w:t>.</w:t>
      </w:r>
    </w:p>
    <w:p w:rsidR="00863A9E" w:rsidRPr="00E04FC3" w:rsidRDefault="00E04FC3" w:rsidP="00863A9E">
      <w:pPr>
        <w:ind w:left="720" w:hanging="720"/>
        <w:jc w:val="both"/>
        <w:rPr>
          <w:sz w:val="16"/>
          <w:szCs w:val="16"/>
        </w:rPr>
      </w:pPr>
      <w:r w:rsidRPr="00E04FC3">
        <w:rPr>
          <w:sz w:val="16"/>
          <w:szCs w:val="16"/>
        </w:rPr>
        <w:t>[10]</w:t>
      </w:r>
      <w:r w:rsidRPr="00E04FC3">
        <w:rPr>
          <w:sz w:val="16"/>
          <w:szCs w:val="16"/>
        </w:rPr>
        <w:tab/>
        <w:t>T.S. Li</w:t>
      </w:r>
      <w:r w:rsidR="00863A9E" w:rsidRPr="00E04FC3">
        <w:rPr>
          <w:sz w:val="16"/>
          <w:szCs w:val="16"/>
        </w:rPr>
        <w:t xml:space="preserve">, </w:t>
      </w:r>
      <w:r w:rsidRPr="00E04FC3">
        <w:rPr>
          <w:sz w:val="16"/>
          <w:szCs w:val="16"/>
        </w:rPr>
        <w:t>P. Kuo</w:t>
      </w:r>
      <w:r w:rsidR="00863A9E" w:rsidRPr="00E04FC3">
        <w:rPr>
          <w:sz w:val="16"/>
          <w:szCs w:val="16"/>
        </w:rPr>
        <w:t xml:space="preserve">, </w:t>
      </w:r>
      <w:r w:rsidRPr="00E04FC3">
        <w:rPr>
          <w:sz w:val="16"/>
          <w:szCs w:val="16"/>
        </w:rPr>
        <w:t>T. Tsai,</w:t>
      </w:r>
      <w:r w:rsidR="00863A9E" w:rsidRPr="00E04FC3">
        <w:rPr>
          <w:sz w:val="16"/>
          <w:szCs w:val="16"/>
        </w:rPr>
        <w:t xml:space="preserve"> and </w:t>
      </w:r>
      <w:r w:rsidRPr="00E04FC3">
        <w:rPr>
          <w:sz w:val="16"/>
          <w:szCs w:val="16"/>
        </w:rPr>
        <w:t>P. Luan, “</w:t>
      </w:r>
      <w:r w:rsidR="00863A9E" w:rsidRPr="00E04FC3">
        <w:rPr>
          <w:sz w:val="16"/>
          <w:szCs w:val="16"/>
        </w:rPr>
        <w:t>CNN and LSTM Based Facial Expression Analysis Model for a Humanoid Robot,</w:t>
      </w:r>
      <w:r w:rsidRPr="00E04FC3">
        <w:rPr>
          <w:sz w:val="16"/>
          <w:szCs w:val="16"/>
        </w:rPr>
        <w:t>”</w:t>
      </w:r>
      <w:r w:rsidR="00863A9E" w:rsidRPr="00E04FC3">
        <w:rPr>
          <w:sz w:val="16"/>
          <w:szCs w:val="16"/>
        </w:rPr>
        <w:t xml:space="preserve"> IEEE Access, 7, 93998 -94011</w:t>
      </w:r>
      <w:r w:rsidRPr="00E04FC3">
        <w:rPr>
          <w:sz w:val="16"/>
          <w:szCs w:val="16"/>
        </w:rPr>
        <w:t>, 2019</w:t>
      </w:r>
      <w:r w:rsidR="00863A9E" w:rsidRPr="00E04FC3">
        <w:rPr>
          <w:sz w:val="16"/>
          <w:szCs w:val="16"/>
        </w:rPr>
        <w:t>.</w:t>
      </w:r>
    </w:p>
    <w:p w:rsidR="00863A9E" w:rsidRPr="00E04FC3" w:rsidRDefault="00E04FC3" w:rsidP="00863A9E">
      <w:pPr>
        <w:ind w:left="720" w:hanging="720"/>
        <w:jc w:val="both"/>
        <w:rPr>
          <w:sz w:val="16"/>
          <w:szCs w:val="16"/>
        </w:rPr>
      </w:pPr>
      <w:r w:rsidRPr="00E04FC3">
        <w:rPr>
          <w:sz w:val="16"/>
          <w:szCs w:val="16"/>
        </w:rPr>
        <w:t>[11]</w:t>
      </w:r>
      <w:r w:rsidRPr="00E04FC3">
        <w:rPr>
          <w:sz w:val="16"/>
          <w:szCs w:val="16"/>
        </w:rPr>
        <w:tab/>
        <w:t>P. Lucey</w:t>
      </w:r>
      <w:r w:rsidR="00863A9E" w:rsidRPr="00E04FC3">
        <w:rPr>
          <w:sz w:val="16"/>
          <w:szCs w:val="16"/>
        </w:rPr>
        <w:t xml:space="preserve">, </w:t>
      </w:r>
      <w:r w:rsidRPr="00E04FC3">
        <w:rPr>
          <w:sz w:val="16"/>
          <w:szCs w:val="16"/>
        </w:rPr>
        <w:t>J.F. Cohn</w:t>
      </w:r>
      <w:r w:rsidR="00863A9E" w:rsidRPr="00E04FC3">
        <w:rPr>
          <w:sz w:val="16"/>
          <w:szCs w:val="16"/>
        </w:rPr>
        <w:t xml:space="preserve">, </w:t>
      </w:r>
      <w:r w:rsidRPr="00E04FC3">
        <w:rPr>
          <w:sz w:val="16"/>
          <w:szCs w:val="16"/>
        </w:rPr>
        <w:t>T. Kanade</w:t>
      </w:r>
      <w:r w:rsidR="00863A9E" w:rsidRPr="00E04FC3">
        <w:rPr>
          <w:sz w:val="16"/>
          <w:szCs w:val="16"/>
        </w:rPr>
        <w:t xml:space="preserve">, </w:t>
      </w:r>
      <w:r w:rsidRPr="00E04FC3">
        <w:rPr>
          <w:sz w:val="16"/>
          <w:szCs w:val="16"/>
        </w:rPr>
        <w:t>J. Saragih</w:t>
      </w:r>
      <w:r w:rsidR="00863A9E" w:rsidRPr="00E04FC3">
        <w:rPr>
          <w:sz w:val="16"/>
          <w:szCs w:val="16"/>
        </w:rPr>
        <w:t xml:space="preserve">, </w:t>
      </w:r>
      <w:r w:rsidRPr="00E04FC3">
        <w:rPr>
          <w:sz w:val="16"/>
          <w:szCs w:val="16"/>
        </w:rPr>
        <w:t>Z. Ambadar</w:t>
      </w:r>
      <w:r w:rsidR="00863A9E" w:rsidRPr="00E04FC3">
        <w:rPr>
          <w:sz w:val="16"/>
          <w:szCs w:val="16"/>
        </w:rPr>
        <w:t xml:space="preserve">, </w:t>
      </w:r>
      <w:r w:rsidRPr="00E04FC3">
        <w:rPr>
          <w:sz w:val="16"/>
          <w:szCs w:val="16"/>
        </w:rPr>
        <w:t>I. Matthews,</w:t>
      </w:r>
      <w:r w:rsidR="00863A9E" w:rsidRPr="00E04FC3">
        <w:rPr>
          <w:sz w:val="16"/>
          <w:szCs w:val="16"/>
        </w:rPr>
        <w:t xml:space="preserve"> </w:t>
      </w:r>
      <w:r w:rsidRPr="00E04FC3">
        <w:rPr>
          <w:sz w:val="16"/>
          <w:szCs w:val="16"/>
        </w:rPr>
        <w:t>“</w:t>
      </w:r>
      <w:r w:rsidR="00863A9E" w:rsidRPr="00E04FC3">
        <w:rPr>
          <w:sz w:val="16"/>
          <w:szCs w:val="16"/>
        </w:rPr>
        <w:t>The extended cohn -kanade dataset (ck+): A complete dataset for action unit and emotion -specified expression</w:t>
      </w:r>
      <w:r w:rsidRPr="00E04FC3">
        <w:rPr>
          <w:sz w:val="16"/>
          <w:szCs w:val="16"/>
        </w:rPr>
        <w:t xml:space="preserve">,” </w:t>
      </w:r>
      <w:r w:rsidR="00863A9E" w:rsidRPr="00E04FC3">
        <w:rPr>
          <w:sz w:val="16"/>
          <w:szCs w:val="16"/>
        </w:rPr>
        <w:t>In Proceedings of the IEEE Computer Society Conference on Computer Vision and Pattern Recognition Workshops (CVPRW), San Francisco, CA, USA, 13–18 June 2010. [CrossRef].</w:t>
      </w:r>
    </w:p>
    <w:p w:rsidR="00863A9E" w:rsidRPr="001265F4" w:rsidRDefault="00E04FC3" w:rsidP="00863A9E">
      <w:pPr>
        <w:ind w:left="720" w:hanging="720"/>
        <w:jc w:val="both"/>
        <w:rPr>
          <w:b/>
          <w:sz w:val="16"/>
          <w:szCs w:val="16"/>
        </w:rPr>
      </w:pPr>
      <w:r w:rsidRPr="001265F4">
        <w:rPr>
          <w:sz w:val="16"/>
          <w:szCs w:val="16"/>
        </w:rPr>
        <w:t>[12]</w:t>
      </w:r>
      <w:r w:rsidRPr="001265F4">
        <w:rPr>
          <w:sz w:val="16"/>
          <w:szCs w:val="16"/>
        </w:rPr>
        <w:tab/>
        <w:t>G. Mariana–Iuliana</w:t>
      </w:r>
      <w:r w:rsidR="00863A9E" w:rsidRPr="001265F4">
        <w:rPr>
          <w:sz w:val="16"/>
          <w:szCs w:val="16"/>
        </w:rPr>
        <w:t xml:space="preserve">, </w:t>
      </w:r>
      <w:r w:rsidRPr="001265F4">
        <w:rPr>
          <w:sz w:val="16"/>
          <w:szCs w:val="16"/>
        </w:rPr>
        <w:t>R.T. Lonescu</w:t>
      </w:r>
      <w:r w:rsidR="00863A9E" w:rsidRPr="001265F4">
        <w:rPr>
          <w:sz w:val="16"/>
          <w:szCs w:val="16"/>
        </w:rPr>
        <w:t xml:space="preserve">, </w:t>
      </w:r>
      <w:r w:rsidRPr="001265F4">
        <w:rPr>
          <w:sz w:val="16"/>
          <w:szCs w:val="16"/>
        </w:rPr>
        <w:t>M. Popescu,</w:t>
      </w:r>
      <w:r w:rsidR="00863A9E" w:rsidRPr="001265F4">
        <w:rPr>
          <w:sz w:val="16"/>
          <w:szCs w:val="16"/>
        </w:rPr>
        <w:t xml:space="preserve"> </w:t>
      </w:r>
      <w:r w:rsidRPr="001265F4">
        <w:rPr>
          <w:sz w:val="16"/>
          <w:szCs w:val="16"/>
        </w:rPr>
        <w:t>“</w:t>
      </w:r>
      <w:r w:rsidR="00863A9E" w:rsidRPr="001265F4">
        <w:rPr>
          <w:sz w:val="16"/>
          <w:szCs w:val="16"/>
        </w:rPr>
        <w:t>Local Learning with Deep and Handcrafted Features for Facial Expression Recognition</w:t>
      </w:r>
      <w:r w:rsidR="001265F4" w:rsidRPr="001265F4">
        <w:rPr>
          <w:sz w:val="16"/>
          <w:szCs w:val="16"/>
        </w:rPr>
        <w:t>,” 2018.</w:t>
      </w:r>
      <w:r w:rsidR="00863A9E" w:rsidRPr="001265F4">
        <w:rPr>
          <w:sz w:val="16"/>
          <w:szCs w:val="16"/>
        </w:rPr>
        <w:t xml:space="preserve"> arXiv:1804.10892.</w:t>
      </w:r>
    </w:p>
    <w:p w:rsidR="00863A9E" w:rsidRPr="001265F4" w:rsidRDefault="001265F4" w:rsidP="00863A9E">
      <w:pPr>
        <w:ind w:left="720" w:hanging="720"/>
        <w:jc w:val="both"/>
        <w:rPr>
          <w:sz w:val="16"/>
          <w:szCs w:val="16"/>
        </w:rPr>
      </w:pPr>
      <w:r w:rsidRPr="001265F4">
        <w:rPr>
          <w:sz w:val="16"/>
          <w:szCs w:val="16"/>
        </w:rPr>
        <w:t>[13]</w:t>
      </w:r>
      <w:r w:rsidRPr="001265F4">
        <w:rPr>
          <w:sz w:val="16"/>
          <w:szCs w:val="16"/>
        </w:rPr>
        <w:tab/>
        <w:t>A. Mollahosseini</w:t>
      </w:r>
      <w:r w:rsidR="00863A9E" w:rsidRPr="001265F4">
        <w:rPr>
          <w:sz w:val="16"/>
          <w:szCs w:val="16"/>
        </w:rPr>
        <w:t xml:space="preserve">, </w:t>
      </w:r>
      <w:r w:rsidRPr="001265F4">
        <w:rPr>
          <w:sz w:val="16"/>
          <w:szCs w:val="16"/>
        </w:rPr>
        <w:t>D. Chan</w:t>
      </w:r>
      <w:r w:rsidR="00863A9E" w:rsidRPr="001265F4">
        <w:rPr>
          <w:sz w:val="16"/>
          <w:szCs w:val="16"/>
        </w:rPr>
        <w:t xml:space="preserve">, </w:t>
      </w:r>
      <w:r w:rsidRPr="001265F4">
        <w:rPr>
          <w:sz w:val="16"/>
          <w:szCs w:val="16"/>
        </w:rPr>
        <w:t>M.H. Mahoor, “</w:t>
      </w:r>
      <w:r w:rsidR="00863A9E" w:rsidRPr="001265F4">
        <w:rPr>
          <w:sz w:val="16"/>
          <w:szCs w:val="16"/>
        </w:rPr>
        <w:t>Going deeper in facial expression recognition using deep neural networks</w:t>
      </w:r>
      <w:r w:rsidRPr="001265F4">
        <w:rPr>
          <w:sz w:val="16"/>
          <w:szCs w:val="16"/>
        </w:rPr>
        <w:t>,”</w:t>
      </w:r>
      <w:r w:rsidR="00863A9E" w:rsidRPr="001265F4">
        <w:rPr>
          <w:sz w:val="16"/>
          <w:szCs w:val="16"/>
        </w:rPr>
        <w:t xml:space="preserve"> In Proceedings of the IEEE 2016 IEEE Winter Conference on Applications of Computer Vision (WACV), Lake Placid, NY, USA, 7 –10</w:t>
      </w:r>
      <w:r w:rsidRPr="001265F4">
        <w:rPr>
          <w:sz w:val="16"/>
          <w:szCs w:val="16"/>
        </w:rPr>
        <w:t>, 2016</w:t>
      </w:r>
      <w:r w:rsidR="00863A9E" w:rsidRPr="001265F4">
        <w:rPr>
          <w:sz w:val="16"/>
          <w:szCs w:val="16"/>
        </w:rPr>
        <w:t>.</w:t>
      </w:r>
    </w:p>
    <w:p w:rsidR="001265F4" w:rsidRPr="001265F4" w:rsidRDefault="001265F4" w:rsidP="001265F4">
      <w:pPr>
        <w:ind w:left="720" w:hanging="720"/>
        <w:jc w:val="both"/>
        <w:rPr>
          <w:sz w:val="16"/>
          <w:szCs w:val="16"/>
        </w:rPr>
      </w:pPr>
      <w:r w:rsidRPr="001265F4">
        <w:rPr>
          <w:sz w:val="16"/>
          <w:szCs w:val="16"/>
        </w:rPr>
        <w:lastRenderedPageBreak/>
        <w:t>[14]</w:t>
      </w:r>
      <w:r w:rsidRPr="001265F4">
        <w:rPr>
          <w:sz w:val="16"/>
          <w:szCs w:val="16"/>
        </w:rPr>
        <w:tab/>
        <w:t>G. Panagiotis</w:t>
      </w:r>
      <w:r w:rsidR="00863A9E" w:rsidRPr="001265F4">
        <w:rPr>
          <w:sz w:val="16"/>
          <w:szCs w:val="16"/>
        </w:rPr>
        <w:t xml:space="preserve">, </w:t>
      </w:r>
      <w:r w:rsidRPr="001265F4">
        <w:rPr>
          <w:sz w:val="16"/>
          <w:szCs w:val="16"/>
        </w:rPr>
        <w:t>I. Perikos</w:t>
      </w:r>
      <w:r w:rsidR="00863A9E" w:rsidRPr="001265F4">
        <w:rPr>
          <w:sz w:val="16"/>
          <w:szCs w:val="16"/>
        </w:rPr>
        <w:t xml:space="preserve">, </w:t>
      </w:r>
      <w:r w:rsidRPr="001265F4">
        <w:rPr>
          <w:sz w:val="16"/>
          <w:szCs w:val="16"/>
        </w:rPr>
        <w:t>I. Hatzilygeroudis, “</w:t>
      </w:r>
      <w:r w:rsidR="00863A9E" w:rsidRPr="001265F4">
        <w:rPr>
          <w:sz w:val="16"/>
          <w:szCs w:val="16"/>
        </w:rPr>
        <w:t>Deep Learning Approaches for Facial Emotion Recognition: A Case Study on FER -2013</w:t>
      </w:r>
      <w:r w:rsidRPr="001265F4">
        <w:rPr>
          <w:sz w:val="16"/>
          <w:szCs w:val="16"/>
        </w:rPr>
        <w:t>,”</w:t>
      </w:r>
      <w:r w:rsidR="00863A9E" w:rsidRPr="001265F4">
        <w:rPr>
          <w:sz w:val="16"/>
          <w:szCs w:val="16"/>
        </w:rPr>
        <w:t xml:space="preserve"> In Advances in Hybridization of Intelligent Methods; Springer: Cham, Switzerland, 2018; pp. 1 –16.</w:t>
      </w:r>
    </w:p>
    <w:p w:rsidR="001265F4" w:rsidRPr="001265F4" w:rsidRDefault="001265F4" w:rsidP="001265F4">
      <w:pPr>
        <w:ind w:left="720" w:hanging="720"/>
        <w:jc w:val="both"/>
        <w:rPr>
          <w:sz w:val="16"/>
          <w:szCs w:val="16"/>
        </w:rPr>
      </w:pPr>
      <w:r w:rsidRPr="001265F4">
        <w:rPr>
          <w:sz w:val="16"/>
          <w:szCs w:val="16"/>
        </w:rPr>
        <w:t>[15]</w:t>
      </w:r>
      <w:r w:rsidRPr="001265F4">
        <w:rPr>
          <w:sz w:val="16"/>
          <w:szCs w:val="16"/>
        </w:rPr>
        <w:tab/>
        <w:t>M.B. Stewart</w:t>
      </w:r>
      <w:r w:rsidR="00863A9E" w:rsidRPr="001265F4">
        <w:rPr>
          <w:sz w:val="16"/>
          <w:szCs w:val="16"/>
        </w:rPr>
        <w:t xml:space="preserve">, </w:t>
      </w:r>
      <w:r w:rsidRPr="001265F4">
        <w:rPr>
          <w:sz w:val="16"/>
          <w:szCs w:val="16"/>
        </w:rPr>
        <w:t>G. Littlewort</w:t>
      </w:r>
      <w:r w:rsidR="00863A9E" w:rsidRPr="001265F4">
        <w:rPr>
          <w:sz w:val="16"/>
          <w:szCs w:val="16"/>
        </w:rPr>
        <w:t xml:space="preserve">, </w:t>
      </w:r>
      <w:r w:rsidRPr="001265F4">
        <w:rPr>
          <w:sz w:val="16"/>
          <w:szCs w:val="16"/>
        </w:rPr>
        <w:t>M. Frank</w:t>
      </w:r>
      <w:r w:rsidR="00863A9E" w:rsidRPr="001265F4">
        <w:rPr>
          <w:sz w:val="16"/>
          <w:szCs w:val="16"/>
        </w:rPr>
        <w:t xml:space="preserve">, </w:t>
      </w:r>
      <w:r w:rsidRPr="001265F4">
        <w:rPr>
          <w:sz w:val="16"/>
          <w:szCs w:val="16"/>
        </w:rPr>
        <w:t>C. Lainscsek</w:t>
      </w:r>
      <w:r w:rsidR="00863A9E" w:rsidRPr="001265F4">
        <w:rPr>
          <w:sz w:val="16"/>
          <w:szCs w:val="16"/>
        </w:rPr>
        <w:t xml:space="preserve">, </w:t>
      </w:r>
      <w:r w:rsidRPr="001265F4">
        <w:rPr>
          <w:sz w:val="16"/>
          <w:szCs w:val="16"/>
        </w:rPr>
        <w:t>I. Fasel</w:t>
      </w:r>
      <w:r w:rsidR="00863A9E" w:rsidRPr="001265F4">
        <w:rPr>
          <w:sz w:val="16"/>
          <w:szCs w:val="16"/>
        </w:rPr>
        <w:t xml:space="preserve">, </w:t>
      </w:r>
      <w:r w:rsidRPr="001265F4">
        <w:rPr>
          <w:sz w:val="16"/>
          <w:szCs w:val="16"/>
        </w:rPr>
        <w:t>J. Movellan,</w:t>
      </w:r>
      <w:r w:rsidR="00863A9E" w:rsidRPr="001265F4">
        <w:rPr>
          <w:sz w:val="16"/>
          <w:szCs w:val="16"/>
        </w:rPr>
        <w:t xml:space="preserve"> </w:t>
      </w:r>
      <w:r w:rsidRPr="001265F4">
        <w:rPr>
          <w:sz w:val="16"/>
          <w:szCs w:val="16"/>
        </w:rPr>
        <w:t>“</w:t>
      </w:r>
      <w:r w:rsidR="00863A9E" w:rsidRPr="001265F4">
        <w:rPr>
          <w:sz w:val="16"/>
          <w:szCs w:val="16"/>
        </w:rPr>
        <w:t>Recognizing facial expression: Machine learning and appl</w:t>
      </w:r>
      <w:r w:rsidRPr="001265F4">
        <w:rPr>
          <w:sz w:val="16"/>
          <w:szCs w:val="16"/>
        </w:rPr>
        <w:t>ication to spontaneous behavior,”</w:t>
      </w:r>
      <w:r w:rsidR="00863A9E" w:rsidRPr="001265F4">
        <w:rPr>
          <w:sz w:val="16"/>
          <w:szCs w:val="16"/>
        </w:rPr>
        <w:t xml:space="preserve"> In Proceedings of the IEEE Computer Society Conference on Computer Vision and Pattern Recognition CVPR, San Diego, CA, USA, 20 –25 June 2005; Volume 2, pp. 568 –573.</w:t>
      </w:r>
    </w:p>
    <w:p w:rsidR="00863A9E" w:rsidRPr="001265F4" w:rsidRDefault="001265F4" w:rsidP="00863A9E">
      <w:pPr>
        <w:ind w:left="720" w:hanging="720"/>
        <w:jc w:val="both"/>
        <w:rPr>
          <w:sz w:val="16"/>
          <w:szCs w:val="16"/>
        </w:rPr>
      </w:pPr>
      <w:r w:rsidRPr="001265F4">
        <w:rPr>
          <w:sz w:val="16"/>
          <w:szCs w:val="16"/>
        </w:rPr>
        <w:t>[16]</w:t>
      </w:r>
      <w:r w:rsidRPr="001265F4">
        <w:rPr>
          <w:sz w:val="16"/>
          <w:szCs w:val="16"/>
        </w:rPr>
        <w:tab/>
        <w:t>R.I. Tudor</w:t>
      </w:r>
      <w:r w:rsidR="00863A9E" w:rsidRPr="001265F4">
        <w:rPr>
          <w:sz w:val="16"/>
          <w:szCs w:val="16"/>
        </w:rPr>
        <w:t xml:space="preserve">, </w:t>
      </w:r>
      <w:r w:rsidRPr="001265F4">
        <w:rPr>
          <w:sz w:val="16"/>
          <w:szCs w:val="16"/>
        </w:rPr>
        <w:t>M. Popescu</w:t>
      </w:r>
      <w:r w:rsidR="00863A9E" w:rsidRPr="001265F4">
        <w:rPr>
          <w:sz w:val="16"/>
          <w:szCs w:val="16"/>
        </w:rPr>
        <w:t xml:space="preserve">, </w:t>
      </w:r>
      <w:r w:rsidRPr="001265F4">
        <w:rPr>
          <w:sz w:val="16"/>
          <w:szCs w:val="16"/>
        </w:rPr>
        <w:t>C. Grozea,</w:t>
      </w:r>
      <w:r w:rsidR="00863A9E" w:rsidRPr="001265F4">
        <w:rPr>
          <w:sz w:val="16"/>
          <w:szCs w:val="16"/>
        </w:rPr>
        <w:t xml:space="preserve"> </w:t>
      </w:r>
      <w:r w:rsidRPr="001265F4">
        <w:rPr>
          <w:sz w:val="16"/>
          <w:szCs w:val="16"/>
        </w:rPr>
        <w:t>“</w:t>
      </w:r>
      <w:r w:rsidR="00863A9E" w:rsidRPr="001265F4">
        <w:rPr>
          <w:sz w:val="16"/>
          <w:szCs w:val="16"/>
        </w:rPr>
        <w:t>Local learning to improve bag of visual words model for facial expression recognition</w:t>
      </w:r>
      <w:r w:rsidRPr="001265F4">
        <w:rPr>
          <w:sz w:val="16"/>
          <w:szCs w:val="16"/>
        </w:rPr>
        <w:t>,”</w:t>
      </w:r>
      <w:r w:rsidR="00863A9E" w:rsidRPr="001265F4">
        <w:rPr>
          <w:sz w:val="16"/>
          <w:szCs w:val="16"/>
        </w:rPr>
        <w:t xml:space="preserve"> In Proceedings of the ICML Workshop on Challenges in Representation Learning, 2013.</w:t>
      </w:r>
    </w:p>
    <w:p w:rsidR="00863A9E" w:rsidRPr="001265F4" w:rsidRDefault="001265F4" w:rsidP="00863A9E">
      <w:pPr>
        <w:ind w:left="720" w:hanging="720"/>
        <w:jc w:val="both"/>
        <w:rPr>
          <w:sz w:val="16"/>
          <w:szCs w:val="16"/>
        </w:rPr>
      </w:pPr>
      <w:r w:rsidRPr="001265F4">
        <w:rPr>
          <w:sz w:val="16"/>
          <w:szCs w:val="16"/>
        </w:rPr>
        <w:t>[17]</w:t>
      </w:r>
      <w:r w:rsidRPr="001265F4">
        <w:rPr>
          <w:sz w:val="16"/>
          <w:szCs w:val="16"/>
        </w:rPr>
        <w:tab/>
        <w:t>S.H. Wang, M.J. Cheng, Z.Q. Ma, X.X. Sun,</w:t>
      </w:r>
      <w:r w:rsidR="00863A9E" w:rsidRPr="001265F4">
        <w:rPr>
          <w:sz w:val="16"/>
          <w:szCs w:val="16"/>
        </w:rPr>
        <w:t xml:space="preserve"> </w:t>
      </w:r>
      <w:r w:rsidRPr="001265F4">
        <w:rPr>
          <w:sz w:val="16"/>
          <w:szCs w:val="16"/>
        </w:rPr>
        <w:t>“</w:t>
      </w:r>
      <w:r w:rsidR="00863A9E" w:rsidRPr="001265F4">
        <w:rPr>
          <w:sz w:val="16"/>
          <w:szCs w:val="16"/>
        </w:rPr>
        <w:t>Research on t</w:t>
      </w:r>
      <w:r w:rsidRPr="001265F4">
        <w:rPr>
          <w:sz w:val="16"/>
          <w:szCs w:val="16"/>
        </w:rPr>
        <w:t>he application of convolutional</w:t>
      </w:r>
      <w:r w:rsidR="00863A9E" w:rsidRPr="001265F4">
        <w:rPr>
          <w:sz w:val="16"/>
          <w:szCs w:val="16"/>
        </w:rPr>
        <w:t>-deep neural networks in parallel fingerprint minutiae matching. International Journal of Biometrics,</w:t>
      </w:r>
      <w:r w:rsidRPr="001265F4">
        <w:rPr>
          <w:sz w:val="16"/>
          <w:szCs w:val="16"/>
        </w:rPr>
        <w:t>” Vol.13 No.1, pp.96–</w:t>
      </w:r>
      <w:r w:rsidR="00863A9E" w:rsidRPr="001265F4">
        <w:rPr>
          <w:sz w:val="16"/>
          <w:szCs w:val="16"/>
        </w:rPr>
        <w:t>113, DOI: 10.1504/IJBM.2021.112220.</w:t>
      </w:r>
    </w:p>
    <w:p w:rsidR="00863A9E" w:rsidRPr="001265F4" w:rsidRDefault="00863A9E" w:rsidP="00863A9E">
      <w:pPr>
        <w:ind w:left="720" w:hanging="720"/>
        <w:jc w:val="both"/>
        <w:rPr>
          <w:sz w:val="24"/>
          <w:szCs w:val="24"/>
        </w:rPr>
      </w:pPr>
    </w:p>
    <w:p w:rsidR="00863A9E" w:rsidRPr="00863A9E" w:rsidRDefault="00863A9E" w:rsidP="003F63D2">
      <w:pPr>
        <w:spacing w:line="360" w:lineRule="auto"/>
        <w:rPr>
          <w:b/>
        </w:rPr>
      </w:pPr>
    </w:p>
    <w:p w:rsidR="003F63D2" w:rsidRPr="00863A9E" w:rsidRDefault="003F63D2" w:rsidP="006A4CAE"/>
    <w:p w:rsidR="008A55B5" w:rsidRPr="000B5B2F" w:rsidRDefault="000B5B2F" w:rsidP="000B5B2F">
      <w:pPr>
        <w:tabs>
          <w:tab w:val="left" w:pos="2235"/>
          <w:tab w:val="center" w:pos="4514"/>
        </w:tabs>
        <w:jc w:val="left"/>
        <w:rPr>
          <w:rFonts w:eastAsia="MS Mincho"/>
        </w:rPr>
      </w:pP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B20" w:rsidRDefault="00637B20" w:rsidP="001E64C4">
      <w:r>
        <w:separator/>
      </w:r>
    </w:p>
  </w:endnote>
  <w:endnote w:type="continuationSeparator" w:id="1">
    <w:p w:rsidR="00637B20" w:rsidRDefault="00637B20"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81" w:rsidRPr="00012DED" w:rsidRDefault="009F1081"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B20" w:rsidRDefault="00637B20" w:rsidP="001E64C4">
      <w:r>
        <w:separator/>
      </w:r>
    </w:p>
  </w:footnote>
  <w:footnote w:type="continuationSeparator" w:id="1">
    <w:p w:rsidR="00637B20" w:rsidRDefault="00637B20"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81" w:rsidRPr="00012DED" w:rsidRDefault="009F1081"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5058">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65F4"/>
    <w:rsid w:val="00127EDD"/>
    <w:rsid w:val="0018330F"/>
    <w:rsid w:val="001A3C03"/>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F63D2"/>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E1F12"/>
    <w:rsid w:val="005F10BD"/>
    <w:rsid w:val="005F3022"/>
    <w:rsid w:val="006108A4"/>
    <w:rsid w:val="006122E9"/>
    <w:rsid w:val="00637B20"/>
    <w:rsid w:val="00655A28"/>
    <w:rsid w:val="0069740E"/>
    <w:rsid w:val="006A4CA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63A9E"/>
    <w:rsid w:val="008A55B5"/>
    <w:rsid w:val="008A75C8"/>
    <w:rsid w:val="008B5270"/>
    <w:rsid w:val="00924FB9"/>
    <w:rsid w:val="0092568F"/>
    <w:rsid w:val="0097508D"/>
    <w:rsid w:val="009D170D"/>
    <w:rsid w:val="009F1081"/>
    <w:rsid w:val="00A236A0"/>
    <w:rsid w:val="00A510F7"/>
    <w:rsid w:val="00AA0700"/>
    <w:rsid w:val="00AC6519"/>
    <w:rsid w:val="00AD601F"/>
    <w:rsid w:val="00B0160B"/>
    <w:rsid w:val="00B20C8E"/>
    <w:rsid w:val="00B62E35"/>
    <w:rsid w:val="00C0280F"/>
    <w:rsid w:val="00C05F7C"/>
    <w:rsid w:val="00C703F9"/>
    <w:rsid w:val="00CB0271"/>
    <w:rsid w:val="00CB5296"/>
    <w:rsid w:val="00CB66E6"/>
    <w:rsid w:val="00CF25D6"/>
    <w:rsid w:val="00D01167"/>
    <w:rsid w:val="00D6227A"/>
    <w:rsid w:val="00D9156D"/>
    <w:rsid w:val="00DB42A0"/>
    <w:rsid w:val="00E04FC3"/>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6A4CAE"/>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863A9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1882</Words>
  <Characters>10731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 7</cp:lastModifiedBy>
  <cp:revision>3</cp:revision>
  <cp:lastPrinted>2014-07-26T15:11:00Z</cp:lastPrinted>
  <dcterms:created xsi:type="dcterms:W3CDTF">2023-07-19T04:04:00Z</dcterms:created>
  <dcterms:modified xsi:type="dcterms:W3CDTF">2023-07-19T05:13:00Z</dcterms:modified>
</cp:coreProperties>
</file>