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2CE" w:rsidRPr="002F72CE" w:rsidRDefault="002F72CE" w:rsidP="00D8270B">
      <w:pPr>
        <w:pStyle w:val="Titolo"/>
        <w:spacing w:line="276" w:lineRule="auto"/>
        <w:rPr>
          <w:lang w:val="en-GB"/>
        </w:rPr>
      </w:pPr>
      <w:r w:rsidRPr="002F72CE">
        <w:rPr>
          <w:lang w:val="en-GB"/>
        </w:rPr>
        <w:t>Innovative therapies in Alzheimer’s dis</w:t>
      </w:r>
      <w:r>
        <w:rPr>
          <w:lang w:val="en-GB"/>
        </w:rPr>
        <w:t>ease</w:t>
      </w:r>
    </w:p>
    <w:p w:rsidR="00726F0C" w:rsidRDefault="00726F0C" w:rsidP="00D8270B">
      <w:pPr>
        <w:spacing w:after="0" w:line="276" w:lineRule="auto"/>
        <w:rPr>
          <w:b/>
          <w:bCs/>
          <w:lang w:val="en-GB"/>
        </w:rPr>
      </w:pPr>
    </w:p>
    <w:p w:rsidR="002F72CE" w:rsidRPr="002F72CE" w:rsidRDefault="002F72CE" w:rsidP="00D8270B">
      <w:pPr>
        <w:spacing w:after="0" w:line="276" w:lineRule="auto"/>
        <w:rPr>
          <w:b/>
          <w:bCs/>
          <w:lang w:val="en-GB"/>
        </w:rPr>
      </w:pPr>
      <w:r w:rsidRPr="002F72CE">
        <w:rPr>
          <w:b/>
          <w:bCs/>
          <w:lang w:val="en-GB"/>
        </w:rPr>
        <w:t>Introduction</w:t>
      </w:r>
    </w:p>
    <w:p w:rsidR="00B34B96" w:rsidRDefault="00B34B96" w:rsidP="00D8270B">
      <w:pPr>
        <w:spacing w:after="0" w:line="276" w:lineRule="auto"/>
        <w:rPr>
          <w:lang w:val="en-GB"/>
        </w:rPr>
      </w:pPr>
      <w:r w:rsidRPr="00B34B96">
        <w:rPr>
          <w:lang w:val="en-GB"/>
        </w:rPr>
        <w:t>Alzheimer's disease predominantly affects patients over the age of 65 with progressive loss of memory and their</w:t>
      </w:r>
      <w:r>
        <w:rPr>
          <w:lang w:val="en-GB"/>
        </w:rPr>
        <w:t xml:space="preserve"> own</w:t>
      </w:r>
      <w:r w:rsidRPr="00B34B96">
        <w:rPr>
          <w:lang w:val="en-GB"/>
        </w:rPr>
        <w:t xml:space="preserve"> independence</w:t>
      </w:r>
      <w:r w:rsidR="003B06EC" w:rsidRPr="00832604">
        <w:rPr>
          <w:vertAlign w:val="superscript"/>
          <w:lang w:val="en-GB"/>
        </w:rPr>
        <w:t>[2]</w:t>
      </w:r>
      <w:r w:rsidRPr="00B34B96">
        <w:rPr>
          <w:lang w:val="en-GB"/>
        </w:rPr>
        <w:t xml:space="preserve">. </w:t>
      </w:r>
      <w:r>
        <w:rPr>
          <w:lang w:val="en-GB"/>
        </w:rPr>
        <w:t xml:space="preserve">It </w:t>
      </w:r>
      <w:r w:rsidRPr="00B34B96">
        <w:rPr>
          <w:lang w:val="en-GB"/>
        </w:rPr>
        <w:t>is recognized by the World Health Organization</w:t>
      </w:r>
      <w:r>
        <w:rPr>
          <w:lang w:val="en-GB"/>
        </w:rPr>
        <w:t xml:space="preserve"> (WHO)</w:t>
      </w:r>
      <w:r w:rsidRPr="00B34B96">
        <w:rPr>
          <w:lang w:val="en-GB"/>
        </w:rPr>
        <w:t xml:space="preserve"> as a major</w:t>
      </w:r>
      <w:r>
        <w:rPr>
          <w:lang w:val="en-GB"/>
        </w:rPr>
        <w:t xml:space="preserve"> health-care</w:t>
      </w:r>
      <w:r w:rsidRPr="00B34B96">
        <w:rPr>
          <w:lang w:val="en-GB"/>
        </w:rPr>
        <w:t xml:space="preserve"> problem. There are currently no disease-modifying therapies despite advances in understanding the pathogenesis of the disease</w:t>
      </w:r>
      <w:r w:rsidRPr="002B202A">
        <w:rPr>
          <w:vertAlign w:val="superscript"/>
          <w:lang w:val="en-GB"/>
        </w:rPr>
        <w:t>[1]</w:t>
      </w:r>
      <w:r w:rsidRPr="00B34B96">
        <w:rPr>
          <w:lang w:val="en-GB"/>
        </w:rPr>
        <w:t>.</w:t>
      </w:r>
    </w:p>
    <w:p w:rsidR="00B34B96" w:rsidRPr="0028647A" w:rsidRDefault="0066537E" w:rsidP="00D8270B">
      <w:pPr>
        <w:spacing w:after="0" w:line="276" w:lineRule="auto"/>
        <w:rPr>
          <w:lang w:val="en-GB"/>
        </w:rPr>
      </w:pPr>
      <w:r w:rsidRPr="0066537E">
        <w:rPr>
          <w:lang w:val="en-GB"/>
        </w:rPr>
        <w:t>In this chapter we will address</w:t>
      </w:r>
      <w:r w:rsidR="00533926">
        <w:rPr>
          <w:lang w:val="en-GB"/>
        </w:rPr>
        <w:t xml:space="preserve"> </w:t>
      </w:r>
      <w:r w:rsidR="00B34B96" w:rsidRPr="00B34B96">
        <w:rPr>
          <w:lang w:val="en-GB"/>
        </w:rPr>
        <w:t xml:space="preserve">the definition of the disease, its pathogenesis, and current and future </w:t>
      </w:r>
      <w:r w:rsidR="00B34B96" w:rsidRPr="007F493A">
        <w:rPr>
          <w:lang w:val="en-GB"/>
        </w:rPr>
        <w:t>therapeutic</w:t>
      </w:r>
      <w:r w:rsidR="00533926">
        <w:rPr>
          <w:lang w:val="en-GB"/>
        </w:rPr>
        <w:t xml:space="preserve"> </w:t>
      </w:r>
      <w:r w:rsidR="00B34B96" w:rsidRPr="007F493A">
        <w:rPr>
          <w:lang w:val="en-GB"/>
        </w:rPr>
        <w:t>strategies</w:t>
      </w:r>
      <w:r w:rsidR="00B34B96">
        <w:rPr>
          <w:lang w:val="en-GB"/>
        </w:rPr>
        <w:t>.</w:t>
      </w:r>
    </w:p>
    <w:p w:rsidR="004F715B" w:rsidRDefault="004F715B" w:rsidP="00D8270B">
      <w:pPr>
        <w:spacing w:after="0" w:line="276" w:lineRule="auto"/>
        <w:rPr>
          <w:lang w:val="en-GB"/>
        </w:rPr>
      </w:pPr>
    </w:p>
    <w:p w:rsidR="001A6302" w:rsidRDefault="001A6302" w:rsidP="00D8270B">
      <w:pPr>
        <w:spacing w:after="0" w:line="276" w:lineRule="auto"/>
        <w:rPr>
          <w:lang w:val="en-GB"/>
        </w:rPr>
      </w:pPr>
    </w:p>
    <w:p w:rsidR="00231B04" w:rsidRDefault="00231B04" w:rsidP="00D8270B">
      <w:pPr>
        <w:spacing w:after="0" w:line="276" w:lineRule="auto"/>
        <w:rPr>
          <w:lang w:val="en-GB"/>
        </w:rPr>
      </w:pPr>
    </w:p>
    <w:p w:rsidR="004F715B" w:rsidRPr="004F715B" w:rsidRDefault="004F715B" w:rsidP="00D8270B">
      <w:pPr>
        <w:spacing w:after="0" w:line="276" w:lineRule="auto"/>
        <w:rPr>
          <w:b/>
          <w:bCs/>
          <w:lang w:val="en-GB"/>
        </w:rPr>
      </w:pPr>
      <w:r w:rsidRPr="004F715B">
        <w:rPr>
          <w:b/>
          <w:bCs/>
          <w:lang w:val="en-GB"/>
        </w:rPr>
        <w:t>Epidemiology</w:t>
      </w:r>
    </w:p>
    <w:p w:rsidR="004F715B" w:rsidRDefault="00231B04" w:rsidP="00D8270B">
      <w:pPr>
        <w:spacing w:after="0" w:line="276" w:lineRule="auto"/>
        <w:rPr>
          <w:lang w:val="en-GB"/>
        </w:rPr>
      </w:pPr>
      <w:r w:rsidRPr="00231B04">
        <w:rPr>
          <w:lang w:val="en-GB"/>
        </w:rPr>
        <w:t>Dementia is characterized by an acquired loss of cognitive function and is not a physiological condition related to advancing age.</w:t>
      </w:r>
      <w:r w:rsidR="00533926">
        <w:rPr>
          <w:lang w:val="en-GB"/>
        </w:rPr>
        <w:t xml:space="preserve"> </w:t>
      </w:r>
      <w:r w:rsidRPr="00231B04">
        <w:rPr>
          <w:lang w:val="en-GB"/>
        </w:rPr>
        <w:t>According to one estimate, 44 million people are thought to be affected by Alzheimer's disease.</w:t>
      </w:r>
      <w:r w:rsidR="00533926">
        <w:rPr>
          <w:lang w:val="en-GB"/>
        </w:rPr>
        <w:t xml:space="preserve"> </w:t>
      </w:r>
      <w:r w:rsidRPr="00231B04">
        <w:rPr>
          <w:lang w:val="en-GB"/>
        </w:rPr>
        <w:t xml:space="preserve">The cost of treating these patients is around </w:t>
      </w:r>
      <w:r>
        <w:rPr>
          <w:lang w:val="en-GB"/>
        </w:rPr>
        <w:t xml:space="preserve">USD </w:t>
      </w:r>
      <w:r w:rsidRPr="00231B04">
        <w:rPr>
          <w:lang w:val="en-GB"/>
        </w:rPr>
        <w:t>600 million</w:t>
      </w:r>
      <w:r w:rsidR="004F715B" w:rsidRPr="00FC1EA5">
        <w:rPr>
          <w:vertAlign w:val="superscript"/>
          <w:lang w:val="en-GB"/>
        </w:rPr>
        <w:t>[2]</w:t>
      </w:r>
      <w:r w:rsidR="004F715B" w:rsidRPr="004F715B">
        <w:rPr>
          <w:lang w:val="en-GB"/>
        </w:rPr>
        <w:t xml:space="preserve">. </w:t>
      </w:r>
      <w:r>
        <w:rPr>
          <w:lang w:val="en-GB"/>
        </w:rPr>
        <w:t>I</w:t>
      </w:r>
      <w:r w:rsidRPr="00231B04">
        <w:rPr>
          <w:lang w:val="en-GB"/>
        </w:rPr>
        <w:t xml:space="preserve">n </w:t>
      </w:r>
      <w:r>
        <w:rPr>
          <w:lang w:val="en-GB"/>
        </w:rPr>
        <w:t>E</w:t>
      </w:r>
      <w:r w:rsidRPr="00231B04">
        <w:rPr>
          <w:lang w:val="en-GB"/>
        </w:rPr>
        <w:t>ngland constitutes a primary cause of death, accounting for 11.6</w:t>
      </w:r>
      <w:r w:rsidR="008476FB">
        <w:rPr>
          <w:lang w:val="en-GB"/>
        </w:rPr>
        <w:t xml:space="preserve">% </w:t>
      </w:r>
      <w:r w:rsidRPr="00231B04">
        <w:rPr>
          <w:lang w:val="en-GB"/>
        </w:rPr>
        <w:t>of all deaths recorded in the year 2015</w:t>
      </w:r>
      <w:r w:rsidR="004F715B" w:rsidRPr="00FC1EA5">
        <w:rPr>
          <w:vertAlign w:val="superscript"/>
          <w:lang w:val="en-GB"/>
        </w:rPr>
        <w:t>[3]</w:t>
      </w:r>
      <w:r w:rsidR="004F715B" w:rsidRPr="004F715B">
        <w:rPr>
          <w:lang w:val="en-GB"/>
        </w:rPr>
        <w:t xml:space="preserve">. </w:t>
      </w:r>
      <w:r w:rsidRPr="00231B04">
        <w:rPr>
          <w:lang w:val="en-GB"/>
        </w:rPr>
        <w:t>Recent studies indicate that</w:t>
      </w:r>
      <w:r w:rsidR="008D0CB8">
        <w:rPr>
          <w:lang w:val="en-GB"/>
        </w:rPr>
        <w:t xml:space="preserve"> the incidence of</w:t>
      </w:r>
      <w:r w:rsidRPr="00231B04">
        <w:rPr>
          <w:lang w:val="en-GB"/>
        </w:rPr>
        <w:t xml:space="preserve"> this condition is decreasing due to </w:t>
      </w:r>
      <w:r w:rsidR="0099039D">
        <w:rPr>
          <w:lang w:val="en-GB"/>
        </w:rPr>
        <w:t xml:space="preserve">a </w:t>
      </w:r>
      <w:r w:rsidRPr="00231B04">
        <w:rPr>
          <w:lang w:val="en-GB"/>
        </w:rPr>
        <w:t>better cardiovascular risk management</w:t>
      </w:r>
      <w:r w:rsidR="004F715B" w:rsidRPr="00FC1EA5">
        <w:rPr>
          <w:vertAlign w:val="superscript"/>
          <w:lang w:val="en-GB"/>
        </w:rPr>
        <w:t>[4</w:t>
      </w:r>
      <w:r w:rsidR="008530D3">
        <w:rPr>
          <w:vertAlign w:val="superscript"/>
          <w:lang w:val="en-GB"/>
        </w:rPr>
        <w:t>-</w:t>
      </w:r>
      <w:r w:rsidR="004F715B" w:rsidRPr="00FC1EA5">
        <w:rPr>
          <w:vertAlign w:val="superscript"/>
          <w:lang w:val="en-GB"/>
        </w:rPr>
        <w:t>5]</w:t>
      </w:r>
      <w:r w:rsidR="004F715B" w:rsidRPr="004F715B">
        <w:rPr>
          <w:lang w:val="en-GB"/>
        </w:rPr>
        <w:t xml:space="preserve">. </w:t>
      </w:r>
      <w:r w:rsidR="00FB3F83">
        <w:rPr>
          <w:lang w:val="en-GB"/>
        </w:rPr>
        <w:t>I</w:t>
      </w:r>
      <w:r w:rsidR="00FB3F83" w:rsidRPr="00832604">
        <w:rPr>
          <w:lang w:val="en-GB"/>
        </w:rPr>
        <w:t>n the coming years</w:t>
      </w:r>
      <w:r w:rsidR="00533926">
        <w:rPr>
          <w:lang w:val="en-GB"/>
        </w:rPr>
        <w:t xml:space="preserve"> </w:t>
      </w:r>
      <w:r w:rsidR="0099039D">
        <w:rPr>
          <w:lang w:val="en-GB"/>
        </w:rPr>
        <w:t xml:space="preserve">it is expected </w:t>
      </w:r>
      <w:r w:rsidR="00FB3F83">
        <w:rPr>
          <w:lang w:val="en-GB"/>
        </w:rPr>
        <w:t>a</w:t>
      </w:r>
      <w:r w:rsidR="00832604" w:rsidRPr="00832604">
        <w:rPr>
          <w:lang w:val="en-GB"/>
        </w:rPr>
        <w:t xml:space="preserve"> higher prevalence of disease in individuals from lower economic classes with cardiovascular comorbidities</w:t>
      </w:r>
      <w:r w:rsidR="004F715B" w:rsidRPr="007D4DBA">
        <w:rPr>
          <w:vertAlign w:val="superscript"/>
          <w:lang w:val="en-GB"/>
        </w:rPr>
        <w:t>[2]</w:t>
      </w:r>
      <w:r w:rsidR="004F715B" w:rsidRPr="004F715B">
        <w:rPr>
          <w:lang w:val="en-GB"/>
        </w:rPr>
        <w:t xml:space="preserve">. </w:t>
      </w:r>
      <w:r w:rsidR="00221E49" w:rsidRPr="00221E49">
        <w:rPr>
          <w:lang w:val="en-GB"/>
        </w:rPr>
        <w:t>Alzheimer's disease is the prevalent cause of dementia, accounting for 50-75% of cases, and its prevalence increases greatly at ages over 65</w:t>
      </w:r>
      <w:r w:rsidR="004F715B" w:rsidRPr="003D211A">
        <w:rPr>
          <w:vertAlign w:val="superscript"/>
          <w:lang w:val="en-GB"/>
        </w:rPr>
        <w:t>[2]</w:t>
      </w:r>
      <w:r w:rsidR="004F715B" w:rsidRPr="004F715B">
        <w:rPr>
          <w:lang w:val="en-GB"/>
        </w:rPr>
        <w:t>.</w:t>
      </w:r>
    </w:p>
    <w:p w:rsidR="004F715B" w:rsidRDefault="004F715B" w:rsidP="00D8270B">
      <w:pPr>
        <w:spacing w:after="0" w:line="276" w:lineRule="auto"/>
        <w:rPr>
          <w:lang w:val="en-GB"/>
        </w:rPr>
      </w:pPr>
    </w:p>
    <w:p w:rsidR="00D17DF8" w:rsidRDefault="00D17DF8" w:rsidP="00D8270B">
      <w:pPr>
        <w:spacing w:after="0" w:line="276" w:lineRule="auto"/>
        <w:rPr>
          <w:lang w:val="en-GB"/>
        </w:rPr>
      </w:pPr>
    </w:p>
    <w:p w:rsidR="001A6302" w:rsidRDefault="001A6302" w:rsidP="00D8270B">
      <w:pPr>
        <w:spacing w:after="0" w:line="276" w:lineRule="auto"/>
        <w:rPr>
          <w:lang w:val="en-GB"/>
        </w:rPr>
      </w:pPr>
    </w:p>
    <w:p w:rsidR="004F715B" w:rsidRDefault="004F715B" w:rsidP="00D8270B">
      <w:pPr>
        <w:spacing w:after="0" w:line="276" w:lineRule="auto"/>
        <w:rPr>
          <w:b/>
          <w:bCs/>
          <w:lang w:val="en-GB"/>
        </w:rPr>
      </w:pPr>
      <w:r w:rsidRPr="004F715B">
        <w:rPr>
          <w:b/>
          <w:bCs/>
          <w:lang w:val="en-GB"/>
        </w:rPr>
        <w:t>Aetiology</w:t>
      </w:r>
    </w:p>
    <w:p w:rsidR="004F715B" w:rsidRPr="004F715B" w:rsidRDefault="00E86552" w:rsidP="00E86552">
      <w:pPr>
        <w:spacing w:after="0" w:line="276" w:lineRule="auto"/>
        <w:jc w:val="both"/>
        <w:rPr>
          <w:lang w:val="en-GB"/>
        </w:rPr>
      </w:pPr>
      <w:r w:rsidRPr="00E86552">
        <w:rPr>
          <w:lang w:val="en-GB"/>
        </w:rPr>
        <w:t>Most cases of Alzheimer's disease are sporadic, but there are cases related to mutations in 3 genes, amyloid precursor protein (APP), presenilin 1 (PSEN1) and presenilin 2 (PSEN2), which cause a rare (&lt;0.5%) form of familial Alzheimer's disease (fAD</w:t>
      </w:r>
      <w:r>
        <w:rPr>
          <w:lang w:val="en-GB"/>
        </w:rPr>
        <w:t>).</w:t>
      </w:r>
      <w:r w:rsidRPr="00E86552">
        <w:rPr>
          <w:lang w:val="en-GB"/>
        </w:rPr>
        <w:t xml:space="preserve"> Symptoms develop early in familial forms, around age </w:t>
      </w:r>
      <w:r w:rsidR="00DE2BA7">
        <w:rPr>
          <w:lang w:val="en-GB"/>
        </w:rPr>
        <w:t xml:space="preserve">from </w:t>
      </w:r>
      <w:r w:rsidRPr="00E86552">
        <w:rPr>
          <w:lang w:val="en-GB"/>
        </w:rPr>
        <w:t>30</w:t>
      </w:r>
      <w:r w:rsidR="00DE2BA7">
        <w:rPr>
          <w:lang w:val="en-GB"/>
        </w:rPr>
        <w:t>to</w:t>
      </w:r>
      <w:r>
        <w:rPr>
          <w:lang w:val="en-GB"/>
        </w:rPr>
        <w:t xml:space="preserve"> 50</w:t>
      </w:r>
      <w:r w:rsidR="004F715B" w:rsidRPr="00425066">
        <w:rPr>
          <w:vertAlign w:val="superscript"/>
          <w:lang w:val="en-GB"/>
        </w:rPr>
        <w:t>[6]</w:t>
      </w:r>
      <w:r w:rsidR="004F715B" w:rsidRPr="004F715B">
        <w:rPr>
          <w:lang w:val="en-GB"/>
        </w:rPr>
        <w:t>.</w:t>
      </w:r>
      <w:r w:rsidR="00814B16" w:rsidRPr="00814B16">
        <w:rPr>
          <w:lang w:val="en-GB"/>
        </w:rPr>
        <w:t xml:space="preserve">Alzheimer's disease developing </w:t>
      </w:r>
      <w:r w:rsidR="00AB4032">
        <w:rPr>
          <w:lang w:val="en-GB"/>
        </w:rPr>
        <w:t>in elderly</w:t>
      </w:r>
      <w:r w:rsidR="00814B16" w:rsidRPr="00814B16">
        <w:rPr>
          <w:lang w:val="en-GB"/>
        </w:rPr>
        <w:t xml:space="preserve"> is due to an interplay of genetic and environmental factors.</w:t>
      </w:r>
      <w:r w:rsidR="00533926">
        <w:rPr>
          <w:lang w:val="en-GB"/>
        </w:rPr>
        <w:t xml:space="preserve"> </w:t>
      </w:r>
      <w:r w:rsidR="00814B16" w:rsidRPr="00814B16">
        <w:rPr>
          <w:lang w:val="en-GB"/>
        </w:rPr>
        <w:t>Seventy percent of the risk of Alzheimer's disease is d</w:t>
      </w:r>
      <w:r w:rsidR="006D1586">
        <w:rPr>
          <w:lang w:val="en-GB"/>
        </w:rPr>
        <w:t>ue</w:t>
      </w:r>
      <w:r w:rsidR="00814B16" w:rsidRPr="00814B16">
        <w:rPr>
          <w:lang w:val="en-GB"/>
        </w:rPr>
        <w:t xml:space="preserve"> to genetic factors.</w:t>
      </w:r>
      <w:r w:rsidR="00533926">
        <w:rPr>
          <w:lang w:val="en-GB"/>
        </w:rPr>
        <w:t xml:space="preserve"> </w:t>
      </w:r>
      <w:r w:rsidR="004F715B" w:rsidRPr="004F715B">
        <w:rPr>
          <w:lang w:val="en-GB"/>
        </w:rPr>
        <w:t>The APOE gene</w:t>
      </w:r>
      <w:r w:rsidR="00533926">
        <w:rPr>
          <w:lang w:val="en-GB"/>
        </w:rPr>
        <w:t xml:space="preserve"> </w:t>
      </w:r>
      <w:r w:rsidR="00195113" w:rsidRPr="004F715B">
        <w:rPr>
          <w:lang w:val="en-GB"/>
        </w:rPr>
        <w:t>is the single biggest risk</w:t>
      </w:r>
      <w:r w:rsidR="00533926">
        <w:rPr>
          <w:lang w:val="en-GB"/>
        </w:rPr>
        <w:t xml:space="preserve"> </w:t>
      </w:r>
      <w:r w:rsidR="00195113" w:rsidRPr="004F715B">
        <w:rPr>
          <w:lang w:val="en-GB"/>
        </w:rPr>
        <w:t>for sporadic AD</w:t>
      </w:r>
      <w:r w:rsidR="00195113">
        <w:rPr>
          <w:lang w:val="en-GB"/>
        </w:rPr>
        <w:t>. It</w:t>
      </w:r>
      <w:r w:rsidR="004F715B" w:rsidRPr="004F715B">
        <w:rPr>
          <w:lang w:val="en-GB"/>
        </w:rPr>
        <w:t xml:space="preserve"> has</w:t>
      </w:r>
      <w:r w:rsidR="00533926">
        <w:rPr>
          <w:lang w:val="en-GB"/>
        </w:rPr>
        <w:t xml:space="preserve"> </w:t>
      </w:r>
      <w:r w:rsidR="004F715B" w:rsidRPr="004F715B">
        <w:rPr>
          <w:lang w:val="en-GB"/>
        </w:rPr>
        <w:t xml:space="preserve">three variants, e2, e3 and </w:t>
      </w:r>
      <w:r w:rsidR="004F715B" w:rsidRPr="00814B16">
        <w:rPr>
          <w:lang w:val="en-GB"/>
        </w:rPr>
        <w:t>e4</w:t>
      </w:r>
      <w:r w:rsidR="00195113">
        <w:rPr>
          <w:lang w:val="en-GB"/>
        </w:rPr>
        <w:t>. E</w:t>
      </w:r>
      <w:r w:rsidR="004F715B" w:rsidRPr="004F715B">
        <w:rPr>
          <w:lang w:val="en-GB"/>
        </w:rPr>
        <w:t>4</w:t>
      </w:r>
      <w:r w:rsidR="00533926">
        <w:rPr>
          <w:lang w:val="en-GB"/>
        </w:rPr>
        <w:t xml:space="preserve"> </w:t>
      </w:r>
      <w:r w:rsidR="004F715B" w:rsidRPr="004F715B">
        <w:rPr>
          <w:lang w:val="en-GB"/>
        </w:rPr>
        <w:t xml:space="preserve">heterozygotes have an odds ratio (OR) </w:t>
      </w:r>
      <w:r w:rsidR="0008690D">
        <w:rPr>
          <w:lang w:val="en-GB"/>
        </w:rPr>
        <w:t>of developing</w:t>
      </w:r>
      <w:r w:rsidR="004F715B" w:rsidRPr="004F715B">
        <w:rPr>
          <w:lang w:val="en-GB"/>
        </w:rPr>
        <w:t xml:space="preserve"> AD of 3,</w:t>
      </w:r>
      <w:r w:rsidR="00533926">
        <w:rPr>
          <w:lang w:val="en-GB"/>
        </w:rPr>
        <w:t xml:space="preserve"> </w:t>
      </w:r>
      <w:r w:rsidR="004F715B" w:rsidRPr="004F715B">
        <w:rPr>
          <w:lang w:val="en-GB"/>
        </w:rPr>
        <w:t>rising to 12 in homozygotes</w:t>
      </w:r>
      <w:r w:rsidR="00195113">
        <w:rPr>
          <w:lang w:val="en-GB"/>
        </w:rPr>
        <w:t>, c</w:t>
      </w:r>
      <w:r w:rsidR="00195113" w:rsidRPr="004F715B">
        <w:rPr>
          <w:lang w:val="en-GB"/>
        </w:rPr>
        <w:t>ompared to non-e4 carriers</w:t>
      </w:r>
      <w:r w:rsidR="004F715B" w:rsidRPr="00A776F8">
        <w:rPr>
          <w:vertAlign w:val="superscript"/>
          <w:lang w:val="en-GB"/>
        </w:rPr>
        <w:t>[7]</w:t>
      </w:r>
      <w:r w:rsidR="004F715B" w:rsidRPr="004F715B">
        <w:rPr>
          <w:lang w:val="en-GB"/>
        </w:rPr>
        <w:t>. Genome-wide association studies have</w:t>
      </w:r>
      <w:r w:rsidR="00533926">
        <w:rPr>
          <w:lang w:val="en-GB"/>
        </w:rPr>
        <w:t xml:space="preserve"> </w:t>
      </w:r>
      <w:r w:rsidR="004F715B" w:rsidRPr="004F715B">
        <w:rPr>
          <w:lang w:val="en-GB"/>
        </w:rPr>
        <w:t>identified more than 20 genetic risk factors, implicating</w:t>
      </w:r>
      <w:r w:rsidR="00533926">
        <w:rPr>
          <w:lang w:val="en-GB"/>
        </w:rPr>
        <w:t xml:space="preserve"> </w:t>
      </w:r>
      <w:r w:rsidR="004F715B" w:rsidRPr="004F715B">
        <w:rPr>
          <w:lang w:val="en-GB"/>
        </w:rPr>
        <w:t>inflammatory, cholesterol metabolism and endosomal</w:t>
      </w:r>
      <w:r w:rsidR="00533926">
        <w:rPr>
          <w:lang w:val="en-GB"/>
        </w:rPr>
        <w:t xml:space="preserve"> </w:t>
      </w:r>
      <w:r w:rsidR="004F715B" w:rsidRPr="004F715B">
        <w:rPr>
          <w:lang w:val="en-GB"/>
        </w:rPr>
        <w:t>vesicle recycling pathways</w:t>
      </w:r>
      <w:r w:rsidR="004F715B" w:rsidRPr="00E61883">
        <w:rPr>
          <w:vertAlign w:val="superscript"/>
          <w:lang w:val="en-GB"/>
        </w:rPr>
        <w:t>[8]</w:t>
      </w:r>
      <w:r w:rsidR="004F715B" w:rsidRPr="004F715B">
        <w:rPr>
          <w:lang w:val="en-GB"/>
        </w:rPr>
        <w:t>. In particular, microglial</w:t>
      </w:r>
      <w:r w:rsidR="00533926">
        <w:rPr>
          <w:lang w:val="en-GB"/>
        </w:rPr>
        <w:t xml:space="preserve"> </w:t>
      </w:r>
      <w:r w:rsidR="004F715B" w:rsidRPr="004F715B">
        <w:rPr>
          <w:lang w:val="en-GB"/>
        </w:rPr>
        <w:t xml:space="preserve">activation in response to amyloid deposition is now recognized to play a </w:t>
      </w:r>
      <w:r w:rsidR="004F715B" w:rsidRPr="00814B16">
        <w:rPr>
          <w:lang w:val="en-GB"/>
        </w:rPr>
        <w:t>key role</w:t>
      </w:r>
      <w:r w:rsidR="004F715B" w:rsidRPr="004F715B">
        <w:rPr>
          <w:lang w:val="en-GB"/>
        </w:rPr>
        <w:t xml:space="preserve"> in AD pathogenesis</w:t>
      </w:r>
      <w:r w:rsidR="0033316F" w:rsidRPr="00497038">
        <w:rPr>
          <w:vertAlign w:val="superscript"/>
          <w:lang w:val="en-GB"/>
        </w:rPr>
        <w:t>[</w:t>
      </w:r>
      <w:r w:rsidR="004F715B" w:rsidRPr="00497038">
        <w:rPr>
          <w:vertAlign w:val="superscript"/>
          <w:lang w:val="en-GB"/>
        </w:rPr>
        <w:t>9]</w:t>
      </w:r>
      <w:r w:rsidR="004F715B" w:rsidRPr="004F715B">
        <w:rPr>
          <w:lang w:val="en-GB"/>
        </w:rPr>
        <w:t xml:space="preserve">. </w:t>
      </w:r>
    </w:p>
    <w:p w:rsidR="004F715B" w:rsidRDefault="00814B16" w:rsidP="00D8270B">
      <w:pPr>
        <w:spacing w:after="0" w:line="276" w:lineRule="auto"/>
        <w:rPr>
          <w:lang w:val="en-GB"/>
        </w:rPr>
      </w:pPr>
      <w:r>
        <w:rPr>
          <w:lang w:val="en-GB"/>
        </w:rPr>
        <w:t>E</w:t>
      </w:r>
      <w:r w:rsidRPr="00814B16">
        <w:rPr>
          <w:lang w:val="en-GB"/>
        </w:rPr>
        <w:t xml:space="preserve">pidemiological studies show a protective factor </w:t>
      </w:r>
      <w:r w:rsidR="00AB4032" w:rsidRPr="00AB4032">
        <w:rPr>
          <w:lang w:val="en-GB"/>
        </w:rPr>
        <w:t xml:space="preserve">against Alzheimer's disease </w:t>
      </w:r>
      <w:r w:rsidRPr="00814B16">
        <w:rPr>
          <w:lang w:val="en-GB"/>
        </w:rPr>
        <w:t>of physical activity, while hypertension and diabetes increase this risk</w:t>
      </w:r>
      <w:r w:rsidR="004F715B" w:rsidRPr="002C4701">
        <w:rPr>
          <w:vertAlign w:val="superscript"/>
          <w:lang w:val="en-GB"/>
        </w:rPr>
        <w:t>[10]</w:t>
      </w:r>
      <w:r w:rsidR="004F715B" w:rsidRPr="004F715B">
        <w:rPr>
          <w:lang w:val="en-GB"/>
        </w:rPr>
        <w:t>. Obesity has long been considered a risk for dementia and AD, but this has recently been questioned</w:t>
      </w:r>
      <w:r w:rsidR="004F715B" w:rsidRPr="00950C2F">
        <w:rPr>
          <w:vertAlign w:val="superscript"/>
          <w:lang w:val="en-GB"/>
        </w:rPr>
        <w:t>[11]</w:t>
      </w:r>
      <w:r w:rsidR="004F715B" w:rsidRPr="004F715B">
        <w:rPr>
          <w:lang w:val="en-GB"/>
        </w:rPr>
        <w:t>.The mechanisms by which vascular risk factors might</w:t>
      </w:r>
      <w:r w:rsidR="00533926">
        <w:rPr>
          <w:lang w:val="en-GB"/>
        </w:rPr>
        <w:t xml:space="preserve"> </w:t>
      </w:r>
      <w:r w:rsidR="004F715B" w:rsidRPr="004F715B">
        <w:rPr>
          <w:lang w:val="en-GB"/>
        </w:rPr>
        <w:t>influence AD remain unclear. Vascular risk factors may increase the risk of</w:t>
      </w:r>
      <w:r w:rsidR="00533926">
        <w:rPr>
          <w:lang w:val="en-GB"/>
        </w:rPr>
        <w:t xml:space="preserve"> </w:t>
      </w:r>
      <w:r w:rsidR="004F715B" w:rsidRPr="004F715B">
        <w:rPr>
          <w:lang w:val="en-GB"/>
        </w:rPr>
        <w:t>clinical AD through a double-hit with superimposed</w:t>
      </w:r>
      <w:r w:rsidR="00533926">
        <w:rPr>
          <w:lang w:val="en-GB"/>
        </w:rPr>
        <w:t xml:space="preserve"> </w:t>
      </w:r>
      <w:r w:rsidR="004F715B" w:rsidRPr="004F715B">
        <w:rPr>
          <w:lang w:val="en-GB"/>
        </w:rPr>
        <w:t>cerebrovascular damage, or vascular damage might</w:t>
      </w:r>
      <w:r w:rsidR="00533926">
        <w:rPr>
          <w:lang w:val="en-GB"/>
        </w:rPr>
        <w:t xml:space="preserve"> </w:t>
      </w:r>
      <w:r w:rsidR="004F715B" w:rsidRPr="004F715B">
        <w:rPr>
          <w:lang w:val="en-GB"/>
        </w:rPr>
        <w:t>influence the development of AD pathology directly.</w:t>
      </w:r>
    </w:p>
    <w:p w:rsidR="004F715B" w:rsidRDefault="004F715B" w:rsidP="00D8270B">
      <w:pPr>
        <w:spacing w:after="0" w:line="276" w:lineRule="auto"/>
        <w:rPr>
          <w:lang w:val="en-GB"/>
        </w:rPr>
      </w:pPr>
    </w:p>
    <w:p w:rsidR="00D525AC" w:rsidRDefault="00D525AC" w:rsidP="00D8270B">
      <w:pPr>
        <w:spacing w:after="0" w:line="276" w:lineRule="auto"/>
        <w:rPr>
          <w:lang w:val="en-GB"/>
        </w:rPr>
      </w:pPr>
    </w:p>
    <w:p w:rsidR="0094681C" w:rsidRDefault="0094681C" w:rsidP="00D8270B">
      <w:pPr>
        <w:spacing w:after="0" w:line="276" w:lineRule="auto"/>
        <w:rPr>
          <w:lang w:val="en-GB"/>
        </w:rPr>
      </w:pPr>
    </w:p>
    <w:p w:rsidR="004F715B" w:rsidRPr="004F715B" w:rsidRDefault="004F715B" w:rsidP="00D8270B">
      <w:pPr>
        <w:spacing w:after="0" w:line="276" w:lineRule="auto"/>
        <w:rPr>
          <w:b/>
          <w:bCs/>
          <w:lang w:val="en-GB"/>
        </w:rPr>
      </w:pPr>
      <w:r w:rsidRPr="004F715B">
        <w:rPr>
          <w:b/>
          <w:bCs/>
          <w:lang w:val="en-GB"/>
        </w:rPr>
        <w:lastRenderedPageBreak/>
        <w:t>Pathology</w:t>
      </w:r>
    </w:p>
    <w:p w:rsidR="004F715B" w:rsidRPr="004F715B" w:rsidRDefault="00492130" w:rsidP="00D8270B">
      <w:pPr>
        <w:spacing w:after="0" w:line="276" w:lineRule="auto"/>
        <w:rPr>
          <w:lang w:val="en-GB"/>
        </w:rPr>
      </w:pPr>
      <w:r w:rsidRPr="00492130">
        <w:rPr>
          <w:lang w:val="en-GB"/>
        </w:rPr>
        <w:t xml:space="preserve">The main feature of Alzheimer's disease </w:t>
      </w:r>
      <w:r w:rsidR="00A302CF">
        <w:rPr>
          <w:lang w:val="en-GB"/>
        </w:rPr>
        <w:t>are</w:t>
      </w:r>
      <w:r w:rsidRPr="00492130">
        <w:rPr>
          <w:lang w:val="en-GB"/>
        </w:rPr>
        <w:t xml:space="preserve"> amyloid plaques and neurofibrillary tangles</w:t>
      </w:r>
      <w:r w:rsidR="00533926">
        <w:rPr>
          <w:lang w:val="en-GB"/>
        </w:rPr>
        <w:t xml:space="preserve"> </w:t>
      </w:r>
      <w:r w:rsidR="004F715B" w:rsidRPr="00517C04">
        <w:rPr>
          <w:lang w:val="en-GB"/>
        </w:rPr>
        <w:t>(NFTs).</w:t>
      </w:r>
    </w:p>
    <w:p w:rsidR="004F715B" w:rsidRPr="004F715B" w:rsidRDefault="00492130" w:rsidP="00D8270B">
      <w:pPr>
        <w:spacing w:after="0" w:line="276" w:lineRule="auto"/>
        <w:rPr>
          <w:lang w:val="en-GB"/>
        </w:rPr>
      </w:pPr>
      <w:r>
        <w:rPr>
          <w:lang w:val="en-GB"/>
        </w:rPr>
        <w:t>T</w:t>
      </w:r>
      <w:r w:rsidRPr="00492130">
        <w:rPr>
          <w:lang w:val="en-GB"/>
        </w:rPr>
        <w:t>hese alterations produce neurodegenera</w:t>
      </w:r>
      <w:r>
        <w:rPr>
          <w:lang w:val="en-GB"/>
        </w:rPr>
        <w:t xml:space="preserve">tion </w:t>
      </w:r>
      <w:r w:rsidRPr="00492130">
        <w:rPr>
          <w:lang w:val="en-GB"/>
        </w:rPr>
        <w:t>with loss of neurocytes</w:t>
      </w:r>
      <w:r>
        <w:rPr>
          <w:lang w:val="en-GB"/>
        </w:rPr>
        <w:t xml:space="preserve">, </w:t>
      </w:r>
      <w:r w:rsidR="004F715B" w:rsidRPr="004F715B">
        <w:rPr>
          <w:lang w:val="en-GB"/>
        </w:rPr>
        <w:t>leading to macroscopic atrophy.</w:t>
      </w:r>
    </w:p>
    <w:p w:rsidR="004F715B" w:rsidRPr="004F715B" w:rsidRDefault="00C122BF" w:rsidP="00D8270B">
      <w:pPr>
        <w:spacing w:after="0" w:line="276" w:lineRule="auto"/>
        <w:rPr>
          <w:lang w:val="en-GB"/>
        </w:rPr>
      </w:pPr>
      <w:r w:rsidRPr="00C122BF">
        <w:rPr>
          <w:lang w:val="en-GB"/>
        </w:rPr>
        <w:t xml:space="preserve">Mixed forms of dementia develop </w:t>
      </w:r>
      <w:r w:rsidR="009371E4" w:rsidRPr="00C122BF">
        <w:rPr>
          <w:lang w:val="en-GB"/>
        </w:rPr>
        <w:t>particularly</w:t>
      </w:r>
      <w:r w:rsidRPr="00C122BF">
        <w:rPr>
          <w:lang w:val="en-GB"/>
        </w:rPr>
        <w:t xml:space="preserve"> in older pa</w:t>
      </w:r>
      <w:r w:rsidR="007E6F89">
        <w:rPr>
          <w:lang w:val="en-GB"/>
        </w:rPr>
        <w:t>ti</w:t>
      </w:r>
      <w:r w:rsidRPr="00C122BF">
        <w:rPr>
          <w:lang w:val="en-GB"/>
        </w:rPr>
        <w:t>ents and include vascular disease and Lewy bodies</w:t>
      </w:r>
      <w:r w:rsidR="004F715B" w:rsidRPr="004B276D">
        <w:rPr>
          <w:vertAlign w:val="superscript"/>
          <w:lang w:val="en-GB"/>
        </w:rPr>
        <w:t>[13]</w:t>
      </w:r>
      <w:r w:rsidR="004F715B" w:rsidRPr="004F715B">
        <w:rPr>
          <w:lang w:val="en-GB"/>
        </w:rPr>
        <w:t xml:space="preserve">. </w:t>
      </w:r>
      <w:r w:rsidR="00517C04" w:rsidRPr="00517C04">
        <w:rPr>
          <w:lang w:val="en-GB"/>
        </w:rPr>
        <w:t xml:space="preserve">Lewy bodies </w:t>
      </w:r>
      <w:r w:rsidR="00C50D0B">
        <w:rPr>
          <w:lang w:val="en-GB"/>
        </w:rPr>
        <w:t>can be</w:t>
      </w:r>
      <w:r w:rsidR="00517C04" w:rsidRPr="00517C04">
        <w:rPr>
          <w:lang w:val="en-GB"/>
        </w:rPr>
        <w:t xml:space="preserve"> also found in familiar forms</w:t>
      </w:r>
      <w:r w:rsidR="004F715B" w:rsidRPr="007D7458">
        <w:rPr>
          <w:vertAlign w:val="superscript"/>
          <w:lang w:val="en-GB"/>
        </w:rPr>
        <w:t>[14]</w:t>
      </w:r>
      <w:r w:rsidR="004F715B" w:rsidRPr="004F715B">
        <w:rPr>
          <w:lang w:val="en-GB"/>
        </w:rPr>
        <w:t>.</w:t>
      </w:r>
    </w:p>
    <w:p w:rsidR="004F715B" w:rsidRPr="004F715B" w:rsidRDefault="00517C04" w:rsidP="00D8270B">
      <w:pPr>
        <w:spacing w:after="0" w:line="276" w:lineRule="auto"/>
        <w:rPr>
          <w:lang w:val="en-GB"/>
        </w:rPr>
      </w:pPr>
      <w:r>
        <w:rPr>
          <w:lang w:val="en-GB"/>
        </w:rPr>
        <w:t>A</w:t>
      </w:r>
      <w:r w:rsidRPr="00517C04">
        <w:rPr>
          <w:lang w:val="en-GB"/>
        </w:rPr>
        <w:t>myloid plaques develop as a result of altered metabolism of the APP protein, which at some point in life onward, for unknown reasons, is metabolized poorly.</w:t>
      </w:r>
      <w:r w:rsidR="00533926">
        <w:rPr>
          <w:lang w:val="en-GB"/>
        </w:rPr>
        <w:t xml:space="preserve"> </w:t>
      </w:r>
      <w:r w:rsidR="004F715B" w:rsidRPr="004F715B">
        <w:rPr>
          <w:lang w:val="en-GB"/>
        </w:rPr>
        <w:t>Neurofibrillary tangles are primarily composed of</w:t>
      </w:r>
      <w:r w:rsidR="00533926">
        <w:rPr>
          <w:lang w:val="en-GB"/>
        </w:rPr>
        <w:t xml:space="preserve"> </w:t>
      </w:r>
      <w:r w:rsidR="004F715B" w:rsidRPr="004F715B">
        <w:rPr>
          <w:lang w:val="en-GB"/>
        </w:rPr>
        <w:t>paired helical filaments consisting of hyperphosphory</w:t>
      </w:r>
      <w:r>
        <w:rPr>
          <w:lang w:val="en-GB"/>
        </w:rPr>
        <w:t>l</w:t>
      </w:r>
      <w:r w:rsidR="004F715B" w:rsidRPr="004F715B">
        <w:rPr>
          <w:lang w:val="en-GB"/>
        </w:rPr>
        <w:t>ated tau. Tau pathology typically begins in the allocortex of the medial temporal lobe before spreading to the associative</w:t>
      </w:r>
      <w:r w:rsidR="00533926">
        <w:rPr>
          <w:lang w:val="en-GB"/>
        </w:rPr>
        <w:t xml:space="preserve"> </w:t>
      </w:r>
      <w:r w:rsidR="004F715B" w:rsidRPr="004F715B">
        <w:rPr>
          <w:lang w:val="en-GB"/>
        </w:rPr>
        <w:t>isocortex. Primary sensory, motor and visual areas</w:t>
      </w:r>
      <w:r w:rsidR="00533926">
        <w:rPr>
          <w:lang w:val="en-GB"/>
        </w:rPr>
        <w:t xml:space="preserve"> </w:t>
      </w:r>
      <w:r w:rsidR="004F715B" w:rsidRPr="004F715B">
        <w:rPr>
          <w:lang w:val="en-GB"/>
        </w:rPr>
        <w:t xml:space="preserve">tend to be relatively spared. </w:t>
      </w:r>
      <w:r w:rsidR="00A01E83">
        <w:rPr>
          <w:lang w:val="en-GB"/>
        </w:rPr>
        <w:t>N</w:t>
      </w:r>
      <w:r w:rsidR="00A01E83" w:rsidRPr="00A01E83">
        <w:rPr>
          <w:lang w:val="en-GB"/>
        </w:rPr>
        <w:t>eurocyte loss parallels tangle formation, and the severity of Alzheimer's disease correlates better with NFT pathology</w:t>
      </w:r>
      <w:r w:rsidR="004F715B" w:rsidRPr="002F3186">
        <w:rPr>
          <w:vertAlign w:val="superscript"/>
          <w:lang w:val="en-GB"/>
        </w:rPr>
        <w:t>[12]</w:t>
      </w:r>
      <w:r w:rsidR="004F715B" w:rsidRPr="004F715B">
        <w:rPr>
          <w:lang w:val="en-GB"/>
        </w:rPr>
        <w:t>, whilst b</w:t>
      </w:r>
      <w:r w:rsidR="00DC0109">
        <w:rPr>
          <w:lang w:val="en-GB"/>
        </w:rPr>
        <w:t>eta-</w:t>
      </w:r>
      <w:r w:rsidR="004F715B" w:rsidRPr="004F715B">
        <w:rPr>
          <w:lang w:val="en-GB"/>
        </w:rPr>
        <w:t>amyloid</w:t>
      </w:r>
      <w:r w:rsidR="00533926">
        <w:rPr>
          <w:lang w:val="en-GB"/>
        </w:rPr>
        <w:t xml:space="preserve"> </w:t>
      </w:r>
      <w:r w:rsidR="004F715B" w:rsidRPr="004F715B">
        <w:rPr>
          <w:lang w:val="en-GB"/>
        </w:rPr>
        <w:t>pathology reaches a plateau early in the symptomatic</w:t>
      </w:r>
      <w:r w:rsidR="00533926">
        <w:rPr>
          <w:lang w:val="en-GB"/>
        </w:rPr>
        <w:t xml:space="preserve"> </w:t>
      </w:r>
      <w:r w:rsidR="004F715B" w:rsidRPr="004F715B">
        <w:rPr>
          <w:lang w:val="en-GB"/>
        </w:rPr>
        <w:t>phase of the disease</w:t>
      </w:r>
      <w:r w:rsidR="004F715B" w:rsidRPr="002F3186">
        <w:rPr>
          <w:vertAlign w:val="superscript"/>
          <w:lang w:val="en-GB"/>
        </w:rPr>
        <w:t>[1</w:t>
      </w:r>
      <w:r w:rsidR="00E94D4D">
        <w:rPr>
          <w:vertAlign w:val="superscript"/>
          <w:lang w:val="en-GB"/>
        </w:rPr>
        <w:t>5</w:t>
      </w:r>
      <w:r w:rsidR="004F715B" w:rsidRPr="002F3186">
        <w:rPr>
          <w:vertAlign w:val="superscript"/>
          <w:lang w:val="en-GB"/>
        </w:rPr>
        <w:t>]</w:t>
      </w:r>
      <w:r w:rsidR="004F715B" w:rsidRPr="004F715B">
        <w:rPr>
          <w:lang w:val="en-GB"/>
        </w:rPr>
        <w:t>.</w:t>
      </w:r>
    </w:p>
    <w:p w:rsidR="004E79D4" w:rsidRDefault="004E79D4" w:rsidP="00D8270B">
      <w:pPr>
        <w:spacing w:after="0" w:line="276" w:lineRule="auto"/>
        <w:rPr>
          <w:lang w:val="en-GB"/>
        </w:rPr>
      </w:pPr>
    </w:p>
    <w:p w:rsidR="00C55E4C" w:rsidRDefault="00C55E4C" w:rsidP="00D8270B">
      <w:pPr>
        <w:spacing w:after="0" w:line="276" w:lineRule="auto"/>
        <w:rPr>
          <w:lang w:val="en-GB"/>
        </w:rPr>
      </w:pPr>
    </w:p>
    <w:p w:rsidR="00640648" w:rsidRDefault="00640648" w:rsidP="00D8270B">
      <w:pPr>
        <w:spacing w:after="0" w:line="276" w:lineRule="auto"/>
        <w:rPr>
          <w:lang w:val="en-GB"/>
        </w:rPr>
      </w:pPr>
    </w:p>
    <w:p w:rsidR="004E79D4" w:rsidRDefault="004E79D4" w:rsidP="00D8270B">
      <w:pPr>
        <w:spacing w:after="0" w:line="276" w:lineRule="auto"/>
        <w:rPr>
          <w:b/>
          <w:bCs/>
          <w:lang w:val="en-GB"/>
        </w:rPr>
      </w:pPr>
      <w:r w:rsidRPr="004E79D4">
        <w:rPr>
          <w:b/>
          <w:bCs/>
          <w:lang w:val="en-GB"/>
        </w:rPr>
        <w:t>Pathogenesis</w:t>
      </w:r>
    </w:p>
    <w:p w:rsidR="004E79D4" w:rsidRPr="004E79D4" w:rsidRDefault="00071994" w:rsidP="00E0265B">
      <w:pPr>
        <w:spacing w:after="0" w:line="276" w:lineRule="auto"/>
        <w:rPr>
          <w:lang w:val="en-GB"/>
        </w:rPr>
      </w:pPr>
      <w:r w:rsidRPr="00071994">
        <w:rPr>
          <w:lang w:val="en-GB"/>
        </w:rPr>
        <w:t>The amyloid hypothesis suggests that the pathogenesis of Alzheimer's disease is related to the accumulation of pathological forms produced by sequential cleavage of the APP protein</w:t>
      </w:r>
      <w:r w:rsidR="004E79D4" w:rsidRPr="004E79D4">
        <w:rPr>
          <w:lang w:val="en-GB"/>
        </w:rPr>
        <w:t>, driven</w:t>
      </w:r>
      <w:r w:rsidR="00533926">
        <w:rPr>
          <w:lang w:val="en-GB"/>
        </w:rPr>
        <w:t xml:space="preserve"> </w:t>
      </w:r>
      <w:r w:rsidR="004E79D4" w:rsidRPr="004E79D4">
        <w:rPr>
          <w:lang w:val="en-GB"/>
        </w:rPr>
        <w:t xml:space="preserve">through an imbalance between </w:t>
      </w:r>
      <w:r>
        <w:rPr>
          <w:lang w:val="en-GB"/>
        </w:rPr>
        <w:t>the</w:t>
      </w:r>
      <w:r w:rsidR="004E79D4" w:rsidRPr="004E79D4">
        <w:rPr>
          <w:lang w:val="en-GB"/>
        </w:rPr>
        <w:t xml:space="preserve"> production and </w:t>
      </w:r>
      <w:r>
        <w:rPr>
          <w:lang w:val="en-GB"/>
        </w:rPr>
        <w:t xml:space="preserve">its </w:t>
      </w:r>
      <w:r w:rsidR="004E79D4" w:rsidRPr="004E79D4">
        <w:rPr>
          <w:lang w:val="en-GB"/>
        </w:rPr>
        <w:t>clearance. The formation of NFTs and subsequent</w:t>
      </w:r>
      <w:r w:rsidR="00533926">
        <w:rPr>
          <w:lang w:val="en-GB"/>
        </w:rPr>
        <w:t xml:space="preserve"> </w:t>
      </w:r>
      <w:r w:rsidR="004E79D4" w:rsidRPr="004E79D4">
        <w:rPr>
          <w:lang w:val="en-GB"/>
        </w:rPr>
        <w:t>neuronal dysfunction and neurodegeneration, perhaps</w:t>
      </w:r>
      <w:r w:rsidR="00533926">
        <w:rPr>
          <w:lang w:val="en-GB"/>
        </w:rPr>
        <w:t xml:space="preserve"> </w:t>
      </w:r>
      <w:r w:rsidR="004E79D4" w:rsidRPr="004E79D4">
        <w:rPr>
          <w:lang w:val="en-GB"/>
        </w:rPr>
        <w:t>mediated via inflammation, are thought to be downstream processes</w:t>
      </w:r>
      <w:r w:rsidR="004E79D4" w:rsidRPr="00C373A5">
        <w:rPr>
          <w:vertAlign w:val="superscript"/>
          <w:lang w:val="en-GB"/>
        </w:rPr>
        <w:t>[</w:t>
      </w:r>
      <w:r w:rsidR="00E94D4D">
        <w:rPr>
          <w:vertAlign w:val="superscript"/>
          <w:lang w:val="en-GB"/>
        </w:rPr>
        <w:t>19</w:t>
      </w:r>
      <w:r w:rsidR="004E79D4" w:rsidRPr="00C373A5">
        <w:rPr>
          <w:vertAlign w:val="superscript"/>
          <w:lang w:val="en-GB"/>
        </w:rPr>
        <w:t>]</w:t>
      </w:r>
      <w:r w:rsidR="004E79D4" w:rsidRPr="004E79D4">
        <w:rPr>
          <w:lang w:val="en-GB"/>
        </w:rPr>
        <w:t xml:space="preserve">. </w:t>
      </w:r>
      <w:r w:rsidR="000641A6">
        <w:rPr>
          <w:lang w:val="en-GB"/>
        </w:rPr>
        <w:t>I</w:t>
      </w:r>
      <w:r w:rsidR="000641A6" w:rsidRPr="000641A6">
        <w:rPr>
          <w:lang w:val="en-GB"/>
        </w:rPr>
        <w:t>n support of this theory, it has been observed that in familial forms all mutations are linked in the generation or processing of pathological amyloid</w:t>
      </w:r>
      <w:r w:rsidR="004E79D4" w:rsidRPr="00942412">
        <w:rPr>
          <w:vertAlign w:val="superscript"/>
          <w:lang w:val="en-GB"/>
        </w:rPr>
        <w:t>[2</w:t>
      </w:r>
      <w:r w:rsidR="00E94D4D">
        <w:rPr>
          <w:vertAlign w:val="superscript"/>
          <w:lang w:val="en-GB"/>
        </w:rPr>
        <w:t>0</w:t>
      </w:r>
      <w:r w:rsidR="004E79D4" w:rsidRPr="00942412">
        <w:rPr>
          <w:vertAlign w:val="superscript"/>
          <w:lang w:val="en-GB"/>
        </w:rPr>
        <w:t>]</w:t>
      </w:r>
      <w:r w:rsidR="004E79D4" w:rsidRPr="004E79D4">
        <w:rPr>
          <w:lang w:val="en-GB"/>
        </w:rPr>
        <w:t xml:space="preserve">. </w:t>
      </w:r>
    </w:p>
    <w:p w:rsidR="00D14758" w:rsidRDefault="00126F86" w:rsidP="00D8270B">
      <w:pPr>
        <w:spacing w:after="0" w:line="276" w:lineRule="auto"/>
        <w:rPr>
          <w:lang w:val="en-GB"/>
        </w:rPr>
      </w:pPr>
      <w:r>
        <w:rPr>
          <w:lang w:val="en-GB"/>
        </w:rPr>
        <w:t>A</w:t>
      </w:r>
      <w:r w:rsidRPr="00C301A6">
        <w:rPr>
          <w:lang w:val="en-GB"/>
        </w:rPr>
        <w:t xml:space="preserve"> few</w:t>
      </w:r>
      <w:r w:rsidR="00533926">
        <w:rPr>
          <w:lang w:val="en-GB"/>
        </w:rPr>
        <w:t xml:space="preserve"> </w:t>
      </w:r>
      <w:r w:rsidR="005A0BBF" w:rsidRPr="00C301A6">
        <w:rPr>
          <w:lang w:val="en-GB"/>
        </w:rPr>
        <w:t>evidence</w:t>
      </w:r>
      <w:r w:rsidR="00C301A6" w:rsidRPr="00C301A6">
        <w:rPr>
          <w:lang w:val="en-GB"/>
        </w:rPr>
        <w:t xml:space="preserve"> suggest that the innate immune system may play a critical role in the pathogenesis of Alzheimer's disease. </w:t>
      </w:r>
      <w:r w:rsidR="004E79D4" w:rsidRPr="004E79D4">
        <w:rPr>
          <w:lang w:val="en-GB"/>
        </w:rPr>
        <w:t>Clinical studies using PET</w:t>
      </w:r>
      <w:r w:rsidR="00533926">
        <w:rPr>
          <w:lang w:val="en-GB"/>
        </w:rPr>
        <w:t xml:space="preserve"> </w:t>
      </w:r>
      <w:r w:rsidR="000455B1" w:rsidRPr="000455B1">
        <w:rPr>
          <w:lang w:val="en-GB"/>
        </w:rPr>
        <w:t>ligands which bind to activated microglia provide</w:t>
      </w:r>
      <w:r w:rsidR="00533926">
        <w:rPr>
          <w:lang w:val="en-GB"/>
        </w:rPr>
        <w:t xml:space="preserve"> </w:t>
      </w:r>
      <w:r w:rsidR="000455B1" w:rsidRPr="000455B1">
        <w:rPr>
          <w:lang w:val="en-GB"/>
        </w:rPr>
        <w:t>further in vivo evidence for a role of neuroinflammation</w:t>
      </w:r>
      <w:r w:rsidR="00533926">
        <w:rPr>
          <w:lang w:val="en-GB"/>
        </w:rPr>
        <w:t xml:space="preserve"> </w:t>
      </w:r>
      <w:r w:rsidR="000455B1" w:rsidRPr="000455B1">
        <w:rPr>
          <w:lang w:val="en-GB"/>
        </w:rPr>
        <w:t>in AD</w:t>
      </w:r>
      <w:r w:rsidR="000455B1" w:rsidRPr="00CC1A1E">
        <w:rPr>
          <w:vertAlign w:val="superscript"/>
          <w:lang w:val="en-GB"/>
        </w:rPr>
        <w:t>[</w:t>
      </w:r>
      <w:r w:rsidR="008B148E">
        <w:rPr>
          <w:vertAlign w:val="superscript"/>
          <w:lang w:val="en-GB"/>
        </w:rPr>
        <w:t>2</w:t>
      </w:r>
      <w:r w:rsidR="00F11C54">
        <w:rPr>
          <w:vertAlign w:val="superscript"/>
          <w:lang w:val="en-GB"/>
        </w:rPr>
        <w:t>1</w:t>
      </w:r>
      <w:r w:rsidR="00E94D4D">
        <w:rPr>
          <w:vertAlign w:val="superscript"/>
          <w:lang w:val="en-GB"/>
        </w:rPr>
        <w:t>-</w:t>
      </w:r>
      <w:r w:rsidR="008B148E">
        <w:rPr>
          <w:vertAlign w:val="superscript"/>
          <w:lang w:val="en-GB"/>
        </w:rPr>
        <w:t>2</w:t>
      </w:r>
      <w:r w:rsidR="00F11C54">
        <w:rPr>
          <w:vertAlign w:val="superscript"/>
          <w:lang w:val="en-GB"/>
        </w:rPr>
        <w:t>2</w:t>
      </w:r>
      <w:r w:rsidR="000455B1" w:rsidRPr="00CC1A1E">
        <w:rPr>
          <w:vertAlign w:val="superscript"/>
          <w:lang w:val="en-GB"/>
        </w:rPr>
        <w:t>]</w:t>
      </w:r>
      <w:r w:rsidR="000455B1" w:rsidRPr="000455B1">
        <w:rPr>
          <w:lang w:val="en-GB"/>
        </w:rPr>
        <w:t xml:space="preserve">. </w:t>
      </w:r>
      <w:r w:rsidR="00195988" w:rsidRPr="00195988">
        <w:rPr>
          <w:lang w:val="en-GB"/>
        </w:rPr>
        <w:t>Whether the role of neuroinflammation is protective or harmful</w:t>
      </w:r>
      <w:r w:rsidR="00C756E1">
        <w:rPr>
          <w:lang w:val="en-GB"/>
        </w:rPr>
        <w:t>,</w:t>
      </w:r>
      <w:r w:rsidR="00195988" w:rsidRPr="00195988">
        <w:rPr>
          <w:lang w:val="en-GB"/>
        </w:rPr>
        <w:t xml:space="preserve"> or both</w:t>
      </w:r>
      <w:r w:rsidR="00C756E1">
        <w:rPr>
          <w:lang w:val="en-GB"/>
        </w:rPr>
        <w:t>,</w:t>
      </w:r>
      <w:r w:rsidR="00195988" w:rsidRPr="00195988">
        <w:rPr>
          <w:lang w:val="en-GB"/>
        </w:rPr>
        <w:t xml:space="preserve"> remains to be clarified.</w:t>
      </w:r>
    </w:p>
    <w:p w:rsidR="00E05327" w:rsidRDefault="00E05327" w:rsidP="00D8270B">
      <w:pPr>
        <w:spacing w:after="0" w:line="276" w:lineRule="auto"/>
        <w:rPr>
          <w:lang w:val="en-GB"/>
        </w:rPr>
      </w:pPr>
    </w:p>
    <w:p w:rsidR="00E1105C" w:rsidRDefault="00E1105C" w:rsidP="00D8270B">
      <w:pPr>
        <w:spacing w:after="0" w:line="276" w:lineRule="auto"/>
        <w:rPr>
          <w:lang w:val="en-GB"/>
        </w:rPr>
      </w:pPr>
    </w:p>
    <w:p w:rsidR="00E05327" w:rsidRDefault="00E05327" w:rsidP="00D8270B">
      <w:pPr>
        <w:spacing w:after="0" w:line="276" w:lineRule="auto"/>
        <w:rPr>
          <w:lang w:val="en-GB"/>
        </w:rPr>
      </w:pPr>
    </w:p>
    <w:p w:rsidR="00D14758" w:rsidRDefault="00D14758" w:rsidP="00D8270B">
      <w:pPr>
        <w:spacing w:after="0" w:line="276" w:lineRule="auto"/>
        <w:rPr>
          <w:b/>
          <w:bCs/>
          <w:lang w:val="en-GB"/>
        </w:rPr>
      </w:pPr>
      <w:r w:rsidRPr="00D14758">
        <w:rPr>
          <w:b/>
          <w:bCs/>
          <w:lang w:val="en-GB"/>
        </w:rPr>
        <w:t>Clinical features</w:t>
      </w:r>
    </w:p>
    <w:p w:rsidR="00914A76" w:rsidRPr="00914A76" w:rsidRDefault="00914A76" w:rsidP="00D8270B">
      <w:pPr>
        <w:spacing w:after="0" w:line="276" w:lineRule="auto"/>
        <w:rPr>
          <w:lang w:val="en-GB"/>
        </w:rPr>
      </w:pPr>
      <w:r w:rsidRPr="00914A76">
        <w:rPr>
          <w:lang w:val="en-GB"/>
        </w:rPr>
        <w:t xml:space="preserve">The </w:t>
      </w:r>
      <w:r w:rsidR="00546B7D">
        <w:rPr>
          <w:lang w:val="en-GB"/>
        </w:rPr>
        <w:t>most common</w:t>
      </w:r>
      <w:r w:rsidRPr="00914A76">
        <w:rPr>
          <w:lang w:val="en-GB"/>
        </w:rPr>
        <w:t xml:space="preserve"> presentation of AD is of an elderly</w:t>
      </w:r>
      <w:r w:rsidR="00533926">
        <w:rPr>
          <w:lang w:val="en-GB"/>
        </w:rPr>
        <w:t xml:space="preserve"> </w:t>
      </w:r>
      <w:r w:rsidRPr="00914A76">
        <w:rPr>
          <w:lang w:val="en-GB"/>
        </w:rPr>
        <w:t xml:space="preserve">individual </w:t>
      </w:r>
      <w:r w:rsidR="003827BC">
        <w:rPr>
          <w:lang w:val="en-GB"/>
        </w:rPr>
        <w:t xml:space="preserve">that develops </w:t>
      </w:r>
      <w:r w:rsidRPr="002623EA">
        <w:rPr>
          <w:lang w:val="en-GB"/>
        </w:rPr>
        <w:t xml:space="preserve">progressive problems centred on episodic memory. </w:t>
      </w:r>
      <w:r w:rsidRPr="00914A76">
        <w:rPr>
          <w:lang w:val="en-GB"/>
        </w:rPr>
        <w:t>As the condition progresses, cognitive difficulties become more profound</w:t>
      </w:r>
      <w:r w:rsidR="00533926">
        <w:rPr>
          <w:lang w:val="en-GB"/>
        </w:rPr>
        <w:t xml:space="preserve"> </w:t>
      </w:r>
      <w:r w:rsidRPr="00914A76">
        <w:rPr>
          <w:lang w:val="en-GB"/>
        </w:rPr>
        <w:t xml:space="preserve">and widespread </w:t>
      </w:r>
      <w:r w:rsidR="00E92605">
        <w:rPr>
          <w:lang w:val="en-GB"/>
        </w:rPr>
        <w:t>and</w:t>
      </w:r>
      <w:r w:rsidRPr="00914A76">
        <w:rPr>
          <w:lang w:val="en-GB"/>
        </w:rPr>
        <w:t xml:space="preserve"> interfere with activities of</w:t>
      </w:r>
      <w:r w:rsidR="00533926">
        <w:rPr>
          <w:lang w:val="en-GB"/>
        </w:rPr>
        <w:t xml:space="preserve"> </w:t>
      </w:r>
      <w:r w:rsidRPr="00914A76">
        <w:rPr>
          <w:lang w:val="en-GB"/>
        </w:rPr>
        <w:t>daily living; at this stage a patient can be diagnosed</w:t>
      </w:r>
      <w:r w:rsidR="00533926">
        <w:rPr>
          <w:lang w:val="en-GB"/>
        </w:rPr>
        <w:t xml:space="preserve"> </w:t>
      </w:r>
      <w:r w:rsidRPr="00914A76">
        <w:rPr>
          <w:lang w:val="en-GB"/>
        </w:rPr>
        <w:t>with AD dementia</w:t>
      </w:r>
      <w:r w:rsidR="00E1105C">
        <w:rPr>
          <w:lang w:val="en-GB"/>
        </w:rPr>
        <w:t xml:space="preserve">. </w:t>
      </w:r>
      <w:r w:rsidR="00E1105C" w:rsidRPr="00E1105C">
        <w:rPr>
          <w:lang w:val="en-GB"/>
        </w:rPr>
        <w:t>Progressing with the disease, patients become increasingly dependent on the caregiver, and at the last stage may experience behavioral changes, hallucinations, and seizures.</w:t>
      </w:r>
      <w:r w:rsidR="00533926">
        <w:rPr>
          <w:lang w:val="en-GB"/>
        </w:rPr>
        <w:t xml:space="preserve"> </w:t>
      </w:r>
      <w:r w:rsidRPr="00914A76">
        <w:rPr>
          <w:lang w:val="en-GB"/>
        </w:rPr>
        <w:t xml:space="preserve">Death </w:t>
      </w:r>
      <w:r w:rsidR="00E1105C">
        <w:rPr>
          <w:lang w:val="en-GB"/>
        </w:rPr>
        <w:t>manifest</w:t>
      </w:r>
      <w:r w:rsidRPr="00914A76">
        <w:rPr>
          <w:lang w:val="en-GB"/>
        </w:rPr>
        <w:t xml:space="preserve"> on average 8.5 years from presentation</w:t>
      </w:r>
      <w:r w:rsidRPr="00E21C9E">
        <w:rPr>
          <w:vertAlign w:val="superscript"/>
          <w:lang w:val="en-GB"/>
        </w:rPr>
        <w:t>[</w:t>
      </w:r>
      <w:r w:rsidR="008B148E" w:rsidRPr="00D0210F">
        <w:rPr>
          <w:vertAlign w:val="superscript"/>
          <w:lang w:val="en-GB"/>
        </w:rPr>
        <w:t>2</w:t>
      </w:r>
      <w:r w:rsidR="00397B4E" w:rsidRPr="00D0210F">
        <w:rPr>
          <w:vertAlign w:val="superscript"/>
          <w:lang w:val="en-GB"/>
        </w:rPr>
        <w:t>3</w:t>
      </w:r>
      <w:r w:rsidRPr="00E21C9E">
        <w:rPr>
          <w:vertAlign w:val="superscript"/>
          <w:lang w:val="en-GB"/>
        </w:rPr>
        <w:t>]</w:t>
      </w:r>
      <w:r w:rsidRPr="00914A76">
        <w:rPr>
          <w:lang w:val="en-GB"/>
        </w:rPr>
        <w:t>.</w:t>
      </w:r>
    </w:p>
    <w:p w:rsidR="00D14758" w:rsidRPr="00914A76" w:rsidRDefault="00D14758" w:rsidP="00D8270B">
      <w:pPr>
        <w:spacing w:after="0" w:line="276" w:lineRule="auto"/>
        <w:rPr>
          <w:lang w:val="en-GB"/>
        </w:rPr>
      </w:pPr>
    </w:p>
    <w:p w:rsidR="000455B1" w:rsidRDefault="000455B1" w:rsidP="00D8270B">
      <w:pPr>
        <w:spacing w:after="0" w:line="276" w:lineRule="auto"/>
        <w:rPr>
          <w:b/>
          <w:bCs/>
          <w:lang w:val="en-GB"/>
        </w:rPr>
      </w:pPr>
    </w:p>
    <w:p w:rsidR="00E1105C" w:rsidRDefault="00E1105C" w:rsidP="00D8270B">
      <w:pPr>
        <w:spacing w:after="0" w:line="276" w:lineRule="auto"/>
        <w:rPr>
          <w:b/>
          <w:bCs/>
          <w:lang w:val="en-GB"/>
        </w:rPr>
      </w:pPr>
    </w:p>
    <w:p w:rsidR="007D7FFD" w:rsidRPr="007D7FFD" w:rsidRDefault="007D7FFD" w:rsidP="00D8270B">
      <w:pPr>
        <w:spacing w:after="0" w:line="276" w:lineRule="auto"/>
        <w:rPr>
          <w:b/>
          <w:bCs/>
          <w:lang w:val="en-GB"/>
        </w:rPr>
      </w:pPr>
      <w:r w:rsidRPr="007D7FFD">
        <w:rPr>
          <w:b/>
          <w:bCs/>
          <w:lang w:val="en-GB"/>
        </w:rPr>
        <w:t>Treatment</w:t>
      </w:r>
    </w:p>
    <w:p w:rsidR="009350F9" w:rsidRPr="002F4554" w:rsidRDefault="009350F9" w:rsidP="009350F9">
      <w:pPr>
        <w:spacing w:after="0" w:line="276" w:lineRule="auto"/>
        <w:rPr>
          <w:lang w:val="en-GB"/>
        </w:rPr>
      </w:pPr>
      <w:r w:rsidRPr="009350F9">
        <w:rPr>
          <w:lang w:val="en-GB"/>
        </w:rPr>
        <w:t>Disease-modifying treatments are not yet available.</w:t>
      </w:r>
      <w:r w:rsidR="00405D7C" w:rsidRPr="00405D7C">
        <w:rPr>
          <w:lang w:val="en-GB"/>
        </w:rPr>
        <w:t xml:space="preserve"> Optimal management</w:t>
      </w:r>
      <w:r w:rsidR="00533926">
        <w:rPr>
          <w:lang w:val="en-GB"/>
        </w:rPr>
        <w:t xml:space="preserve"> </w:t>
      </w:r>
      <w:r w:rsidR="00405D7C" w:rsidRPr="00405D7C">
        <w:rPr>
          <w:lang w:val="en-GB"/>
        </w:rPr>
        <w:t>needs to be tailored to the individual patient and their</w:t>
      </w:r>
      <w:r w:rsidR="00533926">
        <w:rPr>
          <w:lang w:val="en-GB"/>
        </w:rPr>
        <w:t xml:space="preserve"> </w:t>
      </w:r>
      <w:r w:rsidR="00405D7C" w:rsidRPr="00405D7C">
        <w:rPr>
          <w:lang w:val="en-GB"/>
        </w:rPr>
        <w:t>specific circumstances, and to adapt as the disease</w:t>
      </w:r>
      <w:r w:rsidR="00533926">
        <w:rPr>
          <w:lang w:val="en-GB"/>
        </w:rPr>
        <w:t xml:space="preserve"> </w:t>
      </w:r>
      <w:r w:rsidR="00405D7C" w:rsidRPr="00405D7C">
        <w:rPr>
          <w:lang w:val="en-GB"/>
        </w:rPr>
        <w:t xml:space="preserve">progresses. </w:t>
      </w:r>
    </w:p>
    <w:p w:rsidR="00E63843" w:rsidRPr="00E63843" w:rsidRDefault="00405D7C" w:rsidP="00D8270B">
      <w:pPr>
        <w:spacing w:after="0" w:line="276" w:lineRule="auto"/>
        <w:rPr>
          <w:lang w:val="en-GB"/>
        </w:rPr>
      </w:pPr>
      <w:r w:rsidRPr="002F4554">
        <w:rPr>
          <w:lang w:val="en-GB"/>
        </w:rPr>
        <w:t>Acetyl-cholinesterase inhibitors (AChEIs)</w:t>
      </w:r>
      <w:r w:rsidRPr="00405D7C">
        <w:rPr>
          <w:lang w:val="en-GB"/>
        </w:rPr>
        <w:t xml:space="preserve"> (donepezil, galantamine and rivastigmine) are the mainstay of</w:t>
      </w:r>
      <w:r w:rsidR="00533926">
        <w:rPr>
          <w:lang w:val="en-GB"/>
        </w:rPr>
        <w:t xml:space="preserve"> </w:t>
      </w:r>
      <w:r w:rsidRPr="00405D7C">
        <w:rPr>
          <w:lang w:val="en-GB"/>
        </w:rPr>
        <w:t>symptomatic treatment, increasing acetylcholine availability by inhibiting its breakdown in the synapse.</w:t>
      </w:r>
      <w:r w:rsidR="00533926">
        <w:rPr>
          <w:lang w:val="en-GB"/>
        </w:rPr>
        <w:t xml:space="preserve"> </w:t>
      </w:r>
      <w:r w:rsidRPr="00405D7C">
        <w:rPr>
          <w:lang w:val="en-GB"/>
        </w:rPr>
        <w:t>Peripheral cholinergic side effects such as leg cramps</w:t>
      </w:r>
      <w:r w:rsidR="00533926">
        <w:rPr>
          <w:lang w:val="en-GB"/>
        </w:rPr>
        <w:t xml:space="preserve"> </w:t>
      </w:r>
      <w:r w:rsidRPr="00405D7C">
        <w:rPr>
          <w:lang w:val="en-GB"/>
        </w:rPr>
        <w:t>and gastrointestinal upset are common but usually</w:t>
      </w:r>
      <w:r w:rsidR="00533926">
        <w:rPr>
          <w:lang w:val="en-GB"/>
        </w:rPr>
        <w:t xml:space="preserve"> </w:t>
      </w:r>
      <w:r w:rsidRPr="00405D7C">
        <w:rPr>
          <w:lang w:val="en-GB"/>
        </w:rPr>
        <w:t>well tolerated, especially when the drugs are</w:t>
      </w:r>
      <w:r w:rsidR="00533926">
        <w:rPr>
          <w:lang w:val="en-GB"/>
        </w:rPr>
        <w:t xml:space="preserve"> </w:t>
      </w:r>
      <w:r w:rsidR="00580A27" w:rsidRPr="00580A27">
        <w:rPr>
          <w:lang w:val="en-GB"/>
        </w:rPr>
        <w:t xml:space="preserve">introduced at low dose and titrated slowly. AChEIs have </w:t>
      </w:r>
      <w:r w:rsidR="00580A27" w:rsidRPr="00580A27">
        <w:rPr>
          <w:lang w:val="en-GB"/>
        </w:rPr>
        <w:lastRenderedPageBreak/>
        <w:t>proven beneficial</w:t>
      </w:r>
      <w:r w:rsidR="00533926">
        <w:rPr>
          <w:lang w:val="en-GB"/>
        </w:rPr>
        <w:t xml:space="preserve"> </w:t>
      </w:r>
      <w:r w:rsidR="00580A27" w:rsidRPr="00580A27">
        <w:rPr>
          <w:lang w:val="en-GB"/>
        </w:rPr>
        <w:t>effects in mild to severe AD, with most evidence at</w:t>
      </w:r>
      <w:r w:rsidR="00533926">
        <w:rPr>
          <w:lang w:val="en-GB"/>
        </w:rPr>
        <w:t xml:space="preserve"> </w:t>
      </w:r>
      <w:r w:rsidR="00580A27" w:rsidRPr="00580A27">
        <w:rPr>
          <w:lang w:val="en-GB"/>
        </w:rPr>
        <w:t>the mild to moderate stage</w:t>
      </w:r>
      <w:r w:rsidR="00580A27" w:rsidRPr="004F3BAA">
        <w:rPr>
          <w:vertAlign w:val="superscript"/>
          <w:lang w:val="en-GB"/>
        </w:rPr>
        <w:t>[</w:t>
      </w:r>
      <w:r w:rsidR="00103B84">
        <w:rPr>
          <w:vertAlign w:val="superscript"/>
          <w:lang w:val="en-GB"/>
        </w:rPr>
        <w:t>24</w:t>
      </w:r>
      <w:r w:rsidR="00580A27" w:rsidRPr="004F3BAA">
        <w:rPr>
          <w:vertAlign w:val="superscript"/>
          <w:lang w:val="en-GB"/>
        </w:rPr>
        <w:t>]</w:t>
      </w:r>
      <w:r w:rsidR="00580A27" w:rsidRPr="00580A27">
        <w:rPr>
          <w:lang w:val="en-GB"/>
        </w:rPr>
        <w:t>. There are fewer data</w:t>
      </w:r>
      <w:r w:rsidR="00533926">
        <w:rPr>
          <w:lang w:val="en-GB"/>
        </w:rPr>
        <w:t xml:space="preserve"> </w:t>
      </w:r>
      <w:r w:rsidR="00580A27" w:rsidRPr="00580A27">
        <w:rPr>
          <w:lang w:val="en-GB"/>
        </w:rPr>
        <w:t>on measures of behavioural disturbance and activities</w:t>
      </w:r>
      <w:r w:rsidR="00533926">
        <w:rPr>
          <w:lang w:val="en-GB"/>
        </w:rPr>
        <w:t xml:space="preserve"> </w:t>
      </w:r>
      <w:r w:rsidR="00580A27" w:rsidRPr="00580A27">
        <w:rPr>
          <w:lang w:val="en-GB"/>
        </w:rPr>
        <w:t>of daily living, but some evidence of benefit. In all</w:t>
      </w:r>
      <w:r w:rsidR="00533926">
        <w:rPr>
          <w:lang w:val="en-GB"/>
        </w:rPr>
        <w:t xml:space="preserve"> </w:t>
      </w:r>
      <w:r w:rsidR="00580A27" w:rsidRPr="00580A27">
        <w:rPr>
          <w:lang w:val="en-GB"/>
        </w:rPr>
        <w:t>domains, however, the benefit observed in clinical trials is modest at best. There is no evidence that one</w:t>
      </w:r>
      <w:r w:rsidR="00533926">
        <w:rPr>
          <w:lang w:val="en-GB"/>
        </w:rPr>
        <w:t xml:space="preserve"> </w:t>
      </w:r>
      <w:r w:rsidR="00580A27" w:rsidRPr="00580A27">
        <w:rPr>
          <w:lang w:val="en-GB"/>
        </w:rPr>
        <w:t>drug in the class is more efficacious than another</w:t>
      </w:r>
      <w:r w:rsidR="00580A27" w:rsidRPr="004B72B3">
        <w:rPr>
          <w:vertAlign w:val="superscript"/>
          <w:lang w:val="en-GB"/>
        </w:rPr>
        <w:t>[</w:t>
      </w:r>
      <w:r w:rsidR="00ED40DB">
        <w:rPr>
          <w:vertAlign w:val="superscript"/>
          <w:lang w:val="en-GB"/>
        </w:rPr>
        <w:t>2</w:t>
      </w:r>
      <w:r w:rsidR="00103B84">
        <w:rPr>
          <w:vertAlign w:val="superscript"/>
          <w:lang w:val="en-GB"/>
        </w:rPr>
        <w:t>4</w:t>
      </w:r>
      <w:r w:rsidR="00580A27" w:rsidRPr="004B72B3">
        <w:rPr>
          <w:vertAlign w:val="superscript"/>
          <w:lang w:val="en-GB"/>
        </w:rPr>
        <w:t>]</w:t>
      </w:r>
      <w:r w:rsidR="00F0576B">
        <w:rPr>
          <w:lang w:val="en-GB"/>
        </w:rPr>
        <w:t xml:space="preserve">. </w:t>
      </w:r>
      <w:r w:rsidR="00E63843" w:rsidRPr="00E63843">
        <w:rPr>
          <w:lang w:val="en-GB"/>
        </w:rPr>
        <w:t>The DOMINO-AD study demonstrated that</w:t>
      </w:r>
      <w:r w:rsidR="00533926">
        <w:rPr>
          <w:lang w:val="en-GB"/>
        </w:rPr>
        <w:t xml:space="preserve"> </w:t>
      </w:r>
      <w:r w:rsidR="00E63843" w:rsidRPr="00E63843">
        <w:rPr>
          <w:lang w:val="en-GB"/>
        </w:rPr>
        <w:t>withdrawal of donepezil in moderate to severe AD</w:t>
      </w:r>
      <w:r w:rsidR="00533926">
        <w:rPr>
          <w:lang w:val="en-GB"/>
        </w:rPr>
        <w:t xml:space="preserve"> </w:t>
      </w:r>
      <w:r w:rsidR="00E63843" w:rsidRPr="00E63843">
        <w:rPr>
          <w:lang w:val="en-GB"/>
        </w:rPr>
        <w:t>increased the risk of nursing home placement in the</w:t>
      </w:r>
      <w:r w:rsidR="00533926">
        <w:rPr>
          <w:lang w:val="en-GB"/>
        </w:rPr>
        <w:t xml:space="preserve"> </w:t>
      </w:r>
      <w:r w:rsidR="00E63843" w:rsidRPr="00E63843">
        <w:rPr>
          <w:lang w:val="en-GB"/>
        </w:rPr>
        <w:t>following 12 months of treatment, but not in the following 3 years. The authors suggested that withdrawal</w:t>
      </w:r>
      <w:r w:rsidR="00533926">
        <w:rPr>
          <w:lang w:val="en-GB"/>
        </w:rPr>
        <w:t xml:space="preserve"> </w:t>
      </w:r>
      <w:r w:rsidR="00E63843" w:rsidRPr="00E63843">
        <w:rPr>
          <w:lang w:val="en-GB"/>
        </w:rPr>
        <w:t>of treatment may have potential risks, even when the</w:t>
      </w:r>
      <w:r w:rsidR="00533926">
        <w:rPr>
          <w:lang w:val="en-GB"/>
        </w:rPr>
        <w:t xml:space="preserve"> </w:t>
      </w:r>
      <w:r w:rsidR="00E63843" w:rsidRPr="00E63843">
        <w:rPr>
          <w:lang w:val="en-GB"/>
        </w:rPr>
        <w:t>benefits of continuing are not clear</w:t>
      </w:r>
      <w:r w:rsidR="00E63843" w:rsidRPr="00F66837">
        <w:rPr>
          <w:vertAlign w:val="superscript"/>
          <w:lang w:val="en-GB"/>
        </w:rPr>
        <w:t>[</w:t>
      </w:r>
      <w:r w:rsidR="00FE4B66">
        <w:rPr>
          <w:vertAlign w:val="superscript"/>
          <w:lang w:val="en-GB"/>
        </w:rPr>
        <w:t>25</w:t>
      </w:r>
      <w:r w:rsidR="00E63843" w:rsidRPr="00F66837">
        <w:rPr>
          <w:vertAlign w:val="superscript"/>
          <w:lang w:val="en-GB"/>
        </w:rPr>
        <w:t>]</w:t>
      </w:r>
      <w:r w:rsidR="00E63843" w:rsidRPr="00E63843">
        <w:rPr>
          <w:lang w:val="en-GB"/>
        </w:rPr>
        <w:t>.</w:t>
      </w:r>
      <w:r w:rsidR="00E63843" w:rsidRPr="002623EA">
        <w:rPr>
          <w:lang w:val="en-GB"/>
        </w:rPr>
        <w:t>Memantine</w:t>
      </w:r>
      <w:r w:rsidR="00E63843" w:rsidRPr="00E63843">
        <w:rPr>
          <w:lang w:val="en-GB"/>
        </w:rPr>
        <w:t xml:space="preserve"> is an alternative symptomatic treatment,</w:t>
      </w:r>
      <w:r w:rsidR="00533926">
        <w:rPr>
          <w:lang w:val="en-GB"/>
        </w:rPr>
        <w:t xml:space="preserve"> </w:t>
      </w:r>
      <w:r w:rsidR="00E045C4">
        <w:rPr>
          <w:lang w:val="en-GB"/>
        </w:rPr>
        <w:t>indicated</w:t>
      </w:r>
      <w:r w:rsidR="00E63843" w:rsidRPr="00E63843">
        <w:rPr>
          <w:lang w:val="en-GB"/>
        </w:rPr>
        <w:t xml:space="preserve"> for </w:t>
      </w:r>
      <w:r w:rsidR="00E63843" w:rsidRPr="002623EA">
        <w:rPr>
          <w:lang w:val="en-GB"/>
        </w:rPr>
        <w:t>severe</w:t>
      </w:r>
      <w:r w:rsidR="00E63843" w:rsidRPr="00E63843">
        <w:rPr>
          <w:lang w:val="en-GB"/>
        </w:rPr>
        <w:t xml:space="preserve"> AD. Memantine, a</w:t>
      </w:r>
      <w:r w:rsidR="00533926">
        <w:rPr>
          <w:lang w:val="en-GB"/>
        </w:rPr>
        <w:t xml:space="preserve"> </w:t>
      </w:r>
      <w:r w:rsidR="00E63843" w:rsidRPr="00E63843">
        <w:rPr>
          <w:lang w:val="en-GB"/>
        </w:rPr>
        <w:t>low affinity N-methyl- D-aspartate receptor antagonist,</w:t>
      </w:r>
      <w:r w:rsidR="00533926">
        <w:rPr>
          <w:lang w:val="en-GB"/>
        </w:rPr>
        <w:t xml:space="preserve"> </w:t>
      </w:r>
      <w:r w:rsidR="00E63843" w:rsidRPr="00E63843">
        <w:rPr>
          <w:lang w:val="en-GB"/>
        </w:rPr>
        <w:t>aims to reduce L-</w:t>
      </w:r>
      <w:r w:rsidR="00F0576B">
        <w:rPr>
          <w:lang w:val="en-GB"/>
        </w:rPr>
        <w:t>g</w:t>
      </w:r>
      <w:r w:rsidR="00E63843" w:rsidRPr="00E63843">
        <w:rPr>
          <w:lang w:val="en-GB"/>
        </w:rPr>
        <w:t>lutamate excitatory neurotoxicity</w:t>
      </w:r>
      <w:r w:rsidR="00533926">
        <w:rPr>
          <w:lang w:val="en-GB"/>
        </w:rPr>
        <w:t xml:space="preserve"> </w:t>
      </w:r>
      <w:r w:rsidR="00E63843" w:rsidRPr="00E63843">
        <w:rPr>
          <w:lang w:val="en-GB"/>
        </w:rPr>
        <w:t>without interfering with its physiological actions. Side</w:t>
      </w:r>
      <w:r w:rsidR="00533926">
        <w:rPr>
          <w:lang w:val="en-GB"/>
        </w:rPr>
        <w:t xml:space="preserve"> </w:t>
      </w:r>
      <w:r w:rsidR="00E63843" w:rsidRPr="00E63843">
        <w:rPr>
          <w:lang w:val="en-GB"/>
        </w:rPr>
        <w:t>effects include constipation and headache. Memantine</w:t>
      </w:r>
      <w:r w:rsidR="00533926">
        <w:rPr>
          <w:lang w:val="en-GB"/>
        </w:rPr>
        <w:t xml:space="preserve"> </w:t>
      </w:r>
      <w:r w:rsidR="00E63843" w:rsidRPr="00E63843">
        <w:rPr>
          <w:lang w:val="en-GB"/>
        </w:rPr>
        <w:t>has been shown to have a small but clinically appreciable benefit on cognition and functional decline in</w:t>
      </w:r>
      <w:r w:rsidR="00533926">
        <w:rPr>
          <w:lang w:val="en-GB"/>
        </w:rPr>
        <w:t xml:space="preserve"> </w:t>
      </w:r>
      <w:r w:rsidR="00E63843" w:rsidRPr="00E63843">
        <w:rPr>
          <w:lang w:val="en-GB"/>
        </w:rPr>
        <w:t xml:space="preserve">patients with moderate to severe AD, with some evidence that it reduces the likelihood of patients developing </w:t>
      </w:r>
      <w:r w:rsidR="00BC0C76" w:rsidRPr="00E63843">
        <w:rPr>
          <w:lang w:val="en-GB"/>
        </w:rPr>
        <w:t>agitation</w:t>
      </w:r>
      <w:r w:rsidR="00BC0C76" w:rsidRPr="001E1791">
        <w:rPr>
          <w:vertAlign w:val="superscript"/>
          <w:lang w:val="en-GB"/>
        </w:rPr>
        <w:t>[</w:t>
      </w:r>
      <w:r w:rsidR="008B148E">
        <w:rPr>
          <w:vertAlign w:val="superscript"/>
          <w:lang w:val="en-GB"/>
        </w:rPr>
        <w:t>2</w:t>
      </w:r>
      <w:r w:rsidR="00FE4B66">
        <w:rPr>
          <w:vertAlign w:val="superscript"/>
          <w:lang w:val="en-GB"/>
        </w:rPr>
        <w:t>6</w:t>
      </w:r>
      <w:r w:rsidR="00E63843" w:rsidRPr="001E1791">
        <w:rPr>
          <w:vertAlign w:val="superscript"/>
          <w:lang w:val="en-GB"/>
        </w:rPr>
        <w:t>]</w:t>
      </w:r>
      <w:r w:rsidR="00E63843" w:rsidRPr="00E63843">
        <w:rPr>
          <w:lang w:val="en-GB"/>
        </w:rPr>
        <w:t xml:space="preserve">. </w:t>
      </w:r>
      <w:r w:rsidR="00BB55BC" w:rsidRPr="00BB55BC">
        <w:rPr>
          <w:lang w:val="en-GB"/>
        </w:rPr>
        <w:t>Acetylcholinesterase inhibitors can be administered in combination with memantine</w:t>
      </w:r>
      <w:r w:rsidR="00BB55BC" w:rsidRPr="00BB55BC">
        <w:rPr>
          <w:vertAlign w:val="superscript"/>
          <w:lang w:val="en-GB"/>
        </w:rPr>
        <w:t>[</w:t>
      </w:r>
      <w:r w:rsidR="00FE4B66">
        <w:rPr>
          <w:vertAlign w:val="superscript"/>
          <w:lang w:val="en-GB"/>
        </w:rPr>
        <w:t>27</w:t>
      </w:r>
      <w:r w:rsidR="00BB55BC" w:rsidRPr="00BB55BC">
        <w:rPr>
          <w:vertAlign w:val="superscript"/>
          <w:lang w:val="en-GB"/>
        </w:rPr>
        <w:t>]</w:t>
      </w:r>
      <w:r w:rsidR="00E63843" w:rsidRPr="00E63843">
        <w:rPr>
          <w:lang w:val="en-GB"/>
        </w:rPr>
        <w:t>.</w:t>
      </w:r>
    </w:p>
    <w:p w:rsidR="00E63843" w:rsidRPr="00E63843" w:rsidRDefault="00E63843" w:rsidP="00D8270B">
      <w:pPr>
        <w:spacing w:after="0" w:line="276" w:lineRule="auto"/>
        <w:rPr>
          <w:lang w:val="en-GB"/>
        </w:rPr>
      </w:pPr>
      <w:r w:rsidRPr="00E63843">
        <w:rPr>
          <w:lang w:val="en-GB"/>
        </w:rPr>
        <w:t>Agitation, aggression and psychosis may develop in</w:t>
      </w:r>
      <w:r w:rsidR="00533926">
        <w:rPr>
          <w:lang w:val="en-GB"/>
        </w:rPr>
        <w:t xml:space="preserve"> </w:t>
      </w:r>
      <w:r w:rsidRPr="00E63843">
        <w:rPr>
          <w:lang w:val="en-GB"/>
        </w:rPr>
        <w:t>later-stage dementia. Atypical antipsychotics are usually favoured over typical agents but, regardless of</w:t>
      </w:r>
      <w:r w:rsidR="00533926">
        <w:rPr>
          <w:lang w:val="en-GB"/>
        </w:rPr>
        <w:t xml:space="preserve"> </w:t>
      </w:r>
      <w:r w:rsidRPr="00E63843">
        <w:rPr>
          <w:lang w:val="en-GB"/>
        </w:rPr>
        <w:t>drug, benefits are moderate</w:t>
      </w:r>
      <w:r w:rsidRPr="00DF0F0C">
        <w:rPr>
          <w:vertAlign w:val="superscript"/>
          <w:lang w:val="en-GB"/>
        </w:rPr>
        <w:t>[</w:t>
      </w:r>
      <w:r w:rsidR="00924894">
        <w:rPr>
          <w:vertAlign w:val="superscript"/>
          <w:lang w:val="en-GB"/>
        </w:rPr>
        <w:t>28</w:t>
      </w:r>
      <w:r w:rsidRPr="00DF0F0C">
        <w:rPr>
          <w:vertAlign w:val="superscript"/>
          <w:lang w:val="en-GB"/>
        </w:rPr>
        <w:t>]</w:t>
      </w:r>
      <w:r w:rsidRPr="00E63843">
        <w:rPr>
          <w:lang w:val="en-GB"/>
        </w:rPr>
        <w:t>, and no treatments</w:t>
      </w:r>
    </w:p>
    <w:p w:rsidR="00E63843" w:rsidRPr="00E63843" w:rsidRDefault="00E63843" w:rsidP="00D8270B">
      <w:pPr>
        <w:spacing w:after="0" w:line="276" w:lineRule="auto"/>
        <w:rPr>
          <w:lang w:val="en-GB"/>
        </w:rPr>
      </w:pPr>
      <w:r w:rsidRPr="00E63843">
        <w:rPr>
          <w:lang w:val="en-GB"/>
        </w:rPr>
        <w:t>are licensed for behavioural symptoms in dementia.</w:t>
      </w:r>
      <w:r w:rsidR="00533926">
        <w:rPr>
          <w:lang w:val="en-GB"/>
        </w:rPr>
        <w:t xml:space="preserve"> </w:t>
      </w:r>
      <w:r w:rsidRPr="00E63843">
        <w:rPr>
          <w:lang w:val="en-GB"/>
        </w:rPr>
        <w:t>Serious adverse events include chest infection, stroke</w:t>
      </w:r>
    </w:p>
    <w:p w:rsidR="00405D7C" w:rsidRDefault="00E63843" w:rsidP="00D8270B">
      <w:pPr>
        <w:spacing w:after="0" w:line="276" w:lineRule="auto"/>
        <w:rPr>
          <w:lang w:val="en-GB"/>
        </w:rPr>
      </w:pPr>
      <w:r w:rsidRPr="00E63843">
        <w:rPr>
          <w:lang w:val="en-GB"/>
        </w:rPr>
        <w:t>and death. Consequently, antipsychotics should be</w:t>
      </w:r>
      <w:r w:rsidR="00533926">
        <w:rPr>
          <w:lang w:val="en-GB"/>
        </w:rPr>
        <w:t xml:space="preserve"> </w:t>
      </w:r>
      <w:r w:rsidRPr="00E63843">
        <w:rPr>
          <w:lang w:val="en-GB"/>
        </w:rPr>
        <w:t>avoided if possible and limited to those with neuropsychiatric symptoms, particularly psychosis, that</w:t>
      </w:r>
      <w:r w:rsidR="00533926">
        <w:rPr>
          <w:lang w:val="en-GB"/>
        </w:rPr>
        <w:t xml:space="preserve"> </w:t>
      </w:r>
      <w:r w:rsidRPr="00E63843">
        <w:rPr>
          <w:lang w:val="en-GB"/>
        </w:rPr>
        <w:t>are severe, debilitating or pose safety risks</w:t>
      </w:r>
      <w:r w:rsidRPr="00B673D9">
        <w:rPr>
          <w:vertAlign w:val="superscript"/>
          <w:lang w:val="en-GB"/>
        </w:rPr>
        <w:t>[</w:t>
      </w:r>
      <w:r w:rsidR="00924894">
        <w:rPr>
          <w:vertAlign w:val="superscript"/>
          <w:lang w:val="en-GB"/>
        </w:rPr>
        <w:t>28</w:t>
      </w:r>
      <w:r w:rsidRPr="00B673D9">
        <w:rPr>
          <w:vertAlign w:val="superscript"/>
          <w:lang w:val="en-GB"/>
        </w:rPr>
        <w:t>]</w:t>
      </w:r>
      <w:r w:rsidRPr="00E63843">
        <w:rPr>
          <w:lang w:val="en-GB"/>
        </w:rPr>
        <w:t>; ongoing use needs regular review. Where required, the best</w:t>
      </w:r>
      <w:r w:rsidR="00533926">
        <w:rPr>
          <w:lang w:val="en-GB"/>
        </w:rPr>
        <w:t xml:space="preserve"> </w:t>
      </w:r>
      <w:r w:rsidRPr="00E63843">
        <w:rPr>
          <w:lang w:val="en-GB"/>
        </w:rPr>
        <w:t>evidence is for low dose risperidone</w:t>
      </w:r>
      <w:r w:rsidRPr="00253408">
        <w:rPr>
          <w:vertAlign w:val="superscript"/>
          <w:lang w:val="en-GB"/>
        </w:rPr>
        <w:t>[</w:t>
      </w:r>
      <w:r w:rsidR="00924894">
        <w:rPr>
          <w:vertAlign w:val="superscript"/>
          <w:lang w:val="en-GB"/>
        </w:rPr>
        <w:t>29</w:t>
      </w:r>
      <w:r w:rsidRPr="00253408">
        <w:rPr>
          <w:vertAlign w:val="superscript"/>
          <w:lang w:val="en-GB"/>
        </w:rPr>
        <w:t>]</w:t>
      </w:r>
      <w:r w:rsidRPr="00E63843">
        <w:rPr>
          <w:lang w:val="en-GB"/>
        </w:rPr>
        <w:t>. Non-pharmacological approaches are preferred and include</w:t>
      </w:r>
      <w:r w:rsidR="00533926">
        <w:rPr>
          <w:lang w:val="en-GB"/>
        </w:rPr>
        <w:t xml:space="preserve"> </w:t>
      </w:r>
      <w:r w:rsidRPr="00E63843">
        <w:rPr>
          <w:lang w:val="en-GB"/>
        </w:rPr>
        <w:t>communication skills training, music therapy and person-centred care training which have some evidence of</w:t>
      </w:r>
      <w:r w:rsidR="00533926">
        <w:rPr>
          <w:lang w:val="en-GB"/>
        </w:rPr>
        <w:t xml:space="preserve"> </w:t>
      </w:r>
      <w:r w:rsidRPr="00E63843">
        <w:rPr>
          <w:lang w:val="en-GB"/>
        </w:rPr>
        <w:t>benefit</w:t>
      </w:r>
      <w:r w:rsidRPr="00EC7C9D">
        <w:rPr>
          <w:vertAlign w:val="superscript"/>
          <w:lang w:val="en-GB"/>
        </w:rPr>
        <w:t>[</w:t>
      </w:r>
      <w:r w:rsidR="00BC2880">
        <w:rPr>
          <w:vertAlign w:val="superscript"/>
          <w:lang w:val="en-GB"/>
        </w:rPr>
        <w:t>3</w:t>
      </w:r>
      <w:r w:rsidR="00924894">
        <w:rPr>
          <w:vertAlign w:val="superscript"/>
          <w:lang w:val="en-GB"/>
        </w:rPr>
        <w:t>0</w:t>
      </w:r>
      <w:r w:rsidRPr="00EC7C9D">
        <w:rPr>
          <w:vertAlign w:val="superscript"/>
          <w:lang w:val="en-GB"/>
        </w:rPr>
        <w:t>]</w:t>
      </w:r>
      <w:r w:rsidRPr="00E63843">
        <w:rPr>
          <w:lang w:val="en-GB"/>
        </w:rPr>
        <w:t>.</w:t>
      </w:r>
    </w:p>
    <w:p w:rsidR="00D66067" w:rsidRDefault="00D66067" w:rsidP="00D8270B">
      <w:pPr>
        <w:spacing w:after="0" w:line="276" w:lineRule="auto"/>
        <w:rPr>
          <w:lang w:val="en-GB"/>
        </w:rPr>
      </w:pPr>
    </w:p>
    <w:p w:rsidR="00752CC0" w:rsidRDefault="00752CC0" w:rsidP="00D8270B">
      <w:pPr>
        <w:spacing w:after="0" w:line="276" w:lineRule="auto"/>
        <w:rPr>
          <w:lang w:val="en-GB"/>
        </w:rPr>
      </w:pPr>
    </w:p>
    <w:p w:rsidR="006D3CA0" w:rsidRDefault="006D3CA0" w:rsidP="00D8270B">
      <w:pPr>
        <w:spacing w:after="0" w:line="276" w:lineRule="auto"/>
        <w:rPr>
          <w:lang w:val="en-GB"/>
        </w:rPr>
      </w:pPr>
    </w:p>
    <w:p w:rsidR="003750D5" w:rsidRPr="003750D5" w:rsidRDefault="003750D5" w:rsidP="00D8270B">
      <w:pPr>
        <w:spacing w:after="0" w:line="276" w:lineRule="auto"/>
        <w:rPr>
          <w:b/>
          <w:bCs/>
          <w:lang w:val="en-GB"/>
        </w:rPr>
      </w:pPr>
      <w:r w:rsidRPr="00BF49B3">
        <w:rPr>
          <w:b/>
          <w:bCs/>
          <w:lang w:val="en-GB"/>
        </w:rPr>
        <w:t>Monoclonal antibodies</w:t>
      </w:r>
    </w:p>
    <w:p w:rsidR="003750D5" w:rsidRPr="003750D5" w:rsidRDefault="00C202A6" w:rsidP="003750D5">
      <w:pPr>
        <w:spacing w:after="0" w:line="276" w:lineRule="auto"/>
        <w:rPr>
          <w:lang w:val="en-GB"/>
        </w:rPr>
      </w:pPr>
      <w:r w:rsidRPr="00C202A6">
        <w:rPr>
          <w:lang w:val="en-GB"/>
        </w:rPr>
        <w:t>The amyloid hypothesis postulates that neurodegeneration is caused primarily by beta-amyloid-related toxicity</w:t>
      </w:r>
      <w:r w:rsidR="00B22D14" w:rsidRPr="00EC7C9D">
        <w:rPr>
          <w:vertAlign w:val="superscript"/>
          <w:lang w:val="en-GB"/>
        </w:rPr>
        <w:t>[</w:t>
      </w:r>
      <w:r w:rsidR="00B22D14">
        <w:rPr>
          <w:vertAlign w:val="superscript"/>
          <w:lang w:val="en-GB"/>
        </w:rPr>
        <w:t>3</w:t>
      </w:r>
      <w:r w:rsidR="00924894">
        <w:rPr>
          <w:vertAlign w:val="superscript"/>
          <w:lang w:val="en-GB"/>
        </w:rPr>
        <w:t>1</w:t>
      </w:r>
      <w:r w:rsidR="00B22D14" w:rsidRPr="00EC7C9D">
        <w:rPr>
          <w:vertAlign w:val="superscript"/>
          <w:lang w:val="en-GB"/>
        </w:rPr>
        <w:t>]</w:t>
      </w:r>
      <w:r w:rsidR="003750D5" w:rsidRPr="003750D5">
        <w:rPr>
          <w:lang w:val="en-GB"/>
        </w:rPr>
        <w:t xml:space="preserve">. </w:t>
      </w:r>
      <w:r w:rsidR="005A0BBF">
        <w:rPr>
          <w:lang w:val="en-GB"/>
        </w:rPr>
        <w:t>E</w:t>
      </w:r>
      <w:r w:rsidR="005A0BBF" w:rsidRPr="00C202A6">
        <w:rPr>
          <w:lang w:val="en-GB"/>
        </w:rPr>
        <w:t>vidence</w:t>
      </w:r>
      <w:r w:rsidRPr="00C202A6">
        <w:rPr>
          <w:lang w:val="en-GB"/>
        </w:rPr>
        <w:t xml:space="preserve"> suggest that targeting amyloid beta could benefit patients with Alzheimer's disease</w:t>
      </w:r>
      <w:r w:rsidR="00B22D14">
        <w:rPr>
          <w:lang w:val="en-GB"/>
        </w:rPr>
        <w:t xml:space="preserve">. </w:t>
      </w:r>
      <w:r w:rsidR="003750D5" w:rsidRPr="003750D5">
        <w:rPr>
          <w:lang w:val="en-GB"/>
        </w:rPr>
        <w:t xml:space="preserve">So far, </w:t>
      </w:r>
      <w:r>
        <w:rPr>
          <w:lang w:val="en-GB"/>
        </w:rPr>
        <w:t xml:space="preserve">many </w:t>
      </w:r>
      <w:r w:rsidR="003750D5" w:rsidRPr="003750D5">
        <w:rPr>
          <w:lang w:val="en-GB"/>
        </w:rPr>
        <w:t>attempts at therapeutically</w:t>
      </w:r>
      <w:r w:rsidR="00533926">
        <w:rPr>
          <w:lang w:val="en-GB"/>
        </w:rPr>
        <w:t xml:space="preserve"> </w:t>
      </w:r>
      <w:r w:rsidR="003750D5" w:rsidRPr="003750D5">
        <w:rPr>
          <w:lang w:val="en-GB"/>
        </w:rPr>
        <w:t>targeting Aβ have not been successful</w:t>
      </w:r>
      <w:r w:rsidR="005D7E69" w:rsidRPr="005D7E69">
        <w:rPr>
          <w:vertAlign w:val="superscript"/>
          <w:lang w:val="en-GB"/>
        </w:rPr>
        <w:t>[</w:t>
      </w:r>
      <w:r w:rsidR="009E4A69">
        <w:rPr>
          <w:vertAlign w:val="superscript"/>
          <w:lang w:val="en-GB"/>
        </w:rPr>
        <w:t>3</w:t>
      </w:r>
      <w:r w:rsidR="00924894">
        <w:rPr>
          <w:vertAlign w:val="superscript"/>
          <w:lang w:val="en-GB"/>
        </w:rPr>
        <w:t>3</w:t>
      </w:r>
      <w:r w:rsidR="003750D5" w:rsidRPr="005D7E69">
        <w:rPr>
          <w:vertAlign w:val="superscript"/>
          <w:lang w:val="en-GB"/>
        </w:rPr>
        <w:t>–</w:t>
      </w:r>
      <w:r w:rsidR="009E4A69">
        <w:rPr>
          <w:vertAlign w:val="superscript"/>
          <w:lang w:val="en-GB"/>
        </w:rPr>
        <w:t>3</w:t>
      </w:r>
      <w:r w:rsidR="00924894">
        <w:rPr>
          <w:vertAlign w:val="superscript"/>
          <w:lang w:val="en-GB"/>
        </w:rPr>
        <w:t>6</w:t>
      </w:r>
      <w:r w:rsidR="005D7E69" w:rsidRPr="005D7E69">
        <w:rPr>
          <w:vertAlign w:val="superscript"/>
          <w:lang w:val="en-GB"/>
        </w:rPr>
        <w:t>]</w:t>
      </w:r>
      <w:r>
        <w:rPr>
          <w:lang w:val="en-GB"/>
        </w:rPr>
        <w:t>.</w:t>
      </w:r>
      <w:r w:rsidR="003750D5" w:rsidRPr="003750D5">
        <w:rPr>
          <w:lang w:val="en-GB"/>
        </w:rPr>
        <w:t xml:space="preserve"> However, the lack of success may</w:t>
      </w:r>
      <w:r w:rsidR="00533926">
        <w:rPr>
          <w:lang w:val="en-GB"/>
        </w:rPr>
        <w:t xml:space="preserve"> </w:t>
      </w:r>
      <w:r w:rsidR="003750D5" w:rsidRPr="003750D5">
        <w:rPr>
          <w:lang w:val="en-GB"/>
        </w:rPr>
        <w:t>have been due to the inability of the antibodies to adequately engage</w:t>
      </w:r>
      <w:r w:rsidR="00533926">
        <w:rPr>
          <w:lang w:val="en-GB"/>
        </w:rPr>
        <w:t xml:space="preserve"> </w:t>
      </w:r>
      <w:r w:rsidR="003750D5" w:rsidRPr="003750D5">
        <w:rPr>
          <w:lang w:val="en-GB"/>
        </w:rPr>
        <w:t>their target or the proper target in the brain</w:t>
      </w:r>
      <w:r>
        <w:rPr>
          <w:lang w:val="en-GB"/>
        </w:rPr>
        <w:t>.</w:t>
      </w:r>
    </w:p>
    <w:p w:rsidR="003750D5" w:rsidRPr="003750D5" w:rsidRDefault="00274E9A" w:rsidP="003750D5">
      <w:pPr>
        <w:spacing w:after="0" w:line="276" w:lineRule="auto"/>
        <w:rPr>
          <w:lang w:val="en-GB"/>
        </w:rPr>
      </w:pPr>
      <w:r w:rsidRPr="00274E9A">
        <w:rPr>
          <w:lang w:val="en-GB"/>
        </w:rPr>
        <w:t xml:space="preserve">Screening human memory B cell libraries that were reactive against amyloid beta led to the sequencing of aducanumab </w:t>
      </w:r>
      <w:r w:rsidR="003750D5" w:rsidRPr="003750D5">
        <w:rPr>
          <w:lang w:val="en-GB"/>
        </w:rPr>
        <w:t>(BIIB037), a human monoclonal antibody that selectively</w:t>
      </w:r>
      <w:r w:rsidR="00533926">
        <w:rPr>
          <w:lang w:val="en-GB"/>
        </w:rPr>
        <w:t xml:space="preserve"> </w:t>
      </w:r>
      <w:r w:rsidR="003750D5" w:rsidRPr="003750D5">
        <w:rPr>
          <w:lang w:val="en-GB"/>
        </w:rPr>
        <w:t>reacts with Aβ aggregates, including soluble oligomers and insoluble</w:t>
      </w:r>
      <w:r w:rsidR="00533926">
        <w:rPr>
          <w:lang w:val="en-GB"/>
        </w:rPr>
        <w:t xml:space="preserve"> </w:t>
      </w:r>
      <w:r w:rsidR="003750D5" w:rsidRPr="003750D5">
        <w:rPr>
          <w:lang w:val="en-GB"/>
        </w:rPr>
        <w:t>fibrils. In preclinical studies, an analogue of aducanumab</w:t>
      </w:r>
      <w:r w:rsidR="00533926">
        <w:rPr>
          <w:lang w:val="en-GB"/>
        </w:rPr>
        <w:t xml:space="preserve"> </w:t>
      </w:r>
      <w:r w:rsidR="003750D5" w:rsidRPr="003750D5">
        <w:rPr>
          <w:lang w:val="en-GB"/>
        </w:rPr>
        <w:t>is capable of crossing the blood–brain barrier, engaging its target, and</w:t>
      </w:r>
      <w:r w:rsidR="00533926">
        <w:rPr>
          <w:lang w:val="en-GB"/>
        </w:rPr>
        <w:t xml:space="preserve"> </w:t>
      </w:r>
      <w:r w:rsidR="003750D5" w:rsidRPr="003750D5">
        <w:rPr>
          <w:lang w:val="en-GB"/>
        </w:rPr>
        <w:t>clearing Aβ from plaque-bearing transgenic mouse brains. These</w:t>
      </w:r>
      <w:r w:rsidR="00533926">
        <w:rPr>
          <w:lang w:val="en-GB"/>
        </w:rPr>
        <w:t xml:space="preserve"> </w:t>
      </w:r>
      <w:r w:rsidR="003750D5" w:rsidRPr="003750D5">
        <w:rPr>
          <w:lang w:val="en-GB"/>
        </w:rPr>
        <w:t>results prompted the start of clinical trials</w:t>
      </w:r>
      <w:r w:rsidR="00463E72">
        <w:rPr>
          <w:lang w:val="en-GB"/>
        </w:rPr>
        <w:t xml:space="preserve"> on humans</w:t>
      </w:r>
      <w:r w:rsidR="00607641" w:rsidRPr="00607641">
        <w:rPr>
          <w:vertAlign w:val="superscript"/>
          <w:lang w:val="en-GB"/>
        </w:rPr>
        <w:t>[</w:t>
      </w:r>
      <w:r w:rsidR="00924894">
        <w:rPr>
          <w:vertAlign w:val="superscript"/>
          <w:lang w:val="en-GB"/>
        </w:rPr>
        <w:t>37</w:t>
      </w:r>
      <w:r w:rsidR="00607641" w:rsidRPr="00607641">
        <w:rPr>
          <w:vertAlign w:val="superscript"/>
          <w:lang w:val="en-GB"/>
        </w:rPr>
        <w:t>]</w:t>
      </w:r>
      <w:r w:rsidR="003750D5" w:rsidRPr="003750D5">
        <w:rPr>
          <w:lang w:val="en-GB"/>
        </w:rPr>
        <w:t>.</w:t>
      </w:r>
    </w:p>
    <w:p w:rsidR="003750D5" w:rsidRDefault="003750D5" w:rsidP="00D8270B">
      <w:pPr>
        <w:spacing w:after="0" w:line="276" w:lineRule="auto"/>
        <w:rPr>
          <w:lang w:val="en-GB"/>
        </w:rPr>
      </w:pPr>
    </w:p>
    <w:p w:rsidR="000B39F5" w:rsidRDefault="000B39F5" w:rsidP="00D8270B">
      <w:pPr>
        <w:spacing w:after="0" w:line="276" w:lineRule="auto"/>
        <w:rPr>
          <w:lang w:val="en-GB"/>
        </w:rPr>
      </w:pPr>
    </w:p>
    <w:p w:rsidR="009C1782" w:rsidRDefault="009C1782" w:rsidP="00D8270B">
      <w:pPr>
        <w:spacing w:after="0" w:line="276" w:lineRule="auto"/>
        <w:rPr>
          <w:lang w:val="en-GB"/>
        </w:rPr>
      </w:pPr>
    </w:p>
    <w:p w:rsidR="00210289" w:rsidRDefault="00070C4D" w:rsidP="00D8270B">
      <w:pPr>
        <w:spacing w:after="0" w:line="276" w:lineRule="auto"/>
        <w:rPr>
          <w:b/>
          <w:bCs/>
          <w:lang w:val="en-GB"/>
        </w:rPr>
      </w:pPr>
      <w:r w:rsidRPr="00070C4D">
        <w:rPr>
          <w:b/>
          <w:bCs/>
          <w:lang w:val="en-GB"/>
        </w:rPr>
        <w:t>Aducanumab</w:t>
      </w:r>
    </w:p>
    <w:p w:rsidR="001D68B3" w:rsidRDefault="001D68B3" w:rsidP="001D68B3">
      <w:pPr>
        <w:spacing w:after="0" w:line="276" w:lineRule="auto"/>
        <w:rPr>
          <w:lang w:val="en-GB"/>
        </w:rPr>
      </w:pPr>
      <w:r w:rsidRPr="001D68B3">
        <w:rPr>
          <w:lang w:val="en-GB"/>
        </w:rPr>
        <w:t>Aducanumab is a human monoclonal antibody, IgG</w:t>
      </w:r>
      <w:r w:rsidR="00454ABE">
        <w:rPr>
          <w:lang w:val="en-GB"/>
        </w:rPr>
        <w:t>1</w:t>
      </w:r>
      <w:r w:rsidRPr="001D68B3">
        <w:rPr>
          <w:lang w:val="en-GB"/>
        </w:rPr>
        <w:t xml:space="preserve">, directed against agglomerated forms of beta-amyloid. It received its first approval in the US for the treatment of Alzheimer's disease on June 7, 2021. This indication is approved under accelerated approval and is subject to verification of clinical benefit in one or more confirmatory studies. According to FDA prescribing information, treatment should be initiated in patients with mild cognitive impairment or mild dementia, the population in which treatment was initiated </w:t>
      </w:r>
      <w:r w:rsidRPr="001D68B3">
        <w:rPr>
          <w:lang w:val="en-GB"/>
        </w:rPr>
        <w:lastRenderedPageBreak/>
        <w:t>in clinical trials.</w:t>
      </w:r>
      <w:r w:rsidR="00533926">
        <w:rPr>
          <w:lang w:val="en-GB"/>
        </w:rPr>
        <w:t xml:space="preserve"> </w:t>
      </w:r>
      <w:r w:rsidRPr="001D68B3">
        <w:rPr>
          <w:lang w:val="en-GB"/>
        </w:rPr>
        <w:t>There are no safety or efficacy data on initiating treatment in earlier or later stages of the disease than those studied.</w:t>
      </w:r>
    </w:p>
    <w:p w:rsidR="00454ABE" w:rsidRDefault="00454ABE" w:rsidP="00454ABE">
      <w:pPr>
        <w:spacing w:line="276" w:lineRule="auto"/>
        <w:rPr>
          <w:lang w:val="en-GB"/>
        </w:rPr>
      </w:pPr>
      <w:r w:rsidRPr="00454ABE">
        <w:rPr>
          <w:lang w:val="en-GB"/>
        </w:rPr>
        <w:t>The recommended dosage of aducanumab is 10 mg/kg and is administered intravenously in about 1 hour every 4 weeks and at least 21 days after the previous administration.</w:t>
      </w:r>
    </w:p>
    <w:p w:rsidR="0000607A" w:rsidRDefault="00454ABE" w:rsidP="00454ABE">
      <w:pPr>
        <w:spacing w:line="276" w:lineRule="auto"/>
        <w:rPr>
          <w:lang w:val="en-GB"/>
        </w:rPr>
      </w:pPr>
      <w:r w:rsidRPr="00454ABE">
        <w:rPr>
          <w:lang w:val="en-GB"/>
        </w:rPr>
        <w:t xml:space="preserve">In the phase III registrational studies EMERGE (NCT02484547) and ENGAGE (NCT02477800) in patients with early Alzheimer's disease (mild cognitive impairment), aducanumab reduced </w:t>
      </w:r>
      <w:r>
        <w:t>β</w:t>
      </w:r>
      <w:r w:rsidRPr="00454ABE">
        <w:rPr>
          <w:lang w:val="en-GB"/>
        </w:rPr>
        <w:t xml:space="preserve">-amyloid plaque levels in a dose and time-dependent manner. In both studies, EMERGE and ENGAGE, both high-dose and low-dose aducanumab significantly (p &lt; 0.0001) reduced </w:t>
      </w:r>
      <w:r>
        <w:t>β</w:t>
      </w:r>
      <w:r w:rsidRPr="00454ABE">
        <w:rPr>
          <w:lang w:val="en-GB"/>
        </w:rPr>
        <w:t xml:space="preserve">-amyloid plaque levels in the brain at weeks 26 and 78. </w:t>
      </w:r>
      <w:r w:rsidR="00E426CC" w:rsidRPr="00E426CC">
        <w:rPr>
          <w:lang w:val="en-GB"/>
        </w:rPr>
        <w:t>In both phase III studies, the primary endpoint was the change from ba</w:t>
      </w:r>
      <w:r w:rsidR="006115DD">
        <w:rPr>
          <w:lang w:val="en-GB"/>
        </w:rPr>
        <w:t>s</w:t>
      </w:r>
      <w:r w:rsidR="00E426CC" w:rsidRPr="00E426CC">
        <w:rPr>
          <w:lang w:val="en-GB"/>
        </w:rPr>
        <w:t>eline in</w:t>
      </w:r>
      <w:r w:rsidR="00E90FFC" w:rsidRPr="00E426CC">
        <w:rPr>
          <w:lang w:val="en-GB"/>
        </w:rPr>
        <w:t xml:space="preserve"> Clinical Dementia Rating-Sum of Boxes</w:t>
      </w:r>
      <w:r w:rsidR="00E90FFC">
        <w:rPr>
          <w:lang w:val="en-GB"/>
        </w:rPr>
        <w:t>(</w:t>
      </w:r>
      <w:r w:rsidR="00E426CC" w:rsidRPr="00E426CC">
        <w:rPr>
          <w:lang w:val="en-GB"/>
        </w:rPr>
        <w:t>CDR-SB</w:t>
      </w:r>
      <w:r w:rsidR="00E90FFC">
        <w:rPr>
          <w:lang w:val="en-GB"/>
        </w:rPr>
        <w:t>)</w:t>
      </w:r>
      <w:r w:rsidR="00E426CC" w:rsidRPr="00E426CC">
        <w:rPr>
          <w:lang w:val="en-GB"/>
        </w:rPr>
        <w:t xml:space="preserve"> scores. This endpoint was not met in the ENGAGE study. This caused both studies to be stopped in</w:t>
      </w:r>
      <w:r w:rsidR="00E426CC">
        <w:rPr>
          <w:lang w:val="en-GB"/>
        </w:rPr>
        <w:t xml:space="preserve"> March</w:t>
      </w:r>
      <w:r w:rsidR="00E426CC" w:rsidRPr="00E426CC">
        <w:rPr>
          <w:lang w:val="en-GB"/>
        </w:rPr>
        <w:t xml:space="preserve"> 2019.</w:t>
      </w:r>
      <w:r w:rsidR="0000607A" w:rsidRPr="0000607A">
        <w:rPr>
          <w:lang w:val="en-GB"/>
        </w:rPr>
        <w:t xml:space="preserve">The </w:t>
      </w:r>
      <w:r w:rsidR="00924894" w:rsidRPr="0000607A">
        <w:rPr>
          <w:lang w:val="en-GB"/>
        </w:rPr>
        <w:t>most observed</w:t>
      </w:r>
      <w:r w:rsidR="0000607A" w:rsidRPr="0000607A">
        <w:rPr>
          <w:lang w:val="en-GB"/>
        </w:rPr>
        <w:t xml:space="preserve"> adverse events were </w:t>
      </w:r>
      <w:r w:rsidR="00B6028F" w:rsidRPr="00B6028F">
        <w:rPr>
          <w:lang w:val="en-GB"/>
        </w:rPr>
        <w:t xml:space="preserve">Amyloid-Related Imaging Abnormalities </w:t>
      </w:r>
      <w:r w:rsidR="00B6028F">
        <w:rPr>
          <w:lang w:val="en-GB"/>
        </w:rPr>
        <w:t xml:space="preserve">(ARIA) </w:t>
      </w:r>
      <w:r w:rsidR="0067291D">
        <w:rPr>
          <w:lang w:val="en-GB"/>
        </w:rPr>
        <w:t>with</w:t>
      </w:r>
      <w:r w:rsidR="00533926">
        <w:rPr>
          <w:lang w:val="en-GB"/>
        </w:rPr>
        <w:t xml:space="preserve"> </w:t>
      </w:r>
      <w:r w:rsidR="0067291D" w:rsidRPr="00500D57">
        <w:rPr>
          <w:lang w:val="en-GB"/>
        </w:rPr>
        <w:t xml:space="preserve">cerebral </w:t>
      </w:r>
      <w:r w:rsidR="00924894" w:rsidRPr="00500D57">
        <w:rPr>
          <w:lang w:val="en-GB"/>
        </w:rPr>
        <w:t>microhaemorrhages</w:t>
      </w:r>
      <w:r w:rsidR="0067291D" w:rsidRPr="00500D57">
        <w:rPr>
          <w:lang w:val="en-GB"/>
        </w:rPr>
        <w:t xml:space="preserve">, </w:t>
      </w:r>
      <w:r w:rsidR="0000607A" w:rsidRPr="0000607A">
        <w:rPr>
          <w:lang w:val="en-GB"/>
        </w:rPr>
        <w:t xml:space="preserve">or hemosiderosis (ARIA-E and ARIA-H). The pathological significance of these alterations is not yet </w:t>
      </w:r>
      <w:r w:rsidR="00837BAB" w:rsidRPr="0000607A">
        <w:rPr>
          <w:lang w:val="en-GB"/>
        </w:rPr>
        <w:t>clear;</w:t>
      </w:r>
      <w:r w:rsidR="0000607A" w:rsidRPr="0000607A">
        <w:rPr>
          <w:lang w:val="en-GB"/>
        </w:rPr>
        <w:t xml:space="preserve"> however, it is good to keep in mind, considering that these are elderly patients</w:t>
      </w:r>
      <w:r w:rsidR="000B376E" w:rsidRPr="000B376E">
        <w:rPr>
          <w:vertAlign w:val="superscript"/>
          <w:lang w:val="en-GB"/>
        </w:rPr>
        <w:t>[</w:t>
      </w:r>
      <w:r w:rsidR="00924894">
        <w:rPr>
          <w:vertAlign w:val="superscript"/>
          <w:lang w:val="en-GB"/>
        </w:rPr>
        <w:t>38</w:t>
      </w:r>
      <w:r w:rsidR="000B376E" w:rsidRPr="000B376E">
        <w:rPr>
          <w:vertAlign w:val="superscript"/>
          <w:lang w:val="en-GB"/>
        </w:rPr>
        <w:t>]</w:t>
      </w:r>
      <w:r w:rsidR="0000607A" w:rsidRPr="0000607A">
        <w:rPr>
          <w:lang w:val="en-GB"/>
        </w:rPr>
        <w:t>.</w:t>
      </w:r>
    </w:p>
    <w:p w:rsidR="00454ABE" w:rsidRPr="00454ABE" w:rsidRDefault="00454ABE" w:rsidP="00454ABE">
      <w:pPr>
        <w:spacing w:after="0" w:line="276" w:lineRule="auto"/>
        <w:rPr>
          <w:lang w:val="en-GB"/>
        </w:rPr>
      </w:pPr>
    </w:p>
    <w:p w:rsidR="00454ABE" w:rsidRPr="00454ABE" w:rsidRDefault="00454ABE" w:rsidP="001D68B3">
      <w:pPr>
        <w:spacing w:after="0" w:line="276" w:lineRule="auto"/>
        <w:rPr>
          <w:lang w:val="en-GB"/>
        </w:rPr>
      </w:pPr>
    </w:p>
    <w:p w:rsidR="00D524D4" w:rsidRDefault="00D524D4" w:rsidP="00D8270B">
      <w:pPr>
        <w:spacing w:after="0" w:line="276" w:lineRule="auto"/>
        <w:rPr>
          <w:b/>
          <w:bCs/>
          <w:lang w:val="en-GB"/>
        </w:rPr>
      </w:pPr>
      <w:r>
        <w:rPr>
          <w:b/>
          <w:bCs/>
          <w:lang w:val="en-GB"/>
        </w:rPr>
        <w:t>Lecanemab</w:t>
      </w:r>
    </w:p>
    <w:p w:rsidR="00031B12" w:rsidRPr="00031B12" w:rsidRDefault="00031B12" w:rsidP="00031B12">
      <w:pPr>
        <w:spacing w:after="0" w:line="276" w:lineRule="auto"/>
        <w:rPr>
          <w:lang w:val="en-GB"/>
        </w:rPr>
      </w:pPr>
      <w:r w:rsidRPr="00031B12">
        <w:rPr>
          <w:lang w:val="en-GB"/>
        </w:rPr>
        <w:t>Lecanemab is a humanized gamma immunoglobulin 1 (IgG1) directed against aggregated forms of β-amyloid. It received initial approval on January 6, 2023 in the United States under the accelerated approval pathway.</w:t>
      </w:r>
    </w:p>
    <w:p w:rsidR="00031B12" w:rsidRPr="00031B12" w:rsidRDefault="00031B12" w:rsidP="00031B12">
      <w:pPr>
        <w:spacing w:after="0" w:line="276" w:lineRule="auto"/>
        <w:rPr>
          <w:lang w:val="en-GB"/>
        </w:rPr>
      </w:pPr>
      <w:r w:rsidRPr="00031B12">
        <w:rPr>
          <w:lang w:val="en-GB"/>
        </w:rPr>
        <w:t>According to prescribing information, treatment should be initiated in patients with mild cognitive impairment or mild dementia at the disease stage and a confirmed presence of β-amyloid pathology.</w:t>
      </w:r>
      <w:r w:rsidR="00533926">
        <w:rPr>
          <w:lang w:val="en-GB"/>
        </w:rPr>
        <w:t xml:space="preserve"> </w:t>
      </w:r>
      <w:r w:rsidRPr="00031B12">
        <w:rPr>
          <w:lang w:val="en-GB"/>
        </w:rPr>
        <w:t>There are no data on the efficacy or safety of initiating treatment in earlier or later stages of the disease than those studied.</w:t>
      </w:r>
    </w:p>
    <w:p w:rsidR="002504FC" w:rsidRPr="002504FC" w:rsidRDefault="002504FC" w:rsidP="002504FC">
      <w:pPr>
        <w:spacing w:after="0" w:line="276" w:lineRule="auto"/>
        <w:rPr>
          <w:lang w:val="en-GB"/>
        </w:rPr>
      </w:pPr>
      <w:r w:rsidRPr="002504FC">
        <w:rPr>
          <w:lang w:val="en-GB"/>
        </w:rPr>
        <w:t>Accelerated U.S. approval is based on the reduction in β-amyloid plaques observed in patients who received lecanemab as part of a completed multinational, double-blind phase II study (NCT01767311), with an open-label extension phase still ongoing.</w:t>
      </w:r>
      <w:r w:rsidR="00533926">
        <w:rPr>
          <w:lang w:val="en-GB"/>
        </w:rPr>
        <w:t xml:space="preserve"> </w:t>
      </w:r>
      <w:r w:rsidRPr="002504FC">
        <w:rPr>
          <w:lang w:val="en-GB"/>
        </w:rPr>
        <w:t>Continued approval for this indication may be subject to verification of clinical benefit in a confirmatory study.</w:t>
      </w:r>
    </w:p>
    <w:p w:rsidR="00366A34" w:rsidRDefault="002504FC" w:rsidP="002504FC">
      <w:pPr>
        <w:spacing w:after="0" w:line="276" w:lineRule="auto"/>
        <w:rPr>
          <w:lang w:val="en-GB"/>
        </w:rPr>
      </w:pPr>
      <w:r w:rsidRPr="002504FC">
        <w:rPr>
          <w:lang w:val="en-GB"/>
        </w:rPr>
        <w:t>The recommended dose of lecanemab is 10 mg/kg administered intravenously for approximately 1 hour every 2 weeks.</w:t>
      </w:r>
      <w:r w:rsidR="00533926">
        <w:rPr>
          <w:lang w:val="en-GB"/>
        </w:rPr>
        <w:t xml:space="preserve"> </w:t>
      </w:r>
      <w:r w:rsidR="00E5303E" w:rsidRPr="002504FC">
        <w:rPr>
          <w:lang w:val="en-GB"/>
        </w:rPr>
        <w:t>The presence of β-amyloid must be confirmed before starting lecanemab therapy.</w:t>
      </w:r>
    </w:p>
    <w:p w:rsidR="002504FC" w:rsidRPr="002504FC" w:rsidRDefault="002504FC" w:rsidP="002504FC">
      <w:pPr>
        <w:spacing w:after="0" w:line="276" w:lineRule="auto"/>
        <w:rPr>
          <w:lang w:val="en-GB"/>
        </w:rPr>
      </w:pPr>
      <w:r w:rsidRPr="002504FC">
        <w:rPr>
          <w:lang w:val="en-GB"/>
        </w:rPr>
        <w:t>In the multinational phase II study (NCT01767311) of patients with early Alzheimer's disease, lecanemab 10 mg/kg infused every 2 weeks significantly reduced β-amyloid plaque levels in the brain at months 12 and 18 compared with placebo (nominal p &lt; 0.001).</w:t>
      </w:r>
    </w:p>
    <w:p w:rsidR="002504FC" w:rsidRDefault="002504FC" w:rsidP="002504FC">
      <w:pPr>
        <w:spacing w:after="0" w:line="276" w:lineRule="auto"/>
        <w:rPr>
          <w:lang w:val="en-GB"/>
        </w:rPr>
      </w:pPr>
      <w:r w:rsidRPr="002504FC">
        <w:rPr>
          <w:lang w:val="en-GB"/>
        </w:rPr>
        <w:t>In a substudy of the phase III study, Clarity AD (NCT03887455), it was found that 18 months of lecanemab therapy was associated with a statistically significant (p &lt; 0.00001) reduction in amyloid plaque (key secondary endpoint) compared with placebo. This reduction resulted in an amyloid level below the threshold for amyloid positivity, at which individuals are considered to have elevated amyloid brain levels.</w:t>
      </w:r>
    </w:p>
    <w:p w:rsidR="002504FC" w:rsidRDefault="00E426CC" w:rsidP="002504FC">
      <w:pPr>
        <w:spacing w:after="0" w:line="276" w:lineRule="auto"/>
        <w:rPr>
          <w:lang w:val="en-GB"/>
        </w:rPr>
      </w:pPr>
      <w:r>
        <w:rPr>
          <w:lang w:val="en-GB"/>
        </w:rPr>
        <w:t>T</w:t>
      </w:r>
      <w:r w:rsidRPr="00E426CC">
        <w:rPr>
          <w:lang w:val="en-GB"/>
        </w:rPr>
        <w:t xml:space="preserve">he primary endpoint as measured by the Clinical Dementia Rating-Sum of Boxes (CDR-SB) score at 18 months was achieved. </w:t>
      </w:r>
      <w:r w:rsidR="002504FC" w:rsidRPr="002504FC">
        <w:rPr>
          <w:lang w:val="en-GB"/>
        </w:rPr>
        <w:t>This benefit was seen as early as month 6 and was maintained at each subsequent time point until month 18.</w:t>
      </w:r>
    </w:p>
    <w:p w:rsidR="002504FC" w:rsidRDefault="002504FC" w:rsidP="002504FC">
      <w:pPr>
        <w:spacing w:after="0" w:line="276" w:lineRule="auto"/>
        <w:rPr>
          <w:lang w:val="en-GB"/>
        </w:rPr>
      </w:pPr>
      <w:r w:rsidRPr="002504FC">
        <w:rPr>
          <w:lang w:val="en-GB"/>
        </w:rPr>
        <w:t>In terms of secondary endpoints, significant differences were found between groups in favor of lecanemab 10 mg/kg, every 2 weeks, on the 14-item cognitive subscale of the Alzheimer's Disease Assessment Scale (ADAS-Cog14)</w:t>
      </w:r>
      <w:r w:rsidR="00E426CC">
        <w:rPr>
          <w:lang w:val="en-GB"/>
        </w:rPr>
        <w:t xml:space="preserve">, </w:t>
      </w:r>
      <w:r w:rsidRPr="002504FC">
        <w:rPr>
          <w:lang w:val="en-GB"/>
        </w:rPr>
        <w:t>the Alzheimer's Disease Composite Score (ADCOMS) and the Alzheimer's Disease Cooperative Study-Activities of Daily Living Scale for Mild Cognitive Impairment (ADCS-MCI-ADL).</w:t>
      </w:r>
    </w:p>
    <w:p w:rsidR="002504FC" w:rsidRDefault="002504FC" w:rsidP="002504FC">
      <w:pPr>
        <w:spacing w:after="0" w:line="276" w:lineRule="auto"/>
        <w:rPr>
          <w:lang w:val="en-GB"/>
        </w:rPr>
      </w:pPr>
      <w:r w:rsidRPr="002504FC">
        <w:rPr>
          <w:lang w:val="en-GB"/>
        </w:rPr>
        <w:lastRenderedPageBreak/>
        <w:t xml:space="preserve">In the phase II study (NCT01767311), patients received lecanemab </w:t>
      </w:r>
      <w:r w:rsidR="00244EE3">
        <w:rPr>
          <w:lang w:val="en-GB"/>
        </w:rPr>
        <w:t>o</w:t>
      </w:r>
      <w:r w:rsidRPr="002504FC">
        <w:rPr>
          <w:lang w:val="en-GB"/>
        </w:rPr>
        <w:t>r placebo.</w:t>
      </w:r>
      <w:r w:rsidR="00533926">
        <w:rPr>
          <w:lang w:val="en-GB"/>
        </w:rPr>
        <w:t xml:space="preserve"> </w:t>
      </w:r>
      <w:r w:rsidRPr="002504FC">
        <w:rPr>
          <w:lang w:val="en-GB"/>
        </w:rPr>
        <w:t xml:space="preserve">Lecanemab 10 mg/kg every 2 weeks did not meet the study's primary endpoint (defined as a change from baseline </w:t>
      </w:r>
      <w:r w:rsidR="00A238B2">
        <w:rPr>
          <w:lang w:val="en-GB"/>
        </w:rPr>
        <w:t xml:space="preserve">at 12 months </w:t>
      </w:r>
      <w:r w:rsidRPr="002504FC">
        <w:rPr>
          <w:lang w:val="en-GB"/>
        </w:rPr>
        <w:t xml:space="preserve">on ADCOMS).However, 18-month analyses of the primary </w:t>
      </w:r>
      <w:r w:rsidR="00244EE3">
        <w:rPr>
          <w:lang w:val="en-GB"/>
        </w:rPr>
        <w:t xml:space="preserve">and </w:t>
      </w:r>
      <w:r w:rsidRPr="002504FC">
        <w:rPr>
          <w:lang w:val="en-GB"/>
        </w:rPr>
        <w:t>secondary endpoints, which assessed clinical decline, found that therapy with lecanemab 10 mg/kg every 2 weeks was associated with reductions in ADCOMS</w:t>
      </w:r>
      <w:r w:rsidR="003B58ED">
        <w:rPr>
          <w:lang w:val="en-GB"/>
        </w:rPr>
        <w:t xml:space="preserve">, </w:t>
      </w:r>
      <w:r w:rsidRPr="002504FC">
        <w:rPr>
          <w:lang w:val="en-GB"/>
        </w:rPr>
        <w:t>CDR-SB and ADAS-Cog14</w:t>
      </w:r>
      <w:r w:rsidR="003B58ED">
        <w:rPr>
          <w:lang w:val="en-GB"/>
        </w:rPr>
        <w:t>.</w:t>
      </w:r>
    </w:p>
    <w:p w:rsidR="00500D57" w:rsidRPr="00500D57" w:rsidRDefault="00500D57" w:rsidP="00500D57">
      <w:pPr>
        <w:spacing w:after="0" w:line="276" w:lineRule="auto"/>
        <w:rPr>
          <w:lang w:val="en-GB"/>
        </w:rPr>
      </w:pPr>
      <w:r w:rsidRPr="00500D57">
        <w:rPr>
          <w:lang w:val="en-GB"/>
        </w:rPr>
        <w:t xml:space="preserve">The most frequently reported adverse events were: infusion-related reactions, </w:t>
      </w:r>
      <w:r w:rsidR="00CC7363" w:rsidRPr="00CC7363">
        <w:rPr>
          <w:lang w:val="en-GB"/>
        </w:rPr>
        <w:t xml:space="preserve">Amyloid-Related Imaging Abnormalities </w:t>
      </w:r>
      <w:r w:rsidR="00CC7363">
        <w:rPr>
          <w:lang w:val="en-GB"/>
        </w:rPr>
        <w:t>(</w:t>
      </w:r>
      <w:r w:rsidRPr="00500D57">
        <w:rPr>
          <w:lang w:val="en-GB"/>
        </w:rPr>
        <w:t>ARIA</w:t>
      </w:r>
      <w:r w:rsidR="00CC7363">
        <w:rPr>
          <w:lang w:val="en-GB"/>
        </w:rPr>
        <w:t>)</w:t>
      </w:r>
      <w:r w:rsidRPr="00500D57">
        <w:rPr>
          <w:lang w:val="en-GB"/>
        </w:rPr>
        <w:t xml:space="preserve"> with cerebral microhemorrhages, cerebral macrohemorrhages or superficial siderosis (e.g., ARIA-H); ARIA-E; headache; and falls.</w:t>
      </w:r>
    </w:p>
    <w:p w:rsidR="002504FC" w:rsidRDefault="00500D57" w:rsidP="00500D57">
      <w:pPr>
        <w:spacing w:after="0" w:line="276" w:lineRule="auto"/>
        <w:rPr>
          <w:lang w:val="en-GB"/>
        </w:rPr>
      </w:pPr>
      <w:r w:rsidRPr="00500D57">
        <w:rPr>
          <w:lang w:val="en-GB"/>
        </w:rPr>
        <w:t>Most of the infusion-related reactions were mild to moderate (96%) and occurred with the first dose (75%).</w:t>
      </w:r>
    </w:p>
    <w:p w:rsidR="00500D57" w:rsidRPr="00500D57" w:rsidRDefault="00500D57" w:rsidP="00500D57">
      <w:pPr>
        <w:spacing w:after="0" w:line="276" w:lineRule="auto"/>
        <w:rPr>
          <w:lang w:val="en-GB"/>
        </w:rPr>
      </w:pPr>
      <w:r w:rsidRPr="00500D57">
        <w:rPr>
          <w:lang w:val="en-GB"/>
        </w:rPr>
        <w:t xml:space="preserve">Two extension studies of Clarity AD (NCT03887455) and the phase II study (NCT01767311) are ongoing. </w:t>
      </w:r>
    </w:p>
    <w:p w:rsidR="00500D57" w:rsidRDefault="00500D57" w:rsidP="00500D57">
      <w:pPr>
        <w:spacing w:after="0" w:line="276" w:lineRule="auto"/>
        <w:rPr>
          <w:lang w:val="en-GB"/>
        </w:rPr>
      </w:pPr>
      <w:r w:rsidRPr="00500D57">
        <w:rPr>
          <w:lang w:val="en-GB"/>
        </w:rPr>
        <w:t>In addition, recruitment is ongoing for the phase II/III DIAN-TU-001 study (Tau NexGen; NCT05269394)</w:t>
      </w:r>
      <w:r w:rsidR="00244EE3">
        <w:rPr>
          <w:lang w:val="en-GB"/>
        </w:rPr>
        <w:t xml:space="preserve">, </w:t>
      </w:r>
      <w:r w:rsidRPr="00500D57">
        <w:rPr>
          <w:lang w:val="en-GB"/>
        </w:rPr>
        <w:t>for individuals with a genetic mutation causing Alzheimer's disease</w:t>
      </w:r>
      <w:r w:rsidR="00244EE3">
        <w:rPr>
          <w:lang w:val="en-GB"/>
        </w:rPr>
        <w:t>,</w:t>
      </w:r>
      <w:r w:rsidRPr="00500D57">
        <w:rPr>
          <w:lang w:val="en-GB"/>
        </w:rPr>
        <w:t xml:space="preserve"> and the phase III AHEAD 3-45 study (NCT04468659)</w:t>
      </w:r>
      <w:r w:rsidR="00244EE3">
        <w:rPr>
          <w:lang w:val="en-GB"/>
        </w:rPr>
        <w:t xml:space="preserve">, </w:t>
      </w:r>
      <w:r w:rsidRPr="00500D57">
        <w:rPr>
          <w:lang w:val="en-GB"/>
        </w:rPr>
        <w:t>for patients with preclinical Alzheimer's disease and high amyloid and those with early preclinical Alzheimer's disease and intermediate amyloid</w:t>
      </w:r>
      <w:r w:rsidR="005B6BE4" w:rsidRPr="005B6BE4">
        <w:rPr>
          <w:vertAlign w:val="superscript"/>
          <w:lang w:val="en-GB"/>
        </w:rPr>
        <w:t>[</w:t>
      </w:r>
      <w:r w:rsidR="001428FB">
        <w:rPr>
          <w:vertAlign w:val="superscript"/>
          <w:lang w:val="en-GB"/>
        </w:rPr>
        <w:t>4</w:t>
      </w:r>
      <w:r w:rsidR="00AB011D">
        <w:rPr>
          <w:vertAlign w:val="superscript"/>
          <w:lang w:val="en-GB"/>
        </w:rPr>
        <w:t>2</w:t>
      </w:r>
      <w:r w:rsidR="005B6BE4" w:rsidRPr="005B6BE4">
        <w:rPr>
          <w:vertAlign w:val="superscript"/>
          <w:lang w:val="en-GB"/>
        </w:rPr>
        <w:t>]</w:t>
      </w:r>
      <w:r w:rsidRPr="00500D57">
        <w:rPr>
          <w:lang w:val="en-GB"/>
        </w:rPr>
        <w:t>.</w:t>
      </w:r>
    </w:p>
    <w:p w:rsidR="00066687" w:rsidRDefault="00066687" w:rsidP="00500D57">
      <w:pPr>
        <w:spacing w:after="0" w:line="276" w:lineRule="auto"/>
        <w:rPr>
          <w:lang w:val="en-GB"/>
        </w:rPr>
      </w:pPr>
    </w:p>
    <w:p w:rsidR="00066687" w:rsidRDefault="00066687" w:rsidP="00500D57">
      <w:pPr>
        <w:spacing w:after="0" w:line="276" w:lineRule="auto"/>
        <w:rPr>
          <w:lang w:val="en-GB"/>
        </w:rPr>
      </w:pPr>
    </w:p>
    <w:p w:rsidR="00A639A9" w:rsidRDefault="00A639A9" w:rsidP="00500D57">
      <w:pPr>
        <w:spacing w:after="0" w:line="276" w:lineRule="auto"/>
        <w:rPr>
          <w:lang w:val="en-GB"/>
        </w:rPr>
      </w:pPr>
    </w:p>
    <w:p w:rsidR="00066687" w:rsidRDefault="00066687" w:rsidP="00500D57">
      <w:pPr>
        <w:spacing w:after="0" w:line="276" w:lineRule="auto"/>
        <w:rPr>
          <w:b/>
          <w:bCs/>
          <w:lang w:val="en-GB"/>
        </w:rPr>
      </w:pPr>
      <w:r w:rsidRPr="00066687">
        <w:rPr>
          <w:b/>
          <w:bCs/>
          <w:lang w:val="en-GB"/>
        </w:rPr>
        <w:t>Conclusions</w:t>
      </w:r>
    </w:p>
    <w:p w:rsidR="00500D57" w:rsidRDefault="00D909C4" w:rsidP="00500D57">
      <w:pPr>
        <w:spacing w:after="0" w:line="276" w:lineRule="auto"/>
        <w:rPr>
          <w:lang w:val="en-GB"/>
        </w:rPr>
      </w:pPr>
      <w:r w:rsidRPr="00D909C4">
        <w:rPr>
          <w:lang w:val="en-GB"/>
        </w:rPr>
        <w:t xml:space="preserve">The use of monoclonal antibodies directed against beta-amyloid has been a highly promising strategy that, however, has failed to translate into clinical efficacy. </w:t>
      </w:r>
      <w:r>
        <w:rPr>
          <w:lang w:val="en-GB"/>
        </w:rPr>
        <w:t>E</w:t>
      </w:r>
      <w:r w:rsidRPr="00D909C4">
        <w:rPr>
          <w:lang w:val="en-GB"/>
        </w:rPr>
        <w:t xml:space="preserve">xperimental data indicate molecular efficacy with controversial data regarding </w:t>
      </w:r>
      <w:r>
        <w:rPr>
          <w:lang w:val="en-GB"/>
        </w:rPr>
        <w:t xml:space="preserve">clinical </w:t>
      </w:r>
      <w:r w:rsidRPr="00D909C4">
        <w:rPr>
          <w:lang w:val="en-GB"/>
        </w:rPr>
        <w:t xml:space="preserve">symptomatology. </w:t>
      </w:r>
      <w:r>
        <w:rPr>
          <w:lang w:val="en-GB"/>
        </w:rPr>
        <w:t>I</w:t>
      </w:r>
      <w:r w:rsidRPr="00D909C4">
        <w:rPr>
          <w:lang w:val="en-GB"/>
        </w:rPr>
        <w:t xml:space="preserve">n addition, very high direct and indirect costs are expected. </w:t>
      </w:r>
      <w:r>
        <w:rPr>
          <w:lang w:val="en-GB"/>
        </w:rPr>
        <w:t>T</w:t>
      </w:r>
      <w:r w:rsidRPr="00D909C4">
        <w:rPr>
          <w:lang w:val="en-GB"/>
        </w:rPr>
        <w:t xml:space="preserve">he therapy involves expensive examinations, such as MRI, to prevent the </w:t>
      </w:r>
      <w:r w:rsidR="00A50722" w:rsidRPr="00D909C4">
        <w:rPr>
          <w:lang w:val="en-GB"/>
        </w:rPr>
        <w:t>most associated</w:t>
      </w:r>
      <w:r w:rsidRPr="00D909C4">
        <w:rPr>
          <w:lang w:val="en-GB"/>
        </w:rPr>
        <w:t xml:space="preserve"> side effects</w:t>
      </w:r>
      <w:r>
        <w:rPr>
          <w:lang w:val="en-GB"/>
        </w:rPr>
        <w:t>,</w:t>
      </w:r>
      <w:r w:rsidRPr="00D909C4">
        <w:rPr>
          <w:lang w:val="en-GB"/>
        </w:rPr>
        <w:t xml:space="preserve"> i.e., ARIA-E and ARIA-H.</w:t>
      </w:r>
      <w:r>
        <w:rPr>
          <w:lang w:val="en-GB"/>
        </w:rPr>
        <w:t xml:space="preserve"> S</w:t>
      </w:r>
      <w:r w:rsidRPr="00D909C4">
        <w:rPr>
          <w:lang w:val="en-GB"/>
        </w:rPr>
        <w:t>uch side effects are still understudied in terms of their actual severity.</w:t>
      </w:r>
      <w:r>
        <w:rPr>
          <w:lang w:val="en-GB"/>
        </w:rPr>
        <w:t xml:space="preserve"> We</w:t>
      </w:r>
      <w:r w:rsidRPr="00D909C4">
        <w:rPr>
          <w:lang w:val="en-GB"/>
        </w:rPr>
        <w:t xml:space="preserve"> must wait for the efficacy and safety results of the clinical trials still </w:t>
      </w:r>
      <w:r>
        <w:rPr>
          <w:lang w:val="en-GB"/>
        </w:rPr>
        <w:t xml:space="preserve">ongoing </w:t>
      </w:r>
      <w:r w:rsidRPr="00D909C4">
        <w:rPr>
          <w:lang w:val="en-GB"/>
        </w:rPr>
        <w:t>to determine whether these innovative therapies will be viable.</w:t>
      </w:r>
    </w:p>
    <w:p w:rsidR="00FB58D9" w:rsidRDefault="00FB58D9" w:rsidP="00500D57">
      <w:pPr>
        <w:spacing w:after="0" w:line="276" w:lineRule="auto"/>
        <w:rPr>
          <w:lang w:val="en-GB"/>
        </w:rPr>
      </w:pPr>
    </w:p>
    <w:p w:rsidR="00366F0E" w:rsidRDefault="00366F0E" w:rsidP="00500D57">
      <w:pPr>
        <w:spacing w:after="0" w:line="276" w:lineRule="auto"/>
        <w:rPr>
          <w:lang w:val="en-GB"/>
        </w:rPr>
      </w:pPr>
    </w:p>
    <w:p w:rsidR="00366F0E" w:rsidRDefault="00366F0E"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475D3" w:rsidRDefault="00F475D3"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FF230B" w:rsidRDefault="00FF230B" w:rsidP="00500D57">
      <w:pPr>
        <w:spacing w:after="0" w:line="276" w:lineRule="auto"/>
        <w:rPr>
          <w:lang w:val="en-GB"/>
        </w:rPr>
      </w:pPr>
    </w:p>
    <w:p w:rsidR="00366F0E" w:rsidRDefault="00366F0E" w:rsidP="00500D57">
      <w:pPr>
        <w:spacing w:after="0" w:line="276" w:lineRule="auto"/>
        <w:rPr>
          <w:lang w:val="en-GB"/>
        </w:rPr>
      </w:pPr>
    </w:p>
    <w:p w:rsidR="002B7527" w:rsidRDefault="002B7527" w:rsidP="00221F63">
      <w:pPr>
        <w:spacing w:after="0"/>
        <w:rPr>
          <w:b/>
          <w:bCs/>
          <w:lang w:val="en-GB"/>
        </w:rPr>
      </w:pPr>
      <w:r w:rsidRPr="002B7527">
        <w:rPr>
          <w:b/>
          <w:bCs/>
          <w:lang w:val="en-GB"/>
        </w:rPr>
        <w:lastRenderedPageBreak/>
        <w:t>Bibliography</w:t>
      </w:r>
    </w:p>
    <w:p w:rsidR="00221F63" w:rsidRPr="00221F63" w:rsidRDefault="00221F63" w:rsidP="00221F63">
      <w:pPr>
        <w:spacing w:after="0"/>
      </w:pPr>
      <w:r w:rsidRPr="00221F63">
        <w:rPr>
          <w:lang w:val="en-GB"/>
        </w:rPr>
        <w:t xml:space="preserve">1. Alzheimer A. Uber eine eigenartige Erkrankung derHirnrinde. </w:t>
      </w:r>
      <w:r w:rsidRPr="00221F63">
        <w:t>Allg Zeitschrift Psychiatr 1907; 64: 146–148.</w:t>
      </w:r>
    </w:p>
    <w:p w:rsidR="00221F63" w:rsidRPr="00221F63" w:rsidRDefault="00221F63" w:rsidP="00221F63">
      <w:pPr>
        <w:spacing w:after="0"/>
        <w:rPr>
          <w:lang w:val="en-GB"/>
        </w:rPr>
      </w:pPr>
      <w:r w:rsidRPr="00221F63">
        <w:t xml:space="preserve">2. Prince M, Albanese E, Guerchet M, et al. </w:t>
      </w:r>
      <w:r w:rsidRPr="00221F63">
        <w:rPr>
          <w:lang w:val="en-GB"/>
        </w:rPr>
        <w:t>World Alzheimer Report 2014: Dementia and Risk Reduction an</w:t>
      </w:r>
    </w:p>
    <w:p w:rsidR="00221F63" w:rsidRPr="00221F63" w:rsidRDefault="00221F63" w:rsidP="00221F63">
      <w:pPr>
        <w:spacing w:after="0"/>
        <w:rPr>
          <w:lang w:val="en-GB"/>
        </w:rPr>
      </w:pPr>
      <w:r w:rsidRPr="00221F63">
        <w:rPr>
          <w:lang w:val="en-GB"/>
        </w:rPr>
        <w:t>Analysis of Protective and Modifiable Factors, 2014.</w:t>
      </w:r>
    </w:p>
    <w:p w:rsidR="00221F63" w:rsidRPr="00221F63" w:rsidRDefault="00221F63" w:rsidP="00221F63">
      <w:pPr>
        <w:spacing w:after="0"/>
        <w:rPr>
          <w:lang w:val="en-GB"/>
        </w:rPr>
      </w:pPr>
      <w:r w:rsidRPr="00221F63">
        <w:rPr>
          <w:lang w:val="en-GB"/>
        </w:rPr>
        <w:t>3. Office of National Statistics. Deaths Registered in England and Wales, 2016; 1–15.</w:t>
      </w:r>
    </w:p>
    <w:p w:rsidR="00221F63" w:rsidRPr="00221F63" w:rsidRDefault="00221F63" w:rsidP="00221F63">
      <w:pPr>
        <w:spacing w:after="0"/>
        <w:rPr>
          <w:lang w:val="en-GB"/>
        </w:rPr>
      </w:pPr>
      <w:r w:rsidRPr="002B202A">
        <w:t xml:space="preserve">4. Wu Y-T, Fratiglioni L, Matthews FE, et al. </w:t>
      </w:r>
      <w:r w:rsidRPr="00221F63">
        <w:rPr>
          <w:lang w:val="en-GB"/>
        </w:rPr>
        <w:t>Dementia</w:t>
      </w:r>
      <w:r w:rsidR="00533926">
        <w:rPr>
          <w:lang w:val="en-GB"/>
        </w:rPr>
        <w:t xml:space="preserve"> </w:t>
      </w:r>
      <w:r w:rsidRPr="00221F63">
        <w:rPr>
          <w:lang w:val="en-GB"/>
        </w:rPr>
        <w:t>in western Europe: epidemiological evidence and implications for policy making. Lancet Neurol 2016; 15: 116–124.</w:t>
      </w:r>
    </w:p>
    <w:p w:rsidR="00221F63" w:rsidRPr="00221F63" w:rsidRDefault="00221F63" w:rsidP="00221F63">
      <w:pPr>
        <w:spacing w:after="0"/>
        <w:rPr>
          <w:lang w:val="en-GB"/>
        </w:rPr>
      </w:pPr>
      <w:r w:rsidRPr="00221F63">
        <w:rPr>
          <w:lang w:val="en-GB"/>
        </w:rPr>
        <w:t>5. Matthews FE, Stephan BCM, Robinson L, et al. A two</w:t>
      </w:r>
      <w:r w:rsidR="00533926">
        <w:rPr>
          <w:lang w:val="en-GB"/>
        </w:rPr>
        <w:t xml:space="preserve"> </w:t>
      </w:r>
      <w:r w:rsidRPr="00221F63">
        <w:rPr>
          <w:lang w:val="en-GB"/>
        </w:rPr>
        <w:t>decade dementia incidence comparison from the Cognitive Function and Ageing Studies I and II. Nat Commun2016; 7: 11398.</w:t>
      </w:r>
    </w:p>
    <w:p w:rsidR="00221F63" w:rsidRPr="00221F63" w:rsidRDefault="00221F63" w:rsidP="00221F63">
      <w:pPr>
        <w:spacing w:after="0"/>
        <w:rPr>
          <w:lang w:val="en-GB"/>
        </w:rPr>
      </w:pPr>
      <w:r w:rsidRPr="00221F63">
        <w:rPr>
          <w:lang w:val="en-GB"/>
        </w:rPr>
        <w:t>6. Bateman RJ, Aisen PS, De Strooper B, et al. Autosomal-dominant Alzheimer’s disease: a review and pro-</w:t>
      </w:r>
    </w:p>
    <w:p w:rsidR="00221F63" w:rsidRPr="00221F63" w:rsidRDefault="00221F63" w:rsidP="00221F63">
      <w:pPr>
        <w:spacing w:after="0"/>
        <w:rPr>
          <w:lang w:val="en-GB"/>
        </w:rPr>
      </w:pPr>
      <w:r w:rsidRPr="00221F63">
        <w:rPr>
          <w:lang w:val="en-GB"/>
        </w:rPr>
        <w:t>posal for the prevention of Alzheimer’s disease.Alzheimers Res Ther 2010; 3: 1.</w:t>
      </w:r>
    </w:p>
    <w:p w:rsidR="00221F63" w:rsidRPr="00221F63" w:rsidRDefault="00221F63" w:rsidP="00221F63">
      <w:pPr>
        <w:spacing w:after="0"/>
        <w:rPr>
          <w:lang w:val="en-GB"/>
        </w:rPr>
      </w:pPr>
      <w:r w:rsidRPr="00221F63">
        <w:rPr>
          <w:lang w:val="en-GB"/>
        </w:rPr>
        <w:t>7. Verghese PB, Castellano JM, Holtzman DM.</w:t>
      </w:r>
      <w:r w:rsidR="00533926">
        <w:rPr>
          <w:lang w:val="en-GB"/>
        </w:rPr>
        <w:t xml:space="preserve"> </w:t>
      </w:r>
      <w:r w:rsidRPr="00221F63">
        <w:rPr>
          <w:lang w:val="en-GB"/>
        </w:rPr>
        <w:t>Apolipoprotein E in Alzheimer’s disease and other neu-</w:t>
      </w:r>
    </w:p>
    <w:p w:rsidR="00221F63" w:rsidRPr="00221F63" w:rsidRDefault="00221F63" w:rsidP="00221F63">
      <w:pPr>
        <w:spacing w:after="0"/>
        <w:rPr>
          <w:lang w:val="en-GB"/>
        </w:rPr>
      </w:pPr>
      <w:r w:rsidRPr="00221F63">
        <w:rPr>
          <w:lang w:val="en-GB"/>
        </w:rPr>
        <w:t>rological disorders. Lancet Neurol 2011; 10: 241–252.</w:t>
      </w:r>
    </w:p>
    <w:p w:rsidR="00221F63" w:rsidRPr="00221F63" w:rsidRDefault="00221F63" w:rsidP="00221F63">
      <w:pPr>
        <w:spacing w:after="0"/>
        <w:rPr>
          <w:lang w:val="en-GB"/>
        </w:rPr>
      </w:pPr>
      <w:r w:rsidRPr="00221F63">
        <w:rPr>
          <w:lang w:val="en-GB"/>
        </w:rPr>
        <w:t>8. Karch CM, Goate AM. Alzheimer’s disease risk genes</w:t>
      </w:r>
      <w:r w:rsidR="00533926">
        <w:rPr>
          <w:lang w:val="en-GB"/>
        </w:rPr>
        <w:t xml:space="preserve"> </w:t>
      </w:r>
      <w:r w:rsidRPr="00221F63">
        <w:rPr>
          <w:lang w:val="en-GB"/>
        </w:rPr>
        <w:t>and mechanisms of disease pathogenesis. Biol Psychiatry2015; 77: 43–51.</w:t>
      </w:r>
    </w:p>
    <w:p w:rsidR="00221F63" w:rsidRPr="00221F63" w:rsidRDefault="00221F63" w:rsidP="00221F63">
      <w:pPr>
        <w:spacing w:after="0"/>
        <w:rPr>
          <w:lang w:val="en-GB"/>
        </w:rPr>
      </w:pPr>
      <w:r w:rsidRPr="00221F63">
        <w:rPr>
          <w:lang w:val="en-GB"/>
        </w:rPr>
        <w:t>9. Escott-Price V, Sims R, Bannister C, et al. Common</w:t>
      </w:r>
      <w:r w:rsidR="004E676C">
        <w:rPr>
          <w:lang w:val="en-GB"/>
        </w:rPr>
        <w:t xml:space="preserve"> </w:t>
      </w:r>
      <w:r w:rsidRPr="00221F63">
        <w:rPr>
          <w:lang w:val="en-GB"/>
        </w:rPr>
        <w:t>polygenic variation enhances risk prediction for Alzhei-</w:t>
      </w:r>
    </w:p>
    <w:p w:rsidR="00221F63" w:rsidRPr="00221F63" w:rsidRDefault="00221F63" w:rsidP="00221F63">
      <w:pPr>
        <w:spacing w:after="0"/>
        <w:rPr>
          <w:lang w:val="en-GB"/>
        </w:rPr>
      </w:pPr>
      <w:r w:rsidRPr="00221F63">
        <w:rPr>
          <w:lang w:val="en-GB"/>
        </w:rPr>
        <w:t>mer’s disease. Brain 2015; 138: 3673–3684.</w:t>
      </w:r>
    </w:p>
    <w:p w:rsidR="00221F63" w:rsidRPr="00221F63" w:rsidRDefault="00221F63" w:rsidP="00221F63">
      <w:pPr>
        <w:spacing w:after="0"/>
        <w:rPr>
          <w:lang w:val="en-GB"/>
        </w:rPr>
      </w:pPr>
      <w:r w:rsidRPr="00221F63">
        <w:rPr>
          <w:lang w:val="en-GB"/>
        </w:rPr>
        <w:t>10. Xu W, Tan L, Wang H-F, et al. Meta-analysis of modifiable risk factors for Alzheimer’s disease. J Neurol Neurosurg Psychiatry 2015; 86: 1299–1306.</w:t>
      </w:r>
    </w:p>
    <w:p w:rsidR="00221F63" w:rsidRPr="00221F63" w:rsidRDefault="00221F63" w:rsidP="00221F63">
      <w:pPr>
        <w:spacing w:after="0"/>
      </w:pPr>
      <w:r w:rsidRPr="00221F63">
        <w:rPr>
          <w:lang w:val="en-GB"/>
        </w:rPr>
        <w:t>11. Qizilbash N, Gregson J, Johnson M, et al. BMI and risk</w:t>
      </w:r>
      <w:r w:rsidR="004E676C">
        <w:rPr>
          <w:lang w:val="en-GB"/>
        </w:rPr>
        <w:t xml:space="preserve"> </w:t>
      </w:r>
      <w:r w:rsidRPr="00221F63">
        <w:rPr>
          <w:lang w:val="en-GB"/>
        </w:rPr>
        <w:t>of dementia in two million people over two decades: a</w:t>
      </w:r>
      <w:r w:rsidR="004E676C">
        <w:rPr>
          <w:lang w:val="en-GB"/>
        </w:rPr>
        <w:t xml:space="preserve"> </w:t>
      </w:r>
      <w:r w:rsidRPr="00221F63">
        <w:rPr>
          <w:lang w:val="en-GB"/>
        </w:rPr>
        <w:t xml:space="preserve">retrospective cohort study. </w:t>
      </w:r>
      <w:r w:rsidRPr="00221F63">
        <w:t>Lancet Diabetes Endocrinol 2015; 3: 431–436.</w:t>
      </w:r>
    </w:p>
    <w:p w:rsidR="00221F63" w:rsidRPr="00221F63" w:rsidRDefault="00221F63" w:rsidP="00221F63">
      <w:pPr>
        <w:spacing w:after="0"/>
        <w:rPr>
          <w:lang w:val="en-GB"/>
        </w:rPr>
      </w:pPr>
      <w:r w:rsidRPr="00221F63">
        <w:t>12. Serrano-Pozo A, Frosch MP, Masliah E, Hyman BT.</w:t>
      </w:r>
      <w:r w:rsidR="004E676C">
        <w:t xml:space="preserve"> </w:t>
      </w:r>
      <w:r w:rsidRPr="00221F63">
        <w:rPr>
          <w:lang w:val="en-GB"/>
        </w:rPr>
        <w:t>Neuropathological alterations in Alzheimer disease. ColdSpring Harb Perspect Med 2011; 1: a006189.</w:t>
      </w:r>
    </w:p>
    <w:p w:rsidR="00221F63" w:rsidRPr="00221F63" w:rsidRDefault="00221F63" w:rsidP="00221F63">
      <w:pPr>
        <w:spacing w:after="0"/>
        <w:rPr>
          <w:lang w:val="en-GB"/>
        </w:rPr>
      </w:pPr>
      <w:r w:rsidRPr="00221F63">
        <w:rPr>
          <w:lang w:val="en-GB"/>
        </w:rPr>
        <w:t>13. Schneider JA, Arvanitakis Z, Leurgans SE, Bennett DA.</w:t>
      </w:r>
      <w:r w:rsidR="004E676C">
        <w:rPr>
          <w:lang w:val="en-GB"/>
        </w:rPr>
        <w:t xml:space="preserve"> </w:t>
      </w:r>
      <w:r w:rsidRPr="00221F63">
        <w:rPr>
          <w:lang w:val="en-GB"/>
        </w:rPr>
        <w:t>The neuropathology of probable Alzheimer disease and</w:t>
      </w:r>
      <w:r w:rsidR="004E676C">
        <w:rPr>
          <w:lang w:val="en-GB"/>
        </w:rPr>
        <w:t xml:space="preserve"> </w:t>
      </w:r>
      <w:r w:rsidRPr="00221F63">
        <w:rPr>
          <w:lang w:val="en-GB"/>
        </w:rPr>
        <w:t>mild cognitive impairment. Ann Neurol 2009; 66: 200–208.</w:t>
      </w:r>
    </w:p>
    <w:p w:rsidR="00221F63" w:rsidRPr="00221F63" w:rsidRDefault="00221F63" w:rsidP="00221F63">
      <w:pPr>
        <w:spacing w:after="0"/>
        <w:rPr>
          <w:lang w:val="en-GB"/>
        </w:rPr>
      </w:pPr>
      <w:r w:rsidRPr="00221F63">
        <w:rPr>
          <w:lang w:val="en-GB"/>
        </w:rPr>
        <w:t>14. Revesz T, McLaughlin JL, Rossor MN, Lantos PL.</w:t>
      </w:r>
      <w:r w:rsidR="004E676C">
        <w:rPr>
          <w:lang w:val="en-GB"/>
        </w:rPr>
        <w:t xml:space="preserve"> </w:t>
      </w:r>
      <w:r w:rsidRPr="00221F63">
        <w:rPr>
          <w:lang w:val="en-GB"/>
        </w:rPr>
        <w:t>Pathology of familial Alzheimer’s disease with Lewy</w:t>
      </w:r>
    </w:p>
    <w:p w:rsidR="00221F63" w:rsidRPr="00221F63" w:rsidRDefault="00221F63" w:rsidP="00221F63">
      <w:pPr>
        <w:spacing w:after="0"/>
        <w:rPr>
          <w:lang w:val="en-GB"/>
        </w:rPr>
      </w:pPr>
      <w:r w:rsidRPr="00221F63">
        <w:rPr>
          <w:lang w:val="en-GB"/>
        </w:rPr>
        <w:t>bodies. J Neural Transm Suppl 1997; 51: 121–135.</w:t>
      </w:r>
    </w:p>
    <w:p w:rsidR="00221F63" w:rsidRDefault="00221F63" w:rsidP="00221F63">
      <w:pPr>
        <w:spacing w:after="0"/>
        <w:rPr>
          <w:lang w:val="en-GB"/>
        </w:rPr>
      </w:pPr>
      <w:r w:rsidRPr="00943103">
        <w:rPr>
          <w:lang w:val="en-GB"/>
        </w:rPr>
        <w:t>1</w:t>
      </w:r>
      <w:r w:rsidR="002D31C6">
        <w:rPr>
          <w:lang w:val="en-GB"/>
        </w:rPr>
        <w:t>5</w:t>
      </w:r>
      <w:r w:rsidRPr="00221F63">
        <w:rPr>
          <w:lang w:val="en-GB"/>
        </w:rPr>
        <w:t>. Ingelsson M, Fukumoto H, Newell KL, et al. Early</w:t>
      </w:r>
      <w:r w:rsidR="004E676C">
        <w:rPr>
          <w:lang w:val="en-GB"/>
        </w:rPr>
        <w:t xml:space="preserve"> </w:t>
      </w:r>
      <w:r w:rsidRPr="00221F63">
        <w:rPr>
          <w:lang w:val="en-GB"/>
        </w:rPr>
        <w:t>Abeta accumulation and progressive synaptic loss,</w:t>
      </w:r>
    </w:p>
    <w:p w:rsidR="00221F63" w:rsidRPr="00221F63" w:rsidRDefault="00221F63" w:rsidP="00221F63">
      <w:pPr>
        <w:spacing w:after="0"/>
        <w:rPr>
          <w:lang w:val="en-GB"/>
        </w:rPr>
      </w:pPr>
      <w:r w:rsidRPr="00221F63">
        <w:rPr>
          <w:lang w:val="en-GB"/>
        </w:rPr>
        <w:t>gliosis, and tangle formation in AD brain. Neurology2004; 62: 925–931.</w:t>
      </w:r>
    </w:p>
    <w:p w:rsidR="00221F63" w:rsidRPr="00221F63" w:rsidRDefault="002D31C6" w:rsidP="00221F63">
      <w:pPr>
        <w:spacing w:after="0"/>
        <w:rPr>
          <w:lang w:val="en-GB"/>
        </w:rPr>
      </w:pPr>
      <w:r>
        <w:rPr>
          <w:lang w:val="en-GB"/>
        </w:rPr>
        <w:t>1</w:t>
      </w:r>
      <w:r w:rsidR="00E0265B">
        <w:rPr>
          <w:lang w:val="en-GB"/>
        </w:rPr>
        <w:t>6</w:t>
      </w:r>
      <w:r w:rsidR="00221F63" w:rsidRPr="00221F63">
        <w:rPr>
          <w:lang w:val="en-GB"/>
        </w:rPr>
        <w:t>. Hardy J, Selkoe DJ. The amyloid hypothesis of Alzheimer’s disease: progress and problems on the road to</w:t>
      </w:r>
      <w:r w:rsidR="004E676C">
        <w:rPr>
          <w:lang w:val="en-GB"/>
        </w:rPr>
        <w:t xml:space="preserve"> </w:t>
      </w:r>
      <w:r w:rsidR="00221F63" w:rsidRPr="00221F63">
        <w:rPr>
          <w:lang w:val="en-GB"/>
        </w:rPr>
        <w:t>therapeutics. Science (80-.) 2002; 297: 353–356.</w:t>
      </w:r>
    </w:p>
    <w:p w:rsidR="00221F63" w:rsidRPr="002B202A" w:rsidRDefault="00E0265B" w:rsidP="00221F63">
      <w:pPr>
        <w:spacing w:after="0"/>
        <w:rPr>
          <w:lang w:val="en-GB"/>
        </w:rPr>
      </w:pPr>
      <w:r>
        <w:rPr>
          <w:lang w:val="en-GB"/>
        </w:rPr>
        <w:t>17</w:t>
      </w:r>
      <w:r w:rsidR="00221F63" w:rsidRPr="00221F63">
        <w:rPr>
          <w:lang w:val="en-GB"/>
        </w:rPr>
        <w:t>. Jonsson T, Atwal JK, Steinberg S, et al. A mutation in</w:t>
      </w:r>
      <w:r w:rsidR="004E676C">
        <w:rPr>
          <w:lang w:val="en-GB"/>
        </w:rPr>
        <w:t xml:space="preserve"> </w:t>
      </w:r>
      <w:r w:rsidR="00221F63" w:rsidRPr="00221F63">
        <w:rPr>
          <w:lang w:val="en-GB"/>
        </w:rPr>
        <w:t>APP protects against Alzheimer’s disease and age-related</w:t>
      </w:r>
      <w:r w:rsidR="004E676C">
        <w:rPr>
          <w:lang w:val="en-GB"/>
        </w:rPr>
        <w:t xml:space="preserve"> </w:t>
      </w:r>
      <w:r w:rsidR="00221F63" w:rsidRPr="00221F63">
        <w:rPr>
          <w:lang w:val="en-GB"/>
        </w:rPr>
        <w:t xml:space="preserve">cognitive decline. </w:t>
      </w:r>
      <w:r w:rsidR="00221F63" w:rsidRPr="002B202A">
        <w:rPr>
          <w:lang w:val="en-GB"/>
        </w:rPr>
        <w:t>Nature 2012; 488: 96–99.</w:t>
      </w:r>
    </w:p>
    <w:p w:rsidR="00221F63" w:rsidRPr="00221F63" w:rsidRDefault="00E0265B" w:rsidP="00221F63">
      <w:pPr>
        <w:spacing w:after="0"/>
        <w:rPr>
          <w:lang w:val="en-GB"/>
        </w:rPr>
      </w:pPr>
      <w:r>
        <w:rPr>
          <w:lang w:val="en-GB"/>
        </w:rPr>
        <w:t>18</w:t>
      </w:r>
      <w:r w:rsidR="00221F63" w:rsidRPr="00221F63">
        <w:rPr>
          <w:lang w:val="en-GB"/>
        </w:rPr>
        <w:t>. Forloni G, Artuso V, La Vitola P, Balducci C. Oligomeropathies and pathogenesis of Alzheimer and Parkinson’s diseases. Mov Disord 2016; 31: 771–781.</w:t>
      </w:r>
    </w:p>
    <w:p w:rsidR="00221F63" w:rsidRDefault="00E0265B" w:rsidP="00221F63">
      <w:pPr>
        <w:spacing w:after="0"/>
        <w:rPr>
          <w:lang w:val="en-GB"/>
        </w:rPr>
      </w:pPr>
      <w:r>
        <w:rPr>
          <w:lang w:val="en-GB"/>
        </w:rPr>
        <w:t>19</w:t>
      </w:r>
      <w:r w:rsidR="00221F63" w:rsidRPr="00221F63">
        <w:rPr>
          <w:lang w:val="en-GB"/>
        </w:rPr>
        <w:t>. Shankar GM, Li S, Mehta TH, et al. Amyloid-b protein</w:t>
      </w:r>
      <w:r w:rsidR="004E676C">
        <w:rPr>
          <w:lang w:val="en-GB"/>
        </w:rPr>
        <w:t xml:space="preserve"> </w:t>
      </w:r>
      <w:r w:rsidR="00221F63" w:rsidRPr="00221F63">
        <w:rPr>
          <w:lang w:val="en-GB"/>
        </w:rPr>
        <w:t>dimers isolated directly from Alzheimer’s brains impairsynaptic plasticity and memory. Nat Med 2008; 14: 837–842.</w:t>
      </w:r>
    </w:p>
    <w:p w:rsidR="00221F63" w:rsidRPr="00221F63" w:rsidRDefault="00E0265B" w:rsidP="00221F63">
      <w:pPr>
        <w:spacing w:after="0"/>
        <w:rPr>
          <w:lang w:val="en-GB"/>
        </w:rPr>
      </w:pPr>
      <w:r>
        <w:rPr>
          <w:lang w:val="en-GB"/>
        </w:rPr>
        <w:t>20</w:t>
      </w:r>
      <w:r w:rsidR="00221F63" w:rsidRPr="00221F63">
        <w:rPr>
          <w:lang w:val="en-GB"/>
        </w:rPr>
        <w:t>. Jin M, Shepardson N, Yang T, Chen G, Walsh D,</w:t>
      </w:r>
      <w:r w:rsidR="004E676C">
        <w:rPr>
          <w:lang w:val="en-GB"/>
        </w:rPr>
        <w:t xml:space="preserve"> </w:t>
      </w:r>
      <w:r w:rsidR="00221F63" w:rsidRPr="00221F63">
        <w:rPr>
          <w:lang w:val="en-GB"/>
        </w:rPr>
        <w:t>Selkoe DJ. Soluble amyloid-protein dimers isolated from</w:t>
      </w:r>
    </w:p>
    <w:p w:rsidR="00221F63" w:rsidRPr="00221F63" w:rsidRDefault="00221F63" w:rsidP="00221F63">
      <w:pPr>
        <w:spacing w:after="0"/>
        <w:rPr>
          <w:lang w:val="en-GB"/>
        </w:rPr>
      </w:pPr>
      <w:r w:rsidRPr="00221F63">
        <w:rPr>
          <w:lang w:val="en-GB"/>
        </w:rPr>
        <w:t>Alzheimer cortex directly induce tau hyperphosphorylation and neuritic degeneration. Proc Natl Acad Sci 2011;108: 5819–5824.</w:t>
      </w:r>
    </w:p>
    <w:p w:rsidR="00221F63" w:rsidRPr="00221F63" w:rsidRDefault="00E0265B" w:rsidP="00221F63">
      <w:pPr>
        <w:spacing w:after="0"/>
        <w:rPr>
          <w:lang w:val="en-GB"/>
        </w:rPr>
      </w:pPr>
      <w:r>
        <w:rPr>
          <w:lang w:val="en-GB"/>
        </w:rPr>
        <w:t>2</w:t>
      </w:r>
      <w:r w:rsidR="00F11C54">
        <w:rPr>
          <w:lang w:val="en-GB"/>
        </w:rPr>
        <w:t>1</w:t>
      </w:r>
      <w:r w:rsidR="00221F63" w:rsidRPr="00221F63">
        <w:rPr>
          <w:lang w:val="en-GB"/>
        </w:rPr>
        <w:t>. Femminella GD, Ninan S, Atkinson R, Fan Z, Brooks</w:t>
      </w:r>
      <w:r w:rsidR="004E676C">
        <w:rPr>
          <w:lang w:val="en-GB"/>
        </w:rPr>
        <w:t xml:space="preserve"> </w:t>
      </w:r>
      <w:r w:rsidR="00221F63" w:rsidRPr="00221F63">
        <w:rPr>
          <w:lang w:val="en-GB"/>
        </w:rPr>
        <w:t>DJ, Edison P. Does microglial activation influence hip-</w:t>
      </w:r>
    </w:p>
    <w:p w:rsidR="00221F63" w:rsidRDefault="00221F63" w:rsidP="00221F63">
      <w:pPr>
        <w:spacing w:after="0"/>
        <w:rPr>
          <w:lang w:val="en-GB"/>
        </w:rPr>
      </w:pPr>
      <w:r w:rsidRPr="00221F63">
        <w:rPr>
          <w:lang w:val="en-GB"/>
        </w:rPr>
        <w:t>pocampal volume and neuronal function in Alzheimer’s</w:t>
      </w:r>
      <w:r w:rsidR="004E676C">
        <w:rPr>
          <w:lang w:val="en-GB"/>
        </w:rPr>
        <w:t xml:space="preserve"> </w:t>
      </w:r>
      <w:r w:rsidRPr="00221F63">
        <w:rPr>
          <w:lang w:val="en-GB"/>
        </w:rPr>
        <w:t>disease and Parkinson’s disease dementia? J Alzheimers</w:t>
      </w:r>
      <w:r w:rsidR="004E676C">
        <w:rPr>
          <w:lang w:val="en-GB"/>
        </w:rPr>
        <w:t xml:space="preserve"> </w:t>
      </w:r>
      <w:r w:rsidRPr="00221F63">
        <w:rPr>
          <w:lang w:val="en-GB"/>
        </w:rPr>
        <w:t>Dis 2016; 51: 1275–1289.</w:t>
      </w:r>
    </w:p>
    <w:p w:rsidR="00221F63" w:rsidRPr="00221F63" w:rsidRDefault="00E0265B" w:rsidP="00221F63">
      <w:pPr>
        <w:spacing w:after="0"/>
        <w:rPr>
          <w:lang w:val="en-GB"/>
        </w:rPr>
      </w:pPr>
      <w:r>
        <w:rPr>
          <w:lang w:val="en-GB"/>
        </w:rPr>
        <w:t>2</w:t>
      </w:r>
      <w:r w:rsidR="00F11C54">
        <w:rPr>
          <w:lang w:val="en-GB"/>
        </w:rPr>
        <w:t>2</w:t>
      </w:r>
      <w:r w:rsidR="00221F63" w:rsidRPr="00221F63">
        <w:rPr>
          <w:lang w:val="en-GB"/>
        </w:rPr>
        <w:t>. Hamelin L, Lagarde J, Dorothee G, et al. Early and</w:t>
      </w:r>
      <w:r w:rsidR="004E676C">
        <w:rPr>
          <w:lang w:val="en-GB"/>
        </w:rPr>
        <w:t xml:space="preserve"> </w:t>
      </w:r>
      <w:r w:rsidR="00221F63" w:rsidRPr="00221F63">
        <w:rPr>
          <w:lang w:val="en-GB"/>
        </w:rPr>
        <w:t>protective microglial activation in Alzheimer’s disease: a</w:t>
      </w:r>
      <w:r w:rsidR="004E676C">
        <w:rPr>
          <w:lang w:val="en-GB"/>
        </w:rPr>
        <w:t xml:space="preserve"> </w:t>
      </w:r>
      <w:r w:rsidR="00221F63" w:rsidRPr="00221F63">
        <w:rPr>
          <w:lang w:val="en-GB"/>
        </w:rPr>
        <w:t>prospective study using 18 F-DPA-714 PET imaging.</w:t>
      </w:r>
      <w:r w:rsidR="004E676C">
        <w:rPr>
          <w:lang w:val="en-GB"/>
        </w:rPr>
        <w:t xml:space="preserve"> </w:t>
      </w:r>
      <w:r w:rsidR="00221F63" w:rsidRPr="00221F63">
        <w:rPr>
          <w:lang w:val="en-GB"/>
        </w:rPr>
        <w:t>Brain 2016; 139: 1252–1264.</w:t>
      </w:r>
    </w:p>
    <w:p w:rsidR="00221F63" w:rsidRPr="00221F63" w:rsidRDefault="00E0265B" w:rsidP="00221F63">
      <w:pPr>
        <w:spacing w:after="0"/>
        <w:rPr>
          <w:lang w:val="en-GB"/>
        </w:rPr>
      </w:pPr>
      <w:r>
        <w:rPr>
          <w:lang w:val="en-GB"/>
        </w:rPr>
        <w:t>2</w:t>
      </w:r>
      <w:r w:rsidR="00FC39C1">
        <w:rPr>
          <w:lang w:val="en-GB"/>
        </w:rPr>
        <w:t>3</w:t>
      </w:r>
      <w:r w:rsidR="00221F63" w:rsidRPr="00221F63">
        <w:rPr>
          <w:lang w:val="en-GB"/>
        </w:rPr>
        <w:t>. Jost BC, Grossberg GT. The natural history of Alzheimer’s disease: a brain bank study. J Am Geriatr Soc</w:t>
      </w:r>
      <w:r w:rsidR="00913449">
        <w:rPr>
          <w:lang w:val="en-GB"/>
        </w:rPr>
        <w:t>3</w:t>
      </w:r>
    </w:p>
    <w:p w:rsidR="00221F63" w:rsidRPr="00221F63" w:rsidRDefault="00221F63" w:rsidP="00221F63">
      <w:pPr>
        <w:spacing w:after="0"/>
        <w:rPr>
          <w:lang w:val="en-GB"/>
        </w:rPr>
      </w:pPr>
      <w:r w:rsidRPr="00221F63">
        <w:rPr>
          <w:lang w:val="en-GB"/>
        </w:rPr>
        <w:t>1995; 43: 1248–1255.</w:t>
      </w:r>
    </w:p>
    <w:p w:rsidR="00221F63" w:rsidRPr="00221F63" w:rsidRDefault="00AB011D" w:rsidP="00221F63">
      <w:pPr>
        <w:spacing w:after="0"/>
        <w:rPr>
          <w:lang w:val="en-GB"/>
        </w:rPr>
      </w:pPr>
      <w:r>
        <w:rPr>
          <w:lang w:val="en-GB"/>
        </w:rPr>
        <w:t>24</w:t>
      </w:r>
      <w:r w:rsidR="00221F63" w:rsidRPr="00221F63">
        <w:rPr>
          <w:lang w:val="en-GB"/>
        </w:rPr>
        <w:t>. Birks JS. Cholinesterase inhibitors for Alzheimer’s disease. Cochrane Database Syst Rev 2006; 1: CD005593.</w:t>
      </w:r>
    </w:p>
    <w:p w:rsidR="00221F63" w:rsidRPr="00221F63" w:rsidRDefault="00AB011D" w:rsidP="00221F63">
      <w:pPr>
        <w:spacing w:after="0"/>
        <w:rPr>
          <w:lang w:val="en-GB"/>
        </w:rPr>
      </w:pPr>
      <w:r>
        <w:rPr>
          <w:lang w:val="en-GB"/>
        </w:rPr>
        <w:lastRenderedPageBreak/>
        <w:t>25</w:t>
      </w:r>
      <w:r w:rsidR="00221F63" w:rsidRPr="00221F63">
        <w:rPr>
          <w:lang w:val="en-GB"/>
        </w:rPr>
        <w:t>. Howard R, McShane R, Lindesay J, et al. Nursing</w:t>
      </w:r>
      <w:r w:rsidR="004E676C">
        <w:rPr>
          <w:lang w:val="en-GB"/>
        </w:rPr>
        <w:t xml:space="preserve"> </w:t>
      </w:r>
      <w:r w:rsidR="00221F63" w:rsidRPr="00221F63">
        <w:rPr>
          <w:lang w:val="en-GB"/>
        </w:rPr>
        <w:t>home placement in the Donepezil and Memantine in</w:t>
      </w:r>
    </w:p>
    <w:p w:rsidR="00221F63" w:rsidRPr="00221F63" w:rsidRDefault="00221F63" w:rsidP="00221F63">
      <w:pPr>
        <w:spacing w:after="0"/>
        <w:rPr>
          <w:lang w:val="en-GB"/>
        </w:rPr>
      </w:pPr>
      <w:r w:rsidRPr="00221F63">
        <w:rPr>
          <w:lang w:val="en-GB"/>
        </w:rPr>
        <w:t>Moderate to Severe Alzheimer’s Disease (DOMINO-AD) trial: secondary and post hoc analyses. Lancet Neu-</w:t>
      </w:r>
    </w:p>
    <w:p w:rsidR="00221F63" w:rsidRPr="00221F63" w:rsidRDefault="00221F63" w:rsidP="00221F63">
      <w:pPr>
        <w:spacing w:after="0"/>
        <w:rPr>
          <w:lang w:val="en-GB"/>
        </w:rPr>
      </w:pPr>
      <w:r w:rsidRPr="00221F63">
        <w:rPr>
          <w:lang w:val="en-GB"/>
        </w:rPr>
        <w:t>rol 2015; 14: 1171–1181.</w:t>
      </w:r>
    </w:p>
    <w:p w:rsidR="00221F63" w:rsidRPr="00221F63" w:rsidRDefault="00AB011D" w:rsidP="00221F63">
      <w:pPr>
        <w:spacing w:after="0"/>
        <w:rPr>
          <w:lang w:val="en-GB"/>
        </w:rPr>
      </w:pPr>
      <w:r>
        <w:rPr>
          <w:lang w:val="en-GB"/>
        </w:rPr>
        <w:t>26</w:t>
      </w:r>
      <w:r w:rsidR="00221F63" w:rsidRPr="00221F63">
        <w:rPr>
          <w:lang w:val="en-GB"/>
        </w:rPr>
        <w:t>. McShane R, Areosa Sastre A, Minakaran N. Memantine for dementia. Cochrane Database Syst Rev 2006; 2:CD003154.</w:t>
      </w:r>
    </w:p>
    <w:p w:rsidR="00221F63" w:rsidRPr="00221F63" w:rsidRDefault="00AB011D" w:rsidP="00221F63">
      <w:pPr>
        <w:spacing w:after="0"/>
        <w:rPr>
          <w:lang w:val="en-GB"/>
        </w:rPr>
      </w:pPr>
      <w:r>
        <w:rPr>
          <w:lang w:val="en-GB"/>
        </w:rPr>
        <w:t>27</w:t>
      </w:r>
      <w:r w:rsidR="00221F63" w:rsidRPr="00221F63">
        <w:rPr>
          <w:lang w:val="en-GB"/>
        </w:rPr>
        <w:t>. Schmidt R, Hofer E, Bouwman FH, et al. EFNS-ENS/EAN Guideline on concomitant use of cholinesterase</w:t>
      </w:r>
    </w:p>
    <w:p w:rsidR="00221F63" w:rsidRPr="00221F63" w:rsidRDefault="00221F63" w:rsidP="00221F63">
      <w:pPr>
        <w:spacing w:after="0"/>
        <w:rPr>
          <w:lang w:val="en-GB"/>
        </w:rPr>
      </w:pPr>
      <w:r w:rsidRPr="00221F63">
        <w:rPr>
          <w:lang w:val="en-GB"/>
        </w:rPr>
        <w:t>inhibitors and memantine in moderate to severe Alzheimer’s disease. Eur J Neurol 2015; 22: 889–898.</w:t>
      </w:r>
    </w:p>
    <w:p w:rsidR="00221F63" w:rsidRPr="00221F63" w:rsidRDefault="00AB011D" w:rsidP="00221F63">
      <w:pPr>
        <w:spacing w:after="0"/>
        <w:rPr>
          <w:lang w:val="en-GB"/>
        </w:rPr>
      </w:pPr>
      <w:r w:rsidRPr="00F716A1">
        <w:rPr>
          <w:highlight w:val="yellow"/>
          <w:lang w:val="en-GB"/>
        </w:rPr>
        <w:t>31</w:t>
      </w:r>
      <w:r w:rsidR="00221F63" w:rsidRPr="00221F63">
        <w:rPr>
          <w:lang w:val="en-GB"/>
        </w:rPr>
        <w:t>. The Lancet Neurology. Antipsychotic drugs for dementia: a balancing act. Lancet Neurol 2009; 8: 125.</w:t>
      </w:r>
    </w:p>
    <w:p w:rsidR="00221F63" w:rsidRPr="00221F63" w:rsidRDefault="00AB011D" w:rsidP="00221F63">
      <w:pPr>
        <w:spacing w:after="0"/>
        <w:rPr>
          <w:lang w:val="en-GB"/>
        </w:rPr>
      </w:pPr>
      <w:r>
        <w:rPr>
          <w:lang w:val="en-GB"/>
        </w:rPr>
        <w:t>32</w:t>
      </w:r>
      <w:r w:rsidR="00221F63" w:rsidRPr="00221F63">
        <w:rPr>
          <w:lang w:val="en-GB"/>
        </w:rPr>
        <w:t>. Ballard C, Howard R. Neuroleptic drugs in dementia:</w:t>
      </w:r>
      <w:r w:rsidR="004E676C">
        <w:rPr>
          <w:lang w:val="en-GB"/>
        </w:rPr>
        <w:t xml:space="preserve"> </w:t>
      </w:r>
      <w:r w:rsidR="00221F63" w:rsidRPr="00221F63">
        <w:rPr>
          <w:lang w:val="en-GB"/>
        </w:rPr>
        <w:t>benefits and harm. Nat Rev Neurosci 2006; 7: 492–500.</w:t>
      </w:r>
    </w:p>
    <w:p w:rsidR="00221F63" w:rsidRDefault="00AB011D" w:rsidP="00221F63">
      <w:pPr>
        <w:spacing w:after="0"/>
        <w:rPr>
          <w:lang w:val="en-GB"/>
        </w:rPr>
      </w:pPr>
      <w:r>
        <w:rPr>
          <w:lang w:val="en-GB"/>
        </w:rPr>
        <w:t>33</w:t>
      </w:r>
      <w:r w:rsidR="00221F63" w:rsidRPr="00221F63">
        <w:rPr>
          <w:lang w:val="en-GB"/>
        </w:rPr>
        <w:t>. Livingston G, Kelly L, Lewis-Holmes E, et al. Non-pharmacological interventions for agitation in dementia:</w:t>
      </w:r>
      <w:r w:rsidR="004E676C">
        <w:rPr>
          <w:lang w:val="en-GB"/>
        </w:rPr>
        <w:t xml:space="preserve"> </w:t>
      </w:r>
      <w:r w:rsidR="00221F63" w:rsidRPr="00221F63">
        <w:rPr>
          <w:lang w:val="en-GB"/>
        </w:rPr>
        <w:t>systematic review of randomised controlled trials. Br J</w:t>
      </w:r>
      <w:r w:rsidR="004E676C">
        <w:rPr>
          <w:lang w:val="en-GB"/>
        </w:rPr>
        <w:t xml:space="preserve"> </w:t>
      </w:r>
      <w:r w:rsidR="00221F63" w:rsidRPr="00221F63">
        <w:rPr>
          <w:lang w:val="en-GB"/>
        </w:rPr>
        <w:t>Psychiatry 2014; 205: 436–442.</w:t>
      </w:r>
    </w:p>
    <w:p w:rsidR="005250FD" w:rsidRPr="005250FD" w:rsidRDefault="00AB011D" w:rsidP="005250FD">
      <w:pPr>
        <w:spacing w:after="0"/>
        <w:rPr>
          <w:lang w:val="en-GB"/>
        </w:rPr>
      </w:pPr>
      <w:r>
        <w:rPr>
          <w:lang w:val="en-GB"/>
        </w:rPr>
        <w:t>34</w:t>
      </w:r>
      <w:r w:rsidR="005250FD" w:rsidRPr="005250FD">
        <w:rPr>
          <w:lang w:val="en-GB"/>
        </w:rPr>
        <w:t>. Hardy, J. &amp; Selkoe, D. J. The amyloid hypothesis of Alzheimer’s disease: progress and problems on the road to therapeutics. Science 297, 353–356 (2002).</w:t>
      </w:r>
    </w:p>
    <w:p w:rsidR="005250FD" w:rsidRPr="005250FD" w:rsidRDefault="00AB011D" w:rsidP="005250FD">
      <w:pPr>
        <w:spacing w:after="0"/>
        <w:rPr>
          <w:lang w:val="en-GB"/>
        </w:rPr>
      </w:pPr>
      <w:r>
        <w:rPr>
          <w:lang w:val="en-GB"/>
        </w:rPr>
        <w:t>35</w:t>
      </w:r>
      <w:r w:rsidR="005250FD" w:rsidRPr="005250FD">
        <w:rPr>
          <w:lang w:val="en-GB"/>
        </w:rPr>
        <w:t>. Ising, C., Stanley, M. &amp; Holtzman, D. M. Current thinking on the mechanistic basis of Alzheimer’s and implications for drug development. Clin. Pharmacol. Ther. 98, 469–471 (2015).</w:t>
      </w:r>
    </w:p>
    <w:p w:rsidR="005250FD" w:rsidRPr="005250FD" w:rsidRDefault="00AB011D" w:rsidP="005250FD">
      <w:pPr>
        <w:spacing w:after="0"/>
        <w:rPr>
          <w:lang w:val="en-GB"/>
        </w:rPr>
      </w:pPr>
      <w:r>
        <w:rPr>
          <w:lang w:val="en-GB"/>
        </w:rPr>
        <w:t>36</w:t>
      </w:r>
      <w:r w:rsidR="005250FD" w:rsidRPr="005250FD">
        <w:rPr>
          <w:lang w:val="en-GB"/>
        </w:rPr>
        <w:t>. Selkoe, D. J. The therapeutics of Alzheimer’s disease: where we stand and where we are heading. Ann. Neurol. 74, 328–336 (2013).</w:t>
      </w:r>
    </w:p>
    <w:p w:rsidR="005250FD" w:rsidRPr="005250FD" w:rsidRDefault="00AB011D" w:rsidP="005250FD">
      <w:pPr>
        <w:spacing w:after="0"/>
        <w:rPr>
          <w:lang w:val="en-GB"/>
        </w:rPr>
      </w:pPr>
      <w:r>
        <w:rPr>
          <w:lang w:val="en-GB"/>
        </w:rPr>
        <w:t>37</w:t>
      </w:r>
      <w:r w:rsidR="005250FD" w:rsidRPr="005250FD">
        <w:rPr>
          <w:lang w:val="en-GB"/>
        </w:rPr>
        <w:t>. Cummings, J. L., Morstorf, T. &amp; Zhong, K. Alzheimer’s disease drug</w:t>
      </w:r>
      <w:r w:rsidR="004E676C">
        <w:rPr>
          <w:lang w:val="en-GB"/>
        </w:rPr>
        <w:t xml:space="preserve"> </w:t>
      </w:r>
      <w:r w:rsidR="005250FD" w:rsidRPr="005250FD">
        <w:rPr>
          <w:lang w:val="en-GB"/>
        </w:rPr>
        <w:t>development pipeline: few candidates, frequent failures. Alzheimers Res. Ther. 6, 37 (2014).</w:t>
      </w:r>
    </w:p>
    <w:p w:rsidR="005250FD" w:rsidRPr="005250FD" w:rsidRDefault="00AB011D" w:rsidP="005250FD">
      <w:pPr>
        <w:spacing w:after="0"/>
        <w:rPr>
          <w:lang w:val="en-GB"/>
        </w:rPr>
      </w:pPr>
      <w:r>
        <w:rPr>
          <w:lang w:val="en-GB"/>
        </w:rPr>
        <w:t>38</w:t>
      </w:r>
      <w:r w:rsidR="005250FD" w:rsidRPr="005250FD">
        <w:rPr>
          <w:lang w:val="en-GB"/>
        </w:rPr>
        <w:t>. Doody, R. S. et al. Phase 3 trials of solanezumab for mild-to-moderate Alzheimer’s disease. N. Engl. J. Med. 370, 311–321 (2014).</w:t>
      </w:r>
    </w:p>
    <w:p w:rsidR="005250FD" w:rsidRPr="005250FD" w:rsidRDefault="00AB011D" w:rsidP="005250FD">
      <w:pPr>
        <w:spacing w:after="0"/>
        <w:rPr>
          <w:lang w:val="en-GB"/>
        </w:rPr>
      </w:pPr>
      <w:r>
        <w:rPr>
          <w:lang w:val="en-GB"/>
        </w:rPr>
        <w:t>39</w:t>
      </w:r>
      <w:r w:rsidR="005250FD" w:rsidRPr="005250FD">
        <w:rPr>
          <w:lang w:val="en-GB"/>
        </w:rPr>
        <w:t>. Salloway, S. et al. Two phase 3 trials of bapineuzumab in mild-to-moderate Alzheimer’s disease. N. Engl. J. Med. 370, 322–333 (2014).</w:t>
      </w:r>
    </w:p>
    <w:p w:rsidR="005250FD" w:rsidRDefault="00AB011D" w:rsidP="005250FD">
      <w:pPr>
        <w:spacing w:after="0"/>
        <w:rPr>
          <w:lang w:val="en-GB"/>
        </w:rPr>
      </w:pPr>
      <w:r>
        <w:rPr>
          <w:lang w:val="en-GB"/>
        </w:rPr>
        <w:t>40</w:t>
      </w:r>
      <w:r w:rsidR="005250FD" w:rsidRPr="005250FD">
        <w:rPr>
          <w:lang w:val="en-GB"/>
        </w:rPr>
        <w:t>. Ferrero, J. et al. First-in-human, double-blind, placebo-controlled, single-dose escalation study of aducanumab (BIIB037) in mild-to-moderate Alzheimer’s disease. Alzheimers Dement (NY) (in the press).</w:t>
      </w:r>
    </w:p>
    <w:p w:rsidR="006B2780" w:rsidRDefault="00AB011D" w:rsidP="005250FD">
      <w:pPr>
        <w:spacing w:after="0"/>
        <w:rPr>
          <w:lang w:val="en-GB"/>
        </w:rPr>
      </w:pPr>
      <w:r>
        <w:rPr>
          <w:lang w:val="en-GB"/>
        </w:rPr>
        <w:t>41</w:t>
      </w:r>
      <w:r w:rsidR="006B2780">
        <w:rPr>
          <w:lang w:val="en-GB"/>
        </w:rPr>
        <w:t xml:space="preserve">. </w:t>
      </w:r>
      <w:r w:rsidR="006B2780" w:rsidRPr="006B2780">
        <w:rPr>
          <w:lang w:val="en-GB"/>
        </w:rPr>
        <w:t>Budd Haeberlein S, Aisen PS, Barkhof F, Chalkias S, Chen T, Cohen S, Dent G, Hansson O, Harrison K, von Hehn C, Iwatsubo T, Mallinckrodt C, Mummery CJ, Muralidharan KK, Nestorov I, Nisenbaum L, Rajagovindan R, Skordos L, Tian Y, van Dyck CH, Vellas B, Wu S, Zhu Y, Sandrock A. Two Randomized Phase 3 Studies of Aducanumab in Early Alzheimer's Disease. J Prev Alzheimers Dis. 2022;9(2):197-210. doi: 10.14283/jpad.2022.30. PMID: 35542991.</w:t>
      </w:r>
    </w:p>
    <w:p w:rsidR="00243D48" w:rsidRPr="00221F63" w:rsidRDefault="00AB011D" w:rsidP="00243D48">
      <w:pPr>
        <w:spacing w:after="0"/>
        <w:rPr>
          <w:lang w:val="en-GB"/>
        </w:rPr>
      </w:pPr>
      <w:r>
        <w:rPr>
          <w:lang w:val="en-GB"/>
        </w:rPr>
        <w:t>42</w:t>
      </w:r>
      <w:r w:rsidR="00563C73">
        <w:rPr>
          <w:lang w:val="en-GB"/>
        </w:rPr>
        <w:t xml:space="preserve">. </w:t>
      </w:r>
      <w:r w:rsidR="00563C73" w:rsidRPr="00563C73">
        <w:rPr>
          <w:lang w:val="en-GB"/>
        </w:rPr>
        <w:t xml:space="preserve">van Dyck CH, Swanson CJ, Aisen P, Bateman RJ, Chen C, Gee M, Kanekiyo M, Li D, Reyderman L, Cohen S, Froelich L, Katayama S, Sabbagh M, Vellas B, Watson D, Dhadda S, Irizarry M, Kramer LD, Iwatsubo T. Lecanemab in Early Alzheimer's Disease. N Engl J Med. 2023 Jan 5;388(1):9-21. </w:t>
      </w:r>
      <w:r w:rsidR="00E0265B">
        <w:rPr>
          <w:lang w:val="en-GB"/>
        </w:rPr>
        <w:t>d</w:t>
      </w:r>
      <w:r w:rsidR="00563C73" w:rsidRPr="00563C73">
        <w:rPr>
          <w:lang w:val="en-GB"/>
        </w:rPr>
        <w:t>oi:10.1056/NEJMoa2212948. Epub 2022 Nov 29. PMID: 36449413.</w:t>
      </w:r>
    </w:p>
    <w:sectPr w:rsidR="00243D48" w:rsidRPr="00221F63" w:rsidSect="004C09E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4E9" w:rsidRDefault="005624E9" w:rsidP="008E301C">
      <w:pPr>
        <w:spacing w:after="0" w:line="240" w:lineRule="auto"/>
      </w:pPr>
      <w:r>
        <w:separator/>
      </w:r>
    </w:p>
  </w:endnote>
  <w:endnote w:type="continuationSeparator" w:id="1">
    <w:p w:rsidR="005624E9" w:rsidRDefault="005624E9" w:rsidP="008E30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4E9" w:rsidRDefault="005624E9" w:rsidP="008E301C">
      <w:pPr>
        <w:spacing w:after="0" w:line="240" w:lineRule="auto"/>
      </w:pPr>
      <w:r>
        <w:separator/>
      </w:r>
    </w:p>
  </w:footnote>
  <w:footnote w:type="continuationSeparator" w:id="1">
    <w:p w:rsidR="005624E9" w:rsidRDefault="005624E9" w:rsidP="008E30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513"/>
    <w:multiLevelType w:val="hybridMultilevel"/>
    <w:tmpl w:val="6E2AA286"/>
    <w:lvl w:ilvl="0" w:tplc="6944AE2E">
      <w:start w:val="1"/>
      <w:numFmt w:val="bullet"/>
      <w:lvlText w:val="•"/>
      <w:lvlJc w:val="left"/>
      <w:pPr>
        <w:tabs>
          <w:tab w:val="num" w:pos="720"/>
        </w:tabs>
        <w:ind w:left="720" w:hanging="360"/>
      </w:pPr>
      <w:rPr>
        <w:rFonts w:ascii="Arial" w:hAnsi="Arial" w:hint="default"/>
      </w:rPr>
    </w:lvl>
    <w:lvl w:ilvl="1" w:tplc="950EB8EE" w:tentative="1">
      <w:start w:val="1"/>
      <w:numFmt w:val="bullet"/>
      <w:lvlText w:val="•"/>
      <w:lvlJc w:val="left"/>
      <w:pPr>
        <w:tabs>
          <w:tab w:val="num" w:pos="1440"/>
        </w:tabs>
        <w:ind w:left="1440" w:hanging="360"/>
      </w:pPr>
      <w:rPr>
        <w:rFonts w:ascii="Arial" w:hAnsi="Arial" w:hint="default"/>
      </w:rPr>
    </w:lvl>
    <w:lvl w:ilvl="2" w:tplc="1AF0D1B8" w:tentative="1">
      <w:start w:val="1"/>
      <w:numFmt w:val="bullet"/>
      <w:lvlText w:val="•"/>
      <w:lvlJc w:val="left"/>
      <w:pPr>
        <w:tabs>
          <w:tab w:val="num" w:pos="2160"/>
        </w:tabs>
        <w:ind w:left="2160" w:hanging="360"/>
      </w:pPr>
      <w:rPr>
        <w:rFonts w:ascii="Arial" w:hAnsi="Arial" w:hint="default"/>
      </w:rPr>
    </w:lvl>
    <w:lvl w:ilvl="3" w:tplc="1F126134" w:tentative="1">
      <w:start w:val="1"/>
      <w:numFmt w:val="bullet"/>
      <w:lvlText w:val="•"/>
      <w:lvlJc w:val="left"/>
      <w:pPr>
        <w:tabs>
          <w:tab w:val="num" w:pos="2880"/>
        </w:tabs>
        <w:ind w:left="2880" w:hanging="360"/>
      </w:pPr>
      <w:rPr>
        <w:rFonts w:ascii="Arial" w:hAnsi="Arial" w:hint="default"/>
      </w:rPr>
    </w:lvl>
    <w:lvl w:ilvl="4" w:tplc="7A96684E" w:tentative="1">
      <w:start w:val="1"/>
      <w:numFmt w:val="bullet"/>
      <w:lvlText w:val="•"/>
      <w:lvlJc w:val="left"/>
      <w:pPr>
        <w:tabs>
          <w:tab w:val="num" w:pos="3600"/>
        </w:tabs>
        <w:ind w:left="3600" w:hanging="360"/>
      </w:pPr>
      <w:rPr>
        <w:rFonts w:ascii="Arial" w:hAnsi="Arial" w:hint="default"/>
      </w:rPr>
    </w:lvl>
    <w:lvl w:ilvl="5" w:tplc="DEC6D800" w:tentative="1">
      <w:start w:val="1"/>
      <w:numFmt w:val="bullet"/>
      <w:lvlText w:val="•"/>
      <w:lvlJc w:val="left"/>
      <w:pPr>
        <w:tabs>
          <w:tab w:val="num" w:pos="4320"/>
        </w:tabs>
        <w:ind w:left="4320" w:hanging="360"/>
      </w:pPr>
      <w:rPr>
        <w:rFonts w:ascii="Arial" w:hAnsi="Arial" w:hint="default"/>
      </w:rPr>
    </w:lvl>
    <w:lvl w:ilvl="6" w:tplc="F76CA0E2" w:tentative="1">
      <w:start w:val="1"/>
      <w:numFmt w:val="bullet"/>
      <w:lvlText w:val="•"/>
      <w:lvlJc w:val="left"/>
      <w:pPr>
        <w:tabs>
          <w:tab w:val="num" w:pos="5040"/>
        </w:tabs>
        <w:ind w:left="5040" w:hanging="360"/>
      </w:pPr>
      <w:rPr>
        <w:rFonts w:ascii="Arial" w:hAnsi="Arial" w:hint="default"/>
      </w:rPr>
    </w:lvl>
    <w:lvl w:ilvl="7" w:tplc="6E2619F2" w:tentative="1">
      <w:start w:val="1"/>
      <w:numFmt w:val="bullet"/>
      <w:lvlText w:val="•"/>
      <w:lvlJc w:val="left"/>
      <w:pPr>
        <w:tabs>
          <w:tab w:val="num" w:pos="5760"/>
        </w:tabs>
        <w:ind w:left="5760" w:hanging="360"/>
      </w:pPr>
      <w:rPr>
        <w:rFonts w:ascii="Arial" w:hAnsi="Arial" w:hint="default"/>
      </w:rPr>
    </w:lvl>
    <w:lvl w:ilvl="8" w:tplc="DFF0AE5C" w:tentative="1">
      <w:start w:val="1"/>
      <w:numFmt w:val="bullet"/>
      <w:lvlText w:val="•"/>
      <w:lvlJc w:val="left"/>
      <w:pPr>
        <w:tabs>
          <w:tab w:val="num" w:pos="6480"/>
        </w:tabs>
        <w:ind w:left="6480" w:hanging="360"/>
      </w:pPr>
      <w:rPr>
        <w:rFonts w:ascii="Arial" w:hAnsi="Arial" w:hint="default"/>
      </w:rPr>
    </w:lvl>
  </w:abstractNum>
  <w:abstractNum w:abstractNumId="1">
    <w:nsid w:val="357C0EEC"/>
    <w:multiLevelType w:val="hybridMultilevel"/>
    <w:tmpl w:val="5B3C5FC6"/>
    <w:lvl w:ilvl="0" w:tplc="AC8ADB02">
      <w:start w:val="1"/>
      <w:numFmt w:val="bullet"/>
      <w:lvlText w:val="•"/>
      <w:lvlJc w:val="left"/>
      <w:pPr>
        <w:tabs>
          <w:tab w:val="num" w:pos="720"/>
        </w:tabs>
        <w:ind w:left="720" w:hanging="360"/>
      </w:pPr>
      <w:rPr>
        <w:rFonts w:ascii="Arial" w:hAnsi="Arial" w:hint="default"/>
      </w:rPr>
    </w:lvl>
    <w:lvl w:ilvl="1" w:tplc="9D205E2E" w:tentative="1">
      <w:start w:val="1"/>
      <w:numFmt w:val="bullet"/>
      <w:lvlText w:val="•"/>
      <w:lvlJc w:val="left"/>
      <w:pPr>
        <w:tabs>
          <w:tab w:val="num" w:pos="1440"/>
        </w:tabs>
        <w:ind w:left="1440" w:hanging="360"/>
      </w:pPr>
      <w:rPr>
        <w:rFonts w:ascii="Arial" w:hAnsi="Arial" w:hint="default"/>
      </w:rPr>
    </w:lvl>
    <w:lvl w:ilvl="2" w:tplc="8CB45DDA" w:tentative="1">
      <w:start w:val="1"/>
      <w:numFmt w:val="bullet"/>
      <w:lvlText w:val="•"/>
      <w:lvlJc w:val="left"/>
      <w:pPr>
        <w:tabs>
          <w:tab w:val="num" w:pos="2160"/>
        </w:tabs>
        <w:ind w:left="2160" w:hanging="360"/>
      </w:pPr>
      <w:rPr>
        <w:rFonts w:ascii="Arial" w:hAnsi="Arial" w:hint="default"/>
      </w:rPr>
    </w:lvl>
    <w:lvl w:ilvl="3" w:tplc="0F4C519C" w:tentative="1">
      <w:start w:val="1"/>
      <w:numFmt w:val="bullet"/>
      <w:lvlText w:val="•"/>
      <w:lvlJc w:val="left"/>
      <w:pPr>
        <w:tabs>
          <w:tab w:val="num" w:pos="2880"/>
        </w:tabs>
        <w:ind w:left="2880" w:hanging="360"/>
      </w:pPr>
      <w:rPr>
        <w:rFonts w:ascii="Arial" w:hAnsi="Arial" w:hint="default"/>
      </w:rPr>
    </w:lvl>
    <w:lvl w:ilvl="4" w:tplc="520E69AC" w:tentative="1">
      <w:start w:val="1"/>
      <w:numFmt w:val="bullet"/>
      <w:lvlText w:val="•"/>
      <w:lvlJc w:val="left"/>
      <w:pPr>
        <w:tabs>
          <w:tab w:val="num" w:pos="3600"/>
        </w:tabs>
        <w:ind w:left="3600" w:hanging="360"/>
      </w:pPr>
      <w:rPr>
        <w:rFonts w:ascii="Arial" w:hAnsi="Arial" w:hint="default"/>
      </w:rPr>
    </w:lvl>
    <w:lvl w:ilvl="5" w:tplc="579C66FE" w:tentative="1">
      <w:start w:val="1"/>
      <w:numFmt w:val="bullet"/>
      <w:lvlText w:val="•"/>
      <w:lvlJc w:val="left"/>
      <w:pPr>
        <w:tabs>
          <w:tab w:val="num" w:pos="4320"/>
        </w:tabs>
        <w:ind w:left="4320" w:hanging="360"/>
      </w:pPr>
      <w:rPr>
        <w:rFonts w:ascii="Arial" w:hAnsi="Arial" w:hint="default"/>
      </w:rPr>
    </w:lvl>
    <w:lvl w:ilvl="6" w:tplc="B6CC3FDE" w:tentative="1">
      <w:start w:val="1"/>
      <w:numFmt w:val="bullet"/>
      <w:lvlText w:val="•"/>
      <w:lvlJc w:val="left"/>
      <w:pPr>
        <w:tabs>
          <w:tab w:val="num" w:pos="5040"/>
        </w:tabs>
        <w:ind w:left="5040" w:hanging="360"/>
      </w:pPr>
      <w:rPr>
        <w:rFonts w:ascii="Arial" w:hAnsi="Arial" w:hint="default"/>
      </w:rPr>
    </w:lvl>
    <w:lvl w:ilvl="7" w:tplc="7B0C1F48" w:tentative="1">
      <w:start w:val="1"/>
      <w:numFmt w:val="bullet"/>
      <w:lvlText w:val="•"/>
      <w:lvlJc w:val="left"/>
      <w:pPr>
        <w:tabs>
          <w:tab w:val="num" w:pos="5760"/>
        </w:tabs>
        <w:ind w:left="5760" w:hanging="360"/>
      </w:pPr>
      <w:rPr>
        <w:rFonts w:ascii="Arial" w:hAnsi="Arial" w:hint="default"/>
      </w:rPr>
    </w:lvl>
    <w:lvl w:ilvl="8" w:tplc="591E3492" w:tentative="1">
      <w:start w:val="1"/>
      <w:numFmt w:val="bullet"/>
      <w:lvlText w:val="•"/>
      <w:lvlJc w:val="left"/>
      <w:pPr>
        <w:tabs>
          <w:tab w:val="num" w:pos="6480"/>
        </w:tabs>
        <w:ind w:left="6480" w:hanging="360"/>
      </w:pPr>
      <w:rPr>
        <w:rFonts w:ascii="Arial" w:hAnsi="Arial" w:hint="default"/>
      </w:rPr>
    </w:lvl>
  </w:abstractNum>
  <w:abstractNum w:abstractNumId="2">
    <w:nsid w:val="36134357"/>
    <w:multiLevelType w:val="hybridMultilevel"/>
    <w:tmpl w:val="33E8BA38"/>
    <w:lvl w:ilvl="0" w:tplc="970C0B66">
      <w:start w:val="1"/>
      <w:numFmt w:val="bullet"/>
      <w:lvlText w:val="•"/>
      <w:lvlJc w:val="left"/>
      <w:pPr>
        <w:tabs>
          <w:tab w:val="num" w:pos="720"/>
        </w:tabs>
        <w:ind w:left="720" w:hanging="360"/>
      </w:pPr>
      <w:rPr>
        <w:rFonts w:ascii="Arial" w:hAnsi="Arial" w:hint="default"/>
      </w:rPr>
    </w:lvl>
    <w:lvl w:ilvl="1" w:tplc="CABC4D8A" w:tentative="1">
      <w:start w:val="1"/>
      <w:numFmt w:val="bullet"/>
      <w:lvlText w:val="•"/>
      <w:lvlJc w:val="left"/>
      <w:pPr>
        <w:tabs>
          <w:tab w:val="num" w:pos="1440"/>
        </w:tabs>
        <w:ind w:left="1440" w:hanging="360"/>
      </w:pPr>
      <w:rPr>
        <w:rFonts w:ascii="Arial" w:hAnsi="Arial" w:hint="default"/>
      </w:rPr>
    </w:lvl>
    <w:lvl w:ilvl="2" w:tplc="12AE0FD2" w:tentative="1">
      <w:start w:val="1"/>
      <w:numFmt w:val="bullet"/>
      <w:lvlText w:val="•"/>
      <w:lvlJc w:val="left"/>
      <w:pPr>
        <w:tabs>
          <w:tab w:val="num" w:pos="2160"/>
        </w:tabs>
        <w:ind w:left="2160" w:hanging="360"/>
      </w:pPr>
      <w:rPr>
        <w:rFonts w:ascii="Arial" w:hAnsi="Arial" w:hint="default"/>
      </w:rPr>
    </w:lvl>
    <w:lvl w:ilvl="3" w:tplc="620A7BD4" w:tentative="1">
      <w:start w:val="1"/>
      <w:numFmt w:val="bullet"/>
      <w:lvlText w:val="•"/>
      <w:lvlJc w:val="left"/>
      <w:pPr>
        <w:tabs>
          <w:tab w:val="num" w:pos="2880"/>
        </w:tabs>
        <w:ind w:left="2880" w:hanging="360"/>
      </w:pPr>
      <w:rPr>
        <w:rFonts w:ascii="Arial" w:hAnsi="Arial" w:hint="default"/>
      </w:rPr>
    </w:lvl>
    <w:lvl w:ilvl="4" w:tplc="EDFA3E44" w:tentative="1">
      <w:start w:val="1"/>
      <w:numFmt w:val="bullet"/>
      <w:lvlText w:val="•"/>
      <w:lvlJc w:val="left"/>
      <w:pPr>
        <w:tabs>
          <w:tab w:val="num" w:pos="3600"/>
        </w:tabs>
        <w:ind w:left="3600" w:hanging="360"/>
      </w:pPr>
      <w:rPr>
        <w:rFonts w:ascii="Arial" w:hAnsi="Arial" w:hint="default"/>
      </w:rPr>
    </w:lvl>
    <w:lvl w:ilvl="5" w:tplc="15E07862" w:tentative="1">
      <w:start w:val="1"/>
      <w:numFmt w:val="bullet"/>
      <w:lvlText w:val="•"/>
      <w:lvlJc w:val="left"/>
      <w:pPr>
        <w:tabs>
          <w:tab w:val="num" w:pos="4320"/>
        </w:tabs>
        <w:ind w:left="4320" w:hanging="360"/>
      </w:pPr>
      <w:rPr>
        <w:rFonts w:ascii="Arial" w:hAnsi="Arial" w:hint="default"/>
      </w:rPr>
    </w:lvl>
    <w:lvl w:ilvl="6" w:tplc="C664A4DA" w:tentative="1">
      <w:start w:val="1"/>
      <w:numFmt w:val="bullet"/>
      <w:lvlText w:val="•"/>
      <w:lvlJc w:val="left"/>
      <w:pPr>
        <w:tabs>
          <w:tab w:val="num" w:pos="5040"/>
        </w:tabs>
        <w:ind w:left="5040" w:hanging="360"/>
      </w:pPr>
      <w:rPr>
        <w:rFonts w:ascii="Arial" w:hAnsi="Arial" w:hint="default"/>
      </w:rPr>
    </w:lvl>
    <w:lvl w:ilvl="7" w:tplc="BFFA57D2" w:tentative="1">
      <w:start w:val="1"/>
      <w:numFmt w:val="bullet"/>
      <w:lvlText w:val="•"/>
      <w:lvlJc w:val="left"/>
      <w:pPr>
        <w:tabs>
          <w:tab w:val="num" w:pos="5760"/>
        </w:tabs>
        <w:ind w:left="5760" w:hanging="360"/>
      </w:pPr>
      <w:rPr>
        <w:rFonts w:ascii="Arial" w:hAnsi="Arial" w:hint="default"/>
      </w:rPr>
    </w:lvl>
    <w:lvl w:ilvl="8" w:tplc="92BE060E" w:tentative="1">
      <w:start w:val="1"/>
      <w:numFmt w:val="bullet"/>
      <w:lvlText w:val="•"/>
      <w:lvlJc w:val="left"/>
      <w:pPr>
        <w:tabs>
          <w:tab w:val="num" w:pos="6480"/>
        </w:tabs>
        <w:ind w:left="6480" w:hanging="360"/>
      </w:pPr>
      <w:rPr>
        <w:rFonts w:ascii="Arial" w:hAnsi="Arial" w:hint="default"/>
      </w:rPr>
    </w:lvl>
  </w:abstractNum>
  <w:abstractNum w:abstractNumId="3">
    <w:nsid w:val="51AD1194"/>
    <w:multiLevelType w:val="hybridMultilevel"/>
    <w:tmpl w:val="2B723AA8"/>
    <w:lvl w:ilvl="0" w:tplc="CBD668D6">
      <w:start w:val="1"/>
      <w:numFmt w:val="bullet"/>
      <w:lvlText w:val="•"/>
      <w:lvlJc w:val="left"/>
      <w:pPr>
        <w:tabs>
          <w:tab w:val="num" w:pos="720"/>
        </w:tabs>
        <w:ind w:left="720" w:hanging="360"/>
      </w:pPr>
      <w:rPr>
        <w:rFonts w:ascii="Arial" w:hAnsi="Arial" w:hint="default"/>
      </w:rPr>
    </w:lvl>
    <w:lvl w:ilvl="1" w:tplc="7486AD34" w:tentative="1">
      <w:start w:val="1"/>
      <w:numFmt w:val="bullet"/>
      <w:lvlText w:val="•"/>
      <w:lvlJc w:val="left"/>
      <w:pPr>
        <w:tabs>
          <w:tab w:val="num" w:pos="1440"/>
        </w:tabs>
        <w:ind w:left="1440" w:hanging="360"/>
      </w:pPr>
      <w:rPr>
        <w:rFonts w:ascii="Arial" w:hAnsi="Arial" w:hint="default"/>
      </w:rPr>
    </w:lvl>
    <w:lvl w:ilvl="2" w:tplc="2B14F7BE" w:tentative="1">
      <w:start w:val="1"/>
      <w:numFmt w:val="bullet"/>
      <w:lvlText w:val="•"/>
      <w:lvlJc w:val="left"/>
      <w:pPr>
        <w:tabs>
          <w:tab w:val="num" w:pos="2160"/>
        </w:tabs>
        <w:ind w:left="2160" w:hanging="360"/>
      </w:pPr>
      <w:rPr>
        <w:rFonts w:ascii="Arial" w:hAnsi="Arial" w:hint="default"/>
      </w:rPr>
    </w:lvl>
    <w:lvl w:ilvl="3" w:tplc="C7129A72" w:tentative="1">
      <w:start w:val="1"/>
      <w:numFmt w:val="bullet"/>
      <w:lvlText w:val="•"/>
      <w:lvlJc w:val="left"/>
      <w:pPr>
        <w:tabs>
          <w:tab w:val="num" w:pos="2880"/>
        </w:tabs>
        <w:ind w:left="2880" w:hanging="360"/>
      </w:pPr>
      <w:rPr>
        <w:rFonts w:ascii="Arial" w:hAnsi="Arial" w:hint="default"/>
      </w:rPr>
    </w:lvl>
    <w:lvl w:ilvl="4" w:tplc="A7B208A8" w:tentative="1">
      <w:start w:val="1"/>
      <w:numFmt w:val="bullet"/>
      <w:lvlText w:val="•"/>
      <w:lvlJc w:val="left"/>
      <w:pPr>
        <w:tabs>
          <w:tab w:val="num" w:pos="3600"/>
        </w:tabs>
        <w:ind w:left="3600" w:hanging="360"/>
      </w:pPr>
      <w:rPr>
        <w:rFonts w:ascii="Arial" w:hAnsi="Arial" w:hint="default"/>
      </w:rPr>
    </w:lvl>
    <w:lvl w:ilvl="5" w:tplc="5C162D64" w:tentative="1">
      <w:start w:val="1"/>
      <w:numFmt w:val="bullet"/>
      <w:lvlText w:val="•"/>
      <w:lvlJc w:val="left"/>
      <w:pPr>
        <w:tabs>
          <w:tab w:val="num" w:pos="4320"/>
        </w:tabs>
        <w:ind w:left="4320" w:hanging="360"/>
      </w:pPr>
      <w:rPr>
        <w:rFonts w:ascii="Arial" w:hAnsi="Arial" w:hint="default"/>
      </w:rPr>
    </w:lvl>
    <w:lvl w:ilvl="6" w:tplc="D0C8219E" w:tentative="1">
      <w:start w:val="1"/>
      <w:numFmt w:val="bullet"/>
      <w:lvlText w:val="•"/>
      <w:lvlJc w:val="left"/>
      <w:pPr>
        <w:tabs>
          <w:tab w:val="num" w:pos="5040"/>
        </w:tabs>
        <w:ind w:left="5040" w:hanging="360"/>
      </w:pPr>
      <w:rPr>
        <w:rFonts w:ascii="Arial" w:hAnsi="Arial" w:hint="default"/>
      </w:rPr>
    </w:lvl>
    <w:lvl w:ilvl="7" w:tplc="0ECC1DA0" w:tentative="1">
      <w:start w:val="1"/>
      <w:numFmt w:val="bullet"/>
      <w:lvlText w:val="•"/>
      <w:lvlJc w:val="left"/>
      <w:pPr>
        <w:tabs>
          <w:tab w:val="num" w:pos="5760"/>
        </w:tabs>
        <w:ind w:left="5760" w:hanging="360"/>
      </w:pPr>
      <w:rPr>
        <w:rFonts w:ascii="Arial" w:hAnsi="Arial" w:hint="default"/>
      </w:rPr>
    </w:lvl>
    <w:lvl w:ilvl="8" w:tplc="E46A5EB4" w:tentative="1">
      <w:start w:val="1"/>
      <w:numFmt w:val="bullet"/>
      <w:lvlText w:val="•"/>
      <w:lvlJc w:val="left"/>
      <w:pPr>
        <w:tabs>
          <w:tab w:val="num" w:pos="6480"/>
        </w:tabs>
        <w:ind w:left="6480" w:hanging="360"/>
      </w:pPr>
      <w:rPr>
        <w:rFonts w:ascii="Arial" w:hAnsi="Arial" w:hint="default"/>
      </w:rPr>
    </w:lvl>
  </w:abstractNum>
  <w:abstractNum w:abstractNumId="4">
    <w:nsid w:val="548C36BC"/>
    <w:multiLevelType w:val="hybridMultilevel"/>
    <w:tmpl w:val="F2289038"/>
    <w:lvl w:ilvl="0" w:tplc="3B664806">
      <w:start w:val="1"/>
      <w:numFmt w:val="bullet"/>
      <w:lvlText w:val="•"/>
      <w:lvlJc w:val="left"/>
      <w:pPr>
        <w:tabs>
          <w:tab w:val="num" w:pos="720"/>
        </w:tabs>
        <w:ind w:left="720" w:hanging="360"/>
      </w:pPr>
      <w:rPr>
        <w:rFonts w:ascii="Arial" w:hAnsi="Arial" w:hint="default"/>
      </w:rPr>
    </w:lvl>
    <w:lvl w:ilvl="1" w:tplc="5D6C7EBE" w:tentative="1">
      <w:start w:val="1"/>
      <w:numFmt w:val="bullet"/>
      <w:lvlText w:val="•"/>
      <w:lvlJc w:val="left"/>
      <w:pPr>
        <w:tabs>
          <w:tab w:val="num" w:pos="1440"/>
        </w:tabs>
        <w:ind w:left="1440" w:hanging="360"/>
      </w:pPr>
      <w:rPr>
        <w:rFonts w:ascii="Arial" w:hAnsi="Arial" w:hint="default"/>
      </w:rPr>
    </w:lvl>
    <w:lvl w:ilvl="2" w:tplc="B29466FA" w:tentative="1">
      <w:start w:val="1"/>
      <w:numFmt w:val="bullet"/>
      <w:lvlText w:val="•"/>
      <w:lvlJc w:val="left"/>
      <w:pPr>
        <w:tabs>
          <w:tab w:val="num" w:pos="2160"/>
        </w:tabs>
        <w:ind w:left="2160" w:hanging="360"/>
      </w:pPr>
      <w:rPr>
        <w:rFonts w:ascii="Arial" w:hAnsi="Arial" w:hint="default"/>
      </w:rPr>
    </w:lvl>
    <w:lvl w:ilvl="3" w:tplc="0232B5C0" w:tentative="1">
      <w:start w:val="1"/>
      <w:numFmt w:val="bullet"/>
      <w:lvlText w:val="•"/>
      <w:lvlJc w:val="left"/>
      <w:pPr>
        <w:tabs>
          <w:tab w:val="num" w:pos="2880"/>
        </w:tabs>
        <w:ind w:left="2880" w:hanging="360"/>
      </w:pPr>
      <w:rPr>
        <w:rFonts w:ascii="Arial" w:hAnsi="Arial" w:hint="default"/>
      </w:rPr>
    </w:lvl>
    <w:lvl w:ilvl="4" w:tplc="2FE250DC" w:tentative="1">
      <w:start w:val="1"/>
      <w:numFmt w:val="bullet"/>
      <w:lvlText w:val="•"/>
      <w:lvlJc w:val="left"/>
      <w:pPr>
        <w:tabs>
          <w:tab w:val="num" w:pos="3600"/>
        </w:tabs>
        <w:ind w:left="3600" w:hanging="360"/>
      </w:pPr>
      <w:rPr>
        <w:rFonts w:ascii="Arial" w:hAnsi="Arial" w:hint="default"/>
      </w:rPr>
    </w:lvl>
    <w:lvl w:ilvl="5" w:tplc="71146572" w:tentative="1">
      <w:start w:val="1"/>
      <w:numFmt w:val="bullet"/>
      <w:lvlText w:val="•"/>
      <w:lvlJc w:val="left"/>
      <w:pPr>
        <w:tabs>
          <w:tab w:val="num" w:pos="4320"/>
        </w:tabs>
        <w:ind w:left="4320" w:hanging="360"/>
      </w:pPr>
      <w:rPr>
        <w:rFonts w:ascii="Arial" w:hAnsi="Arial" w:hint="default"/>
      </w:rPr>
    </w:lvl>
    <w:lvl w:ilvl="6" w:tplc="4E8CC436" w:tentative="1">
      <w:start w:val="1"/>
      <w:numFmt w:val="bullet"/>
      <w:lvlText w:val="•"/>
      <w:lvlJc w:val="left"/>
      <w:pPr>
        <w:tabs>
          <w:tab w:val="num" w:pos="5040"/>
        </w:tabs>
        <w:ind w:left="5040" w:hanging="360"/>
      </w:pPr>
      <w:rPr>
        <w:rFonts w:ascii="Arial" w:hAnsi="Arial" w:hint="default"/>
      </w:rPr>
    </w:lvl>
    <w:lvl w:ilvl="7" w:tplc="0100B556" w:tentative="1">
      <w:start w:val="1"/>
      <w:numFmt w:val="bullet"/>
      <w:lvlText w:val="•"/>
      <w:lvlJc w:val="left"/>
      <w:pPr>
        <w:tabs>
          <w:tab w:val="num" w:pos="5760"/>
        </w:tabs>
        <w:ind w:left="5760" w:hanging="360"/>
      </w:pPr>
      <w:rPr>
        <w:rFonts w:ascii="Arial" w:hAnsi="Arial" w:hint="default"/>
      </w:rPr>
    </w:lvl>
    <w:lvl w:ilvl="8" w:tplc="2B0CD9E8" w:tentative="1">
      <w:start w:val="1"/>
      <w:numFmt w:val="bullet"/>
      <w:lvlText w:val="•"/>
      <w:lvlJc w:val="left"/>
      <w:pPr>
        <w:tabs>
          <w:tab w:val="num" w:pos="6480"/>
        </w:tabs>
        <w:ind w:left="6480" w:hanging="360"/>
      </w:pPr>
      <w:rPr>
        <w:rFonts w:ascii="Arial" w:hAnsi="Arial" w:hint="default"/>
      </w:rPr>
    </w:lvl>
  </w:abstractNum>
  <w:abstractNum w:abstractNumId="5">
    <w:nsid w:val="57521E78"/>
    <w:multiLevelType w:val="hybridMultilevel"/>
    <w:tmpl w:val="48F8BB4A"/>
    <w:lvl w:ilvl="0" w:tplc="B1E899E8">
      <w:start w:val="1"/>
      <w:numFmt w:val="bullet"/>
      <w:lvlText w:val="•"/>
      <w:lvlJc w:val="left"/>
      <w:pPr>
        <w:tabs>
          <w:tab w:val="num" w:pos="720"/>
        </w:tabs>
        <w:ind w:left="720" w:hanging="360"/>
      </w:pPr>
      <w:rPr>
        <w:rFonts w:ascii="Arial" w:hAnsi="Arial" w:hint="default"/>
      </w:rPr>
    </w:lvl>
    <w:lvl w:ilvl="1" w:tplc="CF4AE870" w:tentative="1">
      <w:start w:val="1"/>
      <w:numFmt w:val="bullet"/>
      <w:lvlText w:val="•"/>
      <w:lvlJc w:val="left"/>
      <w:pPr>
        <w:tabs>
          <w:tab w:val="num" w:pos="1440"/>
        </w:tabs>
        <w:ind w:left="1440" w:hanging="360"/>
      </w:pPr>
      <w:rPr>
        <w:rFonts w:ascii="Arial" w:hAnsi="Arial" w:hint="default"/>
      </w:rPr>
    </w:lvl>
    <w:lvl w:ilvl="2" w:tplc="C32CE8C6" w:tentative="1">
      <w:start w:val="1"/>
      <w:numFmt w:val="bullet"/>
      <w:lvlText w:val="•"/>
      <w:lvlJc w:val="left"/>
      <w:pPr>
        <w:tabs>
          <w:tab w:val="num" w:pos="2160"/>
        </w:tabs>
        <w:ind w:left="2160" w:hanging="360"/>
      </w:pPr>
      <w:rPr>
        <w:rFonts w:ascii="Arial" w:hAnsi="Arial" w:hint="default"/>
      </w:rPr>
    </w:lvl>
    <w:lvl w:ilvl="3" w:tplc="8B629686" w:tentative="1">
      <w:start w:val="1"/>
      <w:numFmt w:val="bullet"/>
      <w:lvlText w:val="•"/>
      <w:lvlJc w:val="left"/>
      <w:pPr>
        <w:tabs>
          <w:tab w:val="num" w:pos="2880"/>
        </w:tabs>
        <w:ind w:left="2880" w:hanging="360"/>
      </w:pPr>
      <w:rPr>
        <w:rFonts w:ascii="Arial" w:hAnsi="Arial" w:hint="default"/>
      </w:rPr>
    </w:lvl>
    <w:lvl w:ilvl="4" w:tplc="01824150" w:tentative="1">
      <w:start w:val="1"/>
      <w:numFmt w:val="bullet"/>
      <w:lvlText w:val="•"/>
      <w:lvlJc w:val="left"/>
      <w:pPr>
        <w:tabs>
          <w:tab w:val="num" w:pos="3600"/>
        </w:tabs>
        <w:ind w:left="3600" w:hanging="360"/>
      </w:pPr>
      <w:rPr>
        <w:rFonts w:ascii="Arial" w:hAnsi="Arial" w:hint="default"/>
      </w:rPr>
    </w:lvl>
    <w:lvl w:ilvl="5" w:tplc="012E97A0" w:tentative="1">
      <w:start w:val="1"/>
      <w:numFmt w:val="bullet"/>
      <w:lvlText w:val="•"/>
      <w:lvlJc w:val="left"/>
      <w:pPr>
        <w:tabs>
          <w:tab w:val="num" w:pos="4320"/>
        </w:tabs>
        <w:ind w:left="4320" w:hanging="360"/>
      </w:pPr>
      <w:rPr>
        <w:rFonts w:ascii="Arial" w:hAnsi="Arial" w:hint="default"/>
      </w:rPr>
    </w:lvl>
    <w:lvl w:ilvl="6" w:tplc="785A81D8" w:tentative="1">
      <w:start w:val="1"/>
      <w:numFmt w:val="bullet"/>
      <w:lvlText w:val="•"/>
      <w:lvlJc w:val="left"/>
      <w:pPr>
        <w:tabs>
          <w:tab w:val="num" w:pos="5040"/>
        </w:tabs>
        <w:ind w:left="5040" w:hanging="360"/>
      </w:pPr>
      <w:rPr>
        <w:rFonts w:ascii="Arial" w:hAnsi="Arial" w:hint="default"/>
      </w:rPr>
    </w:lvl>
    <w:lvl w:ilvl="7" w:tplc="B6F2E9A6" w:tentative="1">
      <w:start w:val="1"/>
      <w:numFmt w:val="bullet"/>
      <w:lvlText w:val="•"/>
      <w:lvlJc w:val="left"/>
      <w:pPr>
        <w:tabs>
          <w:tab w:val="num" w:pos="5760"/>
        </w:tabs>
        <w:ind w:left="5760" w:hanging="360"/>
      </w:pPr>
      <w:rPr>
        <w:rFonts w:ascii="Arial" w:hAnsi="Arial" w:hint="default"/>
      </w:rPr>
    </w:lvl>
    <w:lvl w:ilvl="8" w:tplc="29BA1412" w:tentative="1">
      <w:start w:val="1"/>
      <w:numFmt w:val="bullet"/>
      <w:lvlText w:val="•"/>
      <w:lvlJc w:val="left"/>
      <w:pPr>
        <w:tabs>
          <w:tab w:val="num" w:pos="6480"/>
        </w:tabs>
        <w:ind w:left="6480" w:hanging="360"/>
      </w:pPr>
      <w:rPr>
        <w:rFonts w:ascii="Arial" w:hAnsi="Arial" w:hint="default"/>
      </w:rPr>
    </w:lvl>
  </w:abstractNum>
  <w:abstractNum w:abstractNumId="6">
    <w:nsid w:val="62325A02"/>
    <w:multiLevelType w:val="hybridMultilevel"/>
    <w:tmpl w:val="76E46468"/>
    <w:lvl w:ilvl="0" w:tplc="82EE56CC">
      <w:start w:val="1"/>
      <w:numFmt w:val="bullet"/>
      <w:lvlText w:val="•"/>
      <w:lvlJc w:val="left"/>
      <w:pPr>
        <w:tabs>
          <w:tab w:val="num" w:pos="720"/>
        </w:tabs>
        <w:ind w:left="720" w:hanging="360"/>
      </w:pPr>
      <w:rPr>
        <w:rFonts w:ascii="Arial" w:hAnsi="Arial" w:hint="default"/>
      </w:rPr>
    </w:lvl>
    <w:lvl w:ilvl="1" w:tplc="3D00954A" w:tentative="1">
      <w:start w:val="1"/>
      <w:numFmt w:val="bullet"/>
      <w:lvlText w:val="•"/>
      <w:lvlJc w:val="left"/>
      <w:pPr>
        <w:tabs>
          <w:tab w:val="num" w:pos="1440"/>
        </w:tabs>
        <w:ind w:left="1440" w:hanging="360"/>
      </w:pPr>
      <w:rPr>
        <w:rFonts w:ascii="Arial" w:hAnsi="Arial" w:hint="default"/>
      </w:rPr>
    </w:lvl>
    <w:lvl w:ilvl="2" w:tplc="D6981BAE" w:tentative="1">
      <w:start w:val="1"/>
      <w:numFmt w:val="bullet"/>
      <w:lvlText w:val="•"/>
      <w:lvlJc w:val="left"/>
      <w:pPr>
        <w:tabs>
          <w:tab w:val="num" w:pos="2160"/>
        </w:tabs>
        <w:ind w:left="2160" w:hanging="360"/>
      </w:pPr>
      <w:rPr>
        <w:rFonts w:ascii="Arial" w:hAnsi="Arial" w:hint="default"/>
      </w:rPr>
    </w:lvl>
    <w:lvl w:ilvl="3" w:tplc="3E20B4B2" w:tentative="1">
      <w:start w:val="1"/>
      <w:numFmt w:val="bullet"/>
      <w:lvlText w:val="•"/>
      <w:lvlJc w:val="left"/>
      <w:pPr>
        <w:tabs>
          <w:tab w:val="num" w:pos="2880"/>
        </w:tabs>
        <w:ind w:left="2880" w:hanging="360"/>
      </w:pPr>
      <w:rPr>
        <w:rFonts w:ascii="Arial" w:hAnsi="Arial" w:hint="default"/>
      </w:rPr>
    </w:lvl>
    <w:lvl w:ilvl="4" w:tplc="BC6E720A" w:tentative="1">
      <w:start w:val="1"/>
      <w:numFmt w:val="bullet"/>
      <w:lvlText w:val="•"/>
      <w:lvlJc w:val="left"/>
      <w:pPr>
        <w:tabs>
          <w:tab w:val="num" w:pos="3600"/>
        </w:tabs>
        <w:ind w:left="3600" w:hanging="360"/>
      </w:pPr>
      <w:rPr>
        <w:rFonts w:ascii="Arial" w:hAnsi="Arial" w:hint="default"/>
      </w:rPr>
    </w:lvl>
    <w:lvl w:ilvl="5" w:tplc="8292A698" w:tentative="1">
      <w:start w:val="1"/>
      <w:numFmt w:val="bullet"/>
      <w:lvlText w:val="•"/>
      <w:lvlJc w:val="left"/>
      <w:pPr>
        <w:tabs>
          <w:tab w:val="num" w:pos="4320"/>
        </w:tabs>
        <w:ind w:left="4320" w:hanging="360"/>
      </w:pPr>
      <w:rPr>
        <w:rFonts w:ascii="Arial" w:hAnsi="Arial" w:hint="default"/>
      </w:rPr>
    </w:lvl>
    <w:lvl w:ilvl="6" w:tplc="B4B4EE0A" w:tentative="1">
      <w:start w:val="1"/>
      <w:numFmt w:val="bullet"/>
      <w:lvlText w:val="•"/>
      <w:lvlJc w:val="left"/>
      <w:pPr>
        <w:tabs>
          <w:tab w:val="num" w:pos="5040"/>
        </w:tabs>
        <w:ind w:left="5040" w:hanging="360"/>
      </w:pPr>
      <w:rPr>
        <w:rFonts w:ascii="Arial" w:hAnsi="Arial" w:hint="default"/>
      </w:rPr>
    </w:lvl>
    <w:lvl w:ilvl="7" w:tplc="A866DF32" w:tentative="1">
      <w:start w:val="1"/>
      <w:numFmt w:val="bullet"/>
      <w:lvlText w:val="•"/>
      <w:lvlJc w:val="left"/>
      <w:pPr>
        <w:tabs>
          <w:tab w:val="num" w:pos="5760"/>
        </w:tabs>
        <w:ind w:left="5760" w:hanging="360"/>
      </w:pPr>
      <w:rPr>
        <w:rFonts w:ascii="Arial" w:hAnsi="Arial" w:hint="default"/>
      </w:rPr>
    </w:lvl>
    <w:lvl w:ilvl="8" w:tplc="37CAAE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08"/>
  <w:hyphenationZone w:val="283"/>
  <w:characterSpacingControl w:val="doNotCompress"/>
  <w:footnotePr>
    <w:footnote w:id="0"/>
    <w:footnote w:id="1"/>
  </w:footnotePr>
  <w:endnotePr>
    <w:endnote w:id="0"/>
    <w:endnote w:id="1"/>
  </w:endnotePr>
  <w:compat/>
  <w:rsids>
    <w:rsidRoot w:val="00DE17E8"/>
    <w:rsid w:val="000004E3"/>
    <w:rsid w:val="0000607A"/>
    <w:rsid w:val="00022162"/>
    <w:rsid w:val="00031B12"/>
    <w:rsid w:val="000455B1"/>
    <w:rsid w:val="000641A6"/>
    <w:rsid w:val="00066687"/>
    <w:rsid w:val="00070C4D"/>
    <w:rsid w:val="00071994"/>
    <w:rsid w:val="000765A2"/>
    <w:rsid w:val="0008690D"/>
    <w:rsid w:val="000B376E"/>
    <w:rsid w:val="000B39F5"/>
    <w:rsid w:val="000B6997"/>
    <w:rsid w:val="000E0473"/>
    <w:rsid w:val="000E68D8"/>
    <w:rsid w:val="000F2FCC"/>
    <w:rsid w:val="00103B84"/>
    <w:rsid w:val="00125301"/>
    <w:rsid w:val="00126F86"/>
    <w:rsid w:val="001428FB"/>
    <w:rsid w:val="00151747"/>
    <w:rsid w:val="00151AD6"/>
    <w:rsid w:val="00171E3D"/>
    <w:rsid w:val="00174123"/>
    <w:rsid w:val="00175747"/>
    <w:rsid w:val="00195113"/>
    <w:rsid w:val="00195988"/>
    <w:rsid w:val="001A5626"/>
    <w:rsid w:val="001A6302"/>
    <w:rsid w:val="001C1A28"/>
    <w:rsid w:val="001C29C2"/>
    <w:rsid w:val="001C45C1"/>
    <w:rsid w:val="001C6CBB"/>
    <w:rsid w:val="001D1E64"/>
    <w:rsid w:val="001D24B6"/>
    <w:rsid w:val="001D2ED5"/>
    <w:rsid w:val="001D68B3"/>
    <w:rsid w:val="001E1791"/>
    <w:rsid w:val="00210289"/>
    <w:rsid w:val="0022196F"/>
    <w:rsid w:val="00221E49"/>
    <w:rsid w:val="00221F63"/>
    <w:rsid w:val="0022505E"/>
    <w:rsid w:val="00231B04"/>
    <w:rsid w:val="0023268C"/>
    <w:rsid w:val="002338C0"/>
    <w:rsid w:val="00242213"/>
    <w:rsid w:val="00243D48"/>
    <w:rsid w:val="00244EE3"/>
    <w:rsid w:val="002504FC"/>
    <w:rsid w:val="00253408"/>
    <w:rsid w:val="002623EA"/>
    <w:rsid w:val="00274E9A"/>
    <w:rsid w:val="00281515"/>
    <w:rsid w:val="0028647A"/>
    <w:rsid w:val="002B202A"/>
    <w:rsid w:val="002B7527"/>
    <w:rsid w:val="002C4701"/>
    <w:rsid w:val="002D11B6"/>
    <w:rsid w:val="002D31C6"/>
    <w:rsid w:val="002E0846"/>
    <w:rsid w:val="002E63BD"/>
    <w:rsid w:val="002E6F64"/>
    <w:rsid w:val="002F3186"/>
    <w:rsid w:val="002F4554"/>
    <w:rsid w:val="002F56F1"/>
    <w:rsid w:val="002F72CE"/>
    <w:rsid w:val="003025F1"/>
    <w:rsid w:val="00317BE6"/>
    <w:rsid w:val="003329E3"/>
    <w:rsid w:val="0033316F"/>
    <w:rsid w:val="00344890"/>
    <w:rsid w:val="00366A34"/>
    <w:rsid w:val="00366F0E"/>
    <w:rsid w:val="00367541"/>
    <w:rsid w:val="003750D5"/>
    <w:rsid w:val="00381EDD"/>
    <w:rsid w:val="003827BC"/>
    <w:rsid w:val="00397B4E"/>
    <w:rsid w:val="003B06EC"/>
    <w:rsid w:val="003B58ED"/>
    <w:rsid w:val="003C34B0"/>
    <w:rsid w:val="003D211A"/>
    <w:rsid w:val="003E01E2"/>
    <w:rsid w:val="003F378A"/>
    <w:rsid w:val="00405D7C"/>
    <w:rsid w:val="00410D9D"/>
    <w:rsid w:val="00425066"/>
    <w:rsid w:val="00427EE6"/>
    <w:rsid w:val="004517B4"/>
    <w:rsid w:val="00454ABE"/>
    <w:rsid w:val="00463E72"/>
    <w:rsid w:val="004875E6"/>
    <w:rsid w:val="00492130"/>
    <w:rsid w:val="00497038"/>
    <w:rsid w:val="004A71E5"/>
    <w:rsid w:val="004B276D"/>
    <w:rsid w:val="004B72B3"/>
    <w:rsid w:val="004C09E5"/>
    <w:rsid w:val="004C0B40"/>
    <w:rsid w:val="004D6489"/>
    <w:rsid w:val="004E08B3"/>
    <w:rsid w:val="004E2461"/>
    <w:rsid w:val="004E264E"/>
    <w:rsid w:val="004E676C"/>
    <w:rsid w:val="004E79D4"/>
    <w:rsid w:val="004F3BAA"/>
    <w:rsid w:val="004F715B"/>
    <w:rsid w:val="00500D57"/>
    <w:rsid w:val="00517C04"/>
    <w:rsid w:val="005250FD"/>
    <w:rsid w:val="00531385"/>
    <w:rsid w:val="00533926"/>
    <w:rsid w:val="00534F78"/>
    <w:rsid w:val="00535564"/>
    <w:rsid w:val="00546B7D"/>
    <w:rsid w:val="00550FC4"/>
    <w:rsid w:val="005624E9"/>
    <w:rsid w:val="00563C73"/>
    <w:rsid w:val="00570E9A"/>
    <w:rsid w:val="00580A27"/>
    <w:rsid w:val="00590BB9"/>
    <w:rsid w:val="005A0BBF"/>
    <w:rsid w:val="005B6BE4"/>
    <w:rsid w:val="005C536F"/>
    <w:rsid w:val="005D60FD"/>
    <w:rsid w:val="005D7E69"/>
    <w:rsid w:val="005F300A"/>
    <w:rsid w:val="00607641"/>
    <w:rsid w:val="006115DD"/>
    <w:rsid w:val="00626ECA"/>
    <w:rsid w:val="00640648"/>
    <w:rsid w:val="00651EE1"/>
    <w:rsid w:val="0066537E"/>
    <w:rsid w:val="0067291D"/>
    <w:rsid w:val="00675C03"/>
    <w:rsid w:val="006B0230"/>
    <w:rsid w:val="006B0EAF"/>
    <w:rsid w:val="006B2780"/>
    <w:rsid w:val="006C0398"/>
    <w:rsid w:val="006C5171"/>
    <w:rsid w:val="006D1586"/>
    <w:rsid w:val="006D1EF0"/>
    <w:rsid w:val="006D3CA0"/>
    <w:rsid w:val="006F0430"/>
    <w:rsid w:val="00726F0C"/>
    <w:rsid w:val="00752CC0"/>
    <w:rsid w:val="00770829"/>
    <w:rsid w:val="007C02CD"/>
    <w:rsid w:val="007D109A"/>
    <w:rsid w:val="007D4DBA"/>
    <w:rsid w:val="007D7458"/>
    <w:rsid w:val="007D7FFD"/>
    <w:rsid w:val="007E5683"/>
    <w:rsid w:val="007E5D26"/>
    <w:rsid w:val="007E6F89"/>
    <w:rsid w:val="007F04AB"/>
    <w:rsid w:val="007F493A"/>
    <w:rsid w:val="00807738"/>
    <w:rsid w:val="00814B16"/>
    <w:rsid w:val="00826F40"/>
    <w:rsid w:val="00830E4B"/>
    <w:rsid w:val="00832604"/>
    <w:rsid w:val="00837BAB"/>
    <w:rsid w:val="008476FB"/>
    <w:rsid w:val="008530D3"/>
    <w:rsid w:val="00853AFA"/>
    <w:rsid w:val="008674C4"/>
    <w:rsid w:val="00893E9C"/>
    <w:rsid w:val="008B148E"/>
    <w:rsid w:val="008B1A6F"/>
    <w:rsid w:val="008D0CB8"/>
    <w:rsid w:val="008D3797"/>
    <w:rsid w:val="008D3CD8"/>
    <w:rsid w:val="008D7B23"/>
    <w:rsid w:val="008E301C"/>
    <w:rsid w:val="008E475D"/>
    <w:rsid w:val="008E4899"/>
    <w:rsid w:val="008F7230"/>
    <w:rsid w:val="00912FA6"/>
    <w:rsid w:val="00913449"/>
    <w:rsid w:val="00914A76"/>
    <w:rsid w:val="00916DAB"/>
    <w:rsid w:val="009216AE"/>
    <w:rsid w:val="0092251E"/>
    <w:rsid w:val="00924894"/>
    <w:rsid w:val="009350F9"/>
    <w:rsid w:val="009371E4"/>
    <w:rsid w:val="00942412"/>
    <w:rsid w:val="00943103"/>
    <w:rsid w:val="0094681C"/>
    <w:rsid w:val="00950C2F"/>
    <w:rsid w:val="0097110C"/>
    <w:rsid w:val="00983DAC"/>
    <w:rsid w:val="0099039D"/>
    <w:rsid w:val="009921EC"/>
    <w:rsid w:val="009A72E9"/>
    <w:rsid w:val="009C106E"/>
    <w:rsid w:val="009C1782"/>
    <w:rsid w:val="009E4A69"/>
    <w:rsid w:val="00A01E83"/>
    <w:rsid w:val="00A238B2"/>
    <w:rsid w:val="00A25F42"/>
    <w:rsid w:val="00A302CF"/>
    <w:rsid w:val="00A313B4"/>
    <w:rsid w:val="00A323DC"/>
    <w:rsid w:val="00A3651C"/>
    <w:rsid w:val="00A50722"/>
    <w:rsid w:val="00A564E2"/>
    <w:rsid w:val="00A639A9"/>
    <w:rsid w:val="00A6780A"/>
    <w:rsid w:val="00A679DC"/>
    <w:rsid w:val="00A776F8"/>
    <w:rsid w:val="00A83C88"/>
    <w:rsid w:val="00A935FC"/>
    <w:rsid w:val="00AA2FCC"/>
    <w:rsid w:val="00AB011D"/>
    <w:rsid w:val="00AB4032"/>
    <w:rsid w:val="00AB4987"/>
    <w:rsid w:val="00AC0A92"/>
    <w:rsid w:val="00AC3860"/>
    <w:rsid w:val="00AC452D"/>
    <w:rsid w:val="00AE5D23"/>
    <w:rsid w:val="00AF2481"/>
    <w:rsid w:val="00AF35FF"/>
    <w:rsid w:val="00B06470"/>
    <w:rsid w:val="00B22D14"/>
    <w:rsid w:val="00B34B96"/>
    <w:rsid w:val="00B36EE4"/>
    <w:rsid w:val="00B36F2E"/>
    <w:rsid w:val="00B56980"/>
    <w:rsid w:val="00B6028F"/>
    <w:rsid w:val="00B673D9"/>
    <w:rsid w:val="00BB55BC"/>
    <w:rsid w:val="00BB6B46"/>
    <w:rsid w:val="00BB6E8E"/>
    <w:rsid w:val="00BC0C76"/>
    <w:rsid w:val="00BC2880"/>
    <w:rsid w:val="00BC538F"/>
    <w:rsid w:val="00BD4111"/>
    <w:rsid w:val="00BD735C"/>
    <w:rsid w:val="00BF49B3"/>
    <w:rsid w:val="00C00A6F"/>
    <w:rsid w:val="00C0774E"/>
    <w:rsid w:val="00C122BF"/>
    <w:rsid w:val="00C1346E"/>
    <w:rsid w:val="00C202A6"/>
    <w:rsid w:val="00C301A6"/>
    <w:rsid w:val="00C359AC"/>
    <w:rsid w:val="00C373A5"/>
    <w:rsid w:val="00C50D0B"/>
    <w:rsid w:val="00C55E4C"/>
    <w:rsid w:val="00C756E1"/>
    <w:rsid w:val="00C90F1C"/>
    <w:rsid w:val="00CA23C5"/>
    <w:rsid w:val="00CB1ED9"/>
    <w:rsid w:val="00CB3E49"/>
    <w:rsid w:val="00CC1A1E"/>
    <w:rsid w:val="00CC7363"/>
    <w:rsid w:val="00CE5127"/>
    <w:rsid w:val="00CF15F2"/>
    <w:rsid w:val="00D0210F"/>
    <w:rsid w:val="00D14758"/>
    <w:rsid w:val="00D16A7D"/>
    <w:rsid w:val="00D17DF8"/>
    <w:rsid w:val="00D25200"/>
    <w:rsid w:val="00D524D4"/>
    <w:rsid w:val="00D525AC"/>
    <w:rsid w:val="00D66067"/>
    <w:rsid w:val="00D669EB"/>
    <w:rsid w:val="00D71BF8"/>
    <w:rsid w:val="00D8270B"/>
    <w:rsid w:val="00D8314A"/>
    <w:rsid w:val="00D909C4"/>
    <w:rsid w:val="00D96632"/>
    <w:rsid w:val="00DB5E58"/>
    <w:rsid w:val="00DC0109"/>
    <w:rsid w:val="00DC18F5"/>
    <w:rsid w:val="00DC5189"/>
    <w:rsid w:val="00DC7BA8"/>
    <w:rsid w:val="00DD5D03"/>
    <w:rsid w:val="00DE0405"/>
    <w:rsid w:val="00DE17E8"/>
    <w:rsid w:val="00DE2BA7"/>
    <w:rsid w:val="00DF0F0C"/>
    <w:rsid w:val="00DF4468"/>
    <w:rsid w:val="00DF5929"/>
    <w:rsid w:val="00E0265B"/>
    <w:rsid w:val="00E045C4"/>
    <w:rsid w:val="00E05327"/>
    <w:rsid w:val="00E1105C"/>
    <w:rsid w:val="00E17F6E"/>
    <w:rsid w:val="00E21C9E"/>
    <w:rsid w:val="00E3562A"/>
    <w:rsid w:val="00E42491"/>
    <w:rsid w:val="00E426CC"/>
    <w:rsid w:val="00E5303E"/>
    <w:rsid w:val="00E61883"/>
    <w:rsid w:val="00E63843"/>
    <w:rsid w:val="00E821CF"/>
    <w:rsid w:val="00E832C3"/>
    <w:rsid w:val="00E86552"/>
    <w:rsid w:val="00E90FFC"/>
    <w:rsid w:val="00E92605"/>
    <w:rsid w:val="00E94D4D"/>
    <w:rsid w:val="00EB49F5"/>
    <w:rsid w:val="00EC7C9D"/>
    <w:rsid w:val="00ED40DB"/>
    <w:rsid w:val="00F047B2"/>
    <w:rsid w:val="00F052EA"/>
    <w:rsid w:val="00F0576B"/>
    <w:rsid w:val="00F06182"/>
    <w:rsid w:val="00F11C54"/>
    <w:rsid w:val="00F15A80"/>
    <w:rsid w:val="00F3323C"/>
    <w:rsid w:val="00F475D3"/>
    <w:rsid w:val="00F52D7B"/>
    <w:rsid w:val="00F66837"/>
    <w:rsid w:val="00F716A1"/>
    <w:rsid w:val="00F7571C"/>
    <w:rsid w:val="00FB0CC7"/>
    <w:rsid w:val="00FB3F83"/>
    <w:rsid w:val="00FB58D9"/>
    <w:rsid w:val="00FC1EA5"/>
    <w:rsid w:val="00FC39C1"/>
    <w:rsid w:val="00FC772D"/>
    <w:rsid w:val="00FE4B66"/>
    <w:rsid w:val="00FF230B"/>
    <w:rsid w:val="00FF28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09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3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301C"/>
  </w:style>
  <w:style w:type="paragraph" w:styleId="Pidipagina">
    <w:name w:val="footer"/>
    <w:basedOn w:val="Normale"/>
    <w:link w:val="PidipaginaCarattere"/>
    <w:uiPriority w:val="99"/>
    <w:unhideWhenUsed/>
    <w:rsid w:val="008E3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301C"/>
  </w:style>
  <w:style w:type="paragraph" w:styleId="Titolo">
    <w:name w:val="Title"/>
    <w:basedOn w:val="Normale"/>
    <w:next w:val="Normale"/>
    <w:link w:val="TitoloCarattere"/>
    <w:uiPriority w:val="10"/>
    <w:qFormat/>
    <w:rsid w:val="002F7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72CE"/>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454ABE"/>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65219605">
      <w:bodyDiv w:val="1"/>
      <w:marLeft w:val="0"/>
      <w:marRight w:val="0"/>
      <w:marTop w:val="0"/>
      <w:marBottom w:val="0"/>
      <w:divBdr>
        <w:top w:val="none" w:sz="0" w:space="0" w:color="auto"/>
        <w:left w:val="none" w:sz="0" w:space="0" w:color="auto"/>
        <w:bottom w:val="none" w:sz="0" w:space="0" w:color="auto"/>
        <w:right w:val="none" w:sz="0" w:space="0" w:color="auto"/>
      </w:divBdr>
      <w:divsChild>
        <w:div w:id="1545213884">
          <w:marLeft w:val="0"/>
          <w:marRight w:val="0"/>
          <w:marTop w:val="0"/>
          <w:marBottom w:val="0"/>
          <w:divBdr>
            <w:top w:val="none" w:sz="0" w:space="0" w:color="auto"/>
            <w:left w:val="none" w:sz="0" w:space="0" w:color="auto"/>
            <w:bottom w:val="none" w:sz="0" w:space="0" w:color="auto"/>
            <w:right w:val="none" w:sz="0" w:space="0" w:color="auto"/>
          </w:divBdr>
        </w:div>
      </w:divsChild>
    </w:div>
    <w:div w:id="753821589">
      <w:bodyDiv w:val="1"/>
      <w:marLeft w:val="0"/>
      <w:marRight w:val="0"/>
      <w:marTop w:val="0"/>
      <w:marBottom w:val="0"/>
      <w:divBdr>
        <w:top w:val="none" w:sz="0" w:space="0" w:color="auto"/>
        <w:left w:val="none" w:sz="0" w:space="0" w:color="auto"/>
        <w:bottom w:val="none" w:sz="0" w:space="0" w:color="auto"/>
        <w:right w:val="none" w:sz="0" w:space="0" w:color="auto"/>
      </w:divBdr>
      <w:divsChild>
        <w:div w:id="1304775089">
          <w:marLeft w:val="360"/>
          <w:marRight w:val="0"/>
          <w:marTop w:val="200"/>
          <w:marBottom w:val="0"/>
          <w:divBdr>
            <w:top w:val="none" w:sz="0" w:space="0" w:color="auto"/>
            <w:left w:val="none" w:sz="0" w:space="0" w:color="auto"/>
            <w:bottom w:val="none" w:sz="0" w:space="0" w:color="auto"/>
            <w:right w:val="none" w:sz="0" w:space="0" w:color="auto"/>
          </w:divBdr>
        </w:div>
      </w:divsChild>
    </w:div>
    <w:div w:id="963079948">
      <w:bodyDiv w:val="1"/>
      <w:marLeft w:val="0"/>
      <w:marRight w:val="0"/>
      <w:marTop w:val="0"/>
      <w:marBottom w:val="0"/>
      <w:divBdr>
        <w:top w:val="none" w:sz="0" w:space="0" w:color="auto"/>
        <w:left w:val="none" w:sz="0" w:space="0" w:color="auto"/>
        <w:bottom w:val="none" w:sz="0" w:space="0" w:color="auto"/>
        <w:right w:val="none" w:sz="0" w:space="0" w:color="auto"/>
      </w:divBdr>
      <w:divsChild>
        <w:div w:id="1834877543">
          <w:marLeft w:val="360"/>
          <w:marRight w:val="0"/>
          <w:marTop w:val="200"/>
          <w:marBottom w:val="0"/>
          <w:divBdr>
            <w:top w:val="none" w:sz="0" w:space="0" w:color="auto"/>
            <w:left w:val="none" w:sz="0" w:space="0" w:color="auto"/>
            <w:bottom w:val="none" w:sz="0" w:space="0" w:color="auto"/>
            <w:right w:val="none" w:sz="0" w:space="0" w:color="auto"/>
          </w:divBdr>
        </w:div>
      </w:divsChild>
    </w:div>
    <w:div w:id="1117523137">
      <w:bodyDiv w:val="1"/>
      <w:marLeft w:val="0"/>
      <w:marRight w:val="0"/>
      <w:marTop w:val="0"/>
      <w:marBottom w:val="0"/>
      <w:divBdr>
        <w:top w:val="none" w:sz="0" w:space="0" w:color="auto"/>
        <w:left w:val="none" w:sz="0" w:space="0" w:color="auto"/>
        <w:bottom w:val="none" w:sz="0" w:space="0" w:color="auto"/>
        <w:right w:val="none" w:sz="0" w:space="0" w:color="auto"/>
      </w:divBdr>
      <w:divsChild>
        <w:div w:id="797526666">
          <w:marLeft w:val="360"/>
          <w:marRight w:val="0"/>
          <w:marTop w:val="200"/>
          <w:marBottom w:val="0"/>
          <w:divBdr>
            <w:top w:val="none" w:sz="0" w:space="0" w:color="auto"/>
            <w:left w:val="none" w:sz="0" w:space="0" w:color="auto"/>
            <w:bottom w:val="none" w:sz="0" w:space="0" w:color="auto"/>
            <w:right w:val="none" w:sz="0" w:space="0" w:color="auto"/>
          </w:divBdr>
        </w:div>
        <w:div w:id="1928224349">
          <w:marLeft w:val="360"/>
          <w:marRight w:val="0"/>
          <w:marTop w:val="200"/>
          <w:marBottom w:val="0"/>
          <w:divBdr>
            <w:top w:val="none" w:sz="0" w:space="0" w:color="auto"/>
            <w:left w:val="none" w:sz="0" w:space="0" w:color="auto"/>
            <w:bottom w:val="none" w:sz="0" w:space="0" w:color="auto"/>
            <w:right w:val="none" w:sz="0" w:space="0" w:color="auto"/>
          </w:divBdr>
        </w:div>
      </w:divsChild>
    </w:div>
    <w:div w:id="1266186079">
      <w:bodyDiv w:val="1"/>
      <w:marLeft w:val="0"/>
      <w:marRight w:val="0"/>
      <w:marTop w:val="0"/>
      <w:marBottom w:val="0"/>
      <w:divBdr>
        <w:top w:val="none" w:sz="0" w:space="0" w:color="auto"/>
        <w:left w:val="none" w:sz="0" w:space="0" w:color="auto"/>
        <w:bottom w:val="none" w:sz="0" w:space="0" w:color="auto"/>
        <w:right w:val="none" w:sz="0" w:space="0" w:color="auto"/>
      </w:divBdr>
      <w:divsChild>
        <w:div w:id="515533279">
          <w:marLeft w:val="360"/>
          <w:marRight w:val="0"/>
          <w:marTop w:val="200"/>
          <w:marBottom w:val="0"/>
          <w:divBdr>
            <w:top w:val="none" w:sz="0" w:space="0" w:color="auto"/>
            <w:left w:val="none" w:sz="0" w:space="0" w:color="auto"/>
            <w:bottom w:val="none" w:sz="0" w:space="0" w:color="auto"/>
            <w:right w:val="none" w:sz="0" w:space="0" w:color="auto"/>
          </w:divBdr>
        </w:div>
        <w:div w:id="156309573">
          <w:marLeft w:val="360"/>
          <w:marRight w:val="0"/>
          <w:marTop w:val="200"/>
          <w:marBottom w:val="0"/>
          <w:divBdr>
            <w:top w:val="none" w:sz="0" w:space="0" w:color="auto"/>
            <w:left w:val="none" w:sz="0" w:space="0" w:color="auto"/>
            <w:bottom w:val="none" w:sz="0" w:space="0" w:color="auto"/>
            <w:right w:val="none" w:sz="0" w:space="0" w:color="auto"/>
          </w:divBdr>
        </w:div>
        <w:div w:id="12850489">
          <w:marLeft w:val="360"/>
          <w:marRight w:val="0"/>
          <w:marTop w:val="200"/>
          <w:marBottom w:val="0"/>
          <w:divBdr>
            <w:top w:val="none" w:sz="0" w:space="0" w:color="auto"/>
            <w:left w:val="none" w:sz="0" w:space="0" w:color="auto"/>
            <w:bottom w:val="none" w:sz="0" w:space="0" w:color="auto"/>
            <w:right w:val="none" w:sz="0" w:space="0" w:color="auto"/>
          </w:divBdr>
        </w:div>
      </w:divsChild>
    </w:div>
    <w:div w:id="1471898416">
      <w:bodyDiv w:val="1"/>
      <w:marLeft w:val="0"/>
      <w:marRight w:val="0"/>
      <w:marTop w:val="0"/>
      <w:marBottom w:val="0"/>
      <w:divBdr>
        <w:top w:val="none" w:sz="0" w:space="0" w:color="auto"/>
        <w:left w:val="none" w:sz="0" w:space="0" w:color="auto"/>
        <w:bottom w:val="none" w:sz="0" w:space="0" w:color="auto"/>
        <w:right w:val="none" w:sz="0" w:space="0" w:color="auto"/>
      </w:divBdr>
      <w:divsChild>
        <w:div w:id="1109546593">
          <w:marLeft w:val="360"/>
          <w:marRight w:val="0"/>
          <w:marTop w:val="200"/>
          <w:marBottom w:val="0"/>
          <w:divBdr>
            <w:top w:val="none" w:sz="0" w:space="0" w:color="auto"/>
            <w:left w:val="none" w:sz="0" w:space="0" w:color="auto"/>
            <w:bottom w:val="none" w:sz="0" w:space="0" w:color="auto"/>
            <w:right w:val="none" w:sz="0" w:space="0" w:color="auto"/>
          </w:divBdr>
        </w:div>
      </w:divsChild>
    </w:div>
    <w:div w:id="1575703532">
      <w:bodyDiv w:val="1"/>
      <w:marLeft w:val="0"/>
      <w:marRight w:val="0"/>
      <w:marTop w:val="0"/>
      <w:marBottom w:val="0"/>
      <w:divBdr>
        <w:top w:val="none" w:sz="0" w:space="0" w:color="auto"/>
        <w:left w:val="none" w:sz="0" w:space="0" w:color="auto"/>
        <w:bottom w:val="none" w:sz="0" w:space="0" w:color="auto"/>
        <w:right w:val="none" w:sz="0" w:space="0" w:color="auto"/>
      </w:divBdr>
      <w:divsChild>
        <w:div w:id="1784378228">
          <w:marLeft w:val="360"/>
          <w:marRight w:val="0"/>
          <w:marTop w:val="200"/>
          <w:marBottom w:val="0"/>
          <w:divBdr>
            <w:top w:val="none" w:sz="0" w:space="0" w:color="auto"/>
            <w:left w:val="none" w:sz="0" w:space="0" w:color="auto"/>
            <w:bottom w:val="none" w:sz="0" w:space="0" w:color="auto"/>
            <w:right w:val="none" w:sz="0" w:space="0" w:color="auto"/>
          </w:divBdr>
        </w:div>
      </w:divsChild>
    </w:div>
    <w:div w:id="1788506224">
      <w:bodyDiv w:val="1"/>
      <w:marLeft w:val="0"/>
      <w:marRight w:val="0"/>
      <w:marTop w:val="0"/>
      <w:marBottom w:val="0"/>
      <w:divBdr>
        <w:top w:val="none" w:sz="0" w:space="0" w:color="auto"/>
        <w:left w:val="none" w:sz="0" w:space="0" w:color="auto"/>
        <w:bottom w:val="none" w:sz="0" w:space="0" w:color="auto"/>
        <w:right w:val="none" w:sz="0" w:space="0" w:color="auto"/>
      </w:divBdr>
      <w:divsChild>
        <w:div w:id="266235611">
          <w:marLeft w:val="0"/>
          <w:marRight w:val="0"/>
          <w:marTop w:val="0"/>
          <w:marBottom w:val="0"/>
          <w:divBdr>
            <w:top w:val="none" w:sz="0" w:space="0" w:color="auto"/>
            <w:left w:val="none" w:sz="0" w:space="0" w:color="auto"/>
            <w:bottom w:val="none" w:sz="0" w:space="0" w:color="auto"/>
            <w:right w:val="none" w:sz="0" w:space="0" w:color="auto"/>
          </w:divBdr>
        </w:div>
      </w:divsChild>
    </w:div>
    <w:div w:id="1981036301">
      <w:bodyDiv w:val="1"/>
      <w:marLeft w:val="0"/>
      <w:marRight w:val="0"/>
      <w:marTop w:val="0"/>
      <w:marBottom w:val="0"/>
      <w:divBdr>
        <w:top w:val="none" w:sz="0" w:space="0" w:color="auto"/>
        <w:left w:val="none" w:sz="0" w:space="0" w:color="auto"/>
        <w:bottom w:val="none" w:sz="0" w:space="0" w:color="auto"/>
        <w:right w:val="none" w:sz="0" w:space="0" w:color="auto"/>
      </w:divBdr>
      <w:divsChild>
        <w:div w:id="19428342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3311</Words>
  <Characters>18879</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ANANIA</dc:creator>
  <cp:lastModifiedBy>asus</cp:lastModifiedBy>
  <cp:revision>2</cp:revision>
  <dcterms:created xsi:type="dcterms:W3CDTF">2023-08-11T10:26:00Z</dcterms:created>
  <dcterms:modified xsi:type="dcterms:W3CDTF">2023-08-11T10:26:00Z</dcterms:modified>
</cp:coreProperties>
</file>