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5106C" w14:textId="77777777" w:rsidR="005578F9" w:rsidRDefault="005578F9" w:rsidP="005578F9">
      <w:pPr>
        <w:pStyle w:val="NormalWeb"/>
        <w:shd w:val="clear" w:color="auto" w:fill="FFFFFF" w:themeFill="background1"/>
        <w:spacing w:before="0" w:beforeAutospacing="0" w:after="0" w:afterAutospacing="0" w:line="360" w:lineRule="auto"/>
        <w:jc w:val="center"/>
        <w:rPr>
          <w:b/>
          <w:bCs/>
          <w:sz w:val="36"/>
          <w:szCs w:val="36"/>
        </w:rPr>
      </w:pPr>
      <w:r>
        <w:rPr>
          <w:b/>
          <w:bCs/>
          <w:sz w:val="36"/>
          <w:szCs w:val="36"/>
        </w:rPr>
        <w:t>CHAPTER 7</w:t>
      </w:r>
    </w:p>
    <w:p w14:paraId="7B088926" w14:textId="4A496F71" w:rsidR="004945AB" w:rsidRPr="005578F9" w:rsidRDefault="004945AB" w:rsidP="005578F9">
      <w:pPr>
        <w:pStyle w:val="NormalWeb"/>
        <w:shd w:val="clear" w:color="auto" w:fill="FFFFFF" w:themeFill="background1"/>
        <w:spacing w:before="0" w:beforeAutospacing="0" w:after="0" w:afterAutospacing="0" w:line="360" w:lineRule="auto"/>
        <w:jc w:val="center"/>
        <w:rPr>
          <w:b/>
          <w:bCs/>
          <w:i/>
          <w:iCs/>
          <w:sz w:val="40"/>
          <w:szCs w:val="40"/>
          <w:u w:val="single"/>
        </w:rPr>
      </w:pPr>
      <w:r w:rsidRPr="005578F9">
        <w:rPr>
          <w:b/>
          <w:bCs/>
          <w:i/>
          <w:iCs/>
          <w:sz w:val="40"/>
          <w:szCs w:val="40"/>
          <w:u w:val="single"/>
        </w:rPr>
        <w:t xml:space="preserve">Regulatory Compliance and Quality Assurance in </w:t>
      </w:r>
      <w:r w:rsidR="00DA385E" w:rsidRPr="005578F9">
        <w:rPr>
          <w:b/>
          <w:bCs/>
          <w:i/>
          <w:iCs/>
          <w:sz w:val="40"/>
          <w:szCs w:val="40"/>
          <w:u w:val="single"/>
        </w:rPr>
        <w:t>Packaging</w:t>
      </w:r>
    </w:p>
    <w:p w14:paraId="4B1EBBDA" w14:textId="77777777" w:rsidR="005578F9" w:rsidRPr="005578F9" w:rsidRDefault="005578F9" w:rsidP="005578F9">
      <w:pPr>
        <w:pStyle w:val="NormalWeb"/>
        <w:shd w:val="clear" w:color="auto" w:fill="FFFFFF" w:themeFill="background1"/>
        <w:spacing w:before="0" w:beforeAutospacing="0" w:after="0" w:afterAutospacing="0" w:line="360" w:lineRule="auto"/>
        <w:jc w:val="center"/>
        <w:rPr>
          <w:b/>
          <w:bCs/>
          <w:sz w:val="36"/>
          <w:szCs w:val="36"/>
        </w:rPr>
      </w:pPr>
    </w:p>
    <w:p w14:paraId="11826CD2" w14:textId="2D1B0550" w:rsidR="004945AB" w:rsidRPr="00DF4FF2" w:rsidRDefault="004945AB" w:rsidP="00543AE2">
      <w:pPr>
        <w:spacing w:after="0" w:line="360" w:lineRule="auto"/>
        <w:jc w:val="both"/>
        <w:rPr>
          <w:rFonts w:ascii="Times New Roman" w:hAnsi="Times New Roman" w:cs="Times New Roman"/>
          <w:b/>
          <w:sz w:val="24"/>
          <w:szCs w:val="24"/>
        </w:rPr>
      </w:pPr>
      <w:r w:rsidRPr="00DF4FF2">
        <w:rPr>
          <w:rFonts w:ascii="Times New Roman" w:hAnsi="Times New Roman" w:cs="Times New Roman"/>
          <w:b/>
          <w:sz w:val="24"/>
          <w:szCs w:val="24"/>
        </w:rPr>
        <w:t>Dr. Shikha Jaiswal</w:t>
      </w:r>
      <w:r w:rsidRPr="00DF4FF2">
        <w:rPr>
          <w:rFonts w:ascii="Times New Roman" w:hAnsi="Times New Roman" w:cs="Times New Roman"/>
          <w:b/>
          <w:sz w:val="24"/>
          <w:szCs w:val="24"/>
          <w:vertAlign w:val="superscript"/>
        </w:rPr>
        <w:t>*1</w:t>
      </w:r>
      <w:r w:rsidRPr="00DF4FF2">
        <w:rPr>
          <w:rFonts w:ascii="Times New Roman" w:hAnsi="Times New Roman" w:cs="Times New Roman"/>
          <w:b/>
          <w:sz w:val="24"/>
          <w:szCs w:val="24"/>
        </w:rPr>
        <w:t xml:space="preserve">, </w:t>
      </w:r>
      <w:r w:rsidR="00640739" w:rsidRPr="00DF4FF2">
        <w:rPr>
          <w:rFonts w:ascii="Times New Roman" w:hAnsi="Times New Roman" w:cs="Times New Roman"/>
          <w:b/>
          <w:sz w:val="24"/>
          <w:szCs w:val="24"/>
        </w:rPr>
        <w:t>Mr. Shahrukh Khan</w:t>
      </w:r>
      <w:r w:rsidR="00640739" w:rsidRPr="00DF4FF2">
        <w:rPr>
          <w:rFonts w:ascii="Times New Roman" w:hAnsi="Times New Roman" w:cs="Times New Roman"/>
          <w:b/>
          <w:sz w:val="24"/>
          <w:szCs w:val="24"/>
          <w:vertAlign w:val="superscript"/>
        </w:rPr>
        <w:t>2</w:t>
      </w:r>
      <w:r w:rsidR="00640739" w:rsidRPr="00DF4FF2">
        <w:rPr>
          <w:rFonts w:ascii="Times New Roman" w:hAnsi="Times New Roman" w:cs="Times New Roman"/>
          <w:b/>
          <w:sz w:val="24"/>
          <w:szCs w:val="24"/>
        </w:rPr>
        <w:t xml:space="preserve">, Mr. Shikhar Rathore </w:t>
      </w:r>
      <w:r w:rsidR="00640739" w:rsidRPr="00DF4FF2">
        <w:rPr>
          <w:rFonts w:ascii="Times New Roman" w:hAnsi="Times New Roman" w:cs="Times New Roman"/>
          <w:b/>
          <w:sz w:val="24"/>
          <w:szCs w:val="24"/>
          <w:vertAlign w:val="superscript"/>
        </w:rPr>
        <w:t>3</w:t>
      </w:r>
      <w:r w:rsidR="00640739" w:rsidRPr="00DF4FF2">
        <w:rPr>
          <w:rFonts w:ascii="Times New Roman" w:hAnsi="Times New Roman" w:cs="Times New Roman"/>
          <w:b/>
          <w:sz w:val="24"/>
          <w:szCs w:val="24"/>
        </w:rPr>
        <w:t xml:space="preserve">, </w:t>
      </w:r>
      <w:r w:rsidRPr="00DF4FF2">
        <w:rPr>
          <w:rFonts w:ascii="Times New Roman" w:hAnsi="Times New Roman" w:cs="Times New Roman"/>
          <w:b/>
          <w:sz w:val="24"/>
          <w:szCs w:val="24"/>
        </w:rPr>
        <w:t>Dr. Sudha Vengurlekar</w:t>
      </w:r>
      <w:r w:rsidR="00640739" w:rsidRPr="00DF4FF2">
        <w:rPr>
          <w:rFonts w:ascii="Times New Roman" w:hAnsi="Times New Roman" w:cs="Times New Roman"/>
          <w:b/>
          <w:sz w:val="24"/>
          <w:szCs w:val="24"/>
          <w:vertAlign w:val="superscript"/>
        </w:rPr>
        <w:t>4</w:t>
      </w:r>
    </w:p>
    <w:p w14:paraId="53956B10" w14:textId="77777777" w:rsidR="004945AB" w:rsidRPr="00DF4FF2" w:rsidRDefault="004945AB" w:rsidP="00543AE2">
      <w:pPr>
        <w:pStyle w:val="ListParagraph"/>
        <w:numPr>
          <w:ilvl w:val="0"/>
          <w:numId w:val="1"/>
        </w:numPr>
        <w:spacing w:after="0" w:line="360" w:lineRule="auto"/>
        <w:jc w:val="both"/>
        <w:rPr>
          <w:rFonts w:ascii="Times New Roman" w:hAnsi="Times New Roman"/>
          <w:b/>
          <w:sz w:val="24"/>
          <w:szCs w:val="24"/>
        </w:rPr>
      </w:pPr>
      <w:r w:rsidRPr="00DF4FF2">
        <w:rPr>
          <w:rFonts w:ascii="Times New Roman" w:hAnsi="Times New Roman"/>
          <w:b/>
          <w:sz w:val="24"/>
          <w:szCs w:val="24"/>
        </w:rPr>
        <w:t>Department of pharmaceutics, Oriental University, Indore (M.P.)</w:t>
      </w:r>
    </w:p>
    <w:p w14:paraId="2C13B455" w14:textId="77777777" w:rsidR="00640739" w:rsidRPr="00DF4FF2" w:rsidRDefault="00640739" w:rsidP="00640739">
      <w:pPr>
        <w:pStyle w:val="ListParagraph"/>
        <w:numPr>
          <w:ilvl w:val="0"/>
          <w:numId w:val="1"/>
        </w:numPr>
        <w:spacing w:after="0" w:line="360" w:lineRule="auto"/>
        <w:jc w:val="both"/>
        <w:rPr>
          <w:rFonts w:ascii="Times New Roman" w:hAnsi="Times New Roman"/>
          <w:b/>
          <w:sz w:val="24"/>
          <w:szCs w:val="24"/>
        </w:rPr>
      </w:pPr>
      <w:r w:rsidRPr="00DF4FF2">
        <w:rPr>
          <w:rFonts w:ascii="Times New Roman" w:hAnsi="Times New Roman"/>
          <w:b/>
          <w:sz w:val="24"/>
          <w:szCs w:val="24"/>
        </w:rPr>
        <w:t>Department of pharmaceutics, Oriental University, Indore (M.P.)</w:t>
      </w:r>
    </w:p>
    <w:p w14:paraId="0C5B77E8" w14:textId="254B19E2" w:rsidR="00640739" w:rsidRPr="00DF4FF2" w:rsidRDefault="00640739" w:rsidP="00640739">
      <w:pPr>
        <w:pStyle w:val="ListParagraph"/>
        <w:numPr>
          <w:ilvl w:val="0"/>
          <w:numId w:val="1"/>
        </w:numPr>
        <w:spacing w:after="0" w:line="360" w:lineRule="auto"/>
        <w:jc w:val="both"/>
        <w:rPr>
          <w:rFonts w:ascii="Times New Roman" w:hAnsi="Times New Roman"/>
          <w:b/>
          <w:sz w:val="24"/>
          <w:szCs w:val="24"/>
        </w:rPr>
      </w:pPr>
      <w:r w:rsidRPr="00DF4FF2">
        <w:rPr>
          <w:rFonts w:ascii="Times New Roman" w:hAnsi="Times New Roman"/>
          <w:b/>
          <w:sz w:val="24"/>
          <w:szCs w:val="24"/>
        </w:rPr>
        <w:t>Department of pharmaceutics, Oriental University, Indore (M.P.)</w:t>
      </w:r>
    </w:p>
    <w:p w14:paraId="7714ECF3" w14:textId="15BF2556" w:rsidR="004945AB" w:rsidRPr="00DF4FF2" w:rsidRDefault="004945AB" w:rsidP="00543AE2">
      <w:pPr>
        <w:pStyle w:val="ListParagraph"/>
        <w:numPr>
          <w:ilvl w:val="0"/>
          <w:numId w:val="1"/>
        </w:numPr>
        <w:spacing w:after="0" w:line="360" w:lineRule="auto"/>
        <w:jc w:val="both"/>
        <w:rPr>
          <w:rFonts w:ascii="Times New Roman" w:hAnsi="Times New Roman"/>
          <w:b/>
          <w:sz w:val="24"/>
          <w:szCs w:val="24"/>
        </w:rPr>
      </w:pPr>
      <w:r w:rsidRPr="00DF4FF2">
        <w:rPr>
          <w:rFonts w:ascii="Times New Roman" w:hAnsi="Times New Roman"/>
          <w:b/>
          <w:sz w:val="24"/>
          <w:szCs w:val="24"/>
        </w:rPr>
        <w:t>Department of pharmaceutical chemistry, Oriental University, Indore (M.P.)</w:t>
      </w:r>
    </w:p>
    <w:p w14:paraId="4AA52C63" w14:textId="77777777" w:rsidR="00640739" w:rsidRPr="00DF4FF2" w:rsidRDefault="00640739" w:rsidP="00543AE2">
      <w:pPr>
        <w:pStyle w:val="NormalWeb"/>
        <w:shd w:val="clear" w:color="auto" w:fill="FFFFFF" w:themeFill="background1"/>
        <w:spacing w:before="0" w:beforeAutospacing="0" w:after="0" w:afterAutospacing="0" w:line="360" w:lineRule="auto"/>
        <w:jc w:val="both"/>
        <w:rPr>
          <w:b/>
          <w:bCs/>
        </w:rPr>
      </w:pPr>
    </w:p>
    <w:p w14:paraId="5832E5F3" w14:textId="4D2CCC44" w:rsidR="004945AB" w:rsidRPr="00DF4FF2" w:rsidRDefault="004945AB" w:rsidP="00543AE2">
      <w:pPr>
        <w:pStyle w:val="NormalWeb"/>
        <w:shd w:val="clear" w:color="auto" w:fill="FFFFFF" w:themeFill="background1"/>
        <w:spacing w:before="0" w:beforeAutospacing="0" w:after="0" w:afterAutospacing="0" w:line="360" w:lineRule="auto"/>
        <w:jc w:val="both"/>
        <w:rPr>
          <w:b/>
          <w:bCs/>
        </w:rPr>
      </w:pPr>
      <w:r w:rsidRPr="00DF4FF2">
        <w:rPr>
          <w:b/>
          <w:bCs/>
        </w:rPr>
        <w:t xml:space="preserve">CONTENTS </w:t>
      </w:r>
    </w:p>
    <w:p w14:paraId="7A3A6DE8" w14:textId="0FC53729" w:rsidR="004945AB" w:rsidRPr="00DF4FF2" w:rsidRDefault="004945AB" w:rsidP="00543AE2">
      <w:pPr>
        <w:pStyle w:val="NormalWeb"/>
        <w:numPr>
          <w:ilvl w:val="0"/>
          <w:numId w:val="4"/>
        </w:numPr>
        <w:shd w:val="clear" w:color="auto" w:fill="FFFFFF" w:themeFill="background1"/>
        <w:spacing w:before="0" w:beforeAutospacing="0" w:after="0" w:afterAutospacing="0" w:line="360" w:lineRule="auto"/>
        <w:jc w:val="both"/>
      </w:pPr>
      <w:r w:rsidRPr="00DF4FF2">
        <w:t>Introduction</w:t>
      </w:r>
    </w:p>
    <w:p w14:paraId="66AD854E" w14:textId="7E345F3A" w:rsidR="009D7B03" w:rsidRPr="00DF4FF2" w:rsidRDefault="009D7B03" w:rsidP="00543AE2">
      <w:pPr>
        <w:pStyle w:val="NormalWeb"/>
        <w:numPr>
          <w:ilvl w:val="0"/>
          <w:numId w:val="4"/>
        </w:numPr>
        <w:shd w:val="clear" w:color="auto" w:fill="FFFFFF" w:themeFill="background1"/>
        <w:spacing w:before="0" w:beforeAutospacing="0" w:after="0" w:afterAutospacing="0" w:line="360" w:lineRule="auto"/>
        <w:jc w:val="both"/>
      </w:pPr>
      <w:r w:rsidRPr="00DF4FF2">
        <w:t>Regulatory Compliance</w:t>
      </w:r>
    </w:p>
    <w:p w14:paraId="4ACE26A1" w14:textId="0789C575" w:rsidR="009D7B03" w:rsidRPr="00DF4FF2" w:rsidRDefault="009D7B03" w:rsidP="00543AE2">
      <w:pPr>
        <w:pStyle w:val="NormalWeb"/>
        <w:numPr>
          <w:ilvl w:val="0"/>
          <w:numId w:val="4"/>
        </w:numPr>
        <w:shd w:val="clear" w:color="auto" w:fill="FFFFFF" w:themeFill="background1"/>
        <w:spacing w:before="0" w:beforeAutospacing="0" w:after="0" w:afterAutospacing="0" w:line="360" w:lineRule="auto"/>
        <w:jc w:val="both"/>
      </w:pPr>
      <w:r w:rsidRPr="00DF4FF2">
        <w:t>Quality Assurance</w:t>
      </w:r>
    </w:p>
    <w:p w14:paraId="42FAC3BA" w14:textId="3E960FF2" w:rsidR="004945AB" w:rsidRPr="00DF4FF2" w:rsidRDefault="009D7B03" w:rsidP="00543AE2">
      <w:pPr>
        <w:pStyle w:val="NormalWeb"/>
        <w:numPr>
          <w:ilvl w:val="0"/>
          <w:numId w:val="4"/>
        </w:numPr>
        <w:shd w:val="clear" w:color="auto" w:fill="FFFFFF" w:themeFill="background1"/>
        <w:spacing w:before="0" w:beforeAutospacing="0" w:after="0" w:afterAutospacing="0" w:line="360" w:lineRule="auto"/>
        <w:jc w:val="both"/>
      </w:pPr>
      <w:r w:rsidRPr="00DF4FF2">
        <w:t>Pharmaceutical Packaging</w:t>
      </w:r>
    </w:p>
    <w:p w14:paraId="4B876399" w14:textId="273D4C26" w:rsidR="001E4B1D" w:rsidRPr="00DF4FF2" w:rsidRDefault="001E4B1D" w:rsidP="00543AE2">
      <w:pPr>
        <w:pStyle w:val="NormalWeb"/>
        <w:numPr>
          <w:ilvl w:val="0"/>
          <w:numId w:val="4"/>
        </w:numPr>
        <w:shd w:val="clear" w:color="auto" w:fill="FFFFFF" w:themeFill="background1"/>
        <w:spacing w:before="0" w:beforeAutospacing="0" w:after="0" w:afterAutospacing="0" w:line="360" w:lineRule="auto"/>
        <w:jc w:val="both"/>
      </w:pPr>
      <w:r w:rsidRPr="00DF4FF2">
        <w:t>Regulatory Compliance in Packaging</w:t>
      </w:r>
    </w:p>
    <w:p w14:paraId="23524622" w14:textId="5C33CFBC" w:rsidR="001E4B1D" w:rsidRPr="00DF4FF2" w:rsidRDefault="001E4B1D" w:rsidP="00543AE2">
      <w:pPr>
        <w:pStyle w:val="NormalWeb"/>
        <w:numPr>
          <w:ilvl w:val="0"/>
          <w:numId w:val="4"/>
        </w:numPr>
        <w:shd w:val="clear" w:color="auto" w:fill="FFFFFF" w:themeFill="background1"/>
        <w:spacing w:before="0" w:beforeAutospacing="0" w:after="0" w:afterAutospacing="0" w:line="360" w:lineRule="auto"/>
        <w:jc w:val="both"/>
      </w:pPr>
      <w:r w:rsidRPr="00DF4FF2">
        <w:t>Quality Assurance in Packaging</w:t>
      </w:r>
    </w:p>
    <w:p w14:paraId="2E974908" w14:textId="77777777" w:rsidR="004945AB" w:rsidRPr="00DF4FF2" w:rsidRDefault="004945AB" w:rsidP="00543AE2">
      <w:pPr>
        <w:pStyle w:val="NormalWeb"/>
        <w:numPr>
          <w:ilvl w:val="0"/>
          <w:numId w:val="4"/>
        </w:numPr>
        <w:shd w:val="clear" w:color="auto" w:fill="FFFFFF" w:themeFill="background1"/>
        <w:spacing w:before="0" w:beforeAutospacing="0" w:after="0" w:afterAutospacing="0" w:line="360" w:lineRule="auto"/>
        <w:jc w:val="both"/>
      </w:pPr>
      <w:r w:rsidRPr="00DF4FF2">
        <w:t>References</w:t>
      </w:r>
    </w:p>
    <w:p w14:paraId="7CD9732C" w14:textId="3419F003" w:rsidR="004945AB" w:rsidRPr="00DF4FF2" w:rsidRDefault="004945AB"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INTRODUCTION</w:t>
      </w:r>
    </w:p>
    <w:p w14:paraId="7F006C74" w14:textId="77777777" w:rsidR="001E4B1D" w:rsidRPr="00DF4FF2" w:rsidRDefault="001E4B1D" w:rsidP="00543AE2">
      <w:pPr>
        <w:pStyle w:val="NormalWeb"/>
        <w:shd w:val="clear" w:color="auto" w:fill="FFFFFF" w:themeFill="background1"/>
        <w:spacing w:before="0" w:beforeAutospacing="0" w:after="0" w:afterAutospacing="0" w:line="360" w:lineRule="auto"/>
        <w:ind w:left="720"/>
        <w:jc w:val="both"/>
        <w:rPr>
          <w:spacing w:val="6"/>
          <w:shd w:val="clear" w:color="auto" w:fill="FFFFFF"/>
        </w:rPr>
      </w:pPr>
      <w:r w:rsidRPr="00DF4FF2">
        <w:rPr>
          <w:spacing w:val="6"/>
          <w:shd w:val="clear" w:color="auto" w:fill="FFFFFF"/>
        </w:rPr>
        <w:t>There are many restrictions on the packaging and labeling of pharmaceuticals, including the requirement to present information prescribed by law. This has resulted in similar package designs by different pharmaceutical companies, which is a contributing factor in pharmaceutical product mix-ups. The packaging and labeling team of the Manufacturing Division heads our efforts to respond to the needs of both medical institutions and patients by improving packaging and label designs to prevent medical errors.</w:t>
      </w:r>
    </w:p>
    <w:p w14:paraId="424DBF87" w14:textId="3DA4AA15" w:rsidR="001E4B1D" w:rsidRPr="00DF4FF2" w:rsidRDefault="001E4B1D" w:rsidP="00640739">
      <w:pPr>
        <w:pStyle w:val="NormalWeb"/>
        <w:shd w:val="clear" w:color="auto" w:fill="FFFFFF" w:themeFill="background1"/>
        <w:spacing w:before="0" w:beforeAutospacing="0" w:after="0" w:afterAutospacing="0" w:line="360" w:lineRule="auto"/>
        <w:ind w:left="720"/>
        <w:jc w:val="both"/>
        <w:rPr>
          <w:rStyle w:val="Strong"/>
          <w:b w:val="0"/>
          <w:bCs w:val="0"/>
        </w:rPr>
      </w:pPr>
      <w:r w:rsidRPr="00DF4FF2">
        <w:rPr>
          <w:shd w:val="clear" w:color="auto" w:fill="FFFFFF"/>
        </w:rPr>
        <w:t xml:space="preserve">The products are expected to meet the minimum quality, safety and efficacy requirements set by the regulatory body to ensure safe and informed use. Assurance of the compliance </w:t>
      </w:r>
      <w:r w:rsidRPr="00DF4FF2">
        <w:rPr>
          <w:shd w:val="clear" w:color="auto" w:fill="FFFFFF"/>
        </w:rPr>
        <w:lastRenderedPageBreak/>
        <w:t>of product packaging and labeling information to regulatory requirements is equally important to the quality and safety of the product.</w:t>
      </w:r>
    </w:p>
    <w:p w14:paraId="3BB9867E" w14:textId="0D0F04FE"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REGULATORY COMPLIANCE</w:t>
      </w:r>
    </w:p>
    <w:p w14:paraId="55933D3F" w14:textId="1B550422" w:rsidR="001B49F8" w:rsidRPr="00DF4FF2" w:rsidRDefault="001B49F8" w:rsidP="00543AE2">
      <w:pPr>
        <w:pStyle w:val="NormalWeb"/>
        <w:shd w:val="clear" w:color="auto" w:fill="FFFFFF"/>
        <w:spacing w:before="120" w:beforeAutospacing="0" w:after="0" w:afterAutospacing="0" w:line="360" w:lineRule="auto"/>
        <w:ind w:left="360"/>
        <w:jc w:val="both"/>
      </w:pPr>
      <w:r w:rsidRPr="00DF4FF2">
        <w:rPr>
          <w:b/>
          <w:bCs/>
        </w:rPr>
        <w:t>Regulatory compliance</w:t>
      </w:r>
      <w:r w:rsidRPr="00DF4FF2">
        <w:t> describes the goal that organizations aspire to achieve in their efforts to ensure that they are aware of and take steps to comply with relevant </w:t>
      </w:r>
      <w:hyperlink r:id="rId5" w:tooltip="Law" w:history="1">
        <w:r w:rsidRPr="00DF4FF2">
          <w:rPr>
            <w:rStyle w:val="Hyperlink"/>
            <w:color w:val="auto"/>
            <w:u w:val="none"/>
          </w:rPr>
          <w:t>laws</w:t>
        </w:r>
      </w:hyperlink>
      <w:r w:rsidRPr="00DF4FF2">
        <w:t>, policies, and </w:t>
      </w:r>
      <w:hyperlink r:id="rId6" w:tooltip="Regulations" w:history="1">
        <w:r w:rsidRPr="00DF4FF2">
          <w:rPr>
            <w:rStyle w:val="Hyperlink"/>
            <w:color w:val="auto"/>
            <w:u w:val="none"/>
          </w:rPr>
          <w:t>regulations</w:t>
        </w:r>
      </w:hyperlink>
      <w:r w:rsidRPr="00DF4FF2">
        <w:t>. Due to the increasing number of regulations and need for operational transparency, organizations are increasingly adopting the use of consolidated and harmonized sets of compliance controls. This approach is used to ensure that all necessary governance requirements can be met without the unnecessary duplication of effort and activity from resources.</w:t>
      </w:r>
    </w:p>
    <w:p w14:paraId="0CA174A1" w14:textId="77777777" w:rsidR="001B49F8" w:rsidRPr="00DF4FF2" w:rsidRDefault="001B49F8" w:rsidP="00543AE2">
      <w:pPr>
        <w:pStyle w:val="NormalWeb"/>
        <w:shd w:val="clear" w:color="auto" w:fill="FFFFFF"/>
        <w:spacing w:before="120" w:beforeAutospacing="0" w:after="0" w:afterAutospacing="0" w:line="360" w:lineRule="auto"/>
        <w:ind w:left="360"/>
        <w:jc w:val="both"/>
      </w:pPr>
      <w:r w:rsidRPr="00DF4FF2">
        <w:t>Regulations and accrediting organizations vary among fields, with examples such as </w:t>
      </w:r>
      <w:hyperlink r:id="rId7" w:tooltip="PCI-DSS" w:history="1">
        <w:r w:rsidRPr="00DF4FF2">
          <w:rPr>
            <w:rStyle w:val="Hyperlink"/>
            <w:color w:val="auto"/>
            <w:u w:val="none"/>
          </w:rPr>
          <w:t>PCI-DSS</w:t>
        </w:r>
      </w:hyperlink>
      <w:r w:rsidRPr="00DF4FF2">
        <w:t> and </w:t>
      </w:r>
      <w:hyperlink r:id="rId8" w:tooltip="GLBA" w:history="1">
        <w:r w:rsidRPr="00DF4FF2">
          <w:rPr>
            <w:rStyle w:val="Hyperlink"/>
            <w:color w:val="auto"/>
            <w:u w:val="none"/>
          </w:rPr>
          <w:t>GLBA</w:t>
        </w:r>
      </w:hyperlink>
      <w:r w:rsidRPr="00DF4FF2">
        <w:t> in the financial industry, </w:t>
      </w:r>
      <w:hyperlink r:id="rId9" w:tooltip="FISMA" w:history="1">
        <w:r w:rsidRPr="00DF4FF2">
          <w:rPr>
            <w:rStyle w:val="Hyperlink"/>
            <w:color w:val="auto"/>
            <w:u w:val="none"/>
          </w:rPr>
          <w:t>FISMA</w:t>
        </w:r>
      </w:hyperlink>
      <w:r w:rsidRPr="00DF4FF2">
        <w:t> for U.S. federal agencies, </w:t>
      </w:r>
      <w:hyperlink r:id="rId10" w:tooltip="HACCP" w:history="1">
        <w:r w:rsidRPr="00DF4FF2">
          <w:rPr>
            <w:rStyle w:val="Hyperlink"/>
            <w:color w:val="auto"/>
            <w:u w:val="none"/>
          </w:rPr>
          <w:t>HACCP</w:t>
        </w:r>
      </w:hyperlink>
      <w:r w:rsidRPr="00DF4FF2">
        <w:t> for the </w:t>
      </w:r>
      <w:hyperlink r:id="rId11" w:tooltip="Food industry" w:history="1">
        <w:r w:rsidRPr="00DF4FF2">
          <w:rPr>
            <w:rStyle w:val="Hyperlink"/>
            <w:color w:val="auto"/>
            <w:u w:val="none"/>
          </w:rPr>
          <w:t>food</w:t>
        </w:r>
      </w:hyperlink>
      <w:r w:rsidRPr="00DF4FF2">
        <w:t> and </w:t>
      </w:r>
      <w:hyperlink r:id="rId12" w:tooltip="Drink industry" w:history="1">
        <w:r w:rsidRPr="00DF4FF2">
          <w:rPr>
            <w:rStyle w:val="Hyperlink"/>
            <w:color w:val="auto"/>
            <w:u w:val="none"/>
          </w:rPr>
          <w:t>beverage industry</w:t>
        </w:r>
      </w:hyperlink>
      <w:r w:rsidRPr="00DF4FF2">
        <w:t>, and the </w:t>
      </w:r>
      <w:hyperlink r:id="rId13" w:tooltip="Joint Commission" w:history="1">
        <w:r w:rsidRPr="00DF4FF2">
          <w:rPr>
            <w:rStyle w:val="Hyperlink"/>
            <w:color w:val="auto"/>
            <w:u w:val="none"/>
          </w:rPr>
          <w:t>Joint Commission</w:t>
        </w:r>
      </w:hyperlink>
      <w:r w:rsidRPr="00DF4FF2">
        <w:t> and </w:t>
      </w:r>
      <w:hyperlink r:id="rId14" w:tooltip="HIPAA" w:history="1">
        <w:r w:rsidRPr="00DF4FF2">
          <w:rPr>
            <w:rStyle w:val="Hyperlink"/>
            <w:color w:val="auto"/>
            <w:u w:val="none"/>
          </w:rPr>
          <w:t>HIPAA</w:t>
        </w:r>
      </w:hyperlink>
      <w:r w:rsidRPr="00DF4FF2">
        <w:t> in healthcare. In some cases other compliance frameworks (such as </w:t>
      </w:r>
      <w:hyperlink r:id="rId15" w:tooltip="COBIT" w:history="1">
        <w:r w:rsidRPr="00DF4FF2">
          <w:rPr>
            <w:rStyle w:val="Hyperlink"/>
            <w:color w:val="auto"/>
            <w:u w:val="none"/>
          </w:rPr>
          <w:t>COBIT</w:t>
        </w:r>
      </w:hyperlink>
      <w:r w:rsidRPr="00DF4FF2">
        <w:t>) or even standards (</w:t>
      </w:r>
      <w:hyperlink r:id="rId16" w:tooltip="NIST" w:history="1">
        <w:r w:rsidRPr="00DF4FF2">
          <w:rPr>
            <w:rStyle w:val="Hyperlink"/>
            <w:color w:val="auto"/>
            <w:u w:val="none"/>
          </w:rPr>
          <w:t>NIST</w:t>
        </w:r>
      </w:hyperlink>
      <w:r w:rsidRPr="00DF4FF2">
        <w:t>) inform on how to comply with regulations.</w:t>
      </w:r>
    </w:p>
    <w:p w14:paraId="690ECF2B" w14:textId="278C521D" w:rsidR="001B49F8" w:rsidRPr="00DF4FF2" w:rsidRDefault="001B49F8" w:rsidP="00640739">
      <w:pPr>
        <w:pStyle w:val="NormalWeb"/>
        <w:shd w:val="clear" w:color="auto" w:fill="FFFFFF"/>
        <w:spacing w:before="120" w:beforeAutospacing="0" w:after="0" w:afterAutospacing="0" w:line="360" w:lineRule="auto"/>
        <w:ind w:left="720"/>
        <w:jc w:val="both"/>
      </w:pPr>
      <w:r w:rsidRPr="00DF4FF2">
        <w:t>Some organizations keep compliance data—all data belonging or pertaining to the enterprise or included in the law, which can be used for the purpose of implementing or validating compliance—in a separate store for meeting reporting requirements. Compliance software is increasingly being implemented to help companies manage their compliance data more efficiently. This store may include calculations, data transfers, and audit trails.</w:t>
      </w:r>
    </w:p>
    <w:p w14:paraId="5769718E" w14:textId="5B724E14"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QUALITY ASSURANCE</w:t>
      </w:r>
    </w:p>
    <w:p w14:paraId="7D6508CD" w14:textId="77777777" w:rsidR="001E4B1D" w:rsidRPr="00DF4FF2" w:rsidRDefault="001E4B1D" w:rsidP="00543AE2">
      <w:pPr>
        <w:pStyle w:val="NormalWeb"/>
        <w:shd w:val="clear" w:color="auto" w:fill="FFFFFF"/>
        <w:spacing w:before="0" w:beforeAutospacing="0" w:after="0" w:afterAutospacing="0" w:line="360" w:lineRule="auto"/>
        <w:ind w:left="360"/>
        <w:jc w:val="both"/>
      </w:pPr>
      <w:r w:rsidRPr="00DF4FF2">
        <w:t>In basic terms, quality is defined as: “the standard of something as measured against other things of a similar kind; the degree of excellence of something.” So, how good a product or service is compared to other similar options on the market. After all, you can’t say your product is quality if you have nothing to compare it to or haven’t tested it to prove what you’re claiming is true. Consumers would simply be taking your word for it, which doesn’t hold much weight in their eyes.</w:t>
      </w:r>
    </w:p>
    <w:p w14:paraId="280F8B2C" w14:textId="77777777" w:rsidR="001E4B1D" w:rsidRPr="00DF4FF2" w:rsidRDefault="001E4B1D" w:rsidP="00543AE2">
      <w:pPr>
        <w:pStyle w:val="NormalWeb"/>
        <w:shd w:val="clear" w:color="auto" w:fill="FFFFFF"/>
        <w:spacing w:before="0" w:beforeAutospacing="0" w:after="0" w:afterAutospacing="0" w:line="360" w:lineRule="auto"/>
        <w:ind w:left="360"/>
        <w:jc w:val="both"/>
      </w:pPr>
      <w:r w:rsidRPr="00DF4FF2">
        <w:t xml:space="preserve">However, there is an argument to say that if your product is fit for use and purpose and does its job then it is quality too. But quality also relates to design, reliability, durability, and a whole </w:t>
      </w:r>
      <w:r w:rsidRPr="00DF4FF2">
        <w:lastRenderedPageBreak/>
        <w:t>host of things that contribute to a product’s overall value and quality rating. For instance, if you had a pair of running shoes that looked great, felt really comfortable and helped you win a race but fell apart after one event, could they be considered as being quality? It all depends what the expectations are in the eyes of the consumer and what the market standards are, which is where quality assurance and quality compliance come in.</w:t>
      </w:r>
    </w:p>
    <w:p w14:paraId="6A610A86" w14:textId="4D36DA22" w:rsidR="001E4B1D" w:rsidRPr="00DF4FF2" w:rsidRDefault="001E4B1D" w:rsidP="00640739">
      <w:pPr>
        <w:pStyle w:val="NormalWeb"/>
        <w:shd w:val="clear" w:color="auto" w:fill="FFFFFF"/>
        <w:spacing w:before="0" w:beforeAutospacing="0" w:after="0" w:afterAutospacing="0" w:line="360" w:lineRule="auto"/>
        <w:ind w:left="360"/>
        <w:jc w:val="both"/>
      </w:pPr>
      <w:r w:rsidRPr="00DF4FF2">
        <w:t xml:space="preserve">At this point, it’s useful to note that quality assurance isn’t required by law and is related to the standard of products being produced, whereas quality compliance is the act of meeting set regulatory requirements. </w:t>
      </w:r>
      <w:proofErr w:type="gramStart"/>
      <w:r w:rsidRPr="00DF4FF2">
        <w:t>So</w:t>
      </w:r>
      <w:proofErr w:type="gramEnd"/>
      <w:r w:rsidRPr="00DF4FF2">
        <w:t xml:space="preserve"> one is at the discretion of the manufacturer and the other is imposed on them</w:t>
      </w:r>
    </w:p>
    <w:p w14:paraId="03363001" w14:textId="30FB5B54"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PHARMACEUTICAL PACKAGING</w:t>
      </w:r>
    </w:p>
    <w:p w14:paraId="1EC872AD" w14:textId="77777777" w:rsidR="001B49F8" w:rsidRPr="00DF4FF2" w:rsidRDefault="001B49F8" w:rsidP="00543AE2">
      <w:pPr>
        <w:pStyle w:val="NormalWeb"/>
        <w:shd w:val="clear" w:color="auto" w:fill="FFFFFF"/>
        <w:spacing w:before="120" w:beforeAutospacing="0" w:after="0" w:afterAutospacing="0" w:line="360" w:lineRule="auto"/>
        <w:ind w:left="360"/>
        <w:jc w:val="both"/>
      </w:pPr>
      <w:r w:rsidRPr="00DF4FF2">
        <w:rPr>
          <w:b/>
          <w:bCs/>
        </w:rPr>
        <w:t>Pharmaceutical packaging</w:t>
      </w:r>
      <w:r w:rsidRPr="00DF4FF2">
        <w:t> (or </w:t>
      </w:r>
      <w:r w:rsidRPr="00DF4FF2">
        <w:rPr>
          <w:b/>
          <w:bCs/>
        </w:rPr>
        <w:t>drug packaging</w:t>
      </w:r>
      <w:r w:rsidRPr="00DF4FF2">
        <w:t>) is the packages and the </w:t>
      </w:r>
      <w:hyperlink r:id="rId17" w:tooltip="Packaging" w:history="1">
        <w:r w:rsidRPr="00DF4FF2">
          <w:rPr>
            <w:rStyle w:val="Hyperlink"/>
            <w:color w:val="auto"/>
            <w:u w:val="none"/>
          </w:rPr>
          <w:t>packaging</w:t>
        </w:r>
      </w:hyperlink>
      <w:r w:rsidRPr="00DF4FF2">
        <w:t> processes for </w:t>
      </w:r>
      <w:hyperlink r:id="rId18" w:tooltip="Pharmaceutical drug" w:history="1">
        <w:r w:rsidRPr="00DF4FF2">
          <w:rPr>
            <w:rStyle w:val="Hyperlink"/>
            <w:color w:val="auto"/>
            <w:u w:val="none"/>
          </w:rPr>
          <w:t>pharmaceutical preparations</w:t>
        </w:r>
      </w:hyperlink>
      <w:r w:rsidRPr="00DF4FF2">
        <w:t>. It involves all of the operations from production through </w:t>
      </w:r>
      <w:hyperlink r:id="rId19" w:tooltip="Drug distribution" w:history="1">
        <w:r w:rsidRPr="00DF4FF2">
          <w:rPr>
            <w:rStyle w:val="Hyperlink"/>
            <w:color w:val="auto"/>
            <w:u w:val="none"/>
          </w:rPr>
          <w:t>drug distribution</w:t>
        </w:r>
      </w:hyperlink>
      <w:r w:rsidRPr="00DF4FF2">
        <w:t> channels to the end consumer.</w:t>
      </w:r>
    </w:p>
    <w:p w14:paraId="5A85DA55" w14:textId="48B2E399" w:rsidR="001B49F8" w:rsidRPr="00DF4FF2" w:rsidRDefault="001B49F8" w:rsidP="00640739">
      <w:pPr>
        <w:pStyle w:val="NormalWeb"/>
        <w:shd w:val="clear" w:color="auto" w:fill="FFFFFF"/>
        <w:spacing w:before="120" w:beforeAutospacing="0" w:after="0" w:afterAutospacing="0" w:line="360" w:lineRule="auto"/>
        <w:ind w:left="360"/>
        <w:jc w:val="both"/>
      </w:pPr>
      <w:r w:rsidRPr="00DF4FF2">
        <w:t>Pharmaceutical packaging is highly regulated but with some variation in the details, depending on the country of origin or the region. Several common factors can include: assurance of patient safety, assurance of the efficacy of the drug through the intended </w:t>
      </w:r>
      <w:hyperlink r:id="rId20" w:tooltip="Shelf life" w:history="1">
        <w:r w:rsidRPr="00DF4FF2">
          <w:rPr>
            <w:rStyle w:val="Hyperlink"/>
            <w:color w:val="auto"/>
            <w:u w:val="none"/>
          </w:rPr>
          <w:t>shelf life</w:t>
        </w:r>
      </w:hyperlink>
      <w:r w:rsidRPr="00DF4FF2">
        <w:t>, uniformity of the drug through different production lots, thorough documentation of all materials and processes, control of possible migration of packaging components into the drug, control of degradation of the drug by oxygen, moisture, heat, light exposure etc., prevention of </w:t>
      </w:r>
      <w:hyperlink r:id="rId21" w:tooltip="Microbial" w:history="1">
        <w:r w:rsidRPr="00DF4FF2">
          <w:rPr>
            <w:rStyle w:val="Hyperlink"/>
            <w:color w:val="auto"/>
            <w:u w:val="none"/>
          </w:rPr>
          <w:t>microbial</w:t>
        </w:r>
      </w:hyperlink>
      <w:r w:rsidRPr="00DF4FF2">
        <w:t> contamination, sterility, etc. Packaging is often involved in dispensing, dosing, and use of the pharmaceutical product. Communication of proper use and cautionary labels are also regulated. Packaging is an integral part of pharmaceutical product.</w:t>
      </w:r>
      <w:r w:rsidR="00543AE2" w:rsidRPr="00DF4FF2">
        <w:t xml:space="preserve"> </w:t>
      </w:r>
    </w:p>
    <w:p w14:paraId="4DFBCCBC" w14:textId="14E5A335" w:rsidR="00E03230" w:rsidRPr="00DF4FF2" w:rsidRDefault="001E4B1D" w:rsidP="00640739">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REGULATORY COMPLIANCE IN PACKAGING</w:t>
      </w:r>
    </w:p>
    <w:p w14:paraId="43207328" w14:textId="48C02892" w:rsidR="00761C15" w:rsidRPr="00DF4FF2" w:rsidRDefault="00761C15" w:rsidP="00543AE2">
      <w:pPr>
        <w:pStyle w:val="NormalWeb"/>
        <w:shd w:val="clear" w:color="auto" w:fill="FFFFFF" w:themeFill="background1"/>
        <w:spacing w:before="0" w:beforeAutospacing="0" w:after="0" w:afterAutospacing="0" w:line="360" w:lineRule="auto"/>
        <w:jc w:val="both"/>
        <w:rPr>
          <w:shd w:val="clear" w:color="auto" w:fill="FFFFFF"/>
        </w:rPr>
      </w:pPr>
      <w:r w:rsidRPr="00DF4FF2">
        <w:rPr>
          <w:shd w:val="clear" w:color="auto" w:fill="FFFFFF"/>
        </w:rPr>
        <w:t>Pharmaceutical packaging is a matter of serious concern for both the drug manufacturers and consumers. The primary objective of pharmaceutical packaging is to protect the medicine from external factors such as heat, moisture, oxygen, and contamination to ensure drug efficacy, patient safety, and extended shelf life. Since pharmaceuticals are sensitive to fluctuations in environmental conditions and contaminations, suppliers must comply with government rules and regulations regarding the </w:t>
      </w:r>
      <w:hyperlink r:id="rId22" w:history="1">
        <w:r w:rsidRPr="00DF4FF2">
          <w:rPr>
            <w:rStyle w:val="Hyperlink"/>
            <w:color w:val="auto"/>
            <w:u w:val="none"/>
          </w:rPr>
          <w:t>packaging of medicines</w:t>
        </w:r>
      </w:hyperlink>
      <w:r w:rsidRPr="00DF4FF2">
        <w:rPr>
          <w:shd w:val="clear" w:color="auto" w:fill="FFFFFF"/>
        </w:rPr>
        <w:t>. Here are some of the regulatory frameworks that pharmaceutical packaging suppliers must comply by:</w:t>
      </w:r>
    </w:p>
    <w:p w14:paraId="04FEF08F" w14:textId="354F5352" w:rsidR="00761C15" w:rsidRPr="00DF4FF2" w:rsidRDefault="00761C15" w:rsidP="00640739">
      <w:pPr>
        <w:pStyle w:val="NormalWeb"/>
        <w:shd w:val="clear" w:color="auto" w:fill="FFFFFF" w:themeFill="background1"/>
        <w:spacing w:before="0" w:beforeAutospacing="0" w:after="0" w:afterAutospacing="0" w:line="360" w:lineRule="auto"/>
        <w:jc w:val="center"/>
        <w:rPr>
          <w:b/>
          <w:bCs/>
        </w:rPr>
      </w:pPr>
      <w:r w:rsidRPr="00DF4FF2">
        <w:rPr>
          <w:b/>
          <w:bCs/>
          <w:noProof/>
        </w:rPr>
        <w:lastRenderedPageBreak/>
        <w:drawing>
          <wp:inline distT="0" distB="0" distL="0" distR="0" wp14:anchorId="6102AC24" wp14:editId="75978E9B">
            <wp:extent cx="4702508" cy="2034540"/>
            <wp:effectExtent l="0" t="0" r="0" b="3810"/>
            <wp:docPr id="14405763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26483" cy="2044913"/>
                    </a:xfrm>
                    <a:prstGeom prst="rect">
                      <a:avLst/>
                    </a:prstGeom>
                    <a:noFill/>
                  </pic:spPr>
                </pic:pic>
              </a:graphicData>
            </a:graphic>
          </wp:inline>
        </w:drawing>
      </w:r>
    </w:p>
    <w:p w14:paraId="7F4D1F44" w14:textId="043DC7F5" w:rsidR="00640739" w:rsidRPr="00DF4FF2" w:rsidRDefault="00640739" w:rsidP="00640739">
      <w:pPr>
        <w:pStyle w:val="NormalWeb"/>
        <w:shd w:val="clear" w:color="auto" w:fill="FFFFFF" w:themeFill="background1"/>
        <w:spacing w:before="0" w:beforeAutospacing="0" w:after="0" w:afterAutospacing="0" w:line="360" w:lineRule="auto"/>
        <w:jc w:val="center"/>
        <w:rPr>
          <w:b/>
          <w:bCs/>
        </w:rPr>
      </w:pPr>
      <w:r w:rsidRPr="00DF4FF2">
        <w:rPr>
          <w:b/>
          <w:bCs/>
        </w:rPr>
        <w:t xml:space="preserve">Figure No.: 01.  </w:t>
      </w:r>
      <w:r w:rsidRPr="00DF4FF2">
        <w:rPr>
          <w:shd w:val="clear" w:color="auto" w:fill="FFFFFF"/>
        </w:rPr>
        <w:t>R</w:t>
      </w:r>
      <w:r w:rsidRPr="00DF4FF2">
        <w:rPr>
          <w:shd w:val="clear" w:color="auto" w:fill="FFFFFF"/>
        </w:rPr>
        <w:t>egulatory frameworks</w:t>
      </w:r>
      <w:r w:rsidRPr="00DF4FF2">
        <w:rPr>
          <w:shd w:val="clear" w:color="auto" w:fill="FFFFFF"/>
        </w:rPr>
        <w:t xml:space="preserve"> for pharmaceutical packaging.</w:t>
      </w:r>
    </w:p>
    <w:p w14:paraId="2BBF292A" w14:textId="5CF9A467"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QUALITY ASSURANCE IN PACKAGING</w:t>
      </w:r>
    </w:p>
    <w:p w14:paraId="0C7ACBE6" w14:textId="0A712B87" w:rsidR="009C011F" w:rsidRPr="00DF4FF2" w:rsidRDefault="009C011F" w:rsidP="00543AE2">
      <w:pPr>
        <w:pStyle w:val="NormalWeb"/>
        <w:numPr>
          <w:ilvl w:val="1"/>
          <w:numId w:val="12"/>
        </w:numPr>
        <w:shd w:val="clear" w:color="auto" w:fill="FFFFFF" w:themeFill="background1"/>
        <w:spacing w:before="0" w:beforeAutospacing="0" w:after="0" w:afterAutospacing="0" w:line="360" w:lineRule="auto"/>
        <w:jc w:val="both"/>
        <w:rPr>
          <w:b/>
          <w:bCs/>
        </w:rPr>
      </w:pPr>
      <w:r w:rsidRPr="00DF4FF2">
        <w:rPr>
          <w:b/>
          <w:bCs/>
        </w:rPr>
        <w:t>What is Quality Assurance?</w:t>
      </w:r>
    </w:p>
    <w:p w14:paraId="0F788405" w14:textId="77777777" w:rsidR="009C011F" w:rsidRPr="00DF4FF2" w:rsidRDefault="009C011F" w:rsidP="00543AE2">
      <w:pPr>
        <w:pStyle w:val="text-5"/>
        <w:spacing w:line="360" w:lineRule="auto"/>
        <w:ind w:left="720"/>
        <w:jc w:val="both"/>
      </w:pPr>
      <w:r w:rsidRPr="00DF4FF2">
        <w:t>Quality assurance (QA) is a systematic process that ensures products, services, or processes meet or exceed established quality standards. It involves activities and techniques aimed at preventing defects, identifying and resolving issues, and improving overall quality throughout the entire lifecycle of a product or service. Quality assurance aims to ensure consistent and reliable performance, customer satisfaction, and compliance with regulatory requirements.</w:t>
      </w:r>
    </w:p>
    <w:p w14:paraId="1D6D73F5" w14:textId="77777777" w:rsidR="009C011F" w:rsidRPr="00DF4FF2" w:rsidRDefault="009C011F" w:rsidP="00543AE2">
      <w:pPr>
        <w:pStyle w:val="text-5"/>
        <w:spacing w:line="360" w:lineRule="auto"/>
        <w:ind w:left="720"/>
        <w:jc w:val="both"/>
      </w:pPr>
      <w:r w:rsidRPr="00DF4FF2">
        <w:t>Quality assurance is defined by ISO 9000 as a “part of quality management focused on providing confidence that quality requirements will be fulfilled.” With QA, manufacturers can ensure that customers receive a defect-free product by preventing mistakes at the time of manufacturing. Businesses can improve compliance to standards by monitoring processes and use feedback to improve efficiency and effectiveness.</w:t>
      </w:r>
    </w:p>
    <w:p w14:paraId="4DB78B98" w14:textId="33EAA72E" w:rsidR="001E4B1D" w:rsidRPr="00DF4FF2" w:rsidRDefault="001E4B1D" w:rsidP="00543AE2">
      <w:pPr>
        <w:pStyle w:val="NormalWeb"/>
        <w:numPr>
          <w:ilvl w:val="1"/>
          <w:numId w:val="12"/>
        </w:numPr>
        <w:shd w:val="clear" w:color="auto" w:fill="FFFFFF" w:themeFill="background1"/>
        <w:spacing w:before="0" w:beforeAutospacing="0" w:after="0" w:afterAutospacing="0" w:line="360" w:lineRule="auto"/>
        <w:jc w:val="both"/>
        <w:rPr>
          <w:b/>
          <w:bCs/>
        </w:rPr>
      </w:pPr>
      <w:r w:rsidRPr="00DF4FF2">
        <w:rPr>
          <w:b/>
          <w:bCs/>
        </w:rPr>
        <w:t xml:space="preserve">Key Aspects of Quality </w:t>
      </w:r>
      <w:r w:rsidR="009C011F" w:rsidRPr="00DF4FF2">
        <w:rPr>
          <w:b/>
          <w:bCs/>
        </w:rPr>
        <w:t>Assurance</w:t>
      </w:r>
      <w:r w:rsidRPr="00DF4FF2">
        <w:rPr>
          <w:b/>
          <w:bCs/>
        </w:rPr>
        <w:t xml:space="preserve"> in Packaging</w:t>
      </w:r>
    </w:p>
    <w:p w14:paraId="696A86CF" w14:textId="77777777" w:rsidR="00640739" w:rsidRPr="00DF4FF2" w:rsidRDefault="001E4B1D" w:rsidP="00640739">
      <w:pPr>
        <w:pStyle w:val="NormalWeb"/>
        <w:shd w:val="clear" w:color="auto" w:fill="FFFFFF"/>
        <w:spacing w:before="0" w:beforeAutospacing="0" w:after="0" w:afterAutospacing="0" w:line="360" w:lineRule="auto"/>
        <w:jc w:val="both"/>
      </w:pPr>
      <w:r w:rsidRPr="00DF4FF2">
        <w:t>Let us explore the seven key aspects to consider in your quality control process for packaging. Each of these aspects directly influences the overall perception of your product and, consequently, your brand’s image.</w:t>
      </w:r>
    </w:p>
    <w:p w14:paraId="7B1DA294" w14:textId="34F2FD76" w:rsidR="001E4B1D" w:rsidRPr="00DF4FF2" w:rsidRDefault="001E4B1D" w:rsidP="00640739">
      <w:pPr>
        <w:pStyle w:val="NormalWeb"/>
        <w:numPr>
          <w:ilvl w:val="0"/>
          <w:numId w:val="23"/>
        </w:numPr>
        <w:shd w:val="clear" w:color="auto" w:fill="FFFFFF"/>
        <w:spacing w:before="0" w:beforeAutospacing="0" w:after="0" w:afterAutospacing="0" w:line="360" w:lineRule="auto"/>
        <w:jc w:val="both"/>
        <w:rPr>
          <w:b/>
          <w:bCs/>
        </w:rPr>
      </w:pPr>
      <w:r w:rsidRPr="00DF4FF2">
        <w:rPr>
          <w:b/>
          <w:bCs/>
        </w:rPr>
        <w:t>Material Selection</w:t>
      </w:r>
    </w:p>
    <w:p w14:paraId="3AF2F46A" w14:textId="77777777" w:rsidR="001E4B1D" w:rsidRPr="00DF4FF2" w:rsidRDefault="001E4B1D" w:rsidP="00543AE2">
      <w:pPr>
        <w:numPr>
          <w:ilvl w:val="0"/>
          <w:numId w:val="13"/>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Impact on Packaging Integrity:</w:t>
      </w:r>
      <w:r w:rsidRPr="00DF4FF2">
        <w:rPr>
          <w:rFonts w:ascii="Times New Roman" w:hAnsi="Times New Roman" w:cs="Times New Roman"/>
          <w:sz w:val="24"/>
          <w:szCs w:val="24"/>
        </w:rPr>
        <w:t xml:space="preserve"> The choice of packaging material is central to the packaging’s integrity and durability. Different products may require different packaging </w:t>
      </w:r>
      <w:r w:rsidRPr="00DF4FF2">
        <w:rPr>
          <w:rFonts w:ascii="Times New Roman" w:hAnsi="Times New Roman" w:cs="Times New Roman"/>
          <w:sz w:val="24"/>
          <w:szCs w:val="24"/>
        </w:rPr>
        <w:lastRenderedPageBreak/>
        <w:t>materials, including glass, plastic, metal, or paper, each with unique properties. The chosen material should be strong enough to protect the product from damage during transportation and handling.</w:t>
      </w:r>
    </w:p>
    <w:p w14:paraId="4DEC2810" w14:textId="77777777" w:rsidR="00640739" w:rsidRPr="00DF4FF2" w:rsidRDefault="001E4B1D" w:rsidP="00640739">
      <w:pPr>
        <w:numPr>
          <w:ilvl w:val="0"/>
          <w:numId w:val="13"/>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Sustainability Considerations:</w:t>
      </w:r>
      <w:r w:rsidRPr="00DF4FF2">
        <w:rPr>
          <w:rFonts w:ascii="Times New Roman" w:hAnsi="Times New Roman" w:cs="Times New Roman"/>
          <w:sz w:val="24"/>
          <w:szCs w:val="24"/>
        </w:rPr>
        <w:t> In today’s environmentally-conscious market, the sustainability of packaging materials is another crucial factor. Consider using recyclable or biodegradable materials wherever possible to reduce the environmental impact and appeal to eco-conscious consumers.</w:t>
      </w:r>
    </w:p>
    <w:p w14:paraId="67CBB0DE" w14:textId="04768EE7" w:rsidR="001E4B1D" w:rsidRPr="00DF4FF2" w:rsidRDefault="001E4B1D" w:rsidP="00640739">
      <w:pPr>
        <w:pStyle w:val="ListParagraph"/>
        <w:numPr>
          <w:ilvl w:val="0"/>
          <w:numId w:val="23"/>
        </w:numPr>
        <w:spacing w:after="0" w:line="360" w:lineRule="auto"/>
        <w:jc w:val="both"/>
        <w:textAlignment w:val="baseline"/>
        <w:rPr>
          <w:rFonts w:ascii="Times New Roman" w:hAnsi="Times New Roman"/>
          <w:b/>
          <w:bCs/>
          <w:sz w:val="24"/>
          <w:szCs w:val="24"/>
        </w:rPr>
      </w:pPr>
      <w:r w:rsidRPr="00DF4FF2">
        <w:rPr>
          <w:rFonts w:ascii="Times New Roman" w:hAnsi="Times New Roman"/>
          <w:b/>
          <w:bCs/>
          <w:sz w:val="24"/>
          <w:szCs w:val="24"/>
        </w:rPr>
        <w:t>Design and Structure</w:t>
      </w:r>
    </w:p>
    <w:p w14:paraId="0C4D324F" w14:textId="77777777" w:rsidR="001E4B1D" w:rsidRPr="00DF4FF2" w:rsidRDefault="001E4B1D" w:rsidP="00543AE2">
      <w:pPr>
        <w:numPr>
          <w:ilvl w:val="0"/>
          <w:numId w:val="14"/>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Packaging Design and Its Influence: </w:t>
      </w:r>
      <w:r w:rsidRPr="00DF4FF2">
        <w:rPr>
          <w:rFonts w:ascii="Times New Roman" w:hAnsi="Times New Roman" w:cs="Times New Roman"/>
          <w:sz w:val="24"/>
          <w:szCs w:val="24"/>
        </w:rPr>
        <w:t>The packaging design is fundamental to attracting customers and communicating product value. It should be visually appealing, distinctive, and reflective of the brand identity. The design should also consider practical factors such as ease of use and storage.</w:t>
      </w:r>
    </w:p>
    <w:p w14:paraId="0650A79D" w14:textId="77777777" w:rsidR="00640739" w:rsidRPr="00DF4FF2" w:rsidRDefault="001E4B1D" w:rsidP="00640739">
      <w:pPr>
        <w:numPr>
          <w:ilvl w:val="0"/>
          <w:numId w:val="14"/>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Structural Integrity: </w:t>
      </w:r>
      <w:r w:rsidRPr="00DF4FF2">
        <w:rPr>
          <w:rFonts w:ascii="Times New Roman" w:hAnsi="Times New Roman" w:cs="Times New Roman"/>
          <w:sz w:val="24"/>
          <w:szCs w:val="24"/>
        </w:rPr>
        <w:t>The structural integrity of the packaging is essential for the protection of the product. Considerations include the packaging’s ability to withstand stress, puncture resistance, and stability during handling and transportation.</w:t>
      </w:r>
    </w:p>
    <w:p w14:paraId="09C3EDC2" w14:textId="295780B6" w:rsidR="001E4B1D" w:rsidRPr="00DF4FF2" w:rsidRDefault="001E4B1D" w:rsidP="00640739">
      <w:pPr>
        <w:pStyle w:val="ListParagraph"/>
        <w:numPr>
          <w:ilvl w:val="0"/>
          <w:numId w:val="23"/>
        </w:numPr>
        <w:spacing w:after="0" w:line="360" w:lineRule="auto"/>
        <w:jc w:val="both"/>
        <w:textAlignment w:val="baseline"/>
        <w:rPr>
          <w:rFonts w:ascii="Times New Roman" w:hAnsi="Times New Roman"/>
          <w:b/>
          <w:bCs/>
          <w:sz w:val="24"/>
          <w:szCs w:val="24"/>
        </w:rPr>
      </w:pPr>
      <w:r w:rsidRPr="00DF4FF2">
        <w:rPr>
          <w:rFonts w:ascii="Times New Roman" w:hAnsi="Times New Roman"/>
          <w:b/>
          <w:bCs/>
          <w:sz w:val="24"/>
          <w:szCs w:val="24"/>
        </w:rPr>
        <w:t>Manufacturing Process</w:t>
      </w:r>
    </w:p>
    <w:p w14:paraId="3C84ECF7" w14:textId="77777777" w:rsidR="001E4B1D" w:rsidRPr="00DF4FF2" w:rsidRDefault="001E4B1D" w:rsidP="00543AE2">
      <w:pPr>
        <w:numPr>
          <w:ilvl w:val="0"/>
          <w:numId w:val="15"/>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Consistency and Standardization: </w:t>
      </w:r>
      <w:r w:rsidRPr="00DF4FF2">
        <w:rPr>
          <w:rFonts w:ascii="Times New Roman" w:hAnsi="Times New Roman" w:cs="Times New Roman"/>
          <w:sz w:val="24"/>
          <w:szCs w:val="24"/>
        </w:rPr>
        <w:t>Consistency in the manufacturing process ensures that all product units are packaged identically, reinforcing brand identity and customer trust. Standardizing the packaging process can help maintain this consistency and reduce errors.</w:t>
      </w:r>
    </w:p>
    <w:p w14:paraId="55BE8B74" w14:textId="77777777" w:rsidR="00640739" w:rsidRPr="00DF4FF2" w:rsidRDefault="001E4B1D" w:rsidP="00640739">
      <w:pPr>
        <w:numPr>
          <w:ilvl w:val="0"/>
          <w:numId w:val="15"/>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Quality Control Checks in Production: </w:t>
      </w:r>
      <w:r w:rsidRPr="00DF4FF2">
        <w:rPr>
          <w:rFonts w:ascii="Times New Roman" w:hAnsi="Times New Roman" w:cs="Times New Roman"/>
          <w:sz w:val="24"/>
          <w:szCs w:val="24"/>
        </w:rPr>
        <w:t>Quality control checks during production can identify faults or inconsistencies in the packaging before they become significant issues. These </w:t>
      </w:r>
      <w:hyperlink r:id="rId24" w:history="1">
        <w:r w:rsidRPr="00DF4FF2">
          <w:rPr>
            <w:rStyle w:val="Hyperlink"/>
            <w:rFonts w:ascii="Times New Roman" w:hAnsi="Times New Roman" w:cs="Times New Roman"/>
            <w:color w:val="auto"/>
            <w:sz w:val="24"/>
            <w:szCs w:val="24"/>
            <w:u w:val="none"/>
          </w:rPr>
          <w:t>checks should be regular</w:t>
        </w:r>
      </w:hyperlink>
      <w:r w:rsidRPr="00DF4FF2">
        <w:rPr>
          <w:rFonts w:ascii="Times New Roman" w:hAnsi="Times New Roman" w:cs="Times New Roman"/>
          <w:sz w:val="24"/>
          <w:szCs w:val="24"/>
        </w:rPr>
        <w:t> and thorough, covering all aspects of the packaging.</w:t>
      </w:r>
    </w:p>
    <w:p w14:paraId="1C3D1802" w14:textId="248800FE" w:rsidR="001E4B1D" w:rsidRPr="00DF4FF2" w:rsidRDefault="001E4B1D" w:rsidP="00640739">
      <w:pPr>
        <w:pStyle w:val="ListParagraph"/>
        <w:numPr>
          <w:ilvl w:val="0"/>
          <w:numId w:val="23"/>
        </w:numPr>
        <w:spacing w:after="0" w:line="360" w:lineRule="auto"/>
        <w:jc w:val="both"/>
        <w:textAlignment w:val="baseline"/>
        <w:rPr>
          <w:rFonts w:ascii="Times New Roman" w:hAnsi="Times New Roman"/>
          <w:b/>
          <w:bCs/>
          <w:sz w:val="24"/>
          <w:szCs w:val="24"/>
        </w:rPr>
      </w:pPr>
      <w:r w:rsidRPr="00DF4FF2">
        <w:rPr>
          <w:rFonts w:ascii="Times New Roman" w:hAnsi="Times New Roman"/>
          <w:b/>
          <w:bCs/>
          <w:sz w:val="24"/>
          <w:szCs w:val="24"/>
        </w:rPr>
        <w:t>Labeling and Printing</w:t>
      </w:r>
    </w:p>
    <w:p w14:paraId="6ECECC48" w14:textId="77777777" w:rsidR="001E4B1D" w:rsidRPr="00DF4FF2" w:rsidRDefault="001E4B1D" w:rsidP="00543AE2">
      <w:pPr>
        <w:numPr>
          <w:ilvl w:val="0"/>
          <w:numId w:val="16"/>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Label Accuracy:</w:t>
      </w:r>
      <w:r w:rsidRPr="00DF4FF2">
        <w:rPr>
          <w:rFonts w:ascii="Times New Roman" w:hAnsi="Times New Roman" w:cs="Times New Roman"/>
          <w:sz w:val="24"/>
          <w:szCs w:val="24"/>
        </w:rPr>
        <w:t> Label accuracy is paramount in packaging quality control. Information such as product ingredients, use-by dates, and safety cautions must be accurate and easy to read to avoid misleading customers and potential legal issues.</w:t>
      </w:r>
    </w:p>
    <w:p w14:paraId="53B4279A" w14:textId="77777777" w:rsidR="00640739" w:rsidRPr="00DF4FF2" w:rsidRDefault="001E4B1D" w:rsidP="00640739">
      <w:pPr>
        <w:numPr>
          <w:ilvl w:val="0"/>
          <w:numId w:val="16"/>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Compliance with Regulations: </w:t>
      </w:r>
      <w:r w:rsidRPr="00DF4FF2">
        <w:rPr>
          <w:rFonts w:ascii="Times New Roman" w:hAnsi="Times New Roman" w:cs="Times New Roman"/>
          <w:sz w:val="24"/>
          <w:szCs w:val="24"/>
        </w:rPr>
        <w:t>Labels must also comply with regulatory standards, which can vary between industries and regions. Non-compliance can lead to penalties, product recalls, or brand reputation damage.</w:t>
      </w:r>
    </w:p>
    <w:p w14:paraId="58A46C8C" w14:textId="18B2A8D2" w:rsidR="001E4B1D" w:rsidRPr="00DF4FF2" w:rsidRDefault="001E4B1D" w:rsidP="00640739">
      <w:pPr>
        <w:pStyle w:val="ListParagraph"/>
        <w:numPr>
          <w:ilvl w:val="0"/>
          <w:numId w:val="23"/>
        </w:numPr>
        <w:spacing w:after="0" w:line="360" w:lineRule="auto"/>
        <w:jc w:val="both"/>
        <w:textAlignment w:val="baseline"/>
        <w:rPr>
          <w:rFonts w:ascii="Times New Roman" w:hAnsi="Times New Roman"/>
          <w:b/>
          <w:bCs/>
          <w:sz w:val="24"/>
          <w:szCs w:val="24"/>
        </w:rPr>
      </w:pPr>
      <w:r w:rsidRPr="00DF4FF2">
        <w:rPr>
          <w:rFonts w:ascii="Times New Roman" w:hAnsi="Times New Roman"/>
          <w:b/>
          <w:bCs/>
          <w:sz w:val="24"/>
          <w:szCs w:val="24"/>
        </w:rPr>
        <w:t>Product Safety</w:t>
      </w:r>
    </w:p>
    <w:p w14:paraId="36E52AB3" w14:textId="77777777" w:rsidR="001E4B1D" w:rsidRPr="00DF4FF2" w:rsidRDefault="001E4B1D" w:rsidP="00543AE2">
      <w:pPr>
        <w:numPr>
          <w:ilvl w:val="0"/>
          <w:numId w:val="17"/>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lastRenderedPageBreak/>
        <w:t>Contamination Prevention:</w:t>
      </w:r>
      <w:r w:rsidRPr="00DF4FF2">
        <w:rPr>
          <w:rFonts w:ascii="Times New Roman" w:hAnsi="Times New Roman" w:cs="Times New Roman"/>
          <w:sz w:val="24"/>
          <w:szCs w:val="24"/>
        </w:rPr>
        <w:t> Packaging should provide a barrier to prevent contamination from external factors such as moisture, bacteria, and light. The packaging material and design should align with the product’s specific needs to ensure its safety.</w:t>
      </w:r>
    </w:p>
    <w:p w14:paraId="37A8136F" w14:textId="77777777" w:rsidR="00640739" w:rsidRPr="00DF4FF2" w:rsidRDefault="001E4B1D" w:rsidP="00640739">
      <w:pPr>
        <w:numPr>
          <w:ilvl w:val="0"/>
          <w:numId w:val="17"/>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Tamper-evident Packaging:</w:t>
      </w:r>
      <w:r w:rsidRPr="00DF4FF2">
        <w:rPr>
          <w:rFonts w:ascii="Times New Roman" w:hAnsi="Times New Roman" w:cs="Times New Roman"/>
          <w:sz w:val="24"/>
          <w:szCs w:val="24"/>
        </w:rPr>
        <w:t> Tamper-evident packaging gives customers confidence in the product’s safety by showing clear signs if the product has been interfered with.</w:t>
      </w:r>
    </w:p>
    <w:p w14:paraId="7B015879" w14:textId="3659C458" w:rsidR="001E4B1D" w:rsidRPr="00DF4FF2" w:rsidRDefault="001E4B1D" w:rsidP="00640739">
      <w:pPr>
        <w:pStyle w:val="ListParagraph"/>
        <w:numPr>
          <w:ilvl w:val="0"/>
          <w:numId w:val="23"/>
        </w:numPr>
        <w:spacing w:after="0" w:line="360" w:lineRule="auto"/>
        <w:jc w:val="both"/>
        <w:textAlignment w:val="baseline"/>
        <w:rPr>
          <w:rFonts w:ascii="Times New Roman" w:hAnsi="Times New Roman"/>
          <w:b/>
          <w:bCs/>
          <w:sz w:val="24"/>
          <w:szCs w:val="24"/>
        </w:rPr>
      </w:pPr>
      <w:r w:rsidRPr="00DF4FF2">
        <w:rPr>
          <w:rFonts w:ascii="Times New Roman" w:hAnsi="Times New Roman"/>
          <w:b/>
          <w:bCs/>
          <w:sz w:val="24"/>
          <w:szCs w:val="24"/>
        </w:rPr>
        <w:t>Shelf Life and Storage Conditions</w:t>
      </w:r>
    </w:p>
    <w:p w14:paraId="7DAC1D74" w14:textId="77777777" w:rsidR="001E4B1D" w:rsidRPr="00DF4FF2" w:rsidRDefault="001E4B1D" w:rsidP="00543AE2">
      <w:pPr>
        <w:numPr>
          <w:ilvl w:val="0"/>
          <w:numId w:val="18"/>
        </w:numPr>
        <w:spacing w:after="0" w:line="360" w:lineRule="auto"/>
        <w:jc w:val="both"/>
        <w:textAlignment w:val="baseline"/>
        <w:rPr>
          <w:rFonts w:ascii="Times New Roman" w:hAnsi="Times New Roman" w:cs="Times New Roman"/>
          <w:sz w:val="24"/>
          <w:szCs w:val="24"/>
        </w:rPr>
      </w:pPr>
      <w:proofErr w:type="gramStart"/>
      <w:r w:rsidRPr="00DF4FF2">
        <w:rPr>
          <w:rFonts w:ascii="Times New Roman" w:hAnsi="Times New Roman" w:cs="Times New Roman"/>
          <w:b/>
          <w:bCs/>
          <w:sz w:val="24"/>
          <w:szCs w:val="24"/>
        </w:rPr>
        <w:t>Shelf Life</w:t>
      </w:r>
      <w:proofErr w:type="gramEnd"/>
      <w:r w:rsidRPr="00DF4FF2">
        <w:rPr>
          <w:rFonts w:ascii="Times New Roman" w:hAnsi="Times New Roman" w:cs="Times New Roman"/>
          <w:b/>
          <w:bCs/>
          <w:sz w:val="24"/>
          <w:szCs w:val="24"/>
        </w:rPr>
        <w:t xml:space="preserve"> Determination: </w:t>
      </w:r>
      <w:r w:rsidRPr="00DF4FF2">
        <w:rPr>
          <w:rFonts w:ascii="Times New Roman" w:hAnsi="Times New Roman" w:cs="Times New Roman"/>
          <w:sz w:val="24"/>
          <w:szCs w:val="24"/>
        </w:rPr>
        <w:t>Packaging can directly influence a product’s shelf life. The packaging should protect the product from environmental factors that could degrade the product and reduce its shelf life.</w:t>
      </w:r>
    </w:p>
    <w:p w14:paraId="3A3AB1B9" w14:textId="77777777" w:rsidR="00640739" w:rsidRPr="00DF4FF2" w:rsidRDefault="001E4B1D" w:rsidP="00640739">
      <w:pPr>
        <w:numPr>
          <w:ilvl w:val="0"/>
          <w:numId w:val="18"/>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Storage and Transportation Considerations: </w:t>
      </w:r>
      <w:r w:rsidRPr="00DF4FF2">
        <w:rPr>
          <w:rFonts w:ascii="Times New Roman" w:hAnsi="Times New Roman" w:cs="Times New Roman"/>
          <w:sz w:val="24"/>
          <w:szCs w:val="24"/>
        </w:rPr>
        <w:t>Considerations for storage and transportation include the size and shape of the packaging, its ability to withstand varying temperatures, and its resilience to transportation stresses.</w:t>
      </w:r>
    </w:p>
    <w:p w14:paraId="56F96F33" w14:textId="4F06A70A" w:rsidR="001E4B1D" w:rsidRPr="00DF4FF2" w:rsidRDefault="001E4B1D" w:rsidP="00640739">
      <w:pPr>
        <w:pStyle w:val="ListParagraph"/>
        <w:numPr>
          <w:ilvl w:val="0"/>
          <w:numId w:val="23"/>
        </w:numPr>
        <w:spacing w:after="0" w:line="360" w:lineRule="auto"/>
        <w:jc w:val="both"/>
        <w:textAlignment w:val="baseline"/>
        <w:rPr>
          <w:rFonts w:ascii="Times New Roman" w:hAnsi="Times New Roman"/>
          <w:b/>
          <w:bCs/>
          <w:sz w:val="24"/>
          <w:szCs w:val="24"/>
        </w:rPr>
      </w:pPr>
      <w:r w:rsidRPr="00DF4FF2">
        <w:rPr>
          <w:rFonts w:ascii="Times New Roman" w:hAnsi="Times New Roman"/>
          <w:b/>
          <w:bCs/>
          <w:sz w:val="24"/>
          <w:szCs w:val="24"/>
        </w:rPr>
        <w:t>Environmental Impact</w:t>
      </w:r>
    </w:p>
    <w:p w14:paraId="3A2BD916" w14:textId="77777777" w:rsidR="001E4B1D" w:rsidRPr="00DF4FF2" w:rsidRDefault="001E4B1D" w:rsidP="00543AE2">
      <w:pPr>
        <w:numPr>
          <w:ilvl w:val="0"/>
          <w:numId w:val="19"/>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Sustainable Packaging: </w:t>
      </w:r>
      <w:r w:rsidRPr="00DF4FF2">
        <w:rPr>
          <w:rFonts w:ascii="Times New Roman" w:hAnsi="Times New Roman" w:cs="Times New Roman"/>
          <w:sz w:val="24"/>
          <w:szCs w:val="24"/>
        </w:rPr>
        <w:t>Sustainable packaging reduces the environmental impact and can appeal to eco-conscious consumers. Considerations include the use of recyclable or biodegradable materials and minimizing packaging waste.</w:t>
      </w:r>
    </w:p>
    <w:p w14:paraId="5D4058F9" w14:textId="77777777" w:rsidR="00597ABC" w:rsidRPr="00DF4FF2" w:rsidRDefault="001E4B1D" w:rsidP="00597ABC">
      <w:pPr>
        <w:numPr>
          <w:ilvl w:val="0"/>
          <w:numId w:val="19"/>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Recycling and Disposal: </w:t>
      </w:r>
      <w:r w:rsidRPr="00DF4FF2">
        <w:rPr>
          <w:rFonts w:ascii="Times New Roman" w:hAnsi="Times New Roman" w:cs="Times New Roman"/>
          <w:sz w:val="24"/>
          <w:szCs w:val="24"/>
        </w:rPr>
        <w:t>Packaging should be designed with end-of-life disposal in mind. Clear instructions for recycling or disposal can help consumers dispose of the packaging responsibly, reducing its environmental impact</w:t>
      </w:r>
      <w:r w:rsidR="00597ABC" w:rsidRPr="00DF4FF2">
        <w:rPr>
          <w:rFonts w:ascii="Times New Roman" w:hAnsi="Times New Roman" w:cs="Times New Roman"/>
          <w:sz w:val="24"/>
          <w:szCs w:val="24"/>
        </w:rPr>
        <w:t>.</w:t>
      </w:r>
    </w:p>
    <w:p w14:paraId="4544F06B" w14:textId="6301F5D2" w:rsidR="001E4B1D" w:rsidRPr="00DF4FF2" w:rsidRDefault="001E4B1D" w:rsidP="00597ABC">
      <w:pPr>
        <w:pStyle w:val="ListParagraph"/>
        <w:numPr>
          <w:ilvl w:val="0"/>
          <w:numId w:val="24"/>
        </w:numPr>
        <w:spacing w:after="0" w:line="360" w:lineRule="auto"/>
        <w:jc w:val="both"/>
        <w:textAlignment w:val="baseline"/>
        <w:rPr>
          <w:rFonts w:ascii="Times New Roman" w:hAnsi="Times New Roman"/>
          <w:sz w:val="24"/>
          <w:szCs w:val="24"/>
        </w:rPr>
      </w:pPr>
      <w:r w:rsidRPr="00DF4FF2">
        <w:rPr>
          <w:rFonts w:ascii="Times New Roman" w:hAnsi="Times New Roman"/>
          <w:sz w:val="24"/>
          <w:szCs w:val="24"/>
        </w:rPr>
        <w:t>The Role of Technology in Quality Control</w:t>
      </w:r>
    </w:p>
    <w:p w14:paraId="00C80753" w14:textId="4AA0A94C" w:rsidR="001E4B1D" w:rsidRPr="00DF4FF2" w:rsidRDefault="001E4B1D" w:rsidP="00543AE2">
      <w:pPr>
        <w:pStyle w:val="NormalWeb"/>
        <w:shd w:val="clear" w:color="auto" w:fill="FFFFFF"/>
        <w:spacing w:before="0" w:beforeAutospacing="0" w:after="0" w:afterAutospacing="0" w:line="360" w:lineRule="auto"/>
        <w:jc w:val="both"/>
      </w:pPr>
      <w:r w:rsidRPr="00DF4FF2">
        <w:t xml:space="preserve">Technology plays a pivotal role in enhancing quality control in packaging. Here is </w:t>
      </w:r>
      <w:proofErr w:type="gramStart"/>
      <w:r w:rsidRPr="00DF4FF2">
        <w:t xml:space="preserve">a </w:t>
      </w:r>
      <w:r w:rsidR="00597ABC" w:rsidRPr="00DF4FF2">
        <w:t xml:space="preserve"> </w:t>
      </w:r>
      <w:r w:rsidRPr="00DF4FF2">
        <w:t>list</w:t>
      </w:r>
      <w:proofErr w:type="gramEnd"/>
      <w:r w:rsidRPr="00DF4FF2">
        <w:t xml:space="preserve"> of technological innovations that are significantly impacting the field:</w:t>
      </w:r>
    </w:p>
    <w:p w14:paraId="14CDB573" w14:textId="77777777" w:rsidR="001E4B1D" w:rsidRPr="00DF4FF2" w:rsidRDefault="001E4B1D" w:rsidP="00543AE2">
      <w:pPr>
        <w:numPr>
          <w:ilvl w:val="0"/>
          <w:numId w:val="20"/>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Automated Inspection Systems:</w:t>
      </w:r>
      <w:r w:rsidRPr="00DF4FF2">
        <w:rPr>
          <w:rFonts w:ascii="Times New Roman" w:hAnsi="Times New Roman" w:cs="Times New Roman"/>
          <w:sz w:val="24"/>
          <w:szCs w:val="24"/>
        </w:rPr>
        <w:t> Automated inspection systems utilize advanced optics and machine learning algorithms to rapidly inspect packaging with incredible precision. They are especially effective in detecting and rejecting faulty or damaged packages, ensuring consistency, and maintaining high standards of quality control.</w:t>
      </w:r>
    </w:p>
    <w:p w14:paraId="32B6BC65" w14:textId="77777777" w:rsidR="001E4B1D" w:rsidRPr="00DF4FF2" w:rsidRDefault="00000000" w:rsidP="00543AE2">
      <w:pPr>
        <w:numPr>
          <w:ilvl w:val="0"/>
          <w:numId w:val="20"/>
        </w:numPr>
        <w:spacing w:after="0" w:line="360" w:lineRule="auto"/>
        <w:jc w:val="both"/>
        <w:textAlignment w:val="baseline"/>
        <w:rPr>
          <w:rFonts w:ascii="Times New Roman" w:hAnsi="Times New Roman" w:cs="Times New Roman"/>
          <w:sz w:val="24"/>
          <w:szCs w:val="24"/>
        </w:rPr>
      </w:pPr>
      <w:hyperlink r:id="rId25" w:history="1">
        <w:r w:rsidR="001E4B1D" w:rsidRPr="00DF4FF2">
          <w:rPr>
            <w:rStyle w:val="Hyperlink"/>
            <w:rFonts w:ascii="Times New Roman" w:hAnsi="Times New Roman" w:cs="Times New Roman"/>
            <w:b/>
            <w:bCs/>
            <w:color w:val="auto"/>
            <w:sz w:val="24"/>
            <w:szCs w:val="24"/>
            <w:u w:val="none"/>
          </w:rPr>
          <w:t>Data Analytics</w:t>
        </w:r>
      </w:hyperlink>
      <w:r w:rsidR="001E4B1D" w:rsidRPr="00DF4FF2">
        <w:rPr>
          <w:rFonts w:ascii="Times New Roman" w:hAnsi="Times New Roman" w:cs="Times New Roman"/>
          <w:b/>
          <w:bCs/>
          <w:sz w:val="24"/>
          <w:szCs w:val="24"/>
        </w:rPr>
        <w:t> and Monitoring:</w:t>
      </w:r>
      <w:r w:rsidR="001E4B1D" w:rsidRPr="00DF4FF2">
        <w:rPr>
          <w:rFonts w:ascii="Times New Roman" w:hAnsi="Times New Roman" w:cs="Times New Roman"/>
          <w:sz w:val="24"/>
          <w:szCs w:val="24"/>
        </w:rPr>
        <w:t> Data analytics tools collect, manage, and analyze data generated throughout packaging. This data-driven approach allows businesses to monitor quality in real time, identify trends, predict potential issues, and make informed decisions to enhance packaging quality.</w:t>
      </w:r>
    </w:p>
    <w:p w14:paraId="276635D6" w14:textId="77777777" w:rsidR="001E4B1D" w:rsidRPr="00DF4FF2" w:rsidRDefault="001E4B1D" w:rsidP="00543AE2">
      <w:pPr>
        <w:numPr>
          <w:ilvl w:val="0"/>
          <w:numId w:val="20"/>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lastRenderedPageBreak/>
        <w:t>IoT and Packaging Quality:</w:t>
      </w:r>
      <w:r w:rsidRPr="00DF4FF2">
        <w:rPr>
          <w:rFonts w:ascii="Times New Roman" w:hAnsi="Times New Roman" w:cs="Times New Roman"/>
          <w:sz w:val="24"/>
          <w:szCs w:val="24"/>
        </w:rPr>
        <w:t> The Internet of Things (IoT) brings a new level of connectivity to the packaging process. Sensors and smart devices collect and transmit data on various packaging parameters, such as temperature, humidity, and pressure. This real-time data provides insights for continuous quality monitoring and improvement.</w:t>
      </w:r>
    </w:p>
    <w:p w14:paraId="172C2B59" w14:textId="77777777" w:rsidR="001E4B1D" w:rsidRPr="00DF4FF2" w:rsidRDefault="001E4B1D" w:rsidP="00543AE2">
      <w:pPr>
        <w:numPr>
          <w:ilvl w:val="0"/>
          <w:numId w:val="20"/>
        </w:numPr>
        <w:spacing w:after="0" w:line="360" w:lineRule="auto"/>
        <w:jc w:val="both"/>
        <w:textAlignment w:val="baseline"/>
        <w:rPr>
          <w:rFonts w:ascii="Times New Roman" w:hAnsi="Times New Roman" w:cs="Times New Roman"/>
          <w:sz w:val="24"/>
          <w:szCs w:val="24"/>
        </w:rPr>
      </w:pPr>
      <w:r w:rsidRPr="00DF4FF2">
        <w:rPr>
          <w:rFonts w:ascii="Times New Roman" w:hAnsi="Times New Roman" w:cs="Times New Roman"/>
          <w:b/>
          <w:bCs/>
          <w:sz w:val="24"/>
          <w:szCs w:val="24"/>
        </w:rPr>
        <w:t>Low-code Platforms:</w:t>
      </w:r>
      <w:r w:rsidRPr="00DF4FF2">
        <w:rPr>
          <w:rFonts w:ascii="Times New Roman" w:hAnsi="Times New Roman" w:cs="Times New Roman"/>
          <w:sz w:val="24"/>
          <w:szCs w:val="24"/>
        </w:rPr>
        <w:t> Low-code platforms simplify the development of custom applications for quality control. These platforms provide a user-friendly interface, allowing teams to build and customize applications without extensive coding knowledge. This flexibility enables businesses to create tailored solutions that align perfectly with their specific packaging quality control needs.</w:t>
      </w:r>
    </w:p>
    <w:p w14:paraId="142E4270" w14:textId="77777777" w:rsidR="001E4B1D" w:rsidRPr="00DF4FF2" w:rsidRDefault="001E4B1D" w:rsidP="00543AE2">
      <w:pPr>
        <w:pStyle w:val="NormalWeb"/>
        <w:shd w:val="clear" w:color="auto" w:fill="FFFFFF" w:themeFill="background1"/>
        <w:spacing w:before="0" w:beforeAutospacing="0" w:after="0" w:afterAutospacing="0" w:line="360" w:lineRule="auto"/>
        <w:ind w:left="720"/>
        <w:jc w:val="both"/>
        <w:rPr>
          <w:b/>
          <w:bCs/>
        </w:rPr>
      </w:pPr>
    </w:p>
    <w:p w14:paraId="5522EDEE" w14:textId="5EBA2139"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CONCLUSION</w:t>
      </w:r>
    </w:p>
    <w:p w14:paraId="75670142" w14:textId="77777777" w:rsidR="001E4B1D" w:rsidRPr="00DF4FF2" w:rsidRDefault="001E4B1D" w:rsidP="00543AE2">
      <w:pPr>
        <w:pStyle w:val="NormalWeb"/>
        <w:shd w:val="clear" w:color="auto" w:fill="FFFFFF"/>
        <w:spacing w:before="0" w:beforeAutospacing="0" w:after="0" w:afterAutospacing="0" w:line="360" w:lineRule="auto"/>
        <w:ind w:left="360"/>
        <w:jc w:val="both"/>
      </w:pPr>
      <w:r w:rsidRPr="00DF4FF2">
        <w:t>The significance of quality control in packaging cannot be overstated. It is an integral part of maintaining compliance with regulations and standards and instrumental in ensuring customer satisfaction and preserving brand reputation.</w:t>
      </w:r>
    </w:p>
    <w:p w14:paraId="0BA825C2" w14:textId="77777777" w:rsidR="001E4B1D" w:rsidRPr="00DF4FF2" w:rsidRDefault="001E4B1D" w:rsidP="00543AE2">
      <w:pPr>
        <w:pStyle w:val="NormalWeb"/>
        <w:shd w:val="clear" w:color="auto" w:fill="FFFFFF"/>
        <w:spacing w:before="0" w:beforeAutospacing="0" w:after="0" w:afterAutospacing="0" w:line="360" w:lineRule="auto"/>
        <w:ind w:left="360"/>
        <w:jc w:val="both"/>
      </w:pPr>
      <w:r w:rsidRPr="00DF4FF2">
        <w:t>The process involves a systematic approach, from establishing comprehensive protocols and educating employees to conducting regular audits and utilizing cutting-edge technology. By prioritizing quality control in their packaging processes, businesses can enhance consistency, reduce waste, and deliver superior customer value.</w:t>
      </w:r>
    </w:p>
    <w:p w14:paraId="4CBD42CA" w14:textId="77777777" w:rsidR="001E4B1D" w:rsidRPr="00DF4FF2" w:rsidRDefault="001E4B1D" w:rsidP="00543AE2">
      <w:pPr>
        <w:pStyle w:val="NormalWeb"/>
        <w:shd w:val="clear" w:color="auto" w:fill="FFFFFF"/>
        <w:spacing w:before="0" w:beforeAutospacing="0" w:after="0" w:afterAutospacing="0" w:line="360" w:lineRule="auto"/>
        <w:ind w:left="360"/>
        <w:jc w:val="both"/>
      </w:pPr>
      <w:r w:rsidRPr="00DF4FF2">
        <w:t>The quality of your packaging reflects your brand—make sure it’s telling the right story. Every detail counts in the pursuit of packaging excellence, and it’s never too late to start improving your packaging quality control.</w:t>
      </w:r>
    </w:p>
    <w:p w14:paraId="29211673" w14:textId="77777777" w:rsidR="001E4B1D" w:rsidRPr="00DF4FF2" w:rsidRDefault="001E4B1D" w:rsidP="00543AE2">
      <w:pPr>
        <w:pStyle w:val="NormalWeb"/>
        <w:shd w:val="clear" w:color="auto" w:fill="FFFFFF" w:themeFill="background1"/>
        <w:spacing w:before="0" w:beforeAutospacing="0" w:after="0" w:afterAutospacing="0" w:line="360" w:lineRule="auto"/>
        <w:ind w:left="720"/>
        <w:jc w:val="both"/>
        <w:rPr>
          <w:b/>
          <w:bCs/>
        </w:rPr>
      </w:pPr>
    </w:p>
    <w:p w14:paraId="70C0C89B" w14:textId="195D9952" w:rsidR="001E4B1D" w:rsidRPr="00DF4FF2" w:rsidRDefault="001E4B1D" w:rsidP="00543AE2">
      <w:pPr>
        <w:pStyle w:val="NormalWeb"/>
        <w:numPr>
          <w:ilvl w:val="0"/>
          <w:numId w:val="12"/>
        </w:numPr>
        <w:shd w:val="clear" w:color="auto" w:fill="FFFFFF" w:themeFill="background1"/>
        <w:spacing w:before="0" w:beforeAutospacing="0" w:after="0" w:afterAutospacing="0" w:line="360" w:lineRule="auto"/>
        <w:jc w:val="both"/>
        <w:rPr>
          <w:b/>
          <w:bCs/>
        </w:rPr>
      </w:pPr>
      <w:r w:rsidRPr="00DF4FF2">
        <w:rPr>
          <w:b/>
          <w:bCs/>
        </w:rPr>
        <w:t>REFERENCES</w:t>
      </w:r>
    </w:p>
    <w:p w14:paraId="2EE30D1A" w14:textId="05785345" w:rsidR="001B49F8" w:rsidRPr="00DF4FF2" w:rsidRDefault="001B49F8" w:rsidP="00AB35D0">
      <w:pPr>
        <w:pStyle w:val="ListParagraph"/>
        <w:numPr>
          <w:ilvl w:val="1"/>
          <w:numId w:val="20"/>
        </w:numPr>
        <w:shd w:val="clear" w:color="auto" w:fill="FFFFFF"/>
        <w:spacing w:before="100" w:beforeAutospacing="1" w:after="24" w:line="360" w:lineRule="auto"/>
        <w:jc w:val="both"/>
        <w:rPr>
          <w:rFonts w:ascii="Times New Roman" w:hAnsi="Times New Roman"/>
          <w:sz w:val="24"/>
          <w:szCs w:val="24"/>
        </w:rPr>
      </w:pPr>
      <w:r w:rsidRPr="00DF4FF2">
        <w:rPr>
          <w:rStyle w:val="HTMLCite"/>
          <w:rFonts w:ascii="Times New Roman" w:hAnsi="Times New Roman"/>
          <w:i w:val="0"/>
          <w:iCs w:val="0"/>
          <w:sz w:val="24"/>
          <w:szCs w:val="24"/>
        </w:rPr>
        <w:t>Santoro, MIRM (2009). "Pharmaceutical Packaging". In Yam, K L (ed.). </w:t>
      </w:r>
      <w:hyperlink r:id="rId26" w:history="1">
        <w:r w:rsidRPr="00DF4FF2">
          <w:rPr>
            <w:rStyle w:val="Hyperlink"/>
            <w:rFonts w:ascii="Times New Roman" w:hAnsi="Times New Roman"/>
            <w:color w:val="auto"/>
            <w:sz w:val="24"/>
            <w:szCs w:val="24"/>
            <w:u w:val="none"/>
          </w:rPr>
          <w:t>Encyclopedia of Packaging Technology</w:t>
        </w:r>
      </w:hyperlink>
      <w:r w:rsidRPr="00DF4FF2">
        <w:rPr>
          <w:rStyle w:val="HTMLCite"/>
          <w:rFonts w:ascii="Times New Roman" w:hAnsi="Times New Roman"/>
          <w:i w:val="0"/>
          <w:iCs w:val="0"/>
          <w:sz w:val="24"/>
          <w:szCs w:val="24"/>
        </w:rPr>
        <w:t>. Wiley. pp. </w:t>
      </w:r>
      <w:hyperlink r:id="rId27" w:history="1">
        <w:r w:rsidRPr="00DF4FF2">
          <w:rPr>
            <w:rStyle w:val="Hyperlink"/>
            <w:rFonts w:ascii="Times New Roman" w:hAnsi="Times New Roman"/>
            <w:color w:val="auto"/>
            <w:sz w:val="24"/>
            <w:szCs w:val="24"/>
            <w:u w:val="none"/>
          </w:rPr>
          <w:t>205</w:t>
        </w:r>
      </w:hyperlink>
      <w:r w:rsidRPr="00DF4FF2">
        <w:rPr>
          <w:rStyle w:val="HTMLCite"/>
          <w:rFonts w:ascii="Times New Roman" w:hAnsi="Times New Roman"/>
          <w:i w:val="0"/>
          <w:iCs w:val="0"/>
          <w:sz w:val="24"/>
          <w:szCs w:val="24"/>
        </w:rPr>
        <w:t>–216. </w:t>
      </w:r>
      <w:hyperlink r:id="rId28" w:tooltip="ISBN (identifier)" w:history="1">
        <w:r w:rsidRPr="00DF4FF2">
          <w:rPr>
            <w:rStyle w:val="Hyperlink"/>
            <w:rFonts w:ascii="Times New Roman" w:hAnsi="Times New Roman"/>
            <w:color w:val="auto"/>
            <w:sz w:val="24"/>
            <w:szCs w:val="24"/>
            <w:u w:val="none"/>
          </w:rPr>
          <w:t>ISBN</w:t>
        </w:r>
      </w:hyperlink>
      <w:r w:rsidRPr="00DF4FF2">
        <w:rPr>
          <w:rStyle w:val="HTMLCite"/>
          <w:rFonts w:ascii="Times New Roman" w:hAnsi="Times New Roman"/>
          <w:i w:val="0"/>
          <w:iCs w:val="0"/>
          <w:sz w:val="24"/>
          <w:szCs w:val="24"/>
        </w:rPr>
        <w:t> </w:t>
      </w:r>
      <w:hyperlink r:id="rId29" w:tooltip="Special:BookSources/978-0-470-08704-6" w:history="1">
        <w:r w:rsidRPr="00DF4FF2">
          <w:rPr>
            <w:rStyle w:val="Hyperlink"/>
            <w:rFonts w:ascii="Times New Roman" w:hAnsi="Times New Roman"/>
            <w:color w:val="auto"/>
            <w:sz w:val="24"/>
            <w:szCs w:val="24"/>
            <w:u w:val="none"/>
          </w:rPr>
          <w:t>978-0-470-08704-6</w:t>
        </w:r>
      </w:hyperlink>
      <w:r w:rsidRPr="00DF4FF2">
        <w:rPr>
          <w:rStyle w:val="HTMLCite"/>
          <w:rFonts w:ascii="Times New Roman" w:hAnsi="Times New Roman"/>
          <w:i w:val="0"/>
          <w:iCs w:val="0"/>
          <w:sz w:val="24"/>
          <w:szCs w:val="24"/>
        </w:rPr>
        <w:t>.</w:t>
      </w:r>
    </w:p>
    <w:p w14:paraId="1A036D7C" w14:textId="3C11A553" w:rsidR="00AB35D0" w:rsidRPr="00DF4FF2" w:rsidRDefault="00000000"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hyperlink r:id="rId30" w:anchor="cite_ref-3" w:tooltip="Jump up" w:history="1">
        <w:r w:rsidR="001B49F8" w:rsidRPr="00DF4FF2">
          <w:rPr>
            <w:rStyle w:val="Hyperlink"/>
            <w:rFonts w:ascii="Times New Roman" w:hAnsi="Times New Roman"/>
            <w:b/>
            <w:bCs/>
            <w:color w:val="auto"/>
            <w:sz w:val="24"/>
            <w:szCs w:val="24"/>
            <w:u w:val="none"/>
          </w:rPr>
          <w:t>^</w:t>
        </w:r>
      </w:hyperlink>
      <w:r w:rsidR="001B49F8" w:rsidRPr="00DF4FF2">
        <w:rPr>
          <w:rFonts w:ascii="Times New Roman" w:hAnsi="Times New Roman"/>
          <w:sz w:val="24"/>
          <w:szCs w:val="24"/>
        </w:rPr>
        <w:t> </w:t>
      </w:r>
      <w:r w:rsidR="001B49F8" w:rsidRPr="00DF4FF2">
        <w:rPr>
          <w:rStyle w:val="HTMLCite"/>
          <w:rFonts w:ascii="Times New Roman" w:hAnsi="Times New Roman"/>
          <w:i w:val="0"/>
          <w:iCs w:val="0"/>
          <w:sz w:val="24"/>
          <w:szCs w:val="24"/>
        </w:rPr>
        <w:t>Kunal, Mehta (July 2012). </w:t>
      </w:r>
      <w:hyperlink r:id="rId31" w:history="1">
        <w:r w:rsidR="001B49F8" w:rsidRPr="00DF4FF2">
          <w:rPr>
            <w:rStyle w:val="Hyperlink"/>
            <w:rFonts w:ascii="Times New Roman" w:hAnsi="Times New Roman"/>
            <w:color w:val="auto"/>
            <w:sz w:val="24"/>
            <w:szCs w:val="24"/>
            <w:u w:val="none"/>
          </w:rPr>
          <w:t>"Recent Trends in Pharmaceutical Packaging: A Review"</w:t>
        </w:r>
      </w:hyperlink>
      <w:r w:rsidR="001B49F8" w:rsidRPr="00DF4FF2">
        <w:rPr>
          <w:rStyle w:val="HTMLCite"/>
          <w:rFonts w:ascii="Times New Roman" w:hAnsi="Times New Roman"/>
          <w:i w:val="0"/>
          <w:iCs w:val="0"/>
          <w:sz w:val="24"/>
          <w:szCs w:val="24"/>
        </w:rPr>
        <w:t> </w:t>
      </w:r>
      <w:r w:rsidR="001B49F8" w:rsidRPr="00DF4FF2">
        <w:rPr>
          <w:rStyle w:val="cs1-format"/>
          <w:rFonts w:ascii="Times New Roman" w:hAnsi="Times New Roman"/>
          <w:sz w:val="24"/>
          <w:szCs w:val="24"/>
        </w:rPr>
        <w:t>(PDF)</w:t>
      </w:r>
      <w:r w:rsidR="001B49F8" w:rsidRPr="00DF4FF2">
        <w:rPr>
          <w:rStyle w:val="HTMLCite"/>
          <w:rFonts w:ascii="Times New Roman" w:hAnsi="Times New Roman"/>
          <w:i w:val="0"/>
          <w:iCs w:val="0"/>
          <w:sz w:val="24"/>
          <w:szCs w:val="24"/>
        </w:rPr>
        <w:t>. International Journal of Pharmaceutical and Chemical Sciences. </w:t>
      </w:r>
      <w:r w:rsidR="001B49F8" w:rsidRPr="00DF4FF2">
        <w:rPr>
          <w:rStyle w:val="HTMLCite"/>
          <w:rFonts w:ascii="Times New Roman" w:hAnsi="Times New Roman"/>
          <w:b/>
          <w:bCs/>
          <w:i w:val="0"/>
          <w:iCs w:val="0"/>
          <w:sz w:val="24"/>
          <w:szCs w:val="24"/>
        </w:rPr>
        <w:t>1</w:t>
      </w:r>
      <w:r w:rsidR="001B49F8" w:rsidRPr="00DF4FF2">
        <w:rPr>
          <w:rStyle w:val="HTMLCite"/>
          <w:rFonts w:ascii="Times New Roman" w:hAnsi="Times New Roman"/>
          <w:i w:val="0"/>
          <w:iCs w:val="0"/>
          <w:sz w:val="24"/>
          <w:szCs w:val="24"/>
        </w:rPr>
        <w:t> (3): 1282–1292. Archived from </w:t>
      </w:r>
      <w:hyperlink r:id="rId32" w:history="1">
        <w:r w:rsidR="001B49F8" w:rsidRPr="00DF4FF2">
          <w:rPr>
            <w:rStyle w:val="Hyperlink"/>
            <w:rFonts w:ascii="Times New Roman" w:hAnsi="Times New Roman"/>
            <w:color w:val="auto"/>
            <w:sz w:val="24"/>
            <w:szCs w:val="24"/>
            <w:u w:val="none"/>
          </w:rPr>
          <w:t>the original</w:t>
        </w:r>
      </w:hyperlink>
      <w:r w:rsidR="001B49F8" w:rsidRPr="00DF4FF2">
        <w:rPr>
          <w:rStyle w:val="HTMLCite"/>
          <w:rFonts w:ascii="Times New Roman" w:hAnsi="Times New Roman"/>
          <w:i w:val="0"/>
          <w:iCs w:val="0"/>
          <w:sz w:val="24"/>
          <w:szCs w:val="24"/>
        </w:rPr>
        <w:t> </w:t>
      </w:r>
      <w:r w:rsidR="001B49F8" w:rsidRPr="00DF4FF2">
        <w:rPr>
          <w:rStyle w:val="cs1-format"/>
          <w:rFonts w:ascii="Times New Roman" w:hAnsi="Times New Roman"/>
          <w:sz w:val="24"/>
          <w:szCs w:val="24"/>
        </w:rPr>
        <w:t>(PDF)</w:t>
      </w:r>
      <w:r w:rsidR="001B49F8" w:rsidRPr="00DF4FF2">
        <w:rPr>
          <w:rStyle w:val="HTMLCite"/>
          <w:rFonts w:ascii="Times New Roman" w:hAnsi="Times New Roman"/>
          <w:i w:val="0"/>
          <w:iCs w:val="0"/>
          <w:sz w:val="24"/>
          <w:szCs w:val="24"/>
        </w:rPr>
        <w:t> on 14 February 2019</w:t>
      </w:r>
      <w:r w:rsidR="001B49F8" w:rsidRPr="00DF4FF2">
        <w:rPr>
          <w:rStyle w:val="reference-accessdate"/>
          <w:rFonts w:ascii="Times New Roman" w:hAnsi="Times New Roman"/>
          <w:sz w:val="24"/>
          <w:szCs w:val="24"/>
        </w:rPr>
        <w:t xml:space="preserve">. </w:t>
      </w:r>
    </w:p>
    <w:p w14:paraId="0512FCDE" w14:textId="77777777"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r w:rsidRPr="00DF4FF2">
        <w:rPr>
          <w:rStyle w:val="HTMLCite"/>
          <w:rFonts w:ascii="Times New Roman" w:hAnsi="Times New Roman"/>
          <w:i w:val="0"/>
          <w:iCs w:val="0"/>
          <w:sz w:val="24"/>
          <w:szCs w:val="24"/>
        </w:rPr>
        <w:lastRenderedPageBreak/>
        <w:t>Dean, D A (2000). Pharmaceutical Packaging Technology. Taylor and Francis. </w:t>
      </w:r>
      <w:hyperlink r:id="rId33" w:tooltip="ISBN (identifier)" w:history="1">
        <w:r w:rsidRPr="00DF4FF2">
          <w:rPr>
            <w:rStyle w:val="Hyperlink"/>
            <w:rFonts w:ascii="Times New Roman" w:hAnsi="Times New Roman"/>
            <w:color w:val="auto"/>
            <w:sz w:val="24"/>
            <w:szCs w:val="24"/>
            <w:u w:val="none"/>
          </w:rPr>
          <w:t>ISBN</w:t>
        </w:r>
      </w:hyperlink>
      <w:r w:rsidRPr="00DF4FF2">
        <w:rPr>
          <w:rStyle w:val="HTMLCite"/>
          <w:rFonts w:ascii="Times New Roman" w:hAnsi="Times New Roman"/>
          <w:i w:val="0"/>
          <w:iCs w:val="0"/>
          <w:sz w:val="24"/>
          <w:szCs w:val="24"/>
        </w:rPr>
        <w:t> </w:t>
      </w:r>
      <w:hyperlink r:id="rId34" w:tooltip="Special:BookSources/978-0-7484-0440-7" w:history="1">
        <w:r w:rsidRPr="00DF4FF2">
          <w:rPr>
            <w:rStyle w:val="Hyperlink"/>
            <w:rFonts w:ascii="Times New Roman" w:hAnsi="Times New Roman"/>
            <w:color w:val="auto"/>
            <w:sz w:val="24"/>
            <w:szCs w:val="24"/>
            <w:u w:val="none"/>
          </w:rPr>
          <w:t>978-0-7484-0440-7</w:t>
        </w:r>
      </w:hyperlink>
      <w:r w:rsidRPr="00DF4FF2">
        <w:rPr>
          <w:rStyle w:val="HTMLCite"/>
          <w:rFonts w:ascii="Times New Roman" w:hAnsi="Times New Roman"/>
          <w:i w:val="0"/>
          <w:iCs w:val="0"/>
          <w:sz w:val="24"/>
          <w:szCs w:val="24"/>
        </w:rPr>
        <w:t>.</w:t>
      </w:r>
    </w:p>
    <w:p w14:paraId="009DB868" w14:textId="7F377BB4"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reference-accessdate"/>
          <w:rFonts w:ascii="Times New Roman" w:hAnsi="Times New Roman"/>
          <w:sz w:val="24"/>
          <w:szCs w:val="24"/>
        </w:rPr>
      </w:pPr>
      <w:r w:rsidRPr="00DF4FF2">
        <w:rPr>
          <w:rFonts w:ascii="Times New Roman" w:hAnsi="Times New Roman"/>
          <w:sz w:val="24"/>
          <w:szCs w:val="24"/>
        </w:rPr>
        <w:t> </w:t>
      </w:r>
      <w:proofErr w:type="spellStart"/>
      <w:r w:rsidRPr="00DF4FF2">
        <w:rPr>
          <w:rStyle w:val="HTMLCite"/>
          <w:rFonts w:ascii="Times New Roman" w:hAnsi="Times New Roman"/>
          <w:i w:val="0"/>
          <w:iCs w:val="0"/>
          <w:sz w:val="24"/>
          <w:szCs w:val="24"/>
        </w:rPr>
        <w:t>Pilchik</w:t>
      </w:r>
      <w:proofErr w:type="spellEnd"/>
      <w:r w:rsidRPr="00DF4FF2">
        <w:rPr>
          <w:rStyle w:val="HTMLCite"/>
          <w:rFonts w:ascii="Times New Roman" w:hAnsi="Times New Roman"/>
          <w:i w:val="0"/>
          <w:iCs w:val="0"/>
          <w:sz w:val="24"/>
          <w:szCs w:val="24"/>
        </w:rPr>
        <w:t>, R (November 2000), </w:t>
      </w:r>
      <w:hyperlink r:id="rId35" w:history="1">
        <w:r w:rsidRPr="00DF4FF2">
          <w:rPr>
            <w:rStyle w:val="Hyperlink"/>
            <w:rFonts w:ascii="Times New Roman" w:hAnsi="Times New Roman"/>
            <w:color w:val="auto"/>
            <w:sz w:val="24"/>
            <w:szCs w:val="24"/>
            <w:u w:val="none"/>
          </w:rPr>
          <w:t>"Pharmaceutical Blister Packaging, Part 1, Rationale and Materials"</w:t>
        </w:r>
      </w:hyperlink>
      <w:r w:rsidRPr="00DF4FF2">
        <w:rPr>
          <w:rStyle w:val="HTMLCite"/>
          <w:rFonts w:ascii="Times New Roman" w:hAnsi="Times New Roman"/>
          <w:i w:val="0"/>
          <w:iCs w:val="0"/>
          <w:sz w:val="24"/>
          <w:szCs w:val="24"/>
        </w:rPr>
        <w:t> </w:t>
      </w:r>
      <w:r w:rsidRPr="00DF4FF2">
        <w:rPr>
          <w:rStyle w:val="cs1-format"/>
          <w:rFonts w:ascii="Times New Roman" w:hAnsi="Times New Roman"/>
          <w:sz w:val="24"/>
          <w:szCs w:val="24"/>
        </w:rPr>
        <w:t>(PDF)</w:t>
      </w:r>
      <w:r w:rsidRPr="00DF4FF2">
        <w:rPr>
          <w:rStyle w:val="HTMLCite"/>
          <w:rFonts w:ascii="Times New Roman" w:hAnsi="Times New Roman"/>
          <w:i w:val="0"/>
          <w:iCs w:val="0"/>
          <w:sz w:val="24"/>
          <w:szCs w:val="24"/>
        </w:rPr>
        <w:t>, Pharmaceutical Technology: 68–77</w:t>
      </w:r>
      <w:r w:rsidR="00DF4FF2">
        <w:rPr>
          <w:rStyle w:val="reference-accessdate"/>
          <w:rFonts w:ascii="Times New Roman" w:hAnsi="Times New Roman"/>
          <w:sz w:val="24"/>
          <w:szCs w:val="24"/>
        </w:rPr>
        <w:t>.</w:t>
      </w:r>
    </w:p>
    <w:p w14:paraId="70027194" w14:textId="31D7D5A9"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reference-accessdate"/>
          <w:rFonts w:ascii="Times New Roman" w:hAnsi="Times New Roman"/>
          <w:sz w:val="24"/>
          <w:szCs w:val="24"/>
        </w:rPr>
      </w:pPr>
      <w:proofErr w:type="spellStart"/>
      <w:r w:rsidRPr="00DF4FF2">
        <w:rPr>
          <w:rStyle w:val="HTMLCite"/>
          <w:rFonts w:ascii="Times New Roman" w:hAnsi="Times New Roman"/>
          <w:i w:val="0"/>
          <w:iCs w:val="0"/>
          <w:sz w:val="24"/>
          <w:szCs w:val="24"/>
        </w:rPr>
        <w:t>Pilchik</w:t>
      </w:r>
      <w:proofErr w:type="spellEnd"/>
      <w:r w:rsidRPr="00DF4FF2">
        <w:rPr>
          <w:rStyle w:val="HTMLCite"/>
          <w:rFonts w:ascii="Times New Roman" w:hAnsi="Times New Roman"/>
          <w:i w:val="0"/>
          <w:iCs w:val="0"/>
          <w:sz w:val="24"/>
          <w:szCs w:val="24"/>
        </w:rPr>
        <w:t>, R (December 2000), </w:t>
      </w:r>
      <w:hyperlink r:id="rId36" w:history="1">
        <w:r w:rsidRPr="00DF4FF2">
          <w:rPr>
            <w:rStyle w:val="Hyperlink"/>
            <w:rFonts w:ascii="Times New Roman" w:hAnsi="Times New Roman"/>
            <w:color w:val="auto"/>
            <w:sz w:val="24"/>
            <w:szCs w:val="24"/>
            <w:u w:val="none"/>
          </w:rPr>
          <w:t>"Pharmaceutical Blister Packaging, Part 2, Machinery and Assembly"</w:t>
        </w:r>
      </w:hyperlink>
      <w:r w:rsidRPr="00DF4FF2">
        <w:rPr>
          <w:rStyle w:val="HTMLCite"/>
          <w:rFonts w:ascii="Times New Roman" w:hAnsi="Times New Roman"/>
          <w:i w:val="0"/>
          <w:iCs w:val="0"/>
          <w:sz w:val="24"/>
          <w:szCs w:val="24"/>
        </w:rPr>
        <w:t> </w:t>
      </w:r>
      <w:r w:rsidRPr="00DF4FF2">
        <w:rPr>
          <w:rStyle w:val="cs1-format"/>
          <w:rFonts w:ascii="Times New Roman" w:hAnsi="Times New Roman"/>
          <w:sz w:val="24"/>
          <w:szCs w:val="24"/>
        </w:rPr>
        <w:t>(PDF)</w:t>
      </w:r>
      <w:r w:rsidRPr="00DF4FF2">
        <w:rPr>
          <w:rStyle w:val="HTMLCite"/>
          <w:rFonts w:ascii="Times New Roman" w:hAnsi="Times New Roman"/>
          <w:i w:val="0"/>
          <w:iCs w:val="0"/>
          <w:sz w:val="24"/>
          <w:szCs w:val="24"/>
        </w:rPr>
        <w:t>, Pharmaceutical Technology: 56–60</w:t>
      </w:r>
      <w:r w:rsidR="00DF4FF2">
        <w:rPr>
          <w:rStyle w:val="reference-accessdate"/>
          <w:rFonts w:ascii="Times New Roman" w:hAnsi="Times New Roman"/>
          <w:sz w:val="24"/>
          <w:szCs w:val="24"/>
        </w:rPr>
        <w:t>.</w:t>
      </w:r>
    </w:p>
    <w:p w14:paraId="0E7ED593" w14:textId="77777777" w:rsidR="00AB35D0" w:rsidRPr="00DF4FF2" w:rsidRDefault="00000000"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hyperlink r:id="rId37" w:anchor="cite_ref-SHA_2016_7-0" w:history="1">
        <w:r w:rsidR="001B49F8" w:rsidRPr="00DF4FF2">
          <w:rPr>
            <w:rStyle w:val="cite-accessibility-label"/>
            <w:rFonts w:ascii="Times New Roman" w:hAnsi="Times New Roman"/>
            <w:sz w:val="24"/>
            <w:szCs w:val="24"/>
            <w:bdr w:val="none" w:sz="0" w:space="0" w:color="auto" w:frame="1"/>
          </w:rPr>
          <w:t xml:space="preserve">Jump up </w:t>
        </w:r>
        <w:proofErr w:type="spellStart"/>
        <w:r w:rsidR="001B49F8" w:rsidRPr="00DF4FF2">
          <w:rPr>
            <w:rStyle w:val="cite-accessibility-label"/>
            <w:rFonts w:ascii="Times New Roman" w:hAnsi="Times New Roman"/>
            <w:sz w:val="24"/>
            <w:szCs w:val="24"/>
            <w:bdr w:val="none" w:sz="0" w:space="0" w:color="auto" w:frame="1"/>
          </w:rPr>
          <w:t>to:</w:t>
        </w:r>
        <w:r w:rsidR="001B49F8" w:rsidRPr="00DF4FF2">
          <w:rPr>
            <w:rStyle w:val="Hyperlink"/>
            <w:rFonts w:ascii="Times New Roman" w:hAnsi="Times New Roman"/>
            <w:b/>
            <w:bCs/>
            <w:color w:val="auto"/>
            <w:sz w:val="24"/>
            <w:szCs w:val="24"/>
            <w:u w:val="none"/>
            <w:vertAlign w:val="superscript"/>
          </w:rPr>
          <w:t>a</w:t>
        </w:r>
        <w:proofErr w:type="spellEnd"/>
      </w:hyperlink>
      <w:r w:rsidR="001B49F8" w:rsidRPr="00DF4FF2">
        <w:rPr>
          <w:rStyle w:val="mw-cite-backlink"/>
          <w:rFonts w:ascii="Times New Roman" w:hAnsi="Times New Roman"/>
          <w:sz w:val="24"/>
          <w:szCs w:val="24"/>
        </w:rPr>
        <w:t> </w:t>
      </w:r>
      <w:hyperlink r:id="rId38" w:anchor="cite_ref-SHA_2016_7-1" w:history="1">
        <w:r w:rsidR="001B49F8" w:rsidRPr="00DF4FF2">
          <w:rPr>
            <w:rStyle w:val="Hyperlink"/>
            <w:rFonts w:ascii="Times New Roman" w:hAnsi="Times New Roman"/>
            <w:b/>
            <w:bCs/>
            <w:color w:val="auto"/>
            <w:sz w:val="24"/>
            <w:szCs w:val="24"/>
            <w:u w:val="none"/>
            <w:vertAlign w:val="superscript"/>
          </w:rPr>
          <w:t>b</w:t>
        </w:r>
      </w:hyperlink>
      <w:r w:rsidR="001B49F8" w:rsidRPr="00DF4FF2">
        <w:rPr>
          <w:rStyle w:val="mw-cite-backlink"/>
          <w:rFonts w:ascii="Times New Roman" w:hAnsi="Times New Roman"/>
          <w:sz w:val="24"/>
          <w:szCs w:val="24"/>
        </w:rPr>
        <w:t> </w:t>
      </w:r>
      <w:hyperlink r:id="rId39" w:anchor="cite_ref-SHA_2016_7-2" w:history="1">
        <w:r w:rsidR="001B49F8" w:rsidRPr="00DF4FF2">
          <w:rPr>
            <w:rStyle w:val="Hyperlink"/>
            <w:rFonts w:ascii="Times New Roman" w:hAnsi="Times New Roman"/>
            <w:b/>
            <w:bCs/>
            <w:color w:val="auto"/>
            <w:sz w:val="24"/>
            <w:szCs w:val="24"/>
            <w:u w:val="none"/>
            <w:vertAlign w:val="superscript"/>
          </w:rPr>
          <w:t>c</w:t>
        </w:r>
      </w:hyperlink>
      <w:r w:rsidR="001B49F8" w:rsidRPr="00DF4FF2">
        <w:rPr>
          <w:rFonts w:ascii="Times New Roman" w:hAnsi="Times New Roman"/>
          <w:sz w:val="24"/>
          <w:szCs w:val="24"/>
        </w:rPr>
        <w:t> </w:t>
      </w:r>
      <w:r w:rsidR="001B49F8" w:rsidRPr="00DF4FF2">
        <w:rPr>
          <w:rStyle w:val="HTMLCite"/>
          <w:rFonts w:ascii="Times New Roman" w:hAnsi="Times New Roman"/>
          <w:i w:val="0"/>
          <w:iCs w:val="0"/>
          <w:sz w:val="24"/>
          <w:szCs w:val="24"/>
        </w:rPr>
        <w:t>Lindsey, Bill (20 November 2016). </w:t>
      </w:r>
      <w:hyperlink r:id="rId40" w:history="1">
        <w:r w:rsidR="001B49F8" w:rsidRPr="00DF4FF2">
          <w:rPr>
            <w:rStyle w:val="Hyperlink"/>
            <w:rFonts w:ascii="Times New Roman" w:hAnsi="Times New Roman"/>
            <w:color w:val="auto"/>
            <w:sz w:val="24"/>
            <w:szCs w:val="24"/>
            <w:u w:val="none"/>
          </w:rPr>
          <w:t>"Medicinal/Chemical/Druggist Bottles"</w:t>
        </w:r>
      </w:hyperlink>
      <w:r w:rsidR="001B49F8" w:rsidRPr="00DF4FF2">
        <w:rPr>
          <w:rStyle w:val="HTMLCite"/>
          <w:rFonts w:ascii="Times New Roman" w:hAnsi="Times New Roman"/>
          <w:i w:val="0"/>
          <w:iCs w:val="0"/>
          <w:sz w:val="24"/>
          <w:szCs w:val="24"/>
        </w:rPr>
        <w:t>. sha.org. </w:t>
      </w:r>
      <w:hyperlink r:id="rId41" w:tooltip="Society for Historical Archaeology" w:history="1">
        <w:r w:rsidR="001B49F8" w:rsidRPr="00DF4FF2">
          <w:rPr>
            <w:rStyle w:val="Hyperlink"/>
            <w:rFonts w:ascii="Times New Roman" w:hAnsi="Times New Roman"/>
            <w:color w:val="auto"/>
            <w:sz w:val="24"/>
            <w:szCs w:val="24"/>
            <w:u w:val="none"/>
          </w:rPr>
          <w:t>Society for Historical Archaeology</w:t>
        </w:r>
      </w:hyperlink>
      <w:r w:rsidR="001B49F8" w:rsidRPr="00DF4FF2">
        <w:rPr>
          <w:rStyle w:val="HTMLCite"/>
          <w:rFonts w:ascii="Times New Roman" w:hAnsi="Times New Roman"/>
          <w:i w:val="0"/>
          <w:iCs w:val="0"/>
          <w:sz w:val="24"/>
          <w:szCs w:val="24"/>
        </w:rPr>
        <w:t>.</w:t>
      </w:r>
    </w:p>
    <w:p w14:paraId="61AE1343" w14:textId="402C88FD"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r w:rsidRPr="00DF4FF2">
        <w:rPr>
          <w:rFonts w:ascii="Times New Roman" w:hAnsi="Times New Roman"/>
          <w:sz w:val="24"/>
          <w:szCs w:val="24"/>
        </w:rPr>
        <w:t> </w:t>
      </w:r>
      <w:r w:rsidRPr="00DF4FF2">
        <w:rPr>
          <w:rStyle w:val="HTMLCite"/>
          <w:rFonts w:ascii="Times New Roman" w:hAnsi="Times New Roman"/>
          <w:i w:val="0"/>
          <w:iCs w:val="0"/>
          <w:sz w:val="24"/>
          <w:szCs w:val="24"/>
        </w:rPr>
        <w:t>Berger, Arielle (2017). </w:t>
      </w:r>
      <w:hyperlink r:id="rId42" w:history="1">
        <w:r w:rsidRPr="00DF4FF2">
          <w:rPr>
            <w:rStyle w:val="Hyperlink"/>
            <w:rFonts w:ascii="Times New Roman" w:hAnsi="Times New Roman"/>
            <w:color w:val="auto"/>
            <w:sz w:val="24"/>
            <w:szCs w:val="24"/>
            <w:u w:val="none"/>
          </w:rPr>
          <w:t>"Here's why that huge cotton ball comes in pill bottles"</w:t>
        </w:r>
      </w:hyperlink>
      <w:r w:rsidRPr="00DF4FF2">
        <w:rPr>
          <w:rStyle w:val="HTMLCite"/>
          <w:rFonts w:ascii="Times New Roman" w:hAnsi="Times New Roman"/>
          <w:i w:val="0"/>
          <w:iCs w:val="0"/>
          <w:sz w:val="24"/>
          <w:szCs w:val="24"/>
        </w:rPr>
        <w:t>. Business Insider</w:t>
      </w:r>
      <w:r w:rsidRPr="00DF4FF2">
        <w:rPr>
          <w:rStyle w:val="reference-accessdate"/>
          <w:rFonts w:ascii="Times New Roman" w:hAnsi="Times New Roman"/>
          <w:sz w:val="24"/>
          <w:szCs w:val="24"/>
        </w:rPr>
        <w:t xml:space="preserve">. </w:t>
      </w:r>
    </w:p>
    <w:p w14:paraId="120EC8F8" w14:textId="07902E86"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r w:rsidRPr="00DF4FF2">
        <w:rPr>
          <w:rStyle w:val="HTMLCite"/>
          <w:rFonts w:ascii="Times New Roman" w:hAnsi="Times New Roman"/>
          <w:i w:val="0"/>
          <w:iCs w:val="0"/>
          <w:sz w:val="24"/>
          <w:szCs w:val="24"/>
        </w:rPr>
        <w:t>Black, J. C.; Layoff, T. </w:t>
      </w:r>
      <w:hyperlink r:id="rId43" w:history="1">
        <w:r w:rsidRPr="00DF4FF2">
          <w:rPr>
            <w:rStyle w:val="Hyperlink"/>
            <w:rFonts w:ascii="Times New Roman" w:hAnsi="Times New Roman"/>
            <w:color w:val="auto"/>
            <w:sz w:val="24"/>
            <w:szCs w:val="24"/>
            <w:u w:val="none"/>
          </w:rPr>
          <w:t xml:space="preserve">"Summer of 1995 – Mailbox Temperature </w:t>
        </w:r>
        <w:proofErr w:type="spellStart"/>
        <w:r w:rsidRPr="00DF4FF2">
          <w:rPr>
            <w:rStyle w:val="Hyperlink"/>
            <w:rFonts w:ascii="Times New Roman" w:hAnsi="Times New Roman"/>
            <w:color w:val="auto"/>
            <w:sz w:val="24"/>
            <w:szCs w:val="24"/>
            <w:u w:val="none"/>
          </w:rPr>
          <w:t>Excurions</w:t>
        </w:r>
        <w:proofErr w:type="spellEnd"/>
        <w:r w:rsidRPr="00DF4FF2">
          <w:rPr>
            <w:rStyle w:val="Hyperlink"/>
            <w:rFonts w:ascii="Times New Roman" w:hAnsi="Times New Roman"/>
            <w:color w:val="auto"/>
            <w:sz w:val="24"/>
            <w:szCs w:val="24"/>
            <w:u w:val="none"/>
          </w:rPr>
          <w:t xml:space="preserve"> of St Louis"</w:t>
        </w:r>
      </w:hyperlink>
      <w:r w:rsidRPr="00DF4FF2">
        <w:rPr>
          <w:rStyle w:val="HTMLCite"/>
          <w:rFonts w:ascii="Times New Roman" w:hAnsi="Times New Roman"/>
          <w:i w:val="0"/>
          <w:iCs w:val="0"/>
          <w:sz w:val="24"/>
          <w:szCs w:val="24"/>
        </w:rPr>
        <w:t> </w:t>
      </w:r>
      <w:r w:rsidRPr="00DF4FF2">
        <w:rPr>
          <w:rStyle w:val="cs1-format"/>
          <w:rFonts w:ascii="Times New Roman" w:hAnsi="Times New Roman"/>
          <w:sz w:val="24"/>
          <w:szCs w:val="24"/>
        </w:rPr>
        <w:t>(PDF)</w:t>
      </w:r>
      <w:r w:rsidRPr="00DF4FF2">
        <w:rPr>
          <w:rStyle w:val="HTMLCite"/>
          <w:rFonts w:ascii="Times New Roman" w:hAnsi="Times New Roman"/>
          <w:i w:val="0"/>
          <w:iCs w:val="0"/>
          <w:sz w:val="24"/>
          <w:szCs w:val="24"/>
        </w:rPr>
        <w:t>. US FDA Division of Drug Analysis</w:t>
      </w:r>
      <w:r w:rsidRPr="00DF4FF2">
        <w:rPr>
          <w:rStyle w:val="reference-accessdate"/>
          <w:rFonts w:ascii="Times New Roman" w:hAnsi="Times New Roman"/>
          <w:sz w:val="24"/>
          <w:szCs w:val="24"/>
        </w:rPr>
        <w:t xml:space="preserve">. </w:t>
      </w:r>
    </w:p>
    <w:p w14:paraId="594978D1" w14:textId="650AC136" w:rsidR="00AB35D0" w:rsidRPr="00DF4FF2" w:rsidRDefault="001B49F8" w:rsidP="00DF4FF2">
      <w:pPr>
        <w:pStyle w:val="ListParagraph"/>
        <w:numPr>
          <w:ilvl w:val="1"/>
          <w:numId w:val="20"/>
        </w:numPr>
        <w:shd w:val="clear" w:color="auto" w:fill="FFFFFF"/>
        <w:spacing w:before="100" w:beforeAutospacing="1" w:after="24" w:line="360" w:lineRule="auto"/>
        <w:jc w:val="both"/>
        <w:rPr>
          <w:rStyle w:val="Hyperlink"/>
          <w:rFonts w:ascii="Times New Roman" w:hAnsi="Times New Roman"/>
          <w:color w:val="auto"/>
          <w:sz w:val="24"/>
          <w:szCs w:val="24"/>
          <w:u w:val="none"/>
        </w:rPr>
      </w:pPr>
      <w:r w:rsidRPr="00DF4FF2">
        <w:rPr>
          <w:rStyle w:val="HTMLCite"/>
          <w:rFonts w:ascii="Times New Roman" w:hAnsi="Times New Roman"/>
          <w:i w:val="0"/>
          <w:iCs w:val="0"/>
          <w:sz w:val="24"/>
          <w:szCs w:val="24"/>
        </w:rPr>
        <w:t>Carstensen, J T (24 October 1997), "Stability of Drugs and Drug Products in Clinical Packaging", in Monkhouse, D C (ed.), Drug Products for Clinical Trials, Marcel Decker (published 1998), pp. 231–2, </w:t>
      </w:r>
      <w:hyperlink r:id="rId44" w:tooltip="ISBN (identifier)" w:history="1">
        <w:r w:rsidRPr="00DF4FF2">
          <w:rPr>
            <w:rStyle w:val="Hyperlink"/>
            <w:rFonts w:ascii="Times New Roman" w:hAnsi="Times New Roman"/>
            <w:color w:val="auto"/>
            <w:sz w:val="24"/>
            <w:szCs w:val="24"/>
            <w:u w:val="none"/>
          </w:rPr>
          <w:t>ISBN</w:t>
        </w:r>
      </w:hyperlink>
      <w:r w:rsidRPr="00DF4FF2">
        <w:rPr>
          <w:rStyle w:val="HTMLCite"/>
          <w:rFonts w:ascii="Times New Roman" w:hAnsi="Times New Roman"/>
          <w:i w:val="0"/>
          <w:iCs w:val="0"/>
          <w:sz w:val="24"/>
          <w:szCs w:val="24"/>
        </w:rPr>
        <w:t> </w:t>
      </w:r>
      <w:hyperlink r:id="rId45" w:tooltip="Special:BookSources/0-8247-9852-X" w:history="1">
        <w:r w:rsidRPr="00DF4FF2">
          <w:rPr>
            <w:rStyle w:val="Hyperlink"/>
            <w:rFonts w:ascii="Times New Roman" w:hAnsi="Times New Roman"/>
            <w:color w:val="auto"/>
            <w:sz w:val="24"/>
            <w:szCs w:val="24"/>
            <w:u w:val="none"/>
          </w:rPr>
          <w:t>0-8247-9852-X</w:t>
        </w:r>
      </w:hyperlink>
      <w:r w:rsidR="00AB35D0" w:rsidRPr="00DF4FF2">
        <w:rPr>
          <w:rStyle w:val="Hyperlink"/>
          <w:rFonts w:ascii="Times New Roman" w:hAnsi="Times New Roman"/>
          <w:color w:val="auto"/>
          <w:sz w:val="24"/>
          <w:szCs w:val="24"/>
          <w:u w:val="none"/>
        </w:rPr>
        <w:t>.</w:t>
      </w:r>
    </w:p>
    <w:p w14:paraId="7F3D220D" w14:textId="415591A3"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reference-accessdate"/>
          <w:rFonts w:ascii="Times New Roman" w:hAnsi="Times New Roman"/>
          <w:sz w:val="24"/>
          <w:szCs w:val="24"/>
        </w:rPr>
      </w:pPr>
      <w:r w:rsidRPr="00DF4FF2">
        <w:rPr>
          <w:rFonts w:ascii="Times New Roman" w:hAnsi="Times New Roman"/>
          <w:sz w:val="24"/>
          <w:szCs w:val="24"/>
        </w:rPr>
        <w:t> </w:t>
      </w:r>
      <w:r w:rsidRPr="00DF4FF2">
        <w:rPr>
          <w:rStyle w:val="HTMLCite"/>
          <w:rFonts w:ascii="Times New Roman" w:hAnsi="Times New Roman"/>
          <w:i w:val="0"/>
          <w:iCs w:val="0"/>
          <w:sz w:val="24"/>
          <w:szCs w:val="24"/>
        </w:rPr>
        <w:t>Dallas, Martin (1 October 2014), </w:t>
      </w:r>
      <w:hyperlink r:id="rId46" w:history="1">
        <w:r w:rsidRPr="00DF4FF2">
          <w:rPr>
            <w:rStyle w:val="Hyperlink"/>
            <w:rFonts w:ascii="Times New Roman" w:hAnsi="Times New Roman"/>
            <w:color w:val="auto"/>
            <w:sz w:val="24"/>
            <w:szCs w:val="24"/>
            <w:u w:val="none"/>
          </w:rPr>
          <w:t>"Anticounterfeiting Packaging 101"</w:t>
        </w:r>
      </w:hyperlink>
      <w:r w:rsidRPr="00DF4FF2">
        <w:rPr>
          <w:rStyle w:val="HTMLCite"/>
          <w:rFonts w:ascii="Times New Roman" w:hAnsi="Times New Roman"/>
          <w:i w:val="0"/>
          <w:iCs w:val="0"/>
          <w:sz w:val="24"/>
          <w:szCs w:val="24"/>
        </w:rPr>
        <w:t>, </w:t>
      </w:r>
      <w:proofErr w:type="spellStart"/>
      <w:r w:rsidRPr="00DF4FF2">
        <w:rPr>
          <w:rStyle w:val="HTMLCite"/>
          <w:rFonts w:ascii="Times New Roman" w:hAnsi="Times New Roman"/>
          <w:i w:val="0"/>
          <w:iCs w:val="0"/>
          <w:sz w:val="24"/>
          <w:szCs w:val="24"/>
        </w:rPr>
        <w:t>PharmTech</w:t>
      </w:r>
      <w:proofErr w:type="spellEnd"/>
      <w:r w:rsidRPr="00DF4FF2">
        <w:rPr>
          <w:rStyle w:val="reference-accessdate"/>
          <w:rFonts w:ascii="Times New Roman" w:hAnsi="Times New Roman"/>
          <w:sz w:val="24"/>
          <w:szCs w:val="24"/>
        </w:rPr>
        <w:t xml:space="preserve">, </w:t>
      </w:r>
    </w:p>
    <w:p w14:paraId="4564F7DA" w14:textId="77777777" w:rsidR="00AB35D0" w:rsidRPr="00DF4FF2" w:rsidRDefault="00000000"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hyperlink r:id="rId47" w:anchor="cite_ref-Nathan_15-0" w:history="1">
        <w:r w:rsidR="001B49F8" w:rsidRPr="00DF4FF2">
          <w:rPr>
            <w:rStyle w:val="cite-accessibility-label"/>
            <w:rFonts w:ascii="Times New Roman" w:hAnsi="Times New Roman"/>
            <w:sz w:val="24"/>
            <w:szCs w:val="24"/>
            <w:bdr w:val="none" w:sz="0" w:space="0" w:color="auto" w:frame="1"/>
          </w:rPr>
          <w:t xml:space="preserve">Jump up </w:t>
        </w:r>
        <w:proofErr w:type="spellStart"/>
        <w:proofErr w:type="gramStart"/>
        <w:r w:rsidR="001B49F8" w:rsidRPr="00DF4FF2">
          <w:rPr>
            <w:rStyle w:val="cite-accessibility-label"/>
            <w:rFonts w:ascii="Times New Roman" w:hAnsi="Times New Roman"/>
            <w:sz w:val="24"/>
            <w:szCs w:val="24"/>
            <w:bdr w:val="none" w:sz="0" w:space="0" w:color="auto" w:frame="1"/>
          </w:rPr>
          <w:t>to:</w:t>
        </w:r>
        <w:r w:rsidR="001B49F8" w:rsidRPr="00DF4FF2">
          <w:rPr>
            <w:rStyle w:val="Hyperlink"/>
            <w:rFonts w:ascii="Times New Roman" w:hAnsi="Times New Roman"/>
            <w:b/>
            <w:bCs/>
            <w:color w:val="auto"/>
            <w:sz w:val="24"/>
            <w:szCs w:val="24"/>
            <w:u w:val="none"/>
            <w:vertAlign w:val="superscript"/>
          </w:rPr>
          <w:t>a</w:t>
        </w:r>
        <w:proofErr w:type="spellEnd"/>
        <w:proofErr w:type="gramEnd"/>
      </w:hyperlink>
      <w:r w:rsidR="001B49F8" w:rsidRPr="00DF4FF2">
        <w:rPr>
          <w:rStyle w:val="mw-cite-backlink"/>
          <w:rFonts w:ascii="Times New Roman" w:hAnsi="Times New Roman"/>
          <w:sz w:val="24"/>
          <w:szCs w:val="24"/>
        </w:rPr>
        <w:t> </w:t>
      </w:r>
      <w:hyperlink r:id="rId48" w:anchor="cite_ref-Nathan_15-1" w:history="1">
        <w:r w:rsidR="001B49F8" w:rsidRPr="00DF4FF2">
          <w:rPr>
            <w:rStyle w:val="Hyperlink"/>
            <w:rFonts w:ascii="Times New Roman" w:hAnsi="Times New Roman"/>
            <w:b/>
            <w:bCs/>
            <w:color w:val="auto"/>
            <w:sz w:val="24"/>
            <w:szCs w:val="24"/>
            <w:u w:val="none"/>
            <w:vertAlign w:val="superscript"/>
          </w:rPr>
          <w:t>b</w:t>
        </w:r>
      </w:hyperlink>
      <w:r w:rsidR="001B49F8" w:rsidRPr="00DF4FF2">
        <w:rPr>
          <w:rFonts w:ascii="Times New Roman" w:hAnsi="Times New Roman"/>
          <w:sz w:val="24"/>
          <w:szCs w:val="24"/>
        </w:rPr>
        <w:t> </w:t>
      </w:r>
      <w:r w:rsidR="001B49F8" w:rsidRPr="00DF4FF2">
        <w:rPr>
          <w:rStyle w:val="HTMLCite"/>
          <w:rFonts w:ascii="Times New Roman" w:hAnsi="Times New Roman"/>
          <w:i w:val="0"/>
          <w:iCs w:val="0"/>
          <w:sz w:val="24"/>
          <w:szCs w:val="24"/>
        </w:rPr>
        <w:t>Nathan, Joseph P.; Vider, Etty (2015). </w:t>
      </w:r>
      <w:hyperlink r:id="rId49" w:history="1">
        <w:r w:rsidR="001B49F8" w:rsidRPr="00DF4FF2">
          <w:rPr>
            <w:rStyle w:val="Hyperlink"/>
            <w:rFonts w:ascii="Times New Roman" w:hAnsi="Times New Roman"/>
            <w:color w:val="auto"/>
            <w:sz w:val="24"/>
            <w:szCs w:val="24"/>
            <w:u w:val="none"/>
          </w:rPr>
          <w:t>"The Package Insert"</w:t>
        </w:r>
      </w:hyperlink>
      <w:r w:rsidR="001B49F8" w:rsidRPr="00DF4FF2">
        <w:rPr>
          <w:rStyle w:val="HTMLCite"/>
          <w:rFonts w:ascii="Times New Roman" w:hAnsi="Times New Roman"/>
          <w:i w:val="0"/>
          <w:iCs w:val="0"/>
          <w:sz w:val="24"/>
          <w:szCs w:val="24"/>
        </w:rPr>
        <w:t>. US Pharm. </w:t>
      </w:r>
      <w:r w:rsidR="001B49F8" w:rsidRPr="00DF4FF2">
        <w:rPr>
          <w:rStyle w:val="HTMLCite"/>
          <w:rFonts w:ascii="Times New Roman" w:hAnsi="Times New Roman"/>
          <w:b/>
          <w:bCs/>
          <w:i w:val="0"/>
          <w:iCs w:val="0"/>
          <w:sz w:val="24"/>
          <w:szCs w:val="24"/>
        </w:rPr>
        <w:t>40</w:t>
      </w:r>
      <w:r w:rsidR="001B49F8" w:rsidRPr="00DF4FF2">
        <w:rPr>
          <w:rStyle w:val="HTMLCite"/>
          <w:rFonts w:ascii="Times New Roman" w:hAnsi="Times New Roman"/>
          <w:i w:val="0"/>
          <w:iCs w:val="0"/>
          <w:sz w:val="24"/>
          <w:szCs w:val="24"/>
        </w:rPr>
        <w:t> (5): 8–10.</w:t>
      </w:r>
    </w:p>
    <w:p w14:paraId="1F9E6AC2" w14:textId="1A1E1BCB" w:rsidR="00AB35D0" w:rsidRPr="00DF4FF2" w:rsidRDefault="00000000" w:rsidP="00AB35D0">
      <w:pPr>
        <w:pStyle w:val="ListParagraph"/>
        <w:numPr>
          <w:ilvl w:val="1"/>
          <w:numId w:val="20"/>
        </w:numPr>
        <w:shd w:val="clear" w:color="auto" w:fill="FFFFFF"/>
        <w:spacing w:before="100" w:beforeAutospacing="1" w:after="24" w:line="360" w:lineRule="auto"/>
        <w:jc w:val="both"/>
        <w:rPr>
          <w:rStyle w:val="HTMLCite"/>
          <w:rFonts w:ascii="Times New Roman" w:hAnsi="Times New Roman"/>
          <w:i w:val="0"/>
          <w:iCs w:val="0"/>
          <w:sz w:val="24"/>
          <w:szCs w:val="24"/>
        </w:rPr>
      </w:pPr>
      <w:hyperlink r:id="rId50" w:history="1">
        <w:r w:rsidR="001B49F8" w:rsidRPr="00DF4FF2">
          <w:rPr>
            <w:rStyle w:val="Hyperlink"/>
            <w:rFonts w:ascii="Times New Roman" w:hAnsi="Times New Roman"/>
            <w:color w:val="auto"/>
            <w:sz w:val="24"/>
            <w:szCs w:val="24"/>
            <w:u w:val="none"/>
          </w:rPr>
          <w:t xml:space="preserve">"Marketing </w:t>
        </w:r>
        <w:proofErr w:type="spellStart"/>
        <w:r w:rsidR="001B49F8" w:rsidRPr="00DF4FF2">
          <w:rPr>
            <w:rStyle w:val="Hyperlink"/>
            <w:rFonts w:ascii="Times New Roman" w:hAnsi="Times New Roman"/>
            <w:color w:val="auto"/>
            <w:sz w:val="24"/>
            <w:szCs w:val="24"/>
            <w:u w:val="none"/>
          </w:rPr>
          <w:t>authorisation</w:t>
        </w:r>
        <w:proofErr w:type="spellEnd"/>
        <w:r w:rsidR="001B49F8" w:rsidRPr="00DF4FF2">
          <w:rPr>
            <w:rStyle w:val="Hyperlink"/>
            <w:rFonts w:ascii="Times New Roman" w:hAnsi="Times New Roman"/>
            <w:color w:val="auto"/>
            <w:sz w:val="24"/>
            <w:szCs w:val="24"/>
            <w:u w:val="none"/>
          </w:rPr>
          <w:t xml:space="preserve"> - Product-information requirements"</w:t>
        </w:r>
      </w:hyperlink>
      <w:r w:rsidR="001B49F8" w:rsidRPr="00DF4FF2">
        <w:rPr>
          <w:rStyle w:val="HTMLCite"/>
          <w:rFonts w:ascii="Times New Roman" w:hAnsi="Times New Roman"/>
          <w:i w:val="0"/>
          <w:iCs w:val="0"/>
          <w:sz w:val="24"/>
          <w:szCs w:val="24"/>
        </w:rPr>
        <w:t>. European Medicines Agency</w:t>
      </w:r>
      <w:r w:rsidR="001B49F8" w:rsidRPr="00DF4FF2">
        <w:rPr>
          <w:rStyle w:val="reference-accessdate"/>
          <w:rFonts w:ascii="Times New Roman" w:hAnsi="Times New Roman"/>
          <w:sz w:val="24"/>
          <w:szCs w:val="24"/>
        </w:rPr>
        <w:t xml:space="preserve">. </w:t>
      </w:r>
    </w:p>
    <w:p w14:paraId="5E943A1C" w14:textId="328088BE"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reference-accessdate"/>
          <w:rFonts w:ascii="Times New Roman" w:hAnsi="Times New Roman"/>
          <w:sz w:val="24"/>
          <w:szCs w:val="24"/>
        </w:rPr>
      </w:pPr>
      <w:r w:rsidRPr="00DF4FF2">
        <w:rPr>
          <w:rStyle w:val="HTMLCite"/>
          <w:rFonts w:ascii="Times New Roman" w:hAnsi="Times New Roman"/>
          <w:i w:val="0"/>
          <w:iCs w:val="0"/>
          <w:sz w:val="24"/>
          <w:szCs w:val="24"/>
        </w:rPr>
        <w:t xml:space="preserve">Jatto, E; </w:t>
      </w:r>
      <w:proofErr w:type="spellStart"/>
      <w:r w:rsidRPr="00DF4FF2">
        <w:rPr>
          <w:rStyle w:val="HTMLCite"/>
          <w:rFonts w:ascii="Times New Roman" w:hAnsi="Times New Roman"/>
          <w:i w:val="0"/>
          <w:iCs w:val="0"/>
          <w:sz w:val="24"/>
          <w:szCs w:val="24"/>
        </w:rPr>
        <w:t>Okhamafe</w:t>
      </w:r>
      <w:proofErr w:type="spellEnd"/>
      <w:r w:rsidRPr="00DF4FF2">
        <w:rPr>
          <w:rStyle w:val="HTMLCite"/>
          <w:rFonts w:ascii="Times New Roman" w:hAnsi="Times New Roman"/>
          <w:i w:val="0"/>
          <w:iCs w:val="0"/>
          <w:sz w:val="24"/>
          <w:szCs w:val="24"/>
        </w:rPr>
        <w:t>, A O (December 2002), </w:t>
      </w:r>
      <w:hyperlink r:id="rId51" w:history="1">
        <w:r w:rsidRPr="00DF4FF2">
          <w:rPr>
            <w:rStyle w:val="Hyperlink"/>
            <w:rFonts w:ascii="Times New Roman" w:hAnsi="Times New Roman"/>
            <w:color w:val="auto"/>
            <w:sz w:val="24"/>
            <w:szCs w:val="24"/>
            <w:u w:val="none"/>
          </w:rPr>
          <w:t>"An Overview of Pharmaceutical Validation and Process Controls in Drug Development"</w:t>
        </w:r>
      </w:hyperlink>
      <w:r w:rsidRPr="00DF4FF2">
        <w:rPr>
          <w:rStyle w:val="HTMLCite"/>
          <w:rFonts w:ascii="Times New Roman" w:hAnsi="Times New Roman"/>
          <w:i w:val="0"/>
          <w:iCs w:val="0"/>
          <w:sz w:val="24"/>
          <w:szCs w:val="24"/>
        </w:rPr>
        <w:t>, Tropical Journal of Pharmaceutical Research, </w:t>
      </w:r>
      <w:r w:rsidRPr="00DF4FF2">
        <w:rPr>
          <w:rStyle w:val="HTMLCite"/>
          <w:rFonts w:ascii="Times New Roman" w:hAnsi="Times New Roman"/>
          <w:b/>
          <w:bCs/>
          <w:i w:val="0"/>
          <w:iCs w:val="0"/>
          <w:sz w:val="24"/>
          <w:szCs w:val="24"/>
        </w:rPr>
        <w:t>1</w:t>
      </w:r>
      <w:r w:rsidRPr="00DF4FF2">
        <w:rPr>
          <w:rStyle w:val="HTMLCite"/>
          <w:rFonts w:ascii="Times New Roman" w:hAnsi="Times New Roman"/>
          <w:i w:val="0"/>
          <w:iCs w:val="0"/>
          <w:sz w:val="24"/>
          <w:szCs w:val="24"/>
        </w:rPr>
        <w:t> (2): 115–122</w:t>
      </w:r>
      <w:r w:rsidR="00D46811">
        <w:rPr>
          <w:rStyle w:val="HTMLCite"/>
          <w:rFonts w:ascii="Times New Roman" w:hAnsi="Times New Roman"/>
          <w:i w:val="0"/>
          <w:iCs w:val="0"/>
          <w:sz w:val="24"/>
          <w:szCs w:val="24"/>
        </w:rPr>
        <w:t>.</w:t>
      </w:r>
    </w:p>
    <w:p w14:paraId="7A862D30" w14:textId="6985F4D4" w:rsidR="00AB35D0" w:rsidRPr="00DF4FF2" w:rsidRDefault="001B49F8" w:rsidP="00AB35D0">
      <w:pPr>
        <w:pStyle w:val="ListParagraph"/>
        <w:numPr>
          <w:ilvl w:val="1"/>
          <w:numId w:val="20"/>
        </w:numPr>
        <w:shd w:val="clear" w:color="auto" w:fill="FFFFFF"/>
        <w:spacing w:before="100" w:beforeAutospacing="1" w:after="24" w:line="360" w:lineRule="auto"/>
        <w:jc w:val="both"/>
        <w:rPr>
          <w:rStyle w:val="Hyperlink"/>
          <w:rFonts w:ascii="Times New Roman" w:hAnsi="Times New Roman"/>
          <w:color w:val="auto"/>
          <w:sz w:val="24"/>
          <w:szCs w:val="24"/>
          <w:u w:val="none"/>
        </w:rPr>
      </w:pPr>
      <w:r w:rsidRPr="00DF4FF2">
        <w:rPr>
          <w:rFonts w:ascii="Times New Roman" w:hAnsi="Times New Roman"/>
          <w:sz w:val="24"/>
          <w:szCs w:val="24"/>
        </w:rPr>
        <w:t> </w:t>
      </w:r>
      <w:r w:rsidRPr="00DF4FF2">
        <w:rPr>
          <w:rStyle w:val="HTMLCite"/>
          <w:rFonts w:ascii="Times New Roman" w:hAnsi="Times New Roman"/>
          <w:i w:val="0"/>
          <w:iCs w:val="0"/>
          <w:sz w:val="24"/>
          <w:szCs w:val="24"/>
        </w:rPr>
        <w:t xml:space="preserve">Dahija, S; Kar, </w:t>
      </w:r>
      <w:proofErr w:type="spellStart"/>
      <w:r w:rsidRPr="00DF4FF2">
        <w:rPr>
          <w:rStyle w:val="HTMLCite"/>
          <w:rFonts w:ascii="Times New Roman" w:hAnsi="Times New Roman"/>
          <w:i w:val="0"/>
          <w:iCs w:val="0"/>
          <w:sz w:val="24"/>
          <w:szCs w:val="24"/>
        </w:rPr>
        <w:t>Chhikara</w:t>
      </w:r>
      <w:proofErr w:type="spellEnd"/>
      <w:r w:rsidRPr="00DF4FF2">
        <w:rPr>
          <w:rStyle w:val="HTMLCite"/>
          <w:rFonts w:ascii="Times New Roman" w:hAnsi="Times New Roman"/>
          <w:i w:val="0"/>
          <w:iCs w:val="0"/>
          <w:sz w:val="24"/>
          <w:szCs w:val="24"/>
        </w:rPr>
        <w:t xml:space="preserve"> (April 2009), "Opportunities, challenges and benefits of using HACCP as a quality risk management tool in the pharmaceutical industry", The Quality Assurance Journal, </w:t>
      </w:r>
      <w:r w:rsidRPr="00DF4FF2">
        <w:rPr>
          <w:rStyle w:val="HTMLCite"/>
          <w:rFonts w:ascii="Times New Roman" w:hAnsi="Times New Roman"/>
          <w:b/>
          <w:bCs/>
          <w:i w:val="0"/>
          <w:iCs w:val="0"/>
          <w:sz w:val="24"/>
          <w:szCs w:val="24"/>
        </w:rPr>
        <w:t>12</w:t>
      </w:r>
      <w:r w:rsidRPr="00DF4FF2">
        <w:rPr>
          <w:rStyle w:val="HTMLCite"/>
          <w:rFonts w:ascii="Times New Roman" w:hAnsi="Times New Roman"/>
          <w:i w:val="0"/>
          <w:iCs w:val="0"/>
          <w:sz w:val="24"/>
          <w:szCs w:val="24"/>
        </w:rPr>
        <w:t> (2): 95–104</w:t>
      </w:r>
      <w:r w:rsidR="00D46811">
        <w:rPr>
          <w:rStyle w:val="HTMLCite"/>
          <w:rFonts w:ascii="Times New Roman" w:hAnsi="Times New Roman"/>
          <w:i w:val="0"/>
          <w:iCs w:val="0"/>
          <w:sz w:val="24"/>
          <w:szCs w:val="24"/>
        </w:rPr>
        <w:t>.</w:t>
      </w:r>
    </w:p>
    <w:p w14:paraId="0D696341" w14:textId="35DE98EC" w:rsidR="00117D30" w:rsidRPr="00D46811" w:rsidRDefault="001B49F8" w:rsidP="00D46811">
      <w:pPr>
        <w:pStyle w:val="ListParagraph"/>
        <w:numPr>
          <w:ilvl w:val="1"/>
          <w:numId w:val="20"/>
        </w:numPr>
        <w:shd w:val="clear" w:color="auto" w:fill="FFFFFF"/>
        <w:spacing w:before="100" w:beforeAutospacing="1" w:after="24" w:line="360" w:lineRule="auto"/>
        <w:jc w:val="both"/>
        <w:rPr>
          <w:rFonts w:ascii="Times New Roman" w:hAnsi="Times New Roman"/>
          <w:sz w:val="24"/>
          <w:szCs w:val="24"/>
        </w:rPr>
      </w:pPr>
      <w:r w:rsidRPr="00DF4FF2">
        <w:rPr>
          <w:rStyle w:val="HTMLCite"/>
          <w:rFonts w:ascii="Times New Roman" w:hAnsi="Times New Roman"/>
          <w:i w:val="0"/>
          <w:iCs w:val="0"/>
          <w:sz w:val="24"/>
          <w:szCs w:val="24"/>
        </w:rPr>
        <w:t>Cheng, Y S (2001), "Characterization of Nasal Spray Pumps and Deposition Pattern in a Replica of the Human Nasal Airway", Journal of Aerosol Medicine, </w:t>
      </w:r>
      <w:r w:rsidRPr="00DF4FF2">
        <w:rPr>
          <w:rStyle w:val="HTMLCite"/>
          <w:rFonts w:ascii="Times New Roman" w:hAnsi="Times New Roman"/>
          <w:b/>
          <w:bCs/>
          <w:i w:val="0"/>
          <w:iCs w:val="0"/>
          <w:sz w:val="24"/>
          <w:szCs w:val="24"/>
        </w:rPr>
        <w:t>14</w:t>
      </w:r>
      <w:r w:rsidRPr="00DF4FF2">
        <w:rPr>
          <w:rStyle w:val="HTMLCite"/>
          <w:rFonts w:ascii="Times New Roman" w:hAnsi="Times New Roman"/>
          <w:i w:val="0"/>
          <w:iCs w:val="0"/>
          <w:sz w:val="24"/>
          <w:szCs w:val="24"/>
        </w:rPr>
        <w:t> (2): 267–280</w:t>
      </w:r>
      <w:r w:rsidR="00DF4FF2">
        <w:rPr>
          <w:rStyle w:val="HTMLCite"/>
          <w:rFonts w:ascii="Times New Roman" w:hAnsi="Times New Roman"/>
          <w:i w:val="0"/>
          <w:iCs w:val="0"/>
          <w:sz w:val="24"/>
          <w:szCs w:val="24"/>
        </w:rPr>
        <w:t>.</w:t>
      </w:r>
    </w:p>
    <w:sectPr w:rsidR="00117D30" w:rsidRPr="00D46811" w:rsidSect="007403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6DEB"/>
    <w:multiLevelType w:val="hybridMultilevel"/>
    <w:tmpl w:val="D4F430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A6351E"/>
    <w:multiLevelType w:val="hybridMultilevel"/>
    <w:tmpl w:val="ED6CED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6E16EC"/>
    <w:multiLevelType w:val="multilevel"/>
    <w:tmpl w:val="1910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82FFE"/>
    <w:multiLevelType w:val="hybridMultilevel"/>
    <w:tmpl w:val="17D2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760B3F"/>
    <w:multiLevelType w:val="hybridMultilevel"/>
    <w:tmpl w:val="2ADA6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3F1142"/>
    <w:multiLevelType w:val="hybridMultilevel"/>
    <w:tmpl w:val="DEA62F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5D4904"/>
    <w:multiLevelType w:val="multilevel"/>
    <w:tmpl w:val="C5D4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2C0095D"/>
    <w:multiLevelType w:val="multilevel"/>
    <w:tmpl w:val="C2BA0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175ACE"/>
    <w:multiLevelType w:val="hybridMultilevel"/>
    <w:tmpl w:val="BDF4DC2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EF1848"/>
    <w:multiLevelType w:val="hybridMultilevel"/>
    <w:tmpl w:val="651EB9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1267492"/>
    <w:multiLevelType w:val="multilevel"/>
    <w:tmpl w:val="92568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4920A8"/>
    <w:multiLevelType w:val="multilevel"/>
    <w:tmpl w:val="F75E7A7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1945C1C"/>
    <w:multiLevelType w:val="hybridMultilevel"/>
    <w:tmpl w:val="B5CCC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553DB4"/>
    <w:multiLevelType w:val="multilevel"/>
    <w:tmpl w:val="BB041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CA26FA"/>
    <w:multiLevelType w:val="hybridMultilevel"/>
    <w:tmpl w:val="6DBADA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CF20B6A"/>
    <w:multiLevelType w:val="hybridMultilevel"/>
    <w:tmpl w:val="439293D2"/>
    <w:lvl w:ilvl="0" w:tplc="04090019">
      <w:start w:val="1"/>
      <w:numFmt w:val="lowerLetter"/>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6" w15:restartNumberingAfterBreak="0">
    <w:nsid w:val="5D1D6B8C"/>
    <w:multiLevelType w:val="multilevel"/>
    <w:tmpl w:val="3F9C9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1C7BCA"/>
    <w:multiLevelType w:val="multilevel"/>
    <w:tmpl w:val="029A2C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0D93308"/>
    <w:multiLevelType w:val="multilevel"/>
    <w:tmpl w:val="DBB06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532BEA"/>
    <w:multiLevelType w:val="multilevel"/>
    <w:tmpl w:val="ED7A1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3B00A53"/>
    <w:multiLevelType w:val="hybridMultilevel"/>
    <w:tmpl w:val="66600F82"/>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1" w15:restartNumberingAfterBreak="0">
    <w:nsid w:val="78C33197"/>
    <w:multiLevelType w:val="hybridMultilevel"/>
    <w:tmpl w:val="413E4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8B7877"/>
    <w:multiLevelType w:val="multilevel"/>
    <w:tmpl w:val="975E6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EF07F97"/>
    <w:multiLevelType w:val="hybridMultilevel"/>
    <w:tmpl w:val="29E83612"/>
    <w:lvl w:ilvl="0" w:tplc="4009000B">
      <w:start w:val="1"/>
      <w:numFmt w:val="bullet"/>
      <w:lvlText w:val=""/>
      <w:lvlJc w:val="left"/>
      <w:pPr>
        <w:ind w:left="860" w:hanging="360"/>
      </w:pPr>
      <w:rPr>
        <w:rFonts w:ascii="Wingdings" w:hAnsi="Wingdings"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num w:numId="1" w16cid:durableId="1271814061">
    <w:abstractNumId w:val="0"/>
  </w:num>
  <w:num w:numId="2" w16cid:durableId="1128553721">
    <w:abstractNumId w:val="19"/>
  </w:num>
  <w:num w:numId="3" w16cid:durableId="1877040406">
    <w:abstractNumId w:val="14"/>
  </w:num>
  <w:num w:numId="4" w16cid:durableId="379525243">
    <w:abstractNumId w:val="12"/>
  </w:num>
  <w:num w:numId="5" w16cid:durableId="1219778276">
    <w:abstractNumId w:val="3"/>
  </w:num>
  <w:num w:numId="6" w16cid:durableId="1093207337">
    <w:abstractNumId w:val="4"/>
  </w:num>
  <w:num w:numId="7" w16cid:durableId="560752929">
    <w:abstractNumId w:val="20"/>
  </w:num>
  <w:num w:numId="8" w16cid:durableId="594435392">
    <w:abstractNumId w:val="1"/>
  </w:num>
  <w:num w:numId="9" w16cid:durableId="173955626">
    <w:abstractNumId w:val="9"/>
  </w:num>
  <w:num w:numId="10" w16cid:durableId="765421097">
    <w:abstractNumId w:val="23"/>
  </w:num>
  <w:num w:numId="11" w16cid:durableId="2981201">
    <w:abstractNumId w:val="15"/>
  </w:num>
  <w:num w:numId="12" w16cid:durableId="1660959760">
    <w:abstractNumId w:val="17"/>
  </w:num>
  <w:num w:numId="13" w16cid:durableId="2140342144">
    <w:abstractNumId w:val="7"/>
  </w:num>
  <w:num w:numId="14" w16cid:durableId="1061371529">
    <w:abstractNumId w:val="16"/>
  </w:num>
  <w:num w:numId="15" w16cid:durableId="1408265985">
    <w:abstractNumId w:val="13"/>
  </w:num>
  <w:num w:numId="16" w16cid:durableId="1681352295">
    <w:abstractNumId w:val="10"/>
  </w:num>
  <w:num w:numId="17" w16cid:durableId="864363259">
    <w:abstractNumId w:val="6"/>
  </w:num>
  <w:num w:numId="18" w16cid:durableId="1933317189">
    <w:abstractNumId w:val="2"/>
  </w:num>
  <w:num w:numId="19" w16cid:durableId="957107281">
    <w:abstractNumId w:val="18"/>
  </w:num>
  <w:num w:numId="20" w16cid:durableId="1399521617">
    <w:abstractNumId w:val="11"/>
  </w:num>
  <w:num w:numId="21" w16cid:durableId="1664897943">
    <w:abstractNumId w:val="21"/>
  </w:num>
  <w:num w:numId="22" w16cid:durableId="1909916670">
    <w:abstractNumId w:val="22"/>
  </w:num>
  <w:num w:numId="23" w16cid:durableId="260530421">
    <w:abstractNumId w:val="5"/>
  </w:num>
  <w:num w:numId="24" w16cid:durableId="12275744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D30"/>
    <w:rsid w:val="00046AFB"/>
    <w:rsid w:val="000743F8"/>
    <w:rsid w:val="000877F7"/>
    <w:rsid w:val="00117D30"/>
    <w:rsid w:val="001B49F8"/>
    <w:rsid w:val="001E4B1D"/>
    <w:rsid w:val="00251B6A"/>
    <w:rsid w:val="002A328A"/>
    <w:rsid w:val="00312861"/>
    <w:rsid w:val="00404DA3"/>
    <w:rsid w:val="00451735"/>
    <w:rsid w:val="004945AB"/>
    <w:rsid w:val="00543AE2"/>
    <w:rsid w:val="005578F9"/>
    <w:rsid w:val="00597ABC"/>
    <w:rsid w:val="00640739"/>
    <w:rsid w:val="0074037F"/>
    <w:rsid w:val="00761C15"/>
    <w:rsid w:val="007A083A"/>
    <w:rsid w:val="009C011F"/>
    <w:rsid w:val="009D7B03"/>
    <w:rsid w:val="00A346B3"/>
    <w:rsid w:val="00AB35D0"/>
    <w:rsid w:val="00D46811"/>
    <w:rsid w:val="00DA385E"/>
    <w:rsid w:val="00DB739D"/>
    <w:rsid w:val="00DF4FF2"/>
    <w:rsid w:val="00E032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9B60E"/>
  <w15:chartTrackingRefBased/>
  <w15:docId w15:val="{897B850D-D81A-4CC9-BEB9-4E854C31D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5AB"/>
  </w:style>
  <w:style w:type="paragraph" w:styleId="Heading2">
    <w:name w:val="heading 2"/>
    <w:basedOn w:val="Normal"/>
    <w:link w:val="Heading2Char"/>
    <w:uiPriority w:val="9"/>
    <w:qFormat/>
    <w:rsid w:val="00451735"/>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link w:val="Heading3Char"/>
    <w:uiPriority w:val="9"/>
    <w:qFormat/>
    <w:rsid w:val="00451735"/>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761C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945A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4945AB"/>
    <w:rPr>
      <w:color w:val="0000FF"/>
      <w:u w:val="single"/>
    </w:rPr>
  </w:style>
  <w:style w:type="character" w:styleId="Strong">
    <w:name w:val="Strong"/>
    <w:basedOn w:val="DefaultParagraphFont"/>
    <w:uiPriority w:val="22"/>
    <w:qFormat/>
    <w:rsid w:val="004945AB"/>
    <w:rPr>
      <w:b/>
      <w:bCs/>
    </w:rPr>
  </w:style>
  <w:style w:type="character" w:customStyle="1" w:styleId="topic-highlight">
    <w:name w:val="topic-highlight"/>
    <w:basedOn w:val="DefaultParagraphFont"/>
    <w:rsid w:val="004945AB"/>
  </w:style>
  <w:style w:type="paragraph" w:styleId="ListParagraph">
    <w:name w:val="List Paragraph"/>
    <w:basedOn w:val="Normal"/>
    <w:uiPriority w:val="1"/>
    <w:qFormat/>
    <w:rsid w:val="004945AB"/>
    <w:pPr>
      <w:spacing w:after="200" w:line="276" w:lineRule="auto"/>
      <w:ind w:left="720"/>
      <w:contextualSpacing/>
    </w:pPr>
    <w:rPr>
      <w:rFonts w:ascii="Calibri" w:eastAsia="Calibri" w:hAnsi="Calibri" w:cs="Times New Roman"/>
      <w:kern w:val="0"/>
      <w14:ligatures w14:val="none"/>
    </w:rPr>
  </w:style>
  <w:style w:type="paragraph" w:styleId="BodyText">
    <w:name w:val="Body Text"/>
    <w:basedOn w:val="Normal"/>
    <w:link w:val="BodyTextChar"/>
    <w:uiPriority w:val="1"/>
    <w:qFormat/>
    <w:rsid w:val="004945A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4945AB"/>
    <w:rPr>
      <w:rFonts w:ascii="Times New Roman" w:eastAsia="Times New Roman" w:hAnsi="Times New Roman" w:cs="Times New Roman"/>
      <w:kern w:val="0"/>
      <w:sz w:val="24"/>
      <w:szCs w:val="24"/>
      <w14:ligatures w14:val="none"/>
    </w:rPr>
  </w:style>
  <w:style w:type="character" w:customStyle="1" w:styleId="muibox-root">
    <w:name w:val="muibox-root"/>
    <w:basedOn w:val="DefaultParagraphFont"/>
    <w:rsid w:val="004945AB"/>
  </w:style>
  <w:style w:type="character" w:customStyle="1" w:styleId="Heading2Char">
    <w:name w:val="Heading 2 Char"/>
    <w:basedOn w:val="DefaultParagraphFont"/>
    <w:link w:val="Heading2"/>
    <w:uiPriority w:val="9"/>
    <w:rsid w:val="00451735"/>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451735"/>
    <w:rPr>
      <w:rFonts w:ascii="Times New Roman" w:eastAsia="Times New Roman" w:hAnsi="Times New Roman" w:cs="Times New Roman"/>
      <w:b/>
      <w:bCs/>
      <w:kern w:val="0"/>
      <w:sz w:val="27"/>
      <w:szCs w:val="27"/>
      <w14:ligatures w14:val="none"/>
    </w:rPr>
  </w:style>
  <w:style w:type="paragraph" w:customStyle="1" w:styleId="text-5">
    <w:name w:val="text-5"/>
    <w:basedOn w:val="Normal"/>
    <w:rsid w:val="009C011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TMLCite">
    <w:name w:val="HTML Cite"/>
    <w:basedOn w:val="DefaultParagraphFont"/>
    <w:uiPriority w:val="99"/>
    <w:semiHidden/>
    <w:unhideWhenUsed/>
    <w:rsid w:val="001B49F8"/>
    <w:rPr>
      <w:i/>
      <w:iCs/>
    </w:rPr>
  </w:style>
  <w:style w:type="character" w:customStyle="1" w:styleId="reference-accessdate">
    <w:name w:val="reference-accessdate"/>
    <w:basedOn w:val="DefaultParagraphFont"/>
    <w:rsid w:val="001B49F8"/>
  </w:style>
  <w:style w:type="character" w:customStyle="1" w:styleId="nowrap">
    <w:name w:val="nowrap"/>
    <w:basedOn w:val="DefaultParagraphFont"/>
    <w:rsid w:val="001B49F8"/>
  </w:style>
  <w:style w:type="character" w:customStyle="1" w:styleId="mw-cite-backlink">
    <w:name w:val="mw-cite-backlink"/>
    <w:basedOn w:val="DefaultParagraphFont"/>
    <w:rsid w:val="001B49F8"/>
  </w:style>
  <w:style w:type="character" w:customStyle="1" w:styleId="cs1-lock-limited">
    <w:name w:val="cs1-lock-limited"/>
    <w:basedOn w:val="DefaultParagraphFont"/>
    <w:rsid w:val="001B49F8"/>
  </w:style>
  <w:style w:type="character" w:customStyle="1" w:styleId="cs1-format">
    <w:name w:val="cs1-format"/>
    <w:basedOn w:val="DefaultParagraphFont"/>
    <w:rsid w:val="001B49F8"/>
  </w:style>
  <w:style w:type="character" w:customStyle="1" w:styleId="cite-accessibility-label">
    <w:name w:val="cite-accessibility-label"/>
    <w:basedOn w:val="DefaultParagraphFont"/>
    <w:rsid w:val="001B49F8"/>
  </w:style>
  <w:style w:type="character" w:customStyle="1" w:styleId="citation">
    <w:name w:val="citation"/>
    <w:basedOn w:val="DefaultParagraphFont"/>
    <w:rsid w:val="001B49F8"/>
  </w:style>
  <w:style w:type="character" w:customStyle="1" w:styleId="cs1-lock-free">
    <w:name w:val="cs1-lock-free"/>
    <w:basedOn w:val="DefaultParagraphFont"/>
    <w:rsid w:val="001B49F8"/>
  </w:style>
  <w:style w:type="character" w:customStyle="1" w:styleId="Heading4Char">
    <w:name w:val="Heading 4 Char"/>
    <w:basedOn w:val="DefaultParagraphFont"/>
    <w:link w:val="Heading4"/>
    <w:uiPriority w:val="9"/>
    <w:semiHidden/>
    <w:rsid w:val="00761C15"/>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2866">
      <w:bodyDiv w:val="1"/>
      <w:marLeft w:val="0"/>
      <w:marRight w:val="0"/>
      <w:marTop w:val="0"/>
      <w:marBottom w:val="0"/>
      <w:divBdr>
        <w:top w:val="none" w:sz="0" w:space="0" w:color="auto"/>
        <w:left w:val="none" w:sz="0" w:space="0" w:color="auto"/>
        <w:bottom w:val="none" w:sz="0" w:space="0" w:color="auto"/>
        <w:right w:val="none" w:sz="0" w:space="0" w:color="auto"/>
      </w:divBdr>
    </w:div>
    <w:div w:id="523249151">
      <w:bodyDiv w:val="1"/>
      <w:marLeft w:val="0"/>
      <w:marRight w:val="0"/>
      <w:marTop w:val="0"/>
      <w:marBottom w:val="0"/>
      <w:divBdr>
        <w:top w:val="none" w:sz="0" w:space="0" w:color="auto"/>
        <w:left w:val="none" w:sz="0" w:space="0" w:color="auto"/>
        <w:bottom w:val="none" w:sz="0" w:space="0" w:color="auto"/>
        <w:right w:val="none" w:sz="0" w:space="0" w:color="auto"/>
      </w:divBdr>
    </w:div>
    <w:div w:id="707416637">
      <w:bodyDiv w:val="1"/>
      <w:marLeft w:val="0"/>
      <w:marRight w:val="0"/>
      <w:marTop w:val="0"/>
      <w:marBottom w:val="0"/>
      <w:divBdr>
        <w:top w:val="none" w:sz="0" w:space="0" w:color="auto"/>
        <w:left w:val="none" w:sz="0" w:space="0" w:color="auto"/>
        <w:bottom w:val="none" w:sz="0" w:space="0" w:color="auto"/>
        <w:right w:val="none" w:sz="0" w:space="0" w:color="auto"/>
      </w:divBdr>
    </w:div>
    <w:div w:id="826171044">
      <w:bodyDiv w:val="1"/>
      <w:marLeft w:val="0"/>
      <w:marRight w:val="0"/>
      <w:marTop w:val="0"/>
      <w:marBottom w:val="0"/>
      <w:divBdr>
        <w:top w:val="none" w:sz="0" w:space="0" w:color="auto"/>
        <w:left w:val="none" w:sz="0" w:space="0" w:color="auto"/>
        <w:bottom w:val="none" w:sz="0" w:space="0" w:color="auto"/>
        <w:right w:val="none" w:sz="0" w:space="0" w:color="auto"/>
      </w:divBdr>
    </w:div>
    <w:div w:id="896670904">
      <w:bodyDiv w:val="1"/>
      <w:marLeft w:val="0"/>
      <w:marRight w:val="0"/>
      <w:marTop w:val="0"/>
      <w:marBottom w:val="0"/>
      <w:divBdr>
        <w:top w:val="none" w:sz="0" w:space="0" w:color="auto"/>
        <w:left w:val="none" w:sz="0" w:space="0" w:color="auto"/>
        <w:bottom w:val="none" w:sz="0" w:space="0" w:color="auto"/>
        <w:right w:val="none" w:sz="0" w:space="0" w:color="auto"/>
      </w:divBdr>
    </w:div>
    <w:div w:id="1291595290">
      <w:bodyDiv w:val="1"/>
      <w:marLeft w:val="0"/>
      <w:marRight w:val="0"/>
      <w:marTop w:val="0"/>
      <w:marBottom w:val="0"/>
      <w:divBdr>
        <w:top w:val="none" w:sz="0" w:space="0" w:color="auto"/>
        <w:left w:val="none" w:sz="0" w:space="0" w:color="auto"/>
        <w:bottom w:val="none" w:sz="0" w:space="0" w:color="auto"/>
        <w:right w:val="none" w:sz="0" w:space="0" w:color="auto"/>
      </w:divBdr>
    </w:div>
    <w:div w:id="1337459191">
      <w:bodyDiv w:val="1"/>
      <w:marLeft w:val="0"/>
      <w:marRight w:val="0"/>
      <w:marTop w:val="0"/>
      <w:marBottom w:val="0"/>
      <w:divBdr>
        <w:top w:val="none" w:sz="0" w:space="0" w:color="auto"/>
        <w:left w:val="none" w:sz="0" w:space="0" w:color="auto"/>
        <w:bottom w:val="none" w:sz="0" w:space="0" w:color="auto"/>
        <w:right w:val="none" w:sz="0" w:space="0" w:color="auto"/>
      </w:divBdr>
    </w:div>
    <w:div w:id="1353914381">
      <w:bodyDiv w:val="1"/>
      <w:marLeft w:val="0"/>
      <w:marRight w:val="0"/>
      <w:marTop w:val="0"/>
      <w:marBottom w:val="0"/>
      <w:divBdr>
        <w:top w:val="none" w:sz="0" w:space="0" w:color="auto"/>
        <w:left w:val="none" w:sz="0" w:space="0" w:color="auto"/>
        <w:bottom w:val="none" w:sz="0" w:space="0" w:color="auto"/>
        <w:right w:val="none" w:sz="0" w:space="0" w:color="auto"/>
      </w:divBdr>
    </w:div>
    <w:div w:id="1423335606">
      <w:bodyDiv w:val="1"/>
      <w:marLeft w:val="0"/>
      <w:marRight w:val="0"/>
      <w:marTop w:val="0"/>
      <w:marBottom w:val="0"/>
      <w:divBdr>
        <w:top w:val="none" w:sz="0" w:space="0" w:color="auto"/>
        <w:left w:val="none" w:sz="0" w:space="0" w:color="auto"/>
        <w:bottom w:val="none" w:sz="0" w:space="0" w:color="auto"/>
        <w:right w:val="none" w:sz="0" w:space="0" w:color="auto"/>
      </w:divBdr>
    </w:div>
    <w:div w:id="1518612548">
      <w:bodyDiv w:val="1"/>
      <w:marLeft w:val="0"/>
      <w:marRight w:val="0"/>
      <w:marTop w:val="0"/>
      <w:marBottom w:val="0"/>
      <w:divBdr>
        <w:top w:val="none" w:sz="0" w:space="0" w:color="auto"/>
        <w:left w:val="none" w:sz="0" w:space="0" w:color="auto"/>
        <w:bottom w:val="none" w:sz="0" w:space="0" w:color="auto"/>
        <w:right w:val="none" w:sz="0" w:space="0" w:color="auto"/>
      </w:divBdr>
    </w:div>
    <w:div w:id="1601066063">
      <w:bodyDiv w:val="1"/>
      <w:marLeft w:val="0"/>
      <w:marRight w:val="0"/>
      <w:marTop w:val="0"/>
      <w:marBottom w:val="0"/>
      <w:divBdr>
        <w:top w:val="none" w:sz="0" w:space="0" w:color="auto"/>
        <w:left w:val="none" w:sz="0" w:space="0" w:color="auto"/>
        <w:bottom w:val="none" w:sz="0" w:space="0" w:color="auto"/>
        <w:right w:val="none" w:sz="0" w:space="0" w:color="auto"/>
      </w:divBdr>
    </w:div>
    <w:div w:id="205419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Joint_Commission" TargetMode="External"/><Relationship Id="rId18" Type="http://schemas.openxmlformats.org/officeDocument/2006/relationships/hyperlink" Target="https://en.wikipedia.org/wiki/Pharmaceutical_drug" TargetMode="External"/><Relationship Id="rId26" Type="http://schemas.openxmlformats.org/officeDocument/2006/relationships/hyperlink" Target="https://archive.org/details/wileyencyclopedi00yamk" TargetMode="External"/><Relationship Id="rId39" Type="http://schemas.openxmlformats.org/officeDocument/2006/relationships/hyperlink" Target="https://en.wikipedia.org/wiki/Drug_packaging" TargetMode="External"/><Relationship Id="rId21" Type="http://schemas.openxmlformats.org/officeDocument/2006/relationships/hyperlink" Target="https://en.wikipedia.org/wiki/Microbial" TargetMode="External"/><Relationship Id="rId34" Type="http://schemas.openxmlformats.org/officeDocument/2006/relationships/hyperlink" Target="https://en.wikipedia.org/wiki/Special:BookSources/978-0-7484-0440-7" TargetMode="External"/><Relationship Id="rId42" Type="http://schemas.openxmlformats.org/officeDocument/2006/relationships/hyperlink" Target="https://www.businessinsider.com/why-huge-cotton-ball-comes-pill-bottles-medicine-health-pharmacy-prescription-2017-5" TargetMode="External"/><Relationship Id="rId47" Type="http://schemas.openxmlformats.org/officeDocument/2006/relationships/hyperlink" Target="https://en.wikipedia.org/wiki/Drug_packaging" TargetMode="External"/><Relationship Id="rId50" Type="http://schemas.openxmlformats.org/officeDocument/2006/relationships/hyperlink" Target="http://www.ema.europa.eu/ema/index.jsp?curl=pages/regulation/general/general_content_000199.jsp&amp;mid=WC0b01ac0580022bb3" TargetMode="External"/><Relationship Id="rId7" Type="http://schemas.openxmlformats.org/officeDocument/2006/relationships/hyperlink" Target="https://en.wikipedia.org/wiki/PCI-DSS" TargetMode="External"/><Relationship Id="rId2" Type="http://schemas.openxmlformats.org/officeDocument/2006/relationships/styles" Target="styles.xml"/><Relationship Id="rId16" Type="http://schemas.openxmlformats.org/officeDocument/2006/relationships/hyperlink" Target="https://en.wikipedia.org/wiki/NIST" TargetMode="External"/><Relationship Id="rId29" Type="http://schemas.openxmlformats.org/officeDocument/2006/relationships/hyperlink" Target="https://en.wikipedia.org/wiki/Special:BookSources/978-0-470-08704-6" TargetMode="External"/><Relationship Id="rId11" Type="http://schemas.openxmlformats.org/officeDocument/2006/relationships/hyperlink" Target="https://en.wikipedia.org/wiki/Food_industry" TargetMode="External"/><Relationship Id="rId24" Type="http://schemas.openxmlformats.org/officeDocument/2006/relationships/hyperlink" Target="https://datamyte.com/blog/regular-check-of-food-and-service/" TargetMode="External"/><Relationship Id="rId32" Type="http://schemas.openxmlformats.org/officeDocument/2006/relationships/hyperlink" Target="http://ijpcsonline.com/files/51-194.pdf" TargetMode="External"/><Relationship Id="rId37" Type="http://schemas.openxmlformats.org/officeDocument/2006/relationships/hyperlink" Target="https://en.wikipedia.org/wiki/Drug_packaging" TargetMode="External"/><Relationship Id="rId40" Type="http://schemas.openxmlformats.org/officeDocument/2006/relationships/hyperlink" Target="https://sha.org/bottle/medicinal.htm" TargetMode="External"/><Relationship Id="rId45" Type="http://schemas.openxmlformats.org/officeDocument/2006/relationships/hyperlink" Target="https://en.wikipedia.org/wiki/Special:BookSources/0-8247-9852-X" TargetMode="External"/><Relationship Id="rId53" Type="http://schemas.openxmlformats.org/officeDocument/2006/relationships/theme" Target="theme/theme1.xml"/><Relationship Id="rId5" Type="http://schemas.openxmlformats.org/officeDocument/2006/relationships/hyperlink" Target="https://en.wikipedia.org/wiki/Law" TargetMode="External"/><Relationship Id="rId10" Type="http://schemas.openxmlformats.org/officeDocument/2006/relationships/hyperlink" Target="https://en.wikipedia.org/wiki/HACCP" TargetMode="External"/><Relationship Id="rId19" Type="http://schemas.openxmlformats.org/officeDocument/2006/relationships/hyperlink" Target="https://en.wikipedia.org/wiki/Drug_distribution" TargetMode="External"/><Relationship Id="rId31" Type="http://schemas.openxmlformats.org/officeDocument/2006/relationships/hyperlink" Target="https://web.archive.org/web/20190214170129/http:/www.ijpcsonline.com/files/51-194.pdf" TargetMode="External"/><Relationship Id="rId44" Type="http://schemas.openxmlformats.org/officeDocument/2006/relationships/hyperlink" Target="https://en.wikipedia.org/wiki/ISBN_(identifier)"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FISMA" TargetMode="External"/><Relationship Id="rId14" Type="http://schemas.openxmlformats.org/officeDocument/2006/relationships/hyperlink" Target="https://en.wikipedia.org/wiki/HIPAA" TargetMode="External"/><Relationship Id="rId22" Type="http://schemas.openxmlformats.org/officeDocument/2006/relationships/hyperlink" Target="https://www.spendedge.com/" TargetMode="External"/><Relationship Id="rId27" Type="http://schemas.openxmlformats.org/officeDocument/2006/relationships/hyperlink" Target="https://archive.org/details/wileyencyclopedi00yamk/page/n217" TargetMode="External"/><Relationship Id="rId30" Type="http://schemas.openxmlformats.org/officeDocument/2006/relationships/hyperlink" Target="https://en.wikipedia.org/wiki/Drug_packaging" TargetMode="External"/><Relationship Id="rId35" Type="http://schemas.openxmlformats.org/officeDocument/2006/relationships/hyperlink" Target="http://www.pharmanet.com.br/pdf/blister.pdf" TargetMode="External"/><Relationship Id="rId43" Type="http://schemas.openxmlformats.org/officeDocument/2006/relationships/hyperlink" Target="http://www.layloff.net/articles/1995%20Mailbox%20Temp%20in%20STL.pdf" TargetMode="External"/><Relationship Id="rId48" Type="http://schemas.openxmlformats.org/officeDocument/2006/relationships/hyperlink" Target="https://en.wikipedia.org/wiki/Drug_packaging" TargetMode="External"/><Relationship Id="rId8" Type="http://schemas.openxmlformats.org/officeDocument/2006/relationships/hyperlink" Target="https://en.wikipedia.org/wiki/GLBA" TargetMode="External"/><Relationship Id="rId51" Type="http://schemas.openxmlformats.org/officeDocument/2006/relationships/hyperlink" Target="https://www.ajol.info/index.php/tjpr/article/viewFile/14592/16163" TargetMode="External"/><Relationship Id="rId3" Type="http://schemas.openxmlformats.org/officeDocument/2006/relationships/settings" Target="settings.xml"/><Relationship Id="rId12" Type="http://schemas.openxmlformats.org/officeDocument/2006/relationships/hyperlink" Target="https://en.wikipedia.org/wiki/Drink_industry" TargetMode="External"/><Relationship Id="rId17" Type="http://schemas.openxmlformats.org/officeDocument/2006/relationships/hyperlink" Target="https://en.wikipedia.org/wiki/Packaging" TargetMode="External"/><Relationship Id="rId25" Type="http://schemas.openxmlformats.org/officeDocument/2006/relationships/hyperlink" Target="https://datamyte.com/blog/benefits-of-data-analytics/" TargetMode="External"/><Relationship Id="rId33" Type="http://schemas.openxmlformats.org/officeDocument/2006/relationships/hyperlink" Target="https://en.wikipedia.org/wiki/ISBN_(identifier)" TargetMode="External"/><Relationship Id="rId38" Type="http://schemas.openxmlformats.org/officeDocument/2006/relationships/hyperlink" Target="https://en.wikipedia.org/wiki/Drug_packaging" TargetMode="External"/><Relationship Id="rId46" Type="http://schemas.openxmlformats.org/officeDocument/2006/relationships/hyperlink" Target="http://www.pharmtech.com/anticounterfeiting-packaging-101" TargetMode="External"/><Relationship Id="rId20" Type="http://schemas.openxmlformats.org/officeDocument/2006/relationships/hyperlink" Target="https://en.wikipedia.org/wiki/Shelf_life" TargetMode="External"/><Relationship Id="rId41" Type="http://schemas.openxmlformats.org/officeDocument/2006/relationships/hyperlink" Target="https://en.wikipedia.org/wiki/Society_for_Historical_Archaeology" TargetMode="External"/><Relationship Id="rId1" Type="http://schemas.openxmlformats.org/officeDocument/2006/relationships/numbering" Target="numbering.xml"/><Relationship Id="rId6" Type="http://schemas.openxmlformats.org/officeDocument/2006/relationships/hyperlink" Target="https://en.wikipedia.org/wiki/Regulations" TargetMode="External"/><Relationship Id="rId15" Type="http://schemas.openxmlformats.org/officeDocument/2006/relationships/hyperlink" Target="https://en.wikipedia.org/wiki/COBIT" TargetMode="External"/><Relationship Id="rId23" Type="http://schemas.openxmlformats.org/officeDocument/2006/relationships/image" Target="media/image1.png"/><Relationship Id="rId28" Type="http://schemas.openxmlformats.org/officeDocument/2006/relationships/hyperlink" Target="https://en.wikipedia.org/wiki/ISBN_(identifier)" TargetMode="External"/><Relationship Id="rId36" Type="http://schemas.openxmlformats.org/officeDocument/2006/relationships/hyperlink" Target="http://www.pharmanet.com.br/pdf/blister.pdf" TargetMode="External"/><Relationship Id="rId49" Type="http://schemas.openxmlformats.org/officeDocument/2006/relationships/hyperlink" Target="https://www.uspharmacist.com/article/the-package-ins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8</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12</cp:revision>
  <dcterms:created xsi:type="dcterms:W3CDTF">2024-01-31T14:12:00Z</dcterms:created>
  <dcterms:modified xsi:type="dcterms:W3CDTF">2024-02-29T09:31:00Z</dcterms:modified>
</cp:coreProperties>
</file>