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2687" w14:textId="77777777" w:rsidR="00CF02AC" w:rsidRPr="007A6F79" w:rsidRDefault="00CF02AC" w:rsidP="00EF2196">
      <w:pPr>
        <w:jc w:val="center"/>
        <w:rPr>
          <w:rFonts w:ascii="Times New Roman" w:hAnsi="Times New Roman" w:cs="Times New Roman"/>
          <w:b/>
          <w:bCs/>
          <w:sz w:val="32"/>
          <w:szCs w:val="32"/>
        </w:rPr>
      </w:pPr>
      <w:r w:rsidRPr="007A6F79">
        <w:rPr>
          <w:rFonts w:ascii="Times New Roman" w:hAnsi="Times New Roman" w:cs="Times New Roman"/>
          <w:sz w:val="32"/>
          <w:szCs w:val="32"/>
        </w:rPr>
        <w:t>Manufacturing and Performance Evaluation of Recycled Plastic (HDPE) Coarse Aggregates in Concrete</w:t>
      </w:r>
    </w:p>
    <w:p w14:paraId="6B300FD6" w14:textId="77777777" w:rsidR="00CF02AC" w:rsidRPr="007A6F79" w:rsidRDefault="00CF02AC" w:rsidP="00D80850">
      <w:pPr>
        <w:jc w:val="center"/>
        <w:rPr>
          <w:rStyle w:val="markedcontent"/>
          <w:rFonts w:ascii="Times New Roman" w:hAnsi="Times New Roman" w:cs="Times New Roman"/>
          <w:sz w:val="28"/>
          <w:szCs w:val="28"/>
        </w:rPr>
      </w:pPr>
      <w:r w:rsidRPr="007A6F79">
        <w:rPr>
          <w:rStyle w:val="markedcontent"/>
          <w:rFonts w:ascii="Times New Roman" w:hAnsi="Times New Roman" w:cs="Times New Roman"/>
          <w:sz w:val="24"/>
          <w:szCs w:val="24"/>
        </w:rPr>
        <w:t xml:space="preserve">RATOD VINOD </w:t>
      </w:r>
      <w:proofErr w:type="spellStart"/>
      <w:r w:rsidRPr="007A6F79">
        <w:rPr>
          <w:rStyle w:val="markedcontent"/>
          <w:rFonts w:ascii="Times New Roman" w:hAnsi="Times New Roman" w:cs="Times New Roman"/>
          <w:sz w:val="24"/>
          <w:szCs w:val="24"/>
        </w:rPr>
        <w:t>KUMAR</w:t>
      </w:r>
      <w:r w:rsidRPr="007A6F79">
        <w:rPr>
          <w:rStyle w:val="markedcontent"/>
          <w:rFonts w:ascii="Times New Roman" w:hAnsi="Times New Roman" w:cs="Times New Roman"/>
          <w:sz w:val="24"/>
          <w:szCs w:val="24"/>
          <w:vertAlign w:val="superscript"/>
        </w:rPr>
        <w:t>a</w:t>
      </w:r>
      <w:proofErr w:type="spellEnd"/>
      <w:r w:rsidRPr="007A6F79">
        <w:rPr>
          <w:rStyle w:val="markedcontent"/>
          <w:rFonts w:ascii="Times New Roman" w:hAnsi="Times New Roman" w:cs="Times New Roman"/>
          <w:sz w:val="24"/>
          <w:szCs w:val="24"/>
        </w:rPr>
        <w:t xml:space="preserve">, Dr. D. RUPESH </w:t>
      </w:r>
      <w:proofErr w:type="spellStart"/>
      <w:r w:rsidRPr="007A6F79">
        <w:rPr>
          <w:rStyle w:val="markedcontent"/>
          <w:rFonts w:ascii="Times New Roman" w:hAnsi="Times New Roman" w:cs="Times New Roman"/>
          <w:sz w:val="24"/>
          <w:szCs w:val="24"/>
        </w:rPr>
        <w:t>KUMAR</w:t>
      </w:r>
      <w:r w:rsidRPr="007A6F79">
        <w:rPr>
          <w:rStyle w:val="markedcontent"/>
          <w:rFonts w:ascii="Times New Roman" w:hAnsi="Times New Roman" w:cs="Times New Roman"/>
          <w:sz w:val="20"/>
          <w:szCs w:val="20"/>
          <w:vertAlign w:val="superscript"/>
        </w:rPr>
        <w:t>b</w:t>
      </w:r>
      <w:proofErr w:type="spellEnd"/>
    </w:p>
    <w:p w14:paraId="2DDC7C41" w14:textId="77777777" w:rsidR="00CF02AC" w:rsidRPr="007A6F79" w:rsidRDefault="00CF02AC" w:rsidP="00D80850">
      <w:pPr>
        <w:jc w:val="center"/>
        <w:rPr>
          <w:rFonts w:ascii="Times New Roman" w:hAnsi="Times New Roman" w:cs="Times New Roman"/>
          <w:i/>
          <w:iCs/>
          <w:sz w:val="20"/>
          <w:szCs w:val="20"/>
        </w:rPr>
      </w:pPr>
      <w:r w:rsidRPr="007A6F79">
        <w:rPr>
          <w:rStyle w:val="markedcontent"/>
          <w:rFonts w:ascii="Times New Roman" w:hAnsi="Times New Roman" w:cs="Times New Roman"/>
          <w:i/>
          <w:iCs/>
          <w:sz w:val="20"/>
          <w:szCs w:val="20"/>
          <w:vertAlign w:val="superscript"/>
        </w:rPr>
        <w:t xml:space="preserve">a </w:t>
      </w:r>
      <w:r w:rsidRPr="007A6F79">
        <w:rPr>
          <w:rStyle w:val="markedcontent"/>
          <w:rFonts w:ascii="Times New Roman" w:hAnsi="Times New Roman" w:cs="Times New Roman"/>
          <w:i/>
          <w:iCs/>
          <w:sz w:val="20"/>
          <w:szCs w:val="20"/>
        </w:rPr>
        <w:t>Research scholar, Department of Civil Engineering University College of Engineering, Osmania University, Hyderabad, India.</w:t>
      </w:r>
    </w:p>
    <w:p w14:paraId="7E9798A9" w14:textId="77777777" w:rsidR="00CF02AC" w:rsidRPr="007A6F79" w:rsidRDefault="00CF02AC" w:rsidP="00D80850">
      <w:pPr>
        <w:jc w:val="center"/>
        <w:rPr>
          <w:rStyle w:val="markedcontent"/>
          <w:rFonts w:ascii="Times New Roman" w:hAnsi="Times New Roman" w:cs="Times New Roman"/>
          <w:sz w:val="20"/>
          <w:szCs w:val="20"/>
        </w:rPr>
      </w:pPr>
      <w:r w:rsidRPr="007A6F79">
        <w:rPr>
          <w:rFonts w:ascii="Times New Roman" w:hAnsi="Times New Roman" w:cs="Times New Roman"/>
          <w:i/>
          <w:iCs/>
          <w:sz w:val="20"/>
          <w:szCs w:val="20"/>
          <w:vertAlign w:val="superscript"/>
        </w:rPr>
        <w:t xml:space="preserve">b </w:t>
      </w:r>
      <w:r w:rsidRPr="007A6F79">
        <w:rPr>
          <w:rStyle w:val="markedcontent"/>
          <w:rFonts w:ascii="Times New Roman" w:hAnsi="Times New Roman" w:cs="Times New Roman"/>
          <w:i/>
          <w:iCs/>
          <w:sz w:val="20"/>
          <w:szCs w:val="20"/>
        </w:rPr>
        <w:t>Professor, Department of Civil Engineering. University College of Engineering, Osmania University, Hyderabad, India</w:t>
      </w:r>
      <w:r w:rsidRPr="007A6F79">
        <w:rPr>
          <w:rStyle w:val="markedcontent"/>
          <w:rFonts w:ascii="Times New Roman" w:hAnsi="Times New Roman" w:cs="Times New Roman"/>
          <w:sz w:val="20"/>
          <w:szCs w:val="20"/>
        </w:rPr>
        <w:t>.</w:t>
      </w:r>
    </w:p>
    <w:p w14:paraId="3836EA93" w14:textId="5C8D3F27" w:rsidR="00600015" w:rsidRPr="007A6F79" w:rsidRDefault="00CF02AC" w:rsidP="00EF2196">
      <w:pPr>
        <w:jc w:val="both"/>
        <w:rPr>
          <w:rFonts w:ascii="Times New Roman" w:eastAsia="Times New Roman" w:hAnsi="Times New Roman" w:cs="Times New Roman"/>
          <w:sz w:val="24"/>
          <w:szCs w:val="24"/>
          <w:lang w:val="en" w:eastAsia="en-IN" w:bidi="te-IN"/>
        </w:rPr>
      </w:pPr>
      <w:r w:rsidRPr="007A6F79">
        <w:rPr>
          <w:rFonts w:ascii="Times New Roman" w:hAnsi="Times New Roman" w:cs="Times New Roman"/>
          <w:b/>
          <w:bCs/>
        </w:rPr>
        <w:t>Abstract</w:t>
      </w:r>
      <w:r w:rsidR="003167A7" w:rsidRPr="007A6F79">
        <w:rPr>
          <w:rFonts w:ascii="Times New Roman" w:hAnsi="Times New Roman" w:cs="Times New Roman"/>
          <w:b/>
          <w:bCs/>
        </w:rPr>
        <w:t>:</w:t>
      </w:r>
      <w:r w:rsidR="003167A7" w:rsidRPr="007A6F79">
        <w:rPr>
          <w:rFonts w:ascii="Times New Roman" w:hAnsi="Times New Roman" w:cs="Times New Roman"/>
        </w:rPr>
        <w:t xml:space="preserve"> </w:t>
      </w:r>
      <w:r w:rsidR="00293F9B" w:rsidRPr="007A6F79">
        <w:rPr>
          <w:rFonts w:ascii="Times New Roman" w:hAnsi="Times New Roman" w:cs="Times New Roman"/>
        </w:rPr>
        <w:t>Recycling plastic for use in concrete is a thorough process that involves repurposing plastic pieces that have been stripped and washed through templates. Among the top contenders for concrete mixtures are sand and plastic rock dust, known for their strength. In this study, we utilize locally sourced, recycled plastic from a shredder, ranging from 1mm to 6mm in size. The plastic is then melted at a temperature between 294 and 339°</w:t>
      </w:r>
      <w:r w:rsidR="007A6F79" w:rsidRPr="007A6F79">
        <w:rPr>
          <w:rFonts w:ascii="Times New Roman" w:hAnsi="Times New Roman" w:cs="Times New Roman"/>
        </w:rPr>
        <w:t>C and</w:t>
      </w:r>
      <w:r w:rsidR="00293F9B" w:rsidRPr="007A6F79">
        <w:rPr>
          <w:rFonts w:ascii="Times New Roman" w:hAnsi="Times New Roman" w:cs="Times New Roman"/>
        </w:rPr>
        <w:t xml:space="preserve"> combined with sand and rock dust.</w:t>
      </w:r>
      <w:r w:rsidR="00293F9B" w:rsidRPr="007A6F79">
        <w:rPr>
          <w:rFonts w:ascii="Times New Roman" w:hAnsi="Times New Roman" w:cs="Times New Roman"/>
        </w:rPr>
        <w:t xml:space="preserve"> </w:t>
      </w:r>
      <w:r w:rsidR="00401A27" w:rsidRPr="007A6F79">
        <w:rPr>
          <w:rFonts w:ascii="Times New Roman" w:eastAsia="Times New Roman" w:hAnsi="Times New Roman" w:cs="Times New Roman"/>
          <w:sz w:val="24"/>
          <w:szCs w:val="24"/>
          <w:lang w:val="en" w:eastAsia="en-IN" w:bidi="te-IN"/>
        </w:rPr>
        <w:t>After 100% melting of the plastic bond with sand particles and rock dust particles, this mixture is poured into the water through a suitable size mesh we need, the hot particles mixed with the plastic sand and plastic rock dust when in the water will form a stronger bond. These aggregates are stronger in compression and very strong in tension than the ones we can use in concrete. Here in this paper, the secondary or backscattered electron signal is detected</w:t>
      </w:r>
      <w:r w:rsidR="00401A27" w:rsidRPr="007A6F79">
        <w:rPr>
          <w:rFonts w:ascii="Times New Roman" w:hAnsi="Times New Roman" w:cs="Times New Roman"/>
        </w:rPr>
        <w:t xml:space="preserve"> </w:t>
      </w:r>
      <w:r w:rsidR="00401A27" w:rsidRPr="007A6F79">
        <w:rPr>
          <w:rFonts w:ascii="Times New Roman" w:eastAsia="Times New Roman" w:hAnsi="Times New Roman" w:cs="Times New Roman"/>
          <w:sz w:val="24"/>
          <w:szCs w:val="24"/>
          <w:lang w:val="en" w:eastAsia="en-IN" w:bidi="te-IN"/>
        </w:rPr>
        <w:t>capturing the secondary or backscattered electron signal after projecting a concentrated electron beam through the medium, and a detailed high-resolution image of the sample particles can be obtained.</w:t>
      </w:r>
      <w:r w:rsidR="006B35BB" w:rsidRPr="007A6F79">
        <w:rPr>
          <w:rFonts w:ascii="Times New Roman" w:hAnsi="Times New Roman" w:cs="Times New Roman"/>
        </w:rPr>
        <w:t xml:space="preserve"> </w:t>
      </w:r>
      <w:r w:rsidR="006B35BB" w:rsidRPr="007A6F79">
        <w:rPr>
          <w:rFonts w:ascii="Times New Roman" w:eastAsia="Times New Roman" w:hAnsi="Times New Roman" w:cs="Times New Roman"/>
          <w:sz w:val="24"/>
          <w:szCs w:val="24"/>
          <w:lang w:val="en" w:eastAsia="en-IN" w:bidi="te-IN"/>
        </w:rPr>
        <w:t>The analysis of the aggregates involves scanning electron microscopy (SEM). Additionally, elemental identification and quantitative composition data are acquired through an "energy-dispersive X-ray analyzer" (EDX or EDA). The initial aggregates' size ranges from 2.36 to 20 mm, conforming to granulometry standards outlined in ASCE-C330, C33-99a, and IS 383-2019. These standards are subsequently employed for further concrete testing and the production of precast concrete components. The research explores the utilization of lightweight plastic aggregates in concrete and the incorporation of high-density plastic materials for the preparation of plastic aggregates, both in single and well-graded forms. The methodology for manufacturing plastic aggregates for civil infrastructure and the composition integrating this type of aggregate constitute the focal points of this study.</w:t>
      </w:r>
    </w:p>
    <w:p w14:paraId="31BC55E0" w14:textId="3E70307A" w:rsidR="00357A67" w:rsidRPr="007A6F79" w:rsidRDefault="009B1212" w:rsidP="00EF2196">
      <w:pPr>
        <w:jc w:val="both"/>
        <w:rPr>
          <w:rFonts w:ascii="Times New Roman" w:hAnsi="Times New Roman" w:cs="Times New Roman"/>
        </w:rPr>
      </w:pPr>
      <w:r w:rsidRPr="007A6F79">
        <w:rPr>
          <w:rFonts w:ascii="Times New Roman" w:hAnsi="Times New Roman" w:cs="Times New Roman"/>
        </w:rPr>
        <w:t>Author keywords</w:t>
      </w:r>
      <w:r w:rsidR="00D32DDB" w:rsidRPr="007A6F79">
        <w:rPr>
          <w:rFonts w:ascii="Times New Roman" w:hAnsi="Times New Roman" w:cs="Times New Roman"/>
        </w:rPr>
        <w:t>: high-density polyethylene (HDPE), filler; repurposed plastic rock dust and plastic sand aggregate, scanning electron microscopy (SEM), energy-dispersive X-ray analyzer (EDX or EDA), compressive strength of concrete.</w:t>
      </w:r>
    </w:p>
    <w:p w14:paraId="30A0684F" w14:textId="77777777" w:rsidR="00D55133" w:rsidRPr="007A6F79" w:rsidRDefault="00D55133" w:rsidP="00EF2196">
      <w:pPr>
        <w:jc w:val="both"/>
        <w:rPr>
          <w:rFonts w:ascii="Times New Roman" w:hAnsi="Times New Roman" w:cs="Times New Roman"/>
          <w:b/>
          <w:bCs/>
        </w:rPr>
      </w:pPr>
      <w:r w:rsidRPr="007A6F79">
        <w:rPr>
          <w:rFonts w:ascii="Times New Roman" w:hAnsi="Times New Roman" w:cs="Times New Roman"/>
          <w:b/>
          <w:bCs/>
        </w:rPr>
        <w:t>Introduction:</w:t>
      </w:r>
    </w:p>
    <w:p w14:paraId="3F193360" w14:textId="0F77C6E5" w:rsidR="009B1212" w:rsidRPr="007A6F79" w:rsidRDefault="00D55133" w:rsidP="00EF2196">
      <w:pPr>
        <w:jc w:val="both"/>
        <w:rPr>
          <w:rFonts w:ascii="Times New Roman" w:hAnsi="Times New Roman" w:cs="Times New Roman"/>
        </w:rPr>
      </w:pPr>
      <w:r w:rsidRPr="007A6F79">
        <w:rPr>
          <w:rFonts w:ascii="Times New Roman" w:hAnsi="Times New Roman" w:cs="Times New Roman"/>
        </w:rPr>
        <w:t xml:space="preserve">Addressing a critical concern in environmental conservation, there has been a surge in the utilization of diverse plastic-based </w:t>
      </w:r>
      <w:proofErr w:type="gramStart"/>
      <w:r w:rsidRPr="007A6F79">
        <w:rPr>
          <w:rFonts w:ascii="Times New Roman" w:hAnsi="Times New Roman" w:cs="Times New Roman"/>
        </w:rPr>
        <w:t>objects[</w:t>
      </w:r>
      <w:proofErr w:type="gramEnd"/>
      <w:r w:rsidRPr="007A6F79">
        <w:rPr>
          <w:rFonts w:ascii="Times New Roman" w:hAnsi="Times New Roman" w:cs="Times New Roman"/>
        </w:rPr>
        <w:t xml:space="preserve">1]. Incorporating materials containing plastic waste into industrial processes stands as an eco-friendly approach to curbing the escalating landfill burden. Unfortunately, only a mere 20% of plastic waste undergoes proper management. Recently, the construction sector has emerged as a promising domain for integrating recycled materials into concrete, with plastic waste serving as an alternative </w:t>
      </w:r>
      <w:proofErr w:type="gramStart"/>
      <w:r w:rsidRPr="007A6F79">
        <w:rPr>
          <w:rFonts w:ascii="Times New Roman" w:hAnsi="Times New Roman" w:cs="Times New Roman"/>
        </w:rPr>
        <w:t>aggregate[</w:t>
      </w:r>
      <w:proofErr w:type="gramEnd"/>
      <w:r w:rsidRPr="007A6F79">
        <w:rPr>
          <w:rFonts w:ascii="Times New Roman" w:hAnsi="Times New Roman" w:cs="Times New Roman"/>
        </w:rPr>
        <w:t xml:space="preserve">2]. This alternative accounts for a substantial 60 to 70% of the total concrete volume, presenting a practical solution to the plastic waste predicament. Moreover, an increase in the percentage of plastic waste used as an aggregate substitute not only addresses the waste issue but </w:t>
      </w:r>
      <w:r w:rsidRPr="007A6F79">
        <w:rPr>
          <w:rFonts w:ascii="Times New Roman" w:hAnsi="Times New Roman" w:cs="Times New Roman"/>
        </w:rPr>
        <w:lastRenderedPageBreak/>
        <w:t xml:space="preserve">also mitigates the demand for natural </w:t>
      </w:r>
      <w:proofErr w:type="gramStart"/>
      <w:r w:rsidRPr="007A6F79">
        <w:rPr>
          <w:rFonts w:ascii="Times New Roman" w:hAnsi="Times New Roman" w:cs="Times New Roman"/>
        </w:rPr>
        <w:t>aggregates[</w:t>
      </w:r>
      <w:proofErr w:type="gramEnd"/>
      <w:r w:rsidRPr="007A6F79">
        <w:rPr>
          <w:rFonts w:ascii="Times New Roman" w:hAnsi="Times New Roman" w:cs="Times New Roman"/>
        </w:rPr>
        <w:t xml:space="preserve">2]. National standards, advocating for the use of waste and secondary materials, exert political pressure on manufacturers, fostering a culture that intertwines sustainable material use with </w:t>
      </w:r>
      <w:proofErr w:type="gramStart"/>
      <w:r w:rsidRPr="007A6F79">
        <w:rPr>
          <w:rFonts w:ascii="Times New Roman" w:hAnsi="Times New Roman" w:cs="Times New Roman"/>
        </w:rPr>
        <w:t>development[</w:t>
      </w:r>
      <w:proofErr w:type="gramEnd"/>
      <w:r w:rsidRPr="007A6F79">
        <w:rPr>
          <w:rFonts w:ascii="Times New Roman" w:hAnsi="Times New Roman" w:cs="Times New Roman"/>
        </w:rPr>
        <w:t xml:space="preserve">3]. Given the pivotal role aggregates play in concrete characteristics, concerns about natural resource depletion have spurred discussions on the potential adoption of synthetically generated aggregates (crafted from waste) as replacements for natural resources. </w:t>
      </w:r>
      <w:r w:rsidR="00293F9B" w:rsidRPr="007A6F79">
        <w:rPr>
          <w:rFonts w:ascii="Times New Roman" w:hAnsi="Times New Roman" w:cs="Times New Roman"/>
        </w:rPr>
        <w:t xml:space="preserve">This groundbreaking study presents a two-pronged approach to address both waste management concerns and the protection of our precious natural </w:t>
      </w:r>
      <w:proofErr w:type="gramStart"/>
      <w:r w:rsidR="00293F9B" w:rsidRPr="007A6F79">
        <w:rPr>
          <w:rFonts w:ascii="Times New Roman" w:hAnsi="Times New Roman" w:cs="Times New Roman"/>
        </w:rPr>
        <w:t>resources[</w:t>
      </w:r>
      <w:proofErr w:type="gramEnd"/>
      <w:r w:rsidR="00293F9B" w:rsidRPr="007A6F79">
        <w:rPr>
          <w:rFonts w:ascii="Times New Roman" w:hAnsi="Times New Roman" w:cs="Times New Roman"/>
        </w:rPr>
        <w:t xml:space="preserve">3]. By utilizing HDPE and incorporating two unique fillers, sand and rock dust, the researchers have successfully developed a pioneering recycled plastic aggregate. In addition to this innovative material, the study examines the viability of replacing traditional coarse aggregates with recycled plastic aggregates in concrete. Through thorough experimentation with different water-to-cement ratios, the effects of recycled plastic aggregates on the properties of fresh and cured concrete were thoroughly </w:t>
      </w:r>
      <w:proofErr w:type="gramStart"/>
      <w:r w:rsidR="00293F9B" w:rsidRPr="007A6F79">
        <w:rPr>
          <w:rFonts w:ascii="Times New Roman" w:hAnsi="Times New Roman" w:cs="Times New Roman"/>
        </w:rPr>
        <w:t>evaluated[</w:t>
      </w:r>
      <w:proofErr w:type="gramEnd"/>
      <w:r w:rsidR="00293F9B" w:rsidRPr="007A6F79">
        <w:rPr>
          <w:rFonts w:ascii="Times New Roman" w:hAnsi="Times New Roman" w:cs="Times New Roman"/>
        </w:rPr>
        <w:t>4]</w:t>
      </w:r>
      <w:r w:rsidR="00293F9B" w:rsidRPr="007A6F79">
        <w:rPr>
          <w:rFonts w:ascii="Times New Roman" w:hAnsi="Times New Roman" w:cs="Times New Roman"/>
        </w:rPr>
        <w:t>.</w:t>
      </w:r>
    </w:p>
    <w:p w14:paraId="2B53793A" w14:textId="1E62620A" w:rsidR="004C66F0" w:rsidRPr="007A6F79" w:rsidRDefault="00376BD4" w:rsidP="00EF2196">
      <w:pPr>
        <w:jc w:val="both"/>
        <w:rPr>
          <w:rFonts w:ascii="Times New Roman" w:hAnsi="Times New Roman" w:cs="Times New Roman"/>
        </w:rPr>
      </w:pPr>
      <w:r w:rsidRPr="007A6F79">
        <w:rPr>
          <w:rFonts w:ascii="Times New Roman" w:hAnsi="Times New Roman" w:cs="Times New Roman"/>
        </w:rPr>
        <w:t>For the manufacturing process, high-density plastic (Polyethylene (C2H4) n), natural sand, and rock dust sourced from a local crusher were employed. The waste High-Density Polyethylene (HDPE) was gathered from the AADI plastic manufacturing plant in KUKATPALLY-</w:t>
      </w:r>
      <w:proofErr w:type="gramStart"/>
      <w:r w:rsidRPr="007A6F79">
        <w:rPr>
          <w:rFonts w:ascii="Times New Roman" w:hAnsi="Times New Roman" w:cs="Times New Roman"/>
        </w:rPr>
        <w:t>Hyderabad</w:t>
      </w:r>
      <w:r w:rsidR="00E83916" w:rsidRPr="007A6F79">
        <w:rPr>
          <w:rFonts w:ascii="Times New Roman" w:hAnsi="Times New Roman" w:cs="Times New Roman"/>
        </w:rPr>
        <w:t>[</w:t>
      </w:r>
      <w:proofErr w:type="gramEnd"/>
      <w:r w:rsidR="00E83916" w:rsidRPr="007A6F79">
        <w:rPr>
          <w:rFonts w:ascii="Times New Roman" w:hAnsi="Times New Roman" w:cs="Times New Roman"/>
        </w:rPr>
        <w:t>8]</w:t>
      </w:r>
      <w:r w:rsidRPr="007A6F79">
        <w:rPr>
          <w:rFonts w:ascii="Times New Roman" w:hAnsi="Times New Roman" w:cs="Times New Roman"/>
        </w:rPr>
        <w:t>.</w:t>
      </w:r>
    </w:p>
    <w:p w14:paraId="56C9B1C3" w14:textId="77777777" w:rsidR="0086348B" w:rsidRPr="007A6F79" w:rsidRDefault="0086348B" w:rsidP="00EF2196">
      <w:pPr>
        <w:jc w:val="both"/>
        <w:rPr>
          <w:rStyle w:val="markedcontent"/>
          <w:rFonts w:ascii="Times New Roman" w:hAnsi="Times New Roman" w:cs="Times New Roman"/>
        </w:rPr>
      </w:pPr>
      <w:r w:rsidRPr="007A6F79">
        <w:rPr>
          <w:rStyle w:val="markedcontent"/>
          <w:rFonts w:ascii="Times New Roman" w:hAnsi="Times New Roman" w:cs="Times New Roman"/>
          <w:b/>
          <w:bCs/>
          <w:sz w:val="24"/>
          <w:szCs w:val="24"/>
        </w:rPr>
        <w:t>Table:1</w:t>
      </w:r>
      <w:r w:rsidRPr="007A6F79">
        <w:rPr>
          <w:rFonts w:ascii="Times New Roman" w:hAnsi="Times New Roman" w:cs="Times New Roman"/>
        </w:rPr>
        <w:t xml:space="preserve"> </w:t>
      </w:r>
      <w:r w:rsidRPr="007A6F79">
        <w:rPr>
          <w:rStyle w:val="markedcontent"/>
          <w:rFonts w:ascii="Times New Roman" w:hAnsi="Times New Roman" w:cs="Times New Roman"/>
          <w:sz w:val="24"/>
          <w:szCs w:val="24"/>
        </w:rPr>
        <w:t>Natural sand and rock dust chemical compositions</w:t>
      </w:r>
      <w:r w:rsidRPr="007A6F79">
        <w:rPr>
          <w:rStyle w:val="markedcontent"/>
          <w:rFonts w:ascii="Times New Roman" w:hAnsi="Times New Roman" w:cs="Times New Roman"/>
          <w:sz w:val="24"/>
          <w:szCs w:val="24"/>
        </w:rPr>
        <w:fldChar w:fldCharType="begin" w:fldLock="1"/>
      </w:r>
      <w:r w:rsidRPr="007A6F79">
        <w:rPr>
          <w:rStyle w:val="markedcontent"/>
          <w:rFonts w:ascii="Times New Roman" w:hAnsi="Times New Roman" w:cs="Times New Roman"/>
          <w:sz w:val="24"/>
          <w:szCs w:val="24"/>
        </w:rPr>
        <w:instrText>ADDIN CSL_CITATION {"citationItems":[{"id":"ITEM-1","itemData":{"abstract":"Specimens from four regions of oral mucosa (palate, buccal mucosa, lateral border of the tongue, and the floor of the mouth) and of abdominal skin were taken from 58 individuals at autopsy, for determination of permeability constants (Kp) to tritium-labeled water. Comparisons between fresh specimens and those stored at -80 degrees C revealed no significant effect on Kp as a result of freezing; similar results were found with use of specimens from corresponding regions of the pig. Values for Kp were significantly different for all of the tissue regions examined and ranged from 44 +/- 4 x 10(-7) cm/min for skin to 973 +/- 33 x 10(-7) cm/min for the floor of the mouth, which was the most permeable region. Similar differences were evident among corresponding regions of porcine oral mucosa and skin. Moreover, the Kp values obtained for human tissues were not significantly different from those of the pig, except for the floor of the mouth, which was more permeable in human than in pig tissue. The results reveal interesting differences in the permeability of human oral mucosa that might be related to susceptibility to mucosal disease in those conditions where local extrinsic etiological agents are implicated. Introduction The lining of the oral cavity, like the skin covering the surface of the body, has as its primary function the protection of the deeper tissues and organs. An important part of this role is preventing physical damage and limiting access by micro-organisms present in the microflora. In skin, in addition to these functions, there is also the need for a barrier against water loss (Burch and Winsor, 1944). The existence of a permeability barrier in oral mucosa has been disputed, for the tissue has often been erroneously regarded as a uniform, non-keratinized, and permeable lining (Malkinson, 1964; Winkelman, 1969). This is understandable, for systemic drugs are often administered by buccal or sublingual absorption. On the other hand, it is evident from clinical experience that the oral lining is not freely permeable, for infection by the oral microflora is not commonplace, except in regions where mucosal integrity is compromised. Conversely, the very existence of a dry mouth in individuals with compromised salivary secretion argues against significant loss of fluid from the mucosa into the oral environment (Collins and Dawes, 1987). Here, we describe the use of rapid-frozen oral mucosa and skin to examine regional differences to water, a compound…","author":[{"dropping-particle":"","family":"IS-4032 1985","given":"","non-dropping-particle":"","parse-names":false,"suffix":""}],"container-title":"Indian Standard","id":"ITEM-1","issued":{"date-parts":[["1985"]]},"page":"1-47","title":"Method of chemical analysis of hydraulic cement","type":"article-journal"},"uris":["http://www.mendeley.com/documents/?uuid=f98dedbb-2e39-4298-9efc-e80d9f98f0fd"]}],"mendeley":{"formattedCitation":"[5]","plainTextFormattedCitation":"[5]","previouslyFormattedCitation":"[5]"},"properties":{"noteIndex":0},"schema":"https://github.com/citation-style-language/schema/raw/master/csl-citation.json"}</w:instrText>
      </w:r>
      <w:r w:rsidRPr="007A6F79">
        <w:rPr>
          <w:rStyle w:val="markedcontent"/>
          <w:rFonts w:ascii="Times New Roman" w:hAnsi="Times New Roman" w:cs="Times New Roman"/>
          <w:sz w:val="24"/>
          <w:szCs w:val="24"/>
        </w:rPr>
        <w:fldChar w:fldCharType="separate"/>
      </w:r>
      <w:r w:rsidRPr="007A6F79">
        <w:rPr>
          <w:rStyle w:val="markedcontent"/>
          <w:rFonts w:ascii="Times New Roman" w:hAnsi="Times New Roman" w:cs="Times New Roman"/>
          <w:noProof/>
          <w:sz w:val="24"/>
          <w:szCs w:val="24"/>
        </w:rPr>
        <w:t>[5]</w:t>
      </w:r>
      <w:r w:rsidRPr="007A6F79">
        <w:rPr>
          <w:rStyle w:val="markedcontent"/>
          <w:rFonts w:ascii="Times New Roman" w:hAnsi="Times New Roman" w:cs="Times New Roman"/>
          <w:sz w:val="24"/>
          <w:szCs w:val="24"/>
        </w:rPr>
        <w:fldChar w:fldCharType="end"/>
      </w:r>
    </w:p>
    <w:tbl>
      <w:tblPr>
        <w:tblStyle w:val="TableGrid"/>
        <w:tblW w:w="8820" w:type="dxa"/>
        <w:tblInd w:w="108" w:type="dxa"/>
        <w:tblLook w:val="04A0" w:firstRow="1" w:lastRow="0" w:firstColumn="1" w:lastColumn="0" w:noHBand="0" w:noVBand="1"/>
      </w:tblPr>
      <w:tblGrid>
        <w:gridCol w:w="2308"/>
        <w:gridCol w:w="2413"/>
        <w:gridCol w:w="2413"/>
        <w:gridCol w:w="1686"/>
      </w:tblGrid>
      <w:tr w:rsidR="0086348B" w:rsidRPr="007A6F79" w14:paraId="704655D1" w14:textId="77777777" w:rsidTr="007A6F79">
        <w:trPr>
          <w:trHeight w:val="94"/>
        </w:trPr>
        <w:tc>
          <w:tcPr>
            <w:tcW w:w="2308" w:type="dxa"/>
          </w:tcPr>
          <w:p w14:paraId="12B56839"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Constituent</w:t>
            </w:r>
          </w:p>
        </w:tc>
        <w:tc>
          <w:tcPr>
            <w:tcW w:w="2413" w:type="dxa"/>
          </w:tcPr>
          <w:p w14:paraId="546C1924"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Quarry rock dust (%)</w:t>
            </w:r>
          </w:p>
        </w:tc>
        <w:tc>
          <w:tcPr>
            <w:tcW w:w="2413" w:type="dxa"/>
          </w:tcPr>
          <w:p w14:paraId="520D4A07"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Natural sand (%)</w:t>
            </w:r>
          </w:p>
        </w:tc>
        <w:tc>
          <w:tcPr>
            <w:tcW w:w="1686" w:type="dxa"/>
          </w:tcPr>
          <w:p w14:paraId="62DDC11D"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Test method</w:t>
            </w:r>
          </w:p>
        </w:tc>
      </w:tr>
      <w:tr w:rsidR="0086348B" w:rsidRPr="007A6F79" w14:paraId="7C22F9AE" w14:textId="77777777" w:rsidTr="007A6F79">
        <w:trPr>
          <w:trHeight w:val="3510"/>
        </w:trPr>
        <w:tc>
          <w:tcPr>
            <w:tcW w:w="2308" w:type="dxa"/>
          </w:tcPr>
          <w:p w14:paraId="55571C6D"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SiO2</w:t>
            </w:r>
          </w:p>
          <w:p w14:paraId="09EA51D9"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Al2O3</w:t>
            </w:r>
          </w:p>
          <w:p w14:paraId="7D52B9E9"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Fe2O3</w:t>
            </w:r>
          </w:p>
          <w:p w14:paraId="69B315CE"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 xml:space="preserve">Cao </w:t>
            </w:r>
          </w:p>
          <w:p w14:paraId="16586AE9"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MgO</w:t>
            </w:r>
          </w:p>
          <w:p w14:paraId="590A35C6"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 xml:space="preserve">Na2O </w:t>
            </w:r>
          </w:p>
          <w:p w14:paraId="77BDD18E"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 xml:space="preserve">K2O </w:t>
            </w:r>
          </w:p>
          <w:p w14:paraId="481D329D"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 xml:space="preserve">TiO2 </w:t>
            </w:r>
          </w:p>
          <w:p w14:paraId="232B9EF5" w14:textId="77777777" w:rsidR="0086348B" w:rsidRPr="007A6F79" w:rsidRDefault="0086348B" w:rsidP="00EF2196">
            <w:pPr>
              <w:pStyle w:val="ListParagraph"/>
              <w:numPr>
                <w:ilvl w:val="0"/>
                <w:numId w:val="1"/>
              </w:numPr>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Loss</w:t>
            </w:r>
          </w:p>
        </w:tc>
        <w:tc>
          <w:tcPr>
            <w:tcW w:w="2413" w:type="dxa"/>
          </w:tcPr>
          <w:p w14:paraId="5B7DE263"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61.49</w:t>
            </w:r>
          </w:p>
          <w:p w14:paraId="0762D173"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18.60</w:t>
            </w:r>
          </w:p>
          <w:p w14:paraId="7509E850"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 xml:space="preserve">06.44 </w:t>
            </w:r>
          </w:p>
          <w:p w14:paraId="18224677"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04.94</w:t>
            </w:r>
          </w:p>
          <w:p w14:paraId="75F61161"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02.45</w:t>
            </w:r>
          </w:p>
          <w:p w14:paraId="7C05A162"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00.00</w:t>
            </w:r>
          </w:p>
          <w:p w14:paraId="7F0D2336"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03.04</w:t>
            </w:r>
          </w:p>
          <w:p w14:paraId="360CBD23"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01.35</w:t>
            </w:r>
          </w:p>
          <w:p w14:paraId="21C0BE8F"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00.37</w:t>
            </w:r>
          </w:p>
        </w:tc>
        <w:tc>
          <w:tcPr>
            <w:tcW w:w="2413" w:type="dxa"/>
          </w:tcPr>
          <w:p w14:paraId="7A5B3B6D"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81.82</w:t>
            </w:r>
          </w:p>
          <w:p w14:paraId="1903CFBE"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11.08</w:t>
            </w:r>
          </w:p>
          <w:p w14:paraId="42456B57"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01.64</w:t>
            </w:r>
          </w:p>
          <w:p w14:paraId="7C33AEBC"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03.32</w:t>
            </w:r>
          </w:p>
          <w:p w14:paraId="65C36319"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00.77</w:t>
            </w:r>
            <w:r w:rsidRPr="007A6F79">
              <w:rPr>
                <w:rFonts w:ascii="Times New Roman" w:hAnsi="Times New Roman" w:cs="Times New Roman"/>
                <w:sz w:val="24"/>
                <w:szCs w:val="24"/>
              </w:rPr>
              <w:br/>
            </w:r>
            <w:r w:rsidRPr="007A6F79">
              <w:rPr>
                <w:rStyle w:val="markedcontent"/>
                <w:rFonts w:ascii="Times New Roman" w:hAnsi="Times New Roman" w:cs="Times New Roman"/>
                <w:sz w:val="24"/>
                <w:szCs w:val="24"/>
              </w:rPr>
              <w:t>01.31</w:t>
            </w:r>
          </w:p>
          <w:p w14:paraId="13BD9937"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01.29</w:t>
            </w:r>
          </w:p>
          <w:p w14:paraId="6BAB925E"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00.00</w:t>
            </w:r>
          </w:p>
          <w:p w14:paraId="19CC446E" w14:textId="7D15F0AC"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00.31</w:t>
            </w:r>
          </w:p>
        </w:tc>
        <w:tc>
          <w:tcPr>
            <w:tcW w:w="1686" w:type="dxa"/>
          </w:tcPr>
          <w:p w14:paraId="4C69F3FF" w14:textId="77777777" w:rsidR="0086348B" w:rsidRPr="007A6F79" w:rsidRDefault="0086348B" w:rsidP="00EF2196">
            <w:pPr>
              <w:jc w:val="both"/>
              <w:rPr>
                <w:rStyle w:val="markedcontent"/>
                <w:rFonts w:ascii="Times New Roman" w:hAnsi="Times New Roman" w:cs="Times New Roman"/>
                <w:sz w:val="24"/>
                <w:szCs w:val="24"/>
              </w:rPr>
            </w:pPr>
          </w:p>
          <w:p w14:paraId="17C254C8" w14:textId="77777777" w:rsidR="0086348B" w:rsidRPr="007A6F79" w:rsidRDefault="0086348B" w:rsidP="00EF2196">
            <w:pPr>
              <w:jc w:val="both"/>
              <w:rPr>
                <w:rStyle w:val="markedcontent"/>
                <w:rFonts w:ascii="Times New Roman" w:hAnsi="Times New Roman" w:cs="Times New Roman"/>
                <w:sz w:val="24"/>
                <w:szCs w:val="24"/>
              </w:rPr>
            </w:pPr>
          </w:p>
          <w:p w14:paraId="153B39A7" w14:textId="77777777" w:rsidR="0086348B" w:rsidRPr="007A6F79" w:rsidRDefault="0086348B" w:rsidP="00EF2196">
            <w:pPr>
              <w:jc w:val="both"/>
              <w:rPr>
                <w:rStyle w:val="markedcontent"/>
                <w:rFonts w:ascii="Times New Roman" w:hAnsi="Times New Roman" w:cs="Times New Roman"/>
                <w:sz w:val="24"/>
                <w:szCs w:val="24"/>
              </w:rPr>
            </w:pPr>
          </w:p>
          <w:p w14:paraId="1C1F699A" w14:textId="77777777" w:rsidR="0086348B" w:rsidRPr="007A6F79"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IS: 4032-1968[5]</w:t>
            </w:r>
          </w:p>
        </w:tc>
      </w:tr>
    </w:tbl>
    <w:p w14:paraId="64D18603" w14:textId="77777777" w:rsidR="0086348B" w:rsidRPr="007A6F79" w:rsidRDefault="0086348B"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i/>
          <w:iCs/>
          <w:sz w:val="24"/>
          <w:szCs w:val="24"/>
          <w:lang w:val="en" w:eastAsia="en-IN" w:bidi="te-IN"/>
        </w:rPr>
      </w:pPr>
    </w:p>
    <w:p w14:paraId="7CA0EE83" w14:textId="4685A098" w:rsidR="00141036" w:rsidRPr="007A6F79" w:rsidRDefault="00293F9B" w:rsidP="00EF2196">
      <w:pPr>
        <w:jc w:val="both"/>
        <w:rPr>
          <w:rFonts w:ascii="Times New Roman" w:hAnsi="Times New Roman" w:cs="Times New Roman"/>
        </w:rPr>
      </w:pPr>
      <w:r w:rsidRPr="007A6F79">
        <w:rPr>
          <w:rFonts w:ascii="Times New Roman" w:hAnsi="Times New Roman" w:cs="Times New Roman"/>
        </w:rPr>
        <w:t xml:space="preserve">Using a natural manufacturing approach, we utilized river sand with a particle size of 4.75 mm and adhering to IS 383:1970 grading zone II. Our sand exhibited a specific gravity of 2.63 and a relative bulk density of 1460. To enhance the mixture, we incorporated rock dust with a specific gravity of 2.54 and a relative bulk density of 1745. </w:t>
      </w:r>
      <w:r w:rsidRPr="007A6F79">
        <w:rPr>
          <w:rFonts w:ascii="Times New Roman" w:hAnsi="Times New Roman" w:cs="Times New Roman"/>
        </w:rPr>
        <w:t>The result</w:t>
      </w:r>
      <w:r w:rsidRPr="007A6F79">
        <w:rPr>
          <w:rFonts w:ascii="Times New Roman" w:hAnsi="Times New Roman" w:cs="Times New Roman"/>
        </w:rPr>
        <w:t xml:space="preserve"> was a plastic aggregate that was remarkably lightweight, weighing in at 650 to 870 kg/m3 and absorbing only a small amount of water, ranging from 0.114 to 0.369 percent. This proved to be an excellent combination for various formulations of recycled plastic sand and recycled plastic rock dust coarse </w:t>
      </w:r>
      <w:proofErr w:type="gramStart"/>
      <w:r w:rsidRPr="007A6F79">
        <w:rPr>
          <w:rFonts w:ascii="Times New Roman" w:hAnsi="Times New Roman" w:cs="Times New Roman"/>
        </w:rPr>
        <w:t>aggregate</w:t>
      </w:r>
      <w:r w:rsidR="00E83916" w:rsidRPr="007A6F79">
        <w:rPr>
          <w:rFonts w:ascii="Times New Roman" w:hAnsi="Times New Roman" w:cs="Times New Roman"/>
        </w:rPr>
        <w:t>[</w:t>
      </w:r>
      <w:proofErr w:type="gramEnd"/>
      <w:r w:rsidR="00E83916" w:rsidRPr="007A6F79">
        <w:rPr>
          <w:rFonts w:ascii="Times New Roman" w:hAnsi="Times New Roman" w:cs="Times New Roman"/>
        </w:rPr>
        <w:t>8]</w:t>
      </w:r>
      <w:r w:rsidRPr="007A6F79">
        <w:rPr>
          <w:rFonts w:ascii="Times New Roman" w:hAnsi="Times New Roman" w:cs="Times New Roman"/>
        </w:rPr>
        <w:t>, which were successfully used in our concrete production.</w:t>
      </w:r>
      <w:r w:rsidRPr="007A6F79">
        <w:rPr>
          <w:rFonts w:ascii="Times New Roman" w:hAnsi="Times New Roman" w:cs="Times New Roman"/>
        </w:rPr>
        <w:t xml:space="preserve"> </w:t>
      </w:r>
      <w:r w:rsidR="00EB3C9F" w:rsidRPr="007A6F79">
        <w:rPr>
          <w:rFonts w:ascii="Times New Roman" w:hAnsi="Times New Roman" w:cs="Times New Roman"/>
        </w:rPr>
        <w:t xml:space="preserve">The primary manufacturing composition of the plastic aggregates includes Plastic-Sand Aggregates and plastic-rock dust Aggregates, manufactured based on specified </w:t>
      </w:r>
      <w:proofErr w:type="gramStart"/>
      <w:r w:rsidR="00EB3C9F" w:rsidRPr="007A6F79">
        <w:rPr>
          <w:rFonts w:ascii="Times New Roman" w:hAnsi="Times New Roman" w:cs="Times New Roman"/>
        </w:rPr>
        <w:t>proportions</w:t>
      </w:r>
      <w:r w:rsidR="00E83916" w:rsidRPr="007A6F79">
        <w:rPr>
          <w:rFonts w:ascii="Times New Roman" w:hAnsi="Times New Roman" w:cs="Times New Roman"/>
        </w:rPr>
        <w:t>[</w:t>
      </w:r>
      <w:proofErr w:type="gramEnd"/>
      <w:r w:rsidR="00E83916" w:rsidRPr="007A6F79">
        <w:rPr>
          <w:rFonts w:ascii="Times New Roman" w:hAnsi="Times New Roman" w:cs="Times New Roman"/>
        </w:rPr>
        <w:t>8]</w:t>
      </w:r>
      <w:r w:rsidR="00EB3C9F" w:rsidRPr="007A6F79">
        <w:rPr>
          <w:rFonts w:ascii="Times New Roman" w:hAnsi="Times New Roman" w:cs="Times New Roman"/>
        </w:rPr>
        <w:t>.</w:t>
      </w:r>
    </w:p>
    <w:p w14:paraId="32C84726" w14:textId="77777777" w:rsidR="007A6F79" w:rsidRDefault="007A6F79"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p>
    <w:p w14:paraId="16296B4D" w14:textId="4DBEFBA2" w:rsidR="00BA5647" w:rsidRPr="007A6F79" w:rsidRDefault="00BA5647"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r w:rsidRPr="007A6F79">
        <w:rPr>
          <w:rFonts w:ascii="Times New Roman" w:eastAsia="Times New Roman" w:hAnsi="Times New Roman" w:cs="Times New Roman"/>
          <w:b/>
          <w:bCs/>
          <w:sz w:val="24"/>
          <w:szCs w:val="24"/>
          <w:lang w:eastAsia="en-IN"/>
        </w:rPr>
        <w:lastRenderedPageBreak/>
        <w:t>Table:2</w:t>
      </w:r>
      <w:r w:rsidRPr="007A6F79">
        <w:rPr>
          <w:rFonts w:ascii="Times New Roman" w:eastAsia="Times New Roman" w:hAnsi="Times New Roman" w:cs="Times New Roman"/>
          <w:sz w:val="24"/>
          <w:szCs w:val="24"/>
          <w:lang w:eastAsia="en-IN"/>
        </w:rPr>
        <w:t xml:space="preserve"> systematic variation of samples</w:t>
      </w:r>
    </w:p>
    <w:tbl>
      <w:tblPr>
        <w:tblStyle w:val="TableGrid"/>
        <w:tblpPr w:leftFromText="180" w:rightFromText="180" w:vertAnchor="text" w:horzAnchor="margin" w:tblpY="133"/>
        <w:tblW w:w="9309" w:type="dxa"/>
        <w:tblLayout w:type="fixed"/>
        <w:tblLook w:val="04A0" w:firstRow="1" w:lastRow="0" w:firstColumn="1" w:lastColumn="0" w:noHBand="0" w:noVBand="1"/>
      </w:tblPr>
      <w:tblGrid>
        <w:gridCol w:w="1252"/>
        <w:gridCol w:w="976"/>
        <w:gridCol w:w="1813"/>
        <w:gridCol w:w="1813"/>
        <w:gridCol w:w="1255"/>
        <w:gridCol w:w="835"/>
        <w:gridCol w:w="1365"/>
      </w:tblGrid>
      <w:tr w:rsidR="00BA5647" w:rsidRPr="007A6F79" w14:paraId="264C411C" w14:textId="77777777" w:rsidTr="00691F10">
        <w:trPr>
          <w:trHeight w:val="1340"/>
        </w:trPr>
        <w:tc>
          <w:tcPr>
            <w:tcW w:w="1252" w:type="dxa"/>
          </w:tcPr>
          <w:p w14:paraId="4E06236B"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Experiment</w:t>
            </w:r>
          </w:p>
        </w:tc>
        <w:tc>
          <w:tcPr>
            <w:tcW w:w="976" w:type="dxa"/>
          </w:tcPr>
          <w:p w14:paraId="5C89A46C"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Plastic-type</w:t>
            </w:r>
          </w:p>
        </w:tc>
        <w:tc>
          <w:tcPr>
            <w:tcW w:w="1813" w:type="dxa"/>
          </w:tcPr>
          <w:p w14:paraId="2775BA4C"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Plastic to sand proportion (in grams)</w:t>
            </w:r>
          </w:p>
        </w:tc>
        <w:tc>
          <w:tcPr>
            <w:tcW w:w="1813" w:type="dxa"/>
          </w:tcPr>
          <w:p w14:paraId="6A78C123"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Plastic to rock dust proportion (in grams)</w:t>
            </w:r>
          </w:p>
        </w:tc>
        <w:tc>
          <w:tcPr>
            <w:tcW w:w="1255" w:type="dxa"/>
          </w:tcPr>
          <w:p w14:paraId="3596392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Temperature</w:t>
            </w:r>
            <w:r w:rsidRPr="007A6F79">
              <w:rPr>
                <w:rFonts w:ascii="Times New Roman" w:hAnsi="Times New Roman" w:cs="Times New Roman"/>
                <w:sz w:val="21"/>
                <w:szCs w:val="21"/>
              </w:rPr>
              <w:t xml:space="preserve">(°C) </w:t>
            </w:r>
          </w:p>
        </w:tc>
        <w:tc>
          <w:tcPr>
            <w:tcW w:w="835" w:type="dxa"/>
          </w:tcPr>
          <w:p w14:paraId="5F1B540C"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Time (in min)</w:t>
            </w:r>
          </w:p>
        </w:tc>
        <w:tc>
          <w:tcPr>
            <w:tcW w:w="1365" w:type="dxa"/>
          </w:tcPr>
          <w:p w14:paraId="36744A1E"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Final aggregate weight(dry) in grams</w:t>
            </w:r>
          </w:p>
        </w:tc>
      </w:tr>
      <w:tr w:rsidR="00BA5647" w:rsidRPr="007A6F79" w14:paraId="65CA9B92" w14:textId="77777777" w:rsidTr="00691F10">
        <w:trPr>
          <w:trHeight w:val="1408"/>
        </w:trPr>
        <w:tc>
          <w:tcPr>
            <w:tcW w:w="1252" w:type="dxa"/>
          </w:tcPr>
          <w:p w14:paraId="566A8B5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Mesh Shaking Technique</w:t>
            </w:r>
          </w:p>
          <w:p w14:paraId="50705CF9"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(MST)</w:t>
            </w:r>
          </w:p>
        </w:tc>
        <w:tc>
          <w:tcPr>
            <w:tcW w:w="976" w:type="dxa"/>
          </w:tcPr>
          <w:p w14:paraId="01ABAA88"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p>
          <w:p w14:paraId="31B9D05D"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HDPE</w:t>
            </w:r>
          </w:p>
        </w:tc>
        <w:tc>
          <w:tcPr>
            <w:tcW w:w="1813" w:type="dxa"/>
          </w:tcPr>
          <w:p w14:paraId="407B590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1:1(500:500)</w:t>
            </w:r>
          </w:p>
          <w:p w14:paraId="571338D5"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1:2(500:1000)</w:t>
            </w:r>
          </w:p>
          <w:p w14:paraId="177834AC"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p>
        </w:tc>
        <w:tc>
          <w:tcPr>
            <w:tcW w:w="1813" w:type="dxa"/>
          </w:tcPr>
          <w:p w14:paraId="79897689"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1:1(500:500)</w:t>
            </w:r>
          </w:p>
          <w:p w14:paraId="29954D9F"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1:2(500:1000)</w:t>
            </w:r>
          </w:p>
          <w:p w14:paraId="5FCF9D4F"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p>
        </w:tc>
        <w:tc>
          <w:tcPr>
            <w:tcW w:w="1255" w:type="dxa"/>
          </w:tcPr>
          <w:p w14:paraId="3AD2C3A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290-340</w:t>
            </w:r>
          </w:p>
          <w:p w14:paraId="42A8C359"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294-340</w:t>
            </w:r>
          </w:p>
        </w:tc>
        <w:tc>
          <w:tcPr>
            <w:tcW w:w="835" w:type="dxa"/>
          </w:tcPr>
          <w:p w14:paraId="5F5AF37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25</w:t>
            </w:r>
          </w:p>
          <w:p w14:paraId="3F3AF6AB"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35</w:t>
            </w:r>
          </w:p>
        </w:tc>
        <w:tc>
          <w:tcPr>
            <w:tcW w:w="1365" w:type="dxa"/>
          </w:tcPr>
          <w:p w14:paraId="5415E12D"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930-990</w:t>
            </w:r>
          </w:p>
          <w:p w14:paraId="666C5A21"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1250-1450</w:t>
            </w:r>
          </w:p>
        </w:tc>
      </w:tr>
    </w:tbl>
    <w:p w14:paraId="761571A2" w14:textId="77777777" w:rsidR="00B520CD" w:rsidRPr="007A6F79" w:rsidRDefault="00B520CD" w:rsidP="00EF2196">
      <w:pPr>
        <w:jc w:val="both"/>
        <w:rPr>
          <w:rFonts w:ascii="Times New Roman" w:hAnsi="Times New Roman" w:cs="Times New Roman"/>
        </w:rPr>
      </w:pPr>
    </w:p>
    <w:p w14:paraId="44568DD5" w14:textId="2E1C1CEE" w:rsidR="00EB3C9F" w:rsidRPr="007A6F79" w:rsidRDefault="00691F10" w:rsidP="00EF2196">
      <w:pPr>
        <w:jc w:val="both"/>
        <w:rPr>
          <w:rFonts w:ascii="Times New Roman" w:hAnsi="Times New Roman" w:cs="Times New Roman"/>
        </w:rPr>
      </w:pPr>
      <w:r w:rsidRPr="007A6F79">
        <w:rPr>
          <w:rFonts w:ascii="Times New Roman" w:hAnsi="Times New Roman" w:cs="Times New Roman"/>
        </w:rPr>
        <w:t xml:space="preserve">Detailed Procedure: Plastic is initially gathered from waste sources and then subjected to shredding, as illustrated in Figure 2a. The following is a step-by-step guide outlining the collection of recyclable plastic. </w:t>
      </w:r>
      <w:r w:rsidR="00293F9B" w:rsidRPr="007A6F79">
        <w:rPr>
          <w:rFonts w:ascii="Times New Roman" w:hAnsi="Times New Roman" w:cs="Times New Roman"/>
        </w:rPr>
        <w:t xml:space="preserve">From containers and jars to bottles, plastic bags, and packaging, plastics are available in a variety of shapes and sizes. </w:t>
      </w:r>
      <w:proofErr w:type="gramStart"/>
      <w:r w:rsidR="00293F9B" w:rsidRPr="007A6F79">
        <w:rPr>
          <w:rFonts w:ascii="Times New Roman" w:hAnsi="Times New Roman" w:cs="Times New Roman"/>
        </w:rPr>
        <w:t>In order to</w:t>
      </w:r>
      <w:proofErr w:type="gramEnd"/>
      <w:r w:rsidR="00293F9B" w:rsidRPr="007A6F79">
        <w:rPr>
          <w:rFonts w:ascii="Times New Roman" w:hAnsi="Times New Roman" w:cs="Times New Roman"/>
        </w:rPr>
        <w:t xml:space="preserve"> improve packing, transportation, and distribution of recycled products, it is common for plastics to be broken down into smaller fragments. To cater specifically to plastic bottles and containers, communities typically offer four different types of recycling services, including curbside collection, drop-off points, buy-back initiatives, and deposit or refund programs [8].</w:t>
      </w:r>
    </w:p>
    <w:p w14:paraId="4F23CE98" w14:textId="77777777" w:rsidR="00A736C8" w:rsidRPr="007A6F79" w:rsidRDefault="00A736C8" w:rsidP="00EF2196">
      <w:pPr>
        <w:jc w:val="both"/>
        <w:rPr>
          <w:rFonts w:ascii="Times New Roman" w:hAnsi="Times New Roman" w:cs="Times New Roman"/>
        </w:rPr>
      </w:pPr>
    </w:p>
    <w:p w14:paraId="4CD66E36" w14:textId="074F5A30" w:rsidR="002F646B" w:rsidRPr="007A6F79" w:rsidRDefault="002F646B" w:rsidP="00EF2196">
      <w:pPr>
        <w:jc w:val="both"/>
        <w:rPr>
          <w:rFonts w:ascii="Times New Roman" w:hAnsi="Times New Roman" w:cs="Times New Roman"/>
          <w:noProof/>
        </w:rPr>
      </w:pPr>
      <w:r w:rsidRPr="007A6F79">
        <w:rPr>
          <w:rFonts w:ascii="Times New Roman" w:hAnsi="Times New Roman" w:cs="Times New Roman"/>
          <w:noProof/>
        </w:rPr>
        <w:drawing>
          <wp:anchor distT="0" distB="0" distL="114300" distR="114300" simplePos="0" relativeHeight="251660288" behindDoc="0" locked="0" layoutInCell="1" allowOverlap="1" wp14:anchorId="283C4C41" wp14:editId="4C4F7971">
            <wp:simplePos x="0" y="0"/>
            <wp:positionH relativeFrom="column">
              <wp:posOffset>4565650</wp:posOffset>
            </wp:positionH>
            <wp:positionV relativeFrom="paragraph">
              <wp:posOffset>3175</wp:posOffset>
            </wp:positionV>
            <wp:extent cx="1402715" cy="1651000"/>
            <wp:effectExtent l="0" t="0" r="698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715" cy="1651000"/>
                    </a:xfrm>
                    <a:prstGeom prst="rect">
                      <a:avLst/>
                    </a:prstGeom>
                    <a:noFill/>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59264" behindDoc="0" locked="0" layoutInCell="1" allowOverlap="1" wp14:anchorId="06349E37" wp14:editId="33F2A9FF">
            <wp:simplePos x="0" y="0"/>
            <wp:positionH relativeFrom="margin">
              <wp:align>left</wp:align>
            </wp:positionH>
            <wp:positionV relativeFrom="paragraph">
              <wp:posOffset>13335</wp:posOffset>
            </wp:positionV>
            <wp:extent cx="2305050" cy="1689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18F4F" w14:textId="3F8C046C" w:rsidR="002F646B" w:rsidRPr="007A6F79" w:rsidRDefault="002F646B" w:rsidP="00EF2196">
      <w:pPr>
        <w:jc w:val="both"/>
        <w:rPr>
          <w:rFonts w:ascii="Times New Roman" w:hAnsi="Times New Roman" w:cs="Times New Roman"/>
          <w:noProof/>
        </w:rPr>
      </w:pPr>
      <w:r w:rsidRPr="007A6F79">
        <w:rPr>
          <w:rFonts w:ascii="Times New Roman" w:hAnsi="Times New Roman" w:cs="Times New Roman"/>
          <w:noProof/>
        </w:rPr>
        <w:drawing>
          <wp:anchor distT="0" distB="0" distL="114300" distR="114300" simplePos="0" relativeHeight="251661312" behindDoc="0" locked="0" layoutInCell="1" allowOverlap="1" wp14:anchorId="19C0F6E1" wp14:editId="3B31B6D3">
            <wp:simplePos x="0" y="0"/>
            <wp:positionH relativeFrom="column">
              <wp:posOffset>3042864</wp:posOffset>
            </wp:positionH>
            <wp:positionV relativeFrom="paragraph">
              <wp:posOffset>119436</wp:posOffset>
            </wp:positionV>
            <wp:extent cx="1642856" cy="829722"/>
            <wp:effectExtent l="6668" t="0" r="2222" b="2223"/>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548" t="14102" r="25974" b="8127"/>
                    <a:stretch/>
                  </pic:blipFill>
                  <pic:spPr bwMode="auto">
                    <a:xfrm rot="5400000">
                      <a:off x="0" y="0"/>
                      <a:ext cx="1645748" cy="831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sz w:val="24"/>
          <w:szCs w:val="24"/>
        </w:rPr>
        <w:drawing>
          <wp:anchor distT="0" distB="0" distL="114300" distR="114300" simplePos="0" relativeHeight="251662336" behindDoc="0" locked="0" layoutInCell="1" allowOverlap="1" wp14:anchorId="18AAE0DE" wp14:editId="7EDDDFF5">
            <wp:simplePos x="0" y="0"/>
            <wp:positionH relativeFrom="margin">
              <wp:align>center</wp:align>
            </wp:positionH>
            <wp:positionV relativeFrom="paragraph">
              <wp:posOffset>200025</wp:posOffset>
            </wp:positionV>
            <wp:extent cx="1677035" cy="683260"/>
            <wp:effectExtent l="1588" t="0" r="952" b="953"/>
            <wp:wrapThrough wrapText="bothSides">
              <wp:wrapPolygon edited="0">
                <wp:start x="20" y="21650"/>
                <wp:lineTo x="21367" y="21650"/>
                <wp:lineTo x="21367" y="572"/>
                <wp:lineTo x="20" y="572"/>
                <wp:lineTo x="20" y="2165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44" t="8333" r="30636" b="-1174"/>
                    <a:stretch/>
                  </pic:blipFill>
                  <pic:spPr bwMode="auto">
                    <a:xfrm rot="5400000">
                      <a:off x="0" y="0"/>
                      <a:ext cx="1677035"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A078F" w14:textId="24CBE64A" w:rsidR="002F646B" w:rsidRPr="007A6F79" w:rsidRDefault="002F646B" w:rsidP="00EF2196">
      <w:pPr>
        <w:jc w:val="both"/>
        <w:rPr>
          <w:rFonts w:ascii="Times New Roman" w:hAnsi="Times New Roman" w:cs="Times New Roman"/>
          <w:noProof/>
        </w:rPr>
      </w:pPr>
    </w:p>
    <w:p w14:paraId="430373B3" w14:textId="0C22A6CF" w:rsidR="002F646B" w:rsidRPr="007A6F79" w:rsidRDefault="002F646B" w:rsidP="00EF2196">
      <w:pPr>
        <w:jc w:val="both"/>
        <w:rPr>
          <w:rFonts w:ascii="Times New Roman" w:hAnsi="Times New Roman" w:cs="Times New Roman"/>
        </w:rPr>
      </w:pPr>
    </w:p>
    <w:p w14:paraId="50D8F30C" w14:textId="3FE4213A" w:rsidR="002F646B" w:rsidRPr="007A6F79" w:rsidRDefault="002F646B" w:rsidP="00EF2196">
      <w:pPr>
        <w:jc w:val="both"/>
        <w:rPr>
          <w:rFonts w:ascii="Times New Roman" w:hAnsi="Times New Roman" w:cs="Times New Roman"/>
        </w:rPr>
      </w:pPr>
    </w:p>
    <w:p w14:paraId="0F020C9E" w14:textId="3BEE1B86" w:rsidR="002F646B" w:rsidRPr="007A6F79" w:rsidRDefault="002F646B" w:rsidP="00EF2196">
      <w:pPr>
        <w:jc w:val="both"/>
        <w:rPr>
          <w:rFonts w:ascii="Times New Roman" w:hAnsi="Times New Roman" w:cs="Times New Roman"/>
        </w:rPr>
      </w:pPr>
    </w:p>
    <w:p w14:paraId="11F604FA" w14:textId="316C2E8C" w:rsidR="00006784" w:rsidRPr="007A6F79" w:rsidRDefault="00006784" w:rsidP="00EF2196">
      <w:pPr>
        <w:spacing w:line="240" w:lineRule="auto"/>
        <w:jc w:val="both"/>
        <w:rPr>
          <w:rFonts w:ascii="Times New Roman" w:hAnsi="Times New Roman" w:cs="Times New Roman"/>
          <w:b/>
          <w:bCs/>
        </w:rPr>
      </w:pPr>
      <w:r w:rsidRPr="007A6F79">
        <w:rPr>
          <w:rFonts w:ascii="Times New Roman" w:hAnsi="Times New Roman" w:cs="Times New Roman"/>
          <w:b/>
          <w:bCs/>
        </w:rPr>
        <w:t xml:space="preserve">        </w:t>
      </w:r>
      <w:r w:rsidR="002F646B" w:rsidRPr="007A6F79">
        <w:rPr>
          <w:rFonts w:ascii="Times New Roman" w:hAnsi="Times New Roman" w:cs="Times New Roman"/>
          <w:b/>
          <w:bCs/>
        </w:rPr>
        <w:t xml:space="preserve">      figure 2a </w:t>
      </w:r>
      <w:r w:rsidR="002F646B" w:rsidRPr="007A6F79">
        <w:rPr>
          <w:rFonts w:ascii="Times New Roman" w:hAnsi="Times New Roman" w:cs="Times New Roman"/>
          <w:b/>
          <w:bCs/>
        </w:rPr>
        <w:tab/>
      </w:r>
      <w:r w:rsidRPr="007A6F79">
        <w:rPr>
          <w:rFonts w:ascii="Times New Roman" w:hAnsi="Times New Roman" w:cs="Times New Roman"/>
          <w:b/>
          <w:bCs/>
        </w:rPr>
        <w:t xml:space="preserve">   </w:t>
      </w:r>
      <w:r w:rsidR="002F646B" w:rsidRPr="007A6F79">
        <w:rPr>
          <w:rFonts w:ascii="Times New Roman" w:hAnsi="Times New Roman" w:cs="Times New Roman"/>
          <w:b/>
          <w:bCs/>
        </w:rPr>
        <w:tab/>
      </w:r>
      <w:r w:rsidR="009F17DD" w:rsidRPr="007A6F79">
        <w:rPr>
          <w:rFonts w:ascii="Times New Roman" w:hAnsi="Times New Roman" w:cs="Times New Roman"/>
          <w:b/>
          <w:bCs/>
        </w:rPr>
        <w:t xml:space="preserve">     </w:t>
      </w:r>
      <w:r w:rsidRPr="007A6F79">
        <w:rPr>
          <w:rFonts w:ascii="Times New Roman" w:hAnsi="Times New Roman" w:cs="Times New Roman"/>
          <w:b/>
          <w:bCs/>
        </w:rPr>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figure 2b</w:t>
      </w:r>
      <w:r w:rsidR="002F646B" w:rsidRPr="007A6F79">
        <w:rPr>
          <w:rFonts w:ascii="Times New Roman" w:hAnsi="Times New Roman" w:cs="Times New Roman"/>
          <w:b/>
          <w:bCs/>
        </w:rPr>
        <w:tab/>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 xml:space="preserve"> figure 2c</w:t>
      </w:r>
      <w:r w:rsidR="002F646B" w:rsidRPr="007A6F79">
        <w:rPr>
          <w:rFonts w:ascii="Times New Roman" w:hAnsi="Times New Roman" w:cs="Times New Roman"/>
          <w:b/>
          <w:bCs/>
        </w:rPr>
        <w:tab/>
      </w:r>
      <w:r w:rsidR="002F646B" w:rsidRPr="007A6F79">
        <w:rPr>
          <w:rFonts w:ascii="Times New Roman" w:hAnsi="Times New Roman" w:cs="Times New Roman"/>
          <w:b/>
          <w:bCs/>
        </w:rPr>
        <w:tab/>
      </w:r>
      <w:r w:rsidR="009F17DD" w:rsidRPr="007A6F79">
        <w:rPr>
          <w:rFonts w:ascii="Times New Roman" w:hAnsi="Times New Roman" w:cs="Times New Roman"/>
          <w:b/>
          <w:bCs/>
        </w:rPr>
        <w:t xml:space="preserve">   </w:t>
      </w:r>
      <w:r w:rsidRPr="007A6F79">
        <w:rPr>
          <w:rFonts w:ascii="Times New Roman" w:hAnsi="Times New Roman" w:cs="Times New Roman"/>
          <w:b/>
          <w:bCs/>
        </w:rPr>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 xml:space="preserve"> figure 2d</w:t>
      </w:r>
    </w:p>
    <w:p w14:paraId="0FB1D708" w14:textId="77777777" w:rsidR="00AA284C" w:rsidRPr="007A6F79" w:rsidRDefault="00AA284C" w:rsidP="00EF2196">
      <w:pPr>
        <w:jc w:val="both"/>
        <w:rPr>
          <w:rFonts w:ascii="Times New Roman" w:hAnsi="Times New Roman" w:cs="Times New Roman"/>
        </w:rPr>
      </w:pPr>
    </w:p>
    <w:p w14:paraId="7A2929D4" w14:textId="3A97F24C" w:rsidR="00293F9B" w:rsidRPr="007A6F79" w:rsidRDefault="00293F9B" w:rsidP="00293F9B">
      <w:pPr>
        <w:jc w:val="both"/>
        <w:rPr>
          <w:rFonts w:ascii="Times New Roman" w:hAnsi="Times New Roman" w:cs="Times New Roman"/>
        </w:rPr>
      </w:pPr>
      <w:r w:rsidRPr="007A6F79">
        <w:rPr>
          <w:rFonts w:ascii="Times New Roman" w:hAnsi="Times New Roman" w:cs="Times New Roman"/>
        </w:rPr>
        <w:t xml:space="preserve">Step 2: To determine the weight of the plastic on the scale, begin by placing the scale pointer at the zero level of the top loader. Get rid of any dust particles on the weighing platform. Carefully remove the plastic from the bag and place it onto the scale's tray. Pour the plastic into the tray and take note of the scale reading at eye </w:t>
      </w:r>
      <w:proofErr w:type="gramStart"/>
      <w:r w:rsidRPr="007A6F79">
        <w:rPr>
          <w:rFonts w:ascii="Times New Roman" w:hAnsi="Times New Roman" w:cs="Times New Roman"/>
        </w:rPr>
        <w:t>level</w:t>
      </w:r>
      <w:r w:rsidR="00E83916" w:rsidRPr="007A6F79">
        <w:rPr>
          <w:rFonts w:ascii="Times New Roman" w:hAnsi="Times New Roman" w:cs="Times New Roman"/>
        </w:rPr>
        <w:t>[</w:t>
      </w:r>
      <w:proofErr w:type="gramEnd"/>
      <w:r w:rsidR="00E83916" w:rsidRPr="007A6F79">
        <w:rPr>
          <w:rFonts w:ascii="Times New Roman" w:hAnsi="Times New Roman" w:cs="Times New Roman"/>
        </w:rPr>
        <w:t>8]</w:t>
      </w:r>
      <w:r w:rsidRPr="007A6F79">
        <w:rPr>
          <w:rFonts w:ascii="Times New Roman" w:hAnsi="Times New Roman" w:cs="Times New Roman"/>
        </w:rPr>
        <w:t xml:space="preserve">, to the nearest tenth of a kilogram. Be sure to record the weight of the plastic. Steps 3 and 4: Continuing with Figure 2a, move the plastic into a preheated pan by removing the top loader cover and pouring it in. Step 5: With caution and without directly touching them with bare hands, weigh the sand and rock powder (Fig: 2b). To ensure a smooth and safe process, it is recommended to use paper towels or gloves. Just like with the plastic, follow the weighing </w:t>
      </w:r>
      <w:proofErr w:type="gramStart"/>
      <w:r w:rsidRPr="007A6F79">
        <w:rPr>
          <w:rFonts w:ascii="Times New Roman" w:hAnsi="Times New Roman" w:cs="Times New Roman"/>
        </w:rPr>
        <w:t>steps</w:t>
      </w:r>
      <w:proofErr w:type="gramEnd"/>
      <w:r w:rsidRPr="007A6F79">
        <w:rPr>
          <w:rFonts w:ascii="Times New Roman" w:hAnsi="Times New Roman" w:cs="Times New Roman"/>
        </w:rPr>
        <w:t xml:space="preserve"> and accurately record the findings on the report sheet. Once finished, carefully lift the pan off the scale and transfer the sand and rock dust into a preheated pan. Moving on to the next stage (Figure 2a, Steps No-6 and 7), mix the plastic particles thoroughly. Then, continue onto Steps No-8 and 9 (Figure 2a), and carefully apply heat to the pan, allowing the plastic to melt at 294°C.</w:t>
      </w:r>
    </w:p>
    <w:p w14:paraId="61C03A34" w14:textId="76B789AA" w:rsidR="00F2220C" w:rsidRPr="007A6F79" w:rsidRDefault="00F2220C" w:rsidP="00293F9B">
      <w:pPr>
        <w:jc w:val="both"/>
        <w:rPr>
          <w:rFonts w:ascii="Times New Roman" w:hAnsi="Times New Roman" w:cs="Times New Roman"/>
        </w:rPr>
      </w:pPr>
      <w:r w:rsidRPr="007A6F79">
        <w:rPr>
          <w:rFonts w:ascii="Times New Roman" w:hAnsi="Times New Roman" w:cs="Times New Roman"/>
          <w:b/>
          <w:bCs/>
        </w:rPr>
        <w:lastRenderedPageBreak/>
        <w:t>Table</w:t>
      </w:r>
      <w:r w:rsidRPr="007A6F79">
        <w:rPr>
          <w:rFonts w:ascii="Times New Roman" w:hAnsi="Times New Roman" w:cs="Times New Roman"/>
        </w:rPr>
        <w:t>:3 physical properties of RPSCA and RPRDCA aggregate</w:t>
      </w:r>
    </w:p>
    <w:tbl>
      <w:tblPr>
        <w:tblStyle w:val="TableGrid"/>
        <w:tblpPr w:leftFromText="181" w:rightFromText="181" w:vertAnchor="text" w:tblpX="108" w:tblpY="1"/>
        <w:tblOverlap w:val="never"/>
        <w:tblW w:w="8876" w:type="dxa"/>
        <w:tblLook w:val="04A0" w:firstRow="1" w:lastRow="0" w:firstColumn="1" w:lastColumn="0" w:noHBand="0" w:noVBand="1"/>
      </w:tblPr>
      <w:tblGrid>
        <w:gridCol w:w="2663"/>
        <w:gridCol w:w="1472"/>
        <w:gridCol w:w="1681"/>
        <w:gridCol w:w="1552"/>
        <w:gridCol w:w="1508"/>
      </w:tblGrid>
      <w:tr w:rsidR="00F2220C" w:rsidRPr="007A6F79" w14:paraId="55488D86" w14:textId="77777777" w:rsidTr="007A6F79">
        <w:trPr>
          <w:trHeight w:val="203"/>
        </w:trPr>
        <w:tc>
          <w:tcPr>
            <w:tcW w:w="2663" w:type="dxa"/>
          </w:tcPr>
          <w:p w14:paraId="2685CCD6" w14:textId="77777777" w:rsidR="00F2220C" w:rsidRPr="007A6F79" w:rsidRDefault="00F2220C" w:rsidP="00EF2196">
            <w:pPr>
              <w:jc w:val="both"/>
              <w:rPr>
                <w:rFonts w:ascii="Times New Roman" w:hAnsi="Times New Roman" w:cs="Times New Roman"/>
                <w:b/>
                <w:bCs/>
              </w:rPr>
            </w:pPr>
            <w:r w:rsidRPr="007A6F79">
              <w:rPr>
                <w:rFonts w:ascii="Times New Roman" w:hAnsi="Times New Roman" w:cs="Times New Roman"/>
                <w:b/>
                <w:bCs/>
              </w:rPr>
              <w:t>Physical Property</w:t>
            </w:r>
          </w:p>
        </w:tc>
        <w:tc>
          <w:tcPr>
            <w:tcW w:w="1472" w:type="dxa"/>
          </w:tcPr>
          <w:p w14:paraId="760FEF74"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1:1-RPSCA</w:t>
            </w:r>
          </w:p>
        </w:tc>
        <w:tc>
          <w:tcPr>
            <w:tcW w:w="1681" w:type="dxa"/>
          </w:tcPr>
          <w:p w14:paraId="5C621A71"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1:2-RPSCA</w:t>
            </w:r>
          </w:p>
        </w:tc>
        <w:tc>
          <w:tcPr>
            <w:tcW w:w="1552" w:type="dxa"/>
          </w:tcPr>
          <w:p w14:paraId="3A9D5112"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1:1-RPRDCA</w:t>
            </w:r>
          </w:p>
        </w:tc>
        <w:tc>
          <w:tcPr>
            <w:tcW w:w="1508" w:type="dxa"/>
          </w:tcPr>
          <w:p w14:paraId="403BE838"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1:2-RPRDCA</w:t>
            </w:r>
          </w:p>
        </w:tc>
      </w:tr>
      <w:tr w:rsidR="00F2220C" w:rsidRPr="007A6F79" w14:paraId="354AE1F9" w14:textId="77777777" w:rsidTr="007A6F79">
        <w:trPr>
          <w:trHeight w:val="195"/>
        </w:trPr>
        <w:tc>
          <w:tcPr>
            <w:tcW w:w="2663" w:type="dxa"/>
          </w:tcPr>
          <w:p w14:paraId="5B6A3E12"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Bulk Density (kg/m3) (ASTM C330-99: table-2)</w:t>
            </w:r>
          </w:p>
        </w:tc>
        <w:tc>
          <w:tcPr>
            <w:tcW w:w="1472" w:type="dxa"/>
          </w:tcPr>
          <w:p w14:paraId="15DC2410"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653</w:t>
            </w:r>
          </w:p>
        </w:tc>
        <w:tc>
          <w:tcPr>
            <w:tcW w:w="1681" w:type="dxa"/>
          </w:tcPr>
          <w:p w14:paraId="39604664"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845</w:t>
            </w:r>
          </w:p>
        </w:tc>
        <w:tc>
          <w:tcPr>
            <w:tcW w:w="1552" w:type="dxa"/>
          </w:tcPr>
          <w:p w14:paraId="3D79363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660</w:t>
            </w:r>
          </w:p>
        </w:tc>
        <w:tc>
          <w:tcPr>
            <w:tcW w:w="1508" w:type="dxa"/>
          </w:tcPr>
          <w:p w14:paraId="6E224F58"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867</w:t>
            </w:r>
          </w:p>
        </w:tc>
      </w:tr>
      <w:tr w:rsidR="00F2220C" w:rsidRPr="007A6F79" w14:paraId="53F3A1DE" w14:textId="77777777" w:rsidTr="007A6F79">
        <w:trPr>
          <w:trHeight w:val="203"/>
        </w:trPr>
        <w:tc>
          <w:tcPr>
            <w:tcW w:w="2663" w:type="dxa"/>
          </w:tcPr>
          <w:p w14:paraId="14CBE2C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Absorption (%)</w:t>
            </w:r>
          </w:p>
        </w:tc>
        <w:tc>
          <w:tcPr>
            <w:tcW w:w="1472" w:type="dxa"/>
          </w:tcPr>
          <w:p w14:paraId="6CC8A80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0.352</w:t>
            </w:r>
          </w:p>
        </w:tc>
        <w:tc>
          <w:tcPr>
            <w:tcW w:w="1681" w:type="dxa"/>
          </w:tcPr>
          <w:p w14:paraId="68E3721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0.369</w:t>
            </w:r>
          </w:p>
        </w:tc>
        <w:tc>
          <w:tcPr>
            <w:tcW w:w="1552" w:type="dxa"/>
          </w:tcPr>
          <w:p w14:paraId="789D53F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0.106</w:t>
            </w:r>
          </w:p>
        </w:tc>
        <w:tc>
          <w:tcPr>
            <w:tcW w:w="1508" w:type="dxa"/>
          </w:tcPr>
          <w:p w14:paraId="46AC1D7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0.114</w:t>
            </w:r>
          </w:p>
        </w:tc>
      </w:tr>
      <w:tr w:rsidR="00F2220C" w:rsidRPr="007A6F79" w14:paraId="53EFFC19" w14:textId="77777777" w:rsidTr="007A6F79">
        <w:trPr>
          <w:trHeight w:val="203"/>
        </w:trPr>
        <w:tc>
          <w:tcPr>
            <w:tcW w:w="2663" w:type="dxa"/>
          </w:tcPr>
          <w:p w14:paraId="4495A59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Particle Shape</w:t>
            </w:r>
          </w:p>
        </w:tc>
        <w:tc>
          <w:tcPr>
            <w:tcW w:w="1472" w:type="dxa"/>
          </w:tcPr>
          <w:p w14:paraId="3BFEEAA0"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 angular</w:t>
            </w:r>
          </w:p>
        </w:tc>
        <w:tc>
          <w:tcPr>
            <w:tcW w:w="1681" w:type="dxa"/>
          </w:tcPr>
          <w:p w14:paraId="3D7BC242"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 angular</w:t>
            </w:r>
          </w:p>
        </w:tc>
        <w:tc>
          <w:tcPr>
            <w:tcW w:w="1552" w:type="dxa"/>
          </w:tcPr>
          <w:p w14:paraId="4FD8386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 angular</w:t>
            </w:r>
          </w:p>
        </w:tc>
        <w:tc>
          <w:tcPr>
            <w:tcW w:w="1508" w:type="dxa"/>
          </w:tcPr>
          <w:p w14:paraId="34F91D90"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 angular</w:t>
            </w:r>
          </w:p>
        </w:tc>
      </w:tr>
      <w:tr w:rsidR="00F2220C" w:rsidRPr="007A6F79" w14:paraId="6A3B3907" w14:textId="77777777" w:rsidTr="007A6F79">
        <w:trPr>
          <w:trHeight w:val="195"/>
        </w:trPr>
        <w:tc>
          <w:tcPr>
            <w:tcW w:w="2663" w:type="dxa"/>
          </w:tcPr>
          <w:p w14:paraId="38A71C4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Type</w:t>
            </w:r>
          </w:p>
        </w:tc>
        <w:tc>
          <w:tcPr>
            <w:tcW w:w="1472" w:type="dxa"/>
          </w:tcPr>
          <w:p w14:paraId="7DF5B246"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c>
          <w:tcPr>
            <w:tcW w:w="1681" w:type="dxa"/>
          </w:tcPr>
          <w:p w14:paraId="55C534B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c>
          <w:tcPr>
            <w:tcW w:w="1552" w:type="dxa"/>
          </w:tcPr>
          <w:p w14:paraId="09854D0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c>
          <w:tcPr>
            <w:tcW w:w="1508" w:type="dxa"/>
          </w:tcPr>
          <w:p w14:paraId="59E967AD"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r>
      <w:tr w:rsidR="00F2220C" w:rsidRPr="007A6F79" w14:paraId="55A7C1C6" w14:textId="77777777" w:rsidTr="007A6F79">
        <w:trPr>
          <w:trHeight w:val="203"/>
        </w:trPr>
        <w:tc>
          <w:tcPr>
            <w:tcW w:w="2663" w:type="dxa"/>
          </w:tcPr>
          <w:p w14:paraId="7D07B1EF"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Nominal Maximum Size(mm)</w:t>
            </w:r>
          </w:p>
        </w:tc>
        <w:tc>
          <w:tcPr>
            <w:tcW w:w="1472" w:type="dxa"/>
          </w:tcPr>
          <w:p w14:paraId="2B420959"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c>
          <w:tcPr>
            <w:tcW w:w="1681" w:type="dxa"/>
          </w:tcPr>
          <w:p w14:paraId="1F6D67FC"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c>
          <w:tcPr>
            <w:tcW w:w="1552" w:type="dxa"/>
          </w:tcPr>
          <w:p w14:paraId="433B016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c>
          <w:tcPr>
            <w:tcW w:w="1508" w:type="dxa"/>
          </w:tcPr>
          <w:p w14:paraId="49B23BA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r>
      <w:tr w:rsidR="00F2220C" w:rsidRPr="007A6F79" w14:paraId="12EA177E" w14:textId="77777777" w:rsidTr="007A6F79">
        <w:trPr>
          <w:trHeight w:val="203"/>
        </w:trPr>
        <w:tc>
          <w:tcPr>
            <w:tcW w:w="2663" w:type="dxa"/>
          </w:tcPr>
          <w:p w14:paraId="1FC19AA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Surface Texture</w:t>
            </w:r>
          </w:p>
        </w:tc>
        <w:tc>
          <w:tcPr>
            <w:tcW w:w="1472" w:type="dxa"/>
          </w:tcPr>
          <w:p w14:paraId="6157BF34"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 rough/ porous</w:t>
            </w:r>
          </w:p>
        </w:tc>
        <w:tc>
          <w:tcPr>
            <w:tcW w:w="1681" w:type="dxa"/>
          </w:tcPr>
          <w:p w14:paraId="7E4F1E5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 rough/ porous</w:t>
            </w:r>
          </w:p>
        </w:tc>
        <w:tc>
          <w:tcPr>
            <w:tcW w:w="1552" w:type="dxa"/>
          </w:tcPr>
          <w:p w14:paraId="3C4C7B8D"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 rough/ porous</w:t>
            </w:r>
          </w:p>
        </w:tc>
        <w:tc>
          <w:tcPr>
            <w:tcW w:w="1508" w:type="dxa"/>
          </w:tcPr>
          <w:p w14:paraId="5D2C98AD"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 rough/ porous</w:t>
            </w:r>
          </w:p>
        </w:tc>
      </w:tr>
      <w:tr w:rsidR="00F2220C" w:rsidRPr="007A6F79" w14:paraId="4729A465" w14:textId="77777777" w:rsidTr="007A6F79">
        <w:trPr>
          <w:trHeight w:val="266"/>
        </w:trPr>
        <w:tc>
          <w:tcPr>
            <w:tcW w:w="2663" w:type="dxa"/>
          </w:tcPr>
          <w:p w14:paraId="3993ECC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 xml:space="preserve">Specific </w:t>
            </w:r>
            <w:proofErr w:type="gramStart"/>
            <w:r w:rsidRPr="007A6F79">
              <w:rPr>
                <w:rFonts w:ascii="Times New Roman" w:hAnsi="Times New Roman" w:cs="Times New Roman"/>
              </w:rPr>
              <w:t>Gravity(</w:t>
            </w:r>
            <w:proofErr w:type="gramEnd"/>
            <w:r w:rsidRPr="007A6F79">
              <w:rPr>
                <w:rFonts w:ascii="Times New Roman" w:hAnsi="Times New Roman" w:cs="Times New Roman"/>
              </w:rPr>
              <w:t>IS:2386-1963)</w:t>
            </w:r>
          </w:p>
        </w:tc>
        <w:tc>
          <w:tcPr>
            <w:tcW w:w="1472" w:type="dxa"/>
          </w:tcPr>
          <w:p w14:paraId="7AF05ED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1.42</w:t>
            </w:r>
          </w:p>
        </w:tc>
        <w:tc>
          <w:tcPr>
            <w:tcW w:w="1681" w:type="dxa"/>
          </w:tcPr>
          <w:p w14:paraId="72746827"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1.57</w:t>
            </w:r>
          </w:p>
        </w:tc>
        <w:tc>
          <w:tcPr>
            <w:tcW w:w="1552" w:type="dxa"/>
          </w:tcPr>
          <w:p w14:paraId="76CC8398"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1.42</w:t>
            </w:r>
          </w:p>
        </w:tc>
        <w:tc>
          <w:tcPr>
            <w:tcW w:w="1508" w:type="dxa"/>
          </w:tcPr>
          <w:p w14:paraId="1EE15FEC"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1.56</w:t>
            </w:r>
          </w:p>
        </w:tc>
      </w:tr>
      <w:tr w:rsidR="00F2220C" w:rsidRPr="007A6F79" w14:paraId="48DE82E2" w14:textId="77777777" w:rsidTr="007A6F79">
        <w:trPr>
          <w:trHeight w:val="266"/>
        </w:trPr>
        <w:tc>
          <w:tcPr>
            <w:tcW w:w="2663" w:type="dxa"/>
          </w:tcPr>
          <w:p w14:paraId="2394915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Color</w:t>
            </w:r>
          </w:p>
        </w:tc>
        <w:tc>
          <w:tcPr>
            <w:tcW w:w="1472" w:type="dxa"/>
          </w:tcPr>
          <w:p w14:paraId="159921A9"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Brown</w:t>
            </w:r>
          </w:p>
        </w:tc>
        <w:tc>
          <w:tcPr>
            <w:tcW w:w="1681" w:type="dxa"/>
          </w:tcPr>
          <w:p w14:paraId="2EACFC74"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Brown</w:t>
            </w:r>
          </w:p>
        </w:tc>
        <w:tc>
          <w:tcPr>
            <w:tcW w:w="1552" w:type="dxa"/>
          </w:tcPr>
          <w:p w14:paraId="3D5DC07D"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brown</w:t>
            </w:r>
          </w:p>
        </w:tc>
        <w:tc>
          <w:tcPr>
            <w:tcW w:w="1508" w:type="dxa"/>
          </w:tcPr>
          <w:p w14:paraId="50AE46C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brown</w:t>
            </w:r>
          </w:p>
        </w:tc>
      </w:tr>
    </w:tbl>
    <w:p w14:paraId="5866C5DA" w14:textId="77777777" w:rsidR="00B520CD" w:rsidRPr="007A6F79" w:rsidRDefault="00B520CD" w:rsidP="00EF2196">
      <w:pPr>
        <w:jc w:val="both"/>
        <w:rPr>
          <w:rFonts w:ascii="Times New Roman" w:hAnsi="Times New Roman" w:cs="Times New Roman"/>
        </w:rPr>
      </w:pPr>
    </w:p>
    <w:p w14:paraId="0CBC1EBD" w14:textId="14406381" w:rsidR="00F2220C" w:rsidRPr="007A6F79" w:rsidRDefault="00071ABF" w:rsidP="00EF2196">
      <w:pPr>
        <w:jc w:val="both"/>
        <w:rPr>
          <w:rFonts w:ascii="Times New Roman" w:hAnsi="Times New Roman" w:cs="Times New Roman"/>
        </w:rPr>
      </w:pPr>
      <w:r w:rsidRPr="007A6F79">
        <w:rPr>
          <w:rFonts w:ascii="Times New Roman" w:hAnsi="Times New Roman" w:cs="Times New Roman"/>
        </w:rPr>
        <w:t>Manufacturing Procedure: The production of aggregates involved employing the MESH SHAKING TECHNIQUE. Initially, 500 grams of high-density plastic (HDPE) underwent heating on a locally available metallic iron TAWA, starting from room temperature at 27°C. The HDPE was progressively heated until it reached a molten state within the temperature range of 294 to 339°C, as depicted in Figure 2d. For the first mix, 500 grams of sand were used, and for the second mix, 1000 grams were added. The sand was blended into the molten HDPE until a uniform dark paste formed. This mixture was then poured onto a steel mesh, employing a rubbing action to direct the molten mix to fall directly into water. Consequently, aggregates were shaped according to the mesh size, ranging from 2.36mm to 20mm. All temperature readings were meticulously recorded using a thermometer. Safety measures during production included the use of a face mask to mitigate exposure to unhealthy gases released during HDPE burning, as well as safety shoes, gloves, and eyeglasses to minimize the impact of gases on the eyes. Fig. 2c illustrates the produced fire smoke. All aggregates were weighed, exposed to sunlight for drying, and then separated based on sieve sizes ranging from 150 microns to 20mm (sieve analysis conducted).</w:t>
      </w:r>
    </w:p>
    <w:p w14:paraId="18A82864" w14:textId="0072F3EF" w:rsidR="00637136" w:rsidRPr="007A6F79" w:rsidRDefault="00CD51BC" w:rsidP="00637136">
      <w:pPr>
        <w:jc w:val="both"/>
        <w:rPr>
          <w:rFonts w:ascii="Times New Roman" w:hAnsi="Times New Roman" w:cs="Times New Roman"/>
        </w:rPr>
      </w:pPr>
      <w:r w:rsidRPr="007A6F79">
        <w:rPr>
          <w:rFonts w:ascii="Times New Roman" w:hAnsi="Times New Roman" w:cs="Times New Roman"/>
        </w:rPr>
        <w:t>When it comes to determining bulk density, we rely on the guidelines set forth in IS 2386 (PART III)-1963 and ASTM C330-99: Table 2, which provides Particle Size Distribution Curves for RPSCA 1:1, RPSCA 1:2, RPRDCA 1:1, and 1:2 RPRDCA. These aggregates are divided into two categories: single-size and well-graded. Our figure depicts the sieve analysis of the coarse aggregate. We ensure that the cumulative percentage passing of the coarse aggregate aligns with ASTM C330/c330</w:t>
      </w:r>
      <w:proofErr w:type="gramStart"/>
      <w:r w:rsidRPr="007A6F79">
        <w:rPr>
          <w:rFonts w:ascii="Times New Roman" w:hAnsi="Times New Roman" w:cs="Times New Roman"/>
        </w:rPr>
        <w:t>M[</w:t>
      </w:r>
      <w:proofErr w:type="gramEnd"/>
      <w:r w:rsidRPr="007A6F79">
        <w:rPr>
          <w:rFonts w:ascii="Times New Roman" w:hAnsi="Times New Roman" w:cs="Times New Roman"/>
        </w:rPr>
        <w:t>9] and IS 383-2019, specifically the 1.18-20mm specification. The specific gravity and water absorbency values for both single and well-graded coarse aggregates are as follows: 1.42, 1.57, 1.42, 1.56, and 0.352 percent,</w:t>
      </w:r>
      <w:r w:rsidR="00637136" w:rsidRPr="007A6F79">
        <w:rPr>
          <w:rFonts w:ascii="Times New Roman" w:hAnsi="Times New Roman" w:cs="Times New Roman"/>
        </w:rPr>
        <w:t xml:space="preserve"> 0.106 percent, and 0.114 percent, respectively.</w:t>
      </w:r>
    </w:p>
    <w:p w14:paraId="7198243A" w14:textId="062249A4" w:rsidR="006C1EE8" w:rsidRPr="007A6F79" w:rsidRDefault="006C1EE8" w:rsidP="00EF2196">
      <w:pPr>
        <w:jc w:val="both"/>
        <w:rPr>
          <w:rFonts w:ascii="Times New Roman" w:hAnsi="Times New Roman" w:cs="Times New Roman"/>
        </w:rPr>
      </w:pPr>
    </w:p>
    <w:p w14:paraId="30750313" w14:textId="222A9776" w:rsidR="00E60097" w:rsidRPr="007A6F79" w:rsidRDefault="006C1EE8" w:rsidP="00EF2196">
      <w:pPr>
        <w:jc w:val="both"/>
        <w:rPr>
          <w:rFonts w:ascii="Times New Roman" w:hAnsi="Times New Roman" w:cs="Times New Roman"/>
        </w:rPr>
      </w:pPr>
      <w:r w:rsidRPr="007A6F79">
        <w:rPr>
          <w:rFonts w:ascii="Times New Roman" w:hAnsi="Times New Roman" w:cs="Times New Roman"/>
          <w:noProof/>
        </w:rPr>
        <w:lastRenderedPageBreak/>
        <w:drawing>
          <wp:anchor distT="0" distB="0" distL="114300" distR="114300" simplePos="0" relativeHeight="251664384" behindDoc="0" locked="0" layoutInCell="1" allowOverlap="1" wp14:anchorId="57014882" wp14:editId="788E15B6">
            <wp:simplePos x="0" y="0"/>
            <wp:positionH relativeFrom="margin">
              <wp:align>left</wp:align>
            </wp:positionH>
            <wp:positionV relativeFrom="paragraph">
              <wp:posOffset>40005</wp:posOffset>
            </wp:positionV>
            <wp:extent cx="2584450" cy="1955800"/>
            <wp:effectExtent l="0" t="0" r="6350" b="6350"/>
            <wp:wrapNone/>
            <wp:docPr id="6" name="Chart 6">
              <a:extLst xmlns:a="http://schemas.openxmlformats.org/drawingml/2006/main">
                <a:ext uri="{FF2B5EF4-FFF2-40B4-BE49-F238E27FC236}">
                  <a16:creationId xmlns:a16="http://schemas.microsoft.com/office/drawing/2014/main" id="{C270D9A9-3125-A4B0-CFE4-673DFF764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noProof/>
        </w:rPr>
        <w:drawing>
          <wp:anchor distT="0" distB="0" distL="114300" distR="114300" simplePos="0" relativeHeight="251665408" behindDoc="0" locked="0" layoutInCell="1" allowOverlap="1" wp14:anchorId="3BBB50AD" wp14:editId="1C12DC89">
            <wp:simplePos x="0" y="0"/>
            <wp:positionH relativeFrom="margin">
              <wp:posOffset>2959100</wp:posOffset>
            </wp:positionH>
            <wp:positionV relativeFrom="paragraph">
              <wp:posOffset>-635</wp:posOffset>
            </wp:positionV>
            <wp:extent cx="2540000" cy="1981200"/>
            <wp:effectExtent l="0" t="0" r="12700" b="0"/>
            <wp:wrapNone/>
            <wp:docPr id="1" name="Chart 1">
              <a:extLst xmlns:a="http://schemas.openxmlformats.org/drawingml/2006/main">
                <a:ext uri="{FF2B5EF4-FFF2-40B4-BE49-F238E27FC236}">
                  <a16:creationId xmlns:a16="http://schemas.microsoft.com/office/drawing/2014/main" id="{4A23D724-C56C-0727-6CF0-8B7B15CEA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BB6726A" w14:textId="478653F3" w:rsidR="004C4563" w:rsidRPr="007A6F79" w:rsidRDefault="004C4563" w:rsidP="00EF2196">
      <w:pPr>
        <w:jc w:val="both"/>
        <w:rPr>
          <w:rFonts w:ascii="Times New Roman" w:hAnsi="Times New Roman" w:cs="Times New Roman"/>
        </w:rPr>
      </w:pPr>
    </w:p>
    <w:p w14:paraId="196F8DC2" w14:textId="77777777" w:rsidR="00143BF0" w:rsidRPr="007A6F79" w:rsidRDefault="00143BF0" w:rsidP="00EF2196">
      <w:pPr>
        <w:jc w:val="both"/>
        <w:rPr>
          <w:rFonts w:ascii="Times New Roman" w:hAnsi="Times New Roman" w:cs="Times New Roman"/>
        </w:rPr>
      </w:pPr>
    </w:p>
    <w:p w14:paraId="344A7CCE" w14:textId="77777777" w:rsidR="00143BF0" w:rsidRPr="007A6F79" w:rsidRDefault="00143BF0" w:rsidP="00EF2196">
      <w:pPr>
        <w:jc w:val="both"/>
        <w:rPr>
          <w:rFonts w:ascii="Times New Roman" w:hAnsi="Times New Roman" w:cs="Times New Roman"/>
        </w:rPr>
      </w:pPr>
    </w:p>
    <w:p w14:paraId="3B416F92" w14:textId="77777777" w:rsidR="00143BF0" w:rsidRPr="007A6F79" w:rsidRDefault="00143BF0" w:rsidP="00EF2196">
      <w:pPr>
        <w:jc w:val="both"/>
        <w:rPr>
          <w:rFonts w:ascii="Times New Roman" w:hAnsi="Times New Roman" w:cs="Times New Roman"/>
        </w:rPr>
      </w:pPr>
    </w:p>
    <w:p w14:paraId="42068194" w14:textId="77777777" w:rsidR="00143BF0" w:rsidRPr="007A6F79" w:rsidRDefault="00143BF0" w:rsidP="00EF2196">
      <w:pPr>
        <w:jc w:val="both"/>
        <w:rPr>
          <w:rFonts w:ascii="Times New Roman" w:hAnsi="Times New Roman" w:cs="Times New Roman"/>
        </w:rPr>
      </w:pPr>
    </w:p>
    <w:p w14:paraId="0C8AC822" w14:textId="77777777" w:rsidR="00143BF0" w:rsidRPr="007A6F79" w:rsidRDefault="00143BF0" w:rsidP="00EF2196">
      <w:pPr>
        <w:jc w:val="both"/>
        <w:rPr>
          <w:rFonts w:ascii="Times New Roman" w:hAnsi="Times New Roman" w:cs="Times New Roman"/>
        </w:rPr>
      </w:pPr>
    </w:p>
    <w:p w14:paraId="18AD2D61" w14:textId="3D5D48F5" w:rsidR="00066DBB" w:rsidRPr="007A6F79" w:rsidRDefault="00265CC1" w:rsidP="00EF2196">
      <w:pPr>
        <w:jc w:val="both"/>
        <w:rPr>
          <w:rFonts w:ascii="Times New Roman" w:hAnsi="Times New Roman" w:cs="Times New Roman"/>
        </w:rPr>
      </w:pPr>
      <w:r w:rsidRPr="007A6F79">
        <w:rPr>
          <w:rFonts w:ascii="Times New Roman" w:hAnsi="Times New Roman" w:cs="Times New Roman"/>
          <w:b/>
          <w:bCs/>
        </w:rPr>
        <w:t>Microstructure Examination of Aggregates</w:t>
      </w:r>
      <w:r w:rsidRPr="007A6F79">
        <w:rPr>
          <w:rFonts w:ascii="Times New Roman" w:hAnsi="Times New Roman" w:cs="Times New Roman"/>
        </w:rPr>
        <w:t xml:space="preserve">: </w:t>
      </w:r>
      <w:r w:rsidR="00CD51BC" w:rsidRPr="007A6F79">
        <w:rPr>
          <w:rFonts w:ascii="Times New Roman" w:hAnsi="Times New Roman" w:cs="Times New Roman"/>
        </w:rPr>
        <w:t xml:space="preserve">The SEM instrument consists of two essential components: the electronic console and the electron column [10]. Governing the instrument's settings are an array of control knobs and switches on the electronic console, which regulate filament current, gear voltage, focus, magnification, brightness, and contrast. By utilizing advanced magnification capabilities, the scanning electron microscope (SEM) allows for the meticulous examination of a wide range of physical and chemical properties, such as size, shape, composition, and crystallography [11]. These controls can all be easily accessed through a computer interface. </w:t>
      </w:r>
      <w:proofErr w:type="gramStart"/>
      <w:r w:rsidR="00CD51BC" w:rsidRPr="007A6F79">
        <w:rPr>
          <w:rFonts w:ascii="Times New Roman" w:hAnsi="Times New Roman" w:cs="Times New Roman"/>
        </w:rPr>
        <w:t>In order to</w:t>
      </w:r>
      <w:proofErr w:type="gramEnd"/>
      <w:r w:rsidR="00CD51BC" w:rsidRPr="007A6F79">
        <w:rPr>
          <w:rFonts w:ascii="Times New Roman" w:hAnsi="Times New Roman" w:cs="Times New Roman"/>
        </w:rPr>
        <w:t xml:space="preserve"> detect secondary and backscattered electrons, samples are expertly mounted on the stage using a goniometer for secure and precise positioning.</w:t>
      </w:r>
      <w:r w:rsidR="00CD51BC" w:rsidRPr="007A6F79">
        <w:rPr>
          <w:rFonts w:ascii="Times New Roman" w:hAnsi="Times New Roman" w:cs="Times New Roman"/>
        </w:rPr>
        <w:t xml:space="preserve"> </w:t>
      </w:r>
      <w:r w:rsidR="00CD51BC" w:rsidRPr="007A6F79">
        <w:rPr>
          <w:rFonts w:ascii="Times New Roman" w:hAnsi="Times New Roman" w:cs="Times New Roman"/>
        </w:rPr>
        <w:t xml:space="preserve">When examining plastic aggregate at a microscopic level, it is common for the X-ray detector to be placed close to the sample on one side of the </w:t>
      </w:r>
      <w:proofErr w:type="gramStart"/>
      <w:r w:rsidR="00CD51BC" w:rsidRPr="007A6F79">
        <w:rPr>
          <w:rFonts w:ascii="Times New Roman" w:hAnsi="Times New Roman" w:cs="Times New Roman"/>
        </w:rPr>
        <w:t>chamber[</w:t>
      </w:r>
      <w:proofErr w:type="gramEnd"/>
      <w:r w:rsidR="00CD51BC" w:rsidRPr="007A6F79">
        <w:rPr>
          <w:rFonts w:ascii="Times New Roman" w:hAnsi="Times New Roman" w:cs="Times New Roman"/>
        </w:rPr>
        <w:t xml:space="preserve">11]. Through energy-dispersive X-ray spectroscopy (EDX), the focused electron beam is used to generate an X-ray spectrum from the solid sample. This allows for a detailed chemical analysis of a specific </w:t>
      </w:r>
      <w:proofErr w:type="gramStart"/>
      <w:r w:rsidR="00CD51BC" w:rsidRPr="007A6F79">
        <w:rPr>
          <w:rFonts w:ascii="Times New Roman" w:hAnsi="Times New Roman" w:cs="Times New Roman"/>
        </w:rPr>
        <w:t>region[</w:t>
      </w:r>
      <w:proofErr w:type="gramEnd"/>
      <w:r w:rsidR="00CD51BC" w:rsidRPr="007A6F79">
        <w:rPr>
          <w:rFonts w:ascii="Times New Roman" w:hAnsi="Times New Roman" w:cs="Times New Roman"/>
        </w:rPr>
        <w:t>11].</w:t>
      </w:r>
    </w:p>
    <w:p w14:paraId="70D3A8B4" w14:textId="31244449" w:rsidR="009071F3" w:rsidRPr="007A6F79" w:rsidRDefault="007A6F79" w:rsidP="00EF2196">
      <w:pPr>
        <w:jc w:val="both"/>
        <w:rPr>
          <w:rFonts w:ascii="Times New Roman" w:hAnsi="Times New Roman" w:cs="Times New Roman"/>
        </w:rPr>
      </w:pPr>
      <w:r w:rsidRPr="007A6F79">
        <w:rPr>
          <w:rFonts w:ascii="Times New Roman" w:hAnsi="Times New Roman" w:cs="Times New Roman"/>
          <w:noProof/>
        </w:rPr>
        <w:drawing>
          <wp:anchor distT="0" distB="0" distL="114300" distR="114300" simplePos="0" relativeHeight="251673600" behindDoc="0" locked="0" layoutInCell="1" allowOverlap="1" wp14:anchorId="25ACD67E" wp14:editId="262657E7">
            <wp:simplePos x="0" y="0"/>
            <wp:positionH relativeFrom="column">
              <wp:posOffset>3111500</wp:posOffset>
            </wp:positionH>
            <wp:positionV relativeFrom="paragraph">
              <wp:posOffset>7620</wp:posOffset>
            </wp:positionV>
            <wp:extent cx="2635250" cy="882650"/>
            <wp:effectExtent l="0" t="0" r="0" b="0"/>
            <wp:wrapNone/>
            <wp:docPr id="1635862984" name="Picture 1635862984" descr="Close-up of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62984" name="Picture 1635862984" descr="Close-up of a grey su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52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1F3" w:rsidRPr="007A6F79">
        <w:rPr>
          <w:rFonts w:ascii="Times New Roman" w:hAnsi="Times New Roman" w:cs="Times New Roman"/>
          <w:noProof/>
        </w:rPr>
        <w:drawing>
          <wp:anchor distT="0" distB="0" distL="114300" distR="114300" simplePos="0" relativeHeight="251672576" behindDoc="0" locked="0" layoutInCell="1" allowOverlap="1" wp14:anchorId="3FC1EA43" wp14:editId="197B54B2">
            <wp:simplePos x="0" y="0"/>
            <wp:positionH relativeFrom="margin">
              <wp:align>left</wp:align>
            </wp:positionH>
            <wp:positionV relativeFrom="paragraph">
              <wp:posOffset>-635</wp:posOffset>
            </wp:positionV>
            <wp:extent cx="2703830" cy="901700"/>
            <wp:effectExtent l="0" t="0" r="1270" b="0"/>
            <wp:wrapNone/>
            <wp:docPr id="201944725" name="Picture 201944725" descr="A close-up of a grey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4725" name="Picture 201944725" descr="A close-up of a grey sk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83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BE6EC" w14:textId="77777777" w:rsidR="009071F3" w:rsidRPr="007A6F79" w:rsidRDefault="009071F3" w:rsidP="00EF2196">
      <w:pPr>
        <w:jc w:val="both"/>
        <w:rPr>
          <w:rFonts w:ascii="Times New Roman" w:hAnsi="Times New Roman" w:cs="Times New Roman"/>
        </w:rPr>
      </w:pPr>
    </w:p>
    <w:p w14:paraId="14D6A402" w14:textId="77777777" w:rsidR="009071F3" w:rsidRPr="007A6F79" w:rsidRDefault="009071F3" w:rsidP="00EF2196">
      <w:pPr>
        <w:jc w:val="both"/>
        <w:rPr>
          <w:rFonts w:ascii="Times New Roman" w:hAnsi="Times New Roman" w:cs="Times New Roman"/>
        </w:rPr>
      </w:pPr>
    </w:p>
    <w:p w14:paraId="095EA405" w14:textId="1A366DB2" w:rsidR="009071F3" w:rsidRPr="007A6F79" w:rsidRDefault="007A6F79" w:rsidP="00EF2196">
      <w:pPr>
        <w:spacing w:before="240"/>
        <w:jc w:val="both"/>
        <w:rPr>
          <w:rFonts w:ascii="Times New Roman" w:hAnsi="Times New Roman" w:cs="Times New Roman"/>
          <w:lang w:val="it-IT"/>
        </w:rPr>
      </w:pPr>
      <w:r w:rsidRPr="007A6F79">
        <w:rPr>
          <w:rFonts w:ascii="Times New Roman" w:hAnsi="Times New Roman" w:cs="Times New Roman"/>
          <w:noProof/>
        </w:rPr>
        <w:drawing>
          <wp:anchor distT="0" distB="0" distL="114300" distR="114300" simplePos="0" relativeHeight="251675648" behindDoc="0" locked="0" layoutInCell="1" allowOverlap="1" wp14:anchorId="7E87CE1C" wp14:editId="6ED2C040">
            <wp:simplePos x="0" y="0"/>
            <wp:positionH relativeFrom="margin">
              <wp:align>right</wp:align>
            </wp:positionH>
            <wp:positionV relativeFrom="paragraph">
              <wp:posOffset>298450</wp:posOffset>
            </wp:positionV>
            <wp:extent cx="2616200" cy="673100"/>
            <wp:effectExtent l="0" t="0" r="0" b="0"/>
            <wp:wrapNone/>
            <wp:docPr id="1641487836" name="Picture 1641487836" descr="A close-up of a black and white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87836" name="Picture 1641487836" descr="A close-up of a black and white phot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1F3" w:rsidRPr="007A6F79">
        <w:rPr>
          <w:rFonts w:ascii="Times New Roman" w:hAnsi="Times New Roman" w:cs="Times New Roman"/>
          <w:noProof/>
        </w:rPr>
        <w:drawing>
          <wp:anchor distT="0" distB="0" distL="114300" distR="114300" simplePos="0" relativeHeight="251674624" behindDoc="0" locked="0" layoutInCell="1" allowOverlap="1" wp14:anchorId="48863EC3" wp14:editId="0F771660">
            <wp:simplePos x="0" y="0"/>
            <wp:positionH relativeFrom="margin">
              <wp:align>left</wp:align>
            </wp:positionH>
            <wp:positionV relativeFrom="paragraph">
              <wp:posOffset>283210</wp:posOffset>
            </wp:positionV>
            <wp:extent cx="2667000" cy="692150"/>
            <wp:effectExtent l="0" t="0" r="0" b="0"/>
            <wp:wrapNone/>
            <wp:docPr id="1157063908" name="Picture 1157063908" descr="A close-up of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63908" name="Picture 1157063908" descr="A close-up of a grey su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1F3" w:rsidRPr="007A6F79">
        <w:rPr>
          <w:rFonts w:ascii="Times New Roman" w:hAnsi="Times New Roman" w:cs="Times New Roman"/>
          <w:lang w:val="en-IN"/>
        </w:rPr>
        <w:t xml:space="preserve">                     </w:t>
      </w:r>
      <w:r w:rsidR="009071F3" w:rsidRPr="007A6F79">
        <w:rPr>
          <w:rFonts w:ascii="Times New Roman" w:hAnsi="Times New Roman" w:cs="Times New Roman"/>
          <w:lang w:val="it-IT"/>
        </w:rPr>
        <w:t>1:1 RPSCA (a)                                                                             1:2 RPSCA (b)</w:t>
      </w:r>
    </w:p>
    <w:p w14:paraId="0EC6FC48" w14:textId="77777777" w:rsidR="009071F3" w:rsidRPr="007A6F79" w:rsidRDefault="009071F3" w:rsidP="00EF2196">
      <w:pPr>
        <w:jc w:val="both"/>
        <w:rPr>
          <w:rFonts w:ascii="Times New Roman" w:hAnsi="Times New Roman" w:cs="Times New Roman"/>
          <w:lang w:val="it-IT"/>
        </w:rPr>
      </w:pPr>
    </w:p>
    <w:p w14:paraId="02C90CEF" w14:textId="77777777" w:rsidR="009071F3" w:rsidRPr="007A6F79" w:rsidRDefault="009071F3" w:rsidP="00EF2196">
      <w:pPr>
        <w:jc w:val="both"/>
        <w:rPr>
          <w:rFonts w:ascii="Times New Roman" w:hAnsi="Times New Roman" w:cs="Times New Roman"/>
          <w:lang w:val="it-IT"/>
        </w:rPr>
      </w:pPr>
    </w:p>
    <w:p w14:paraId="7601D7D5" w14:textId="77777777" w:rsidR="009071F3" w:rsidRPr="007A6F79" w:rsidRDefault="009071F3" w:rsidP="00EF2196">
      <w:pPr>
        <w:jc w:val="both"/>
        <w:rPr>
          <w:rFonts w:ascii="Times New Roman" w:hAnsi="Times New Roman" w:cs="Times New Roman"/>
          <w:lang w:val="it-IT"/>
        </w:rPr>
      </w:pPr>
      <w:r w:rsidRPr="007A6F79">
        <w:rPr>
          <w:rFonts w:ascii="Times New Roman" w:hAnsi="Times New Roman" w:cs="Times New Roman"/>
          <w:lang w:val="it-IT"/>
        </w:rPr>
        <w:t xml:space="preserve">              1:1 RPRDCA (c)                                                                                      1:2 RPRDCA (d)</w:t>
      </w:r>
    </w:p>
    <w:p w14:paraId="289BB6D2" w14:textId="77777777" w:rsidR="002D3170" w:rsidRPr="007A6F79" w:rsidRDefault="002D3170" w:rsidP="00EF2196">
      <w:pPr>
        <w:jc w:val="both"/>
        <w:rPr>
          <w:rFonts w:ascii="Times New Roman" w:hAnsi="Times New Roman" w:cs="Times New Roman"/>
        </w:rPr>
      </w:pPr>
      <w:r w:rsidRPr="007A6F79">
        <w:rPr>
          <w:rFonts w:ascii="Times New Roman" w:hAnsi="Times New Roman" w:cs="Times New Roman"/>
        </w:rPr>
        <w:t>Figure:6(a)(b)(c)(d) (SEM images of 1:1,1:2,1:1,1;2 plastic sand and rock dust aggregate</w:t>
      </w:r>
    </w:p>
    <w:p w14:paraId="160FC85D" w14:textId="00D0890A" w:rsidR="00C86814" w:rsidRPr="007A6F79" w:rsidRDefault="00663423" w:rsidP="00EF2196">
      <w:pPr>
        <w:jc w:val="both"/>
        <w:rPr>
          <w:rFonts w:ascii="Times New Roman" w:hAnsi="Times New Roman" w:cs="Times New Roman"/>
        </w:rPr>
      </w:pPr>
      <w:r w:rsidRPr="007A6F79">
        <w:rPr>
          <w:rFonts w:ascii="Times New Roman" w:hAnsi="Times New Roman" w:cs="Times New Roman"/>
        </w:rPr>
        <w:t xml:space="preserve">"Summarizing the findings, Figure 6(a)(b)(c)(d) presents a microstructural analysis of aggregate mixture samples produced with 1:1, 1:2, 1:1, 1:2 plastic sand, and rock dust aggregates, as observed through SEM imaging. In the case of rock dust, the recycled plastic exhibits robust bonding, attributed to the small particle size, resulting in a high concentration of embedded particles in the plastic matrix, particularly in comparison to other </w:t>
      </w:r>
      <w:proofErr w:type="gramStart"/>
      <w:r w:rsidRPr="007A6F79">
        <w:rPr>
          <w:rFonts w:ascii="Times New Roman" w:hAnsi="Times New Roman" w:cs="Times New Roman"/>
        </w:rPr>
        <w:t>materials[</w:t>
      </w:r>
      <w:proofErr w:type="gramEnd"/>
      <w:r w:rsidRPr="007A6F79">
        <w:rPr>
          <w:rFonts w:ascii="Times New Roman" w:hAnsi="Times New Roman" w:cs="Times New Roman"/>
        </w:rPr>
        <w:t>2]. This highlights the effective utilization of HDPE plastic as a binding agent, affirming the accuracy of the aggregate preparation process. Similarly, aggregates made with plastic sand display a sturdy bond between sand particles and HDPE plastic, featuring minimal void spaces. EDX results reveal the presence of C, O, Al, Mg, Si, P, S, K, Ca, Mn, Fe, K, Co, Cu, Zn, and Mo."</w:t>
      </w:r>
    </w:p>
    <w:p w14:paraId="768650CD" w14:textId="6B7A89E1" w:rsidR="00C86814" w:rsidRPr="007A6F79" w:rsidRDefault="007A6F79"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A6F79">
        <w:rPr>
          <w:rFonts w:ascii="Times New Roman" w:hAnsi="Times New Roman" w:cs="Times New Roman"/>
          <w:noProof/>
        </w:rPr>
        <w:lastRenderedPageBreak/>
        <w:drawing>
          <wp:anchor distT="0" distB="0" distL="114300" distR="114300" simplePos="0" relativeHeight="251680768" behindDoc="0" locked="0" layoutInCell="1" allowOverlap="1" wp14:anchorId="6DE55D37" wp14:editId="6991FC44">
            <wp:simplePos x="0" y="0"/>
            <wp:positionH relativeFrom="page">
              <wp:posOffset>5264150</wp:posOffset>
            </wp:positionH>
            <wp:positionV relativeFrom="paragraph">
              <wp:posOffset>108585</wp:posOffset>
            </wp:positionV>
            <wp:extent cx="1270000" cy="654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79744" behindDoc="0" locked="0" layoutInCell="1" allowOverlap="1" wp14:anchorId="1A260EC1" wp14:editId="19AB7B34">
            <wp:simplePos x="0" y="0"/>
            <wp:positionH relativeFrom="page">
              <wp:posOffset>3835400</wp:posOffset>
            </wp:positionH>
            <wp:positionV relativeFrom="paragraph">
              <wp:posOffset>102235</wp:posOffset>
            </wp:positionV>
            <wp:extent cx="1193800" cy="711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38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78720" behindDoc="0" locked="0" layoutInCell="1" allowOverlap="1" wp14:anchorId="3955508E" wp14:editId="315040CD">
            <wp:simplePos x="0" y="0"/>
            <wp:positionH relativeFrom="page">
              <wp:posOffset>2413000</wp:posOffset>
            </wp:positionH>
            <wp:positionV relativeFrom="paragraph">
              <wp:posOffset>76200</wp:posOffset>
            </wp:positionV>
            <wp:extent cx="1117600" cy="717550"/>
            <wp:effectExtent l="0" t="0" r="635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76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77696" behindDoc="0" locked="0" layoutInCell="1" allowOverlap="1" wp14:anchorId="34AEF437" wp14:editId="1CF9AC35">
            <wp:simplePos x="0" y="0"/>
            <wp:positionH relativeFrom="margin">
              <wp:align>left</wp:align>
            </wp:positionH>
            <wp:positionV relativeFrom="paragraph">
              <wp:posOffset>82550</wp:posOffset>
            </wp:positionV>
            <wp:extent cx="1250950" cy="68580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0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6D172" w14:textId="77777777" w:rsidR="00C86814" w:rsidRPr="007A6F79" w:rsidRDefault="00C86814"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14:paraId="612DB763" w14:textId="77777777" w:rsidR="00C86814" w:rsidRPr="007A6F79" w:rsidRDefault="00C86814"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14:paraId="31E13AEA" w14:textId="77777777" w:rsidR="00C86814" w:rsidRPr="007A6F79" w:rsidRDefault="00C86814"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
        </w:rPr>
      </w:pPr>
    </w:p>
    <w:p w14:paraId="289DF6B4" w14:textId="77777777" w:rsidR="00C86814" w:rsidRPr="007A6F79" w:rsidRDefault="00C86814" w:rsidP="00EF2196">
      <w:pPr>
        <w:jc w:val="both"/>
        <w:rPr>
          <w:rFonts w:ascii="Times New Roman" w:hAnsi="Times New Roman" w:cs="Times New Roman"/>
        </w:rPr>
      </w:pPr>
    </w:p>
    <w:p w14:paraId="4F0E2D1C" w14:textId="77777777" w:rsidR="00C86814" w:rsidRPr="007A6F79" w:rsidRDefault="00C86814" w:rsidP="00EF2196">
      <w:pPr>
        <w:jc w:val="both"/>
        <w:rPr>
          <w:rFonts w:ascii="Times New Roman" w:hAnsi="Times New Roman" w:cs="Times New Roman"/>
        </w:rPr>
      </w:pPr>
      <w:r w:rsidRPr="007A6F79">
        <w:rPr>
          <w:rFonts w:ascii="Times New Roman" w:hAnsi="Times New Roman" w:cs="Times New Roman"/>
        </w:rPr>
        <w:t>Figure:7 EDX or EDA images of 1:1,1:2,1:1,1;2 plastic sand and rock dust aggregate</w:t>
      </w:r>
    </w:p>
    <w:p w14:paraId="3ABBA157" w14:textId="5EDB4B89" w:rsidR="00C940F0" w:rsidRPr="007A6F79" w:rsidRDefault="00C940F0" w:rsidP="00EF2196">
      <w:pPr>
        <w:jc w:val="both"/>
        <w:rPr>
          <w:rFonts w:ascii="Times New Roman" w:hAnsi="Times New Roman" w:cs="Times New Roman"/>
        </w:rPr>
      </w:pPr>
      <w:r w:rsidRPr="007A6F79">
        <w:rPr>
          <w:rFonts w:ascii="Times New Roman" w:hAnsi="Times New Roman" w:cs="Times New Roman"/>
        </w:rPr>
        <w:t>Materials and Proposed Mix Design Methodology for Concrete with Plastic Aggregates:</w:t>
      </w:r>
    </w:p>
    <w:p w14:paraId="4EAB8DF1" w14:textId="77777777" w:rsidR="00CD51BC" w:rsidRPr="007A6F79" w:rsidRDefault="00CD51BC" w:rsidP="00EF2196">
      <w:pPr>
        <w:jc w:val="both"/>
        <w:rPr>
          <w:rFonts w:ascii="Times New Roman" w:hAnsi="Times New Roman" w:cs="Times New Roman"/>
        </w:rPr>
      </w:pPr>
      <w:r w:rsidRPr="007A6F79">
        <w:rPr>
          <w:rFonts w:ascii="Times New Roman" w:hAnsi="Times New Roman" w:cs="Times New Roman"/>
        </w:rPr>
        <w:t>In this study, we utilized ordinary Portland cement as the primary binding agent, following the IS: 12269[12] standards. To create a compact aggregate matrix, we used fractions of 1:1-RPSCA, 1:2-RPSCA, 1:1-RPRDCA, 1:2-RPRDCA, and natural river sand (with a maximum particle size of 4.75mm) as fine aggregates. As for coarse aggregates, we used both single and well-graded sizes. The specific gravities of the coarse aggregates (ranging from 1.18 to 20 mm) were carefully measured as 1.42, 1.57, 1.42, and 1.56, respectively.</w:t>
      </w:r>
      <w:r w:rsidR="00C940F0" w:rsidRPr="007A6F79">
        <w:rPr>
          <w:rFonts w:ascii="Times New Roman" w:hAnsi="Times New Roman" w:cs="Times New Roman"/>
        </w:rPr>
        <w:t xml:space="preserve"> </w:t>
      </w:r>
      <w:r w:rsidRPr="007A6F79">
        <w:rPr>
          <w:rFonts w:ascii="Times New Roman" w:hAnsi="Times New Roman" w:cs="Times New Roman"/>
        </w:rPr>
        <w:t xml:space="preserve">Moreover, the fine aggregates were found to have a specific gravity of 2.63, as indicated in Table 3 which presents the various properties of the aggregates used in the study. To improve the outcome of the research, a concrete superplasticizer containing a sulfonated naphthalene </w:t>
      </w:r>
      <w:proofErr w:type="gramStart"/>
      <w:r w:rsidRPr="007A6F79">
        <w:rPr>
          <w:rFonts w:ascii="Times New Roman" w:hAnsi="Times New Roman" w:cs="Times New Roman"/>
        </w:rPr>
        <w:t>polymer[</w:t>
      </w:r>
      <w:proofErr w:type="gramEnd"/>
      <w:r w:rsidRPr="007A6F79">
        <w:rPr>
          <w:rFonts w:ascii="Times New Roman" w:hAnsi="Times New Roman" w:cs="Times New Roman"/>
        </w:rPr>
        <w:t xml:space="preserve">13] was utilized. </w:t>
      </w:r>
    </w:p>
    <w:p w14:paraId="1420404E" w14:textId="77777777" w:rsidR="00CD51BC" w:rsidRPr="007A6F79" w:rsidRDefault="00CD51BC" w:rsidP="00EF2196">
      <w:pPr>
        <w:jc w:val="both"/>
        <w:rPr>
          <w:rFonts w:ascii="Times New Roman" w:hAnsi="Times New Roman" w:cs="Times New Roman"/>
        </w:rPr>
      </w:pPr>
      <w:r w:rsidRPr="007A6F79">
        <w:rPr>
          <w:rFonts w:ascii="Times New Roman" w:hAnsi="Times New Roman" w:cs="Times New Roman"/>
        </w:rPr>
        <w:t>The aim of this study is to develop an efficient and dependable mix design method that utilizes effective aggregate compaction. This research highlights three important factors in mix design: the ratio of water to cement, the water absorption of additives, and the particle size of additives. The connection between water-cement ratio and the strength of concrete, first established by Abrams in 1919, continues to be a fundamental aspect in modern composite design approaches. However, recent investigations have uncovered an intriguing relationship between strength and water-cement ratio.</w:t>
      </w:r>
    </w:p>
    <w:p w14:paraId="64BB1D9B" w14:textId="77777777" w:rsidR="00CD51BC" w:rsidRPr="007A6F79" w:rsidRDefault="00CD51BC" w:rsidP="00EF2196">
      <w:pPr>
        <w:jc w:val="both"/>
        <w:rPr>
          <w:rFonts w:ascii="Times New Roman" w:hAnsi="Times New Roman" w:cs="Times New Roman"/>
        </w:rPr>
      </w:pPr>
      <w:r w:rsidRPr="007A6F79">
        <w:rPr>
          <w:rFonts w:ascii="Times New Roman" w:hAnsi="Times New Roman" w:cs="Times New Roman"/>
        </w:rPr>
        <w:t xml:space="preserve">The main goal in dosing various aggregate sizes is to reduce the void ratio within the aggregate matrix. To achieve this, several models have been proposed, such as Goltermann et al.'s pack model, De Larrard's compressible packing </w:t>
      </w:r>
      <w:proofErr w:type="gramStart"/>
      <w:r w:rsidRPr="007A6F79">
        <w:rPr>
          <w:rFonts w:ascii="Times New Roman" w:hAnsi="Times New Roman" w:cs="Times New Roman"/>
        </w:rPr>
        <w:t>model[</w:t>
      </w:r>
      <w:proofErr w:type="gramEnd"/>
      <w:r w:rsidRPr="007A6F79">
        <w:rPr>
          <w:rFonts w:ascii="Times New Roman" w:hAnsi="Times New Roman" w:cs="Times New Roman"/>
        </w:rPr>
        <w:t>14], and Dewar's particle mixing theory[15]. These models are highly relevant to this approach.</w:t>
      </w:r>
    </w:p>
    <w:p w14:paraId="0BC97701" w14:textId="77777777" w:rsidR="005628D8" w:rsidRPr="007A6F79" w:rsidRDefault="005628D8" w:rsidP="00EF2196">
      <w:pPr>
        <w:jc w:val="both"/>
        <w:rPr>
          <w:rFonts w:ascii="Times New Roman" w:hAnsi="Times New Roman" w:cs="Times New Roman"/>
        </w:rPr>
      </w:pPr>
      <w:r w:rsidRPr="007A6F79">
        <w:rPr>
          <w:rFonts w:ascii="Times New Roman" w:hAnsi="Times New Roman" w:cs="Times New Roman"/>
        </w:rPr>
        <w:t xml:space="preserve">It is crucial to keep in mind that the absolute volume methodology should be utilized if there is variation in the specific gravity of aggregates. To ensure a </w:t>
      </w:r>
      <w:proofErr w:type="gramStart"/>
      <w:r w:rsidRPr="007A6F79">
        <w:rPr>
          <w:rFonts w:ascii="Times New Roman" w:hAnsi="Times New Roman" w:cs="Times New Roman"/>
        </w:rPr>
        <w:t>tightly-packed</w:t>
      </w:r>
      <w:proofErr w:type="gramEnd"/>
      <w:r w:rsidRPr="007A6F79">
        <w:rPr>
          <w:rFonts w:ascii="Times New Roman" w:hAnsi="Times New Roman" w:cs="Times New Roman"/>
        </w:rPr>
        <w:t xml:space="preserve"> aggregate matrix, the recommended approach from ASTM C330/C330M and IS 383-2919[6] is to employ a combined grading of aggregates. When it comes to lightweight concrete, ACI 211-98 proposes a mixed proportioning method, based on either weight or volume. For complex mixtures, the design methodology proposed can be broken down into the following </w:t>
      </w:r>
      <w:proofErr w:type="gramStart"/>
      <w:r w:rsidRPr="007A6F79">
        <w:rPr>
          <w:rFonts w:ascii="Times New Roman" w:hAnsi="Times New Roman" w:cs="Times New Roman"/>
        </w:rPr>
        <w:t>stages[</w:t>
      </w:r>
      <w:proofErr w:type="gramEnd"/>
      <w:r w:rsidRPr="007A6F79">
        <w:rPr>
          <w:rFonts w:ascii="Times New Roman" w:hAnsi="Times New Roman" w:cs="Times New Roman"/>
        </w:rPr>
        <w:t>3].</w:t>
      </w:r>
    </w:p>
    <w:p w14:paraId="4ACD655F" w14:textId="21AECA33" w:rsidR="00C940F0" w:rsidRPr="007A6F79" w:rsidRDefault="005628D8" w:rsidP="00EF2196">
      <w:pPr>
        <w:jc w:val="both"/>
        <w:rPr>
          <w:rFonts w:ascii="Times New Roman" w:hAnsi="Times New Roman" w:cs="Times New Roman"/>
        </w:rPr>
      </w:pPr>
      <w:r w:rsidRPr="007A6F79">
        <w:rPr>
          <w:rFonts w:ascii="Times New Roman" w:hAnsi="Times New Roman" w:cs="Times New Roman"/>
        </w:rPr>
        <w:t xml:space="preserve">The first stage of this study involved carefully selecting and establishing the appropriate water-cement ratio. </w:t>
      </w:r>
      <w:proofErr w:type="gramStart"/>
      <w:r w:rsidRPr="007A6F79">
        <w:rPr>
          <w:rFonts w:ascii="Times New Roman" w:hAnsi="Times New Roman" w:cs="Times New Roman"/>
        </w:rPr>
        <w:t>In order to</w:t>
      </w:r>
      <w:proofErr w:type="gramEnd"/>
      <w:r w:rsidRPr="007A6F79">
        <w:rPr>
          <w:rFonts w:ascii="Times New Roman" w:hAnsi="Times New Roman" w:cs="Times New Roman"/>
        </w:rPr>
        <w:t xml:space="preserve"> account for the different aggregates and cement used, ratios of 0.4, 0.6, and 0.65 were chosen [10]. Since specific information was lacking, conservative and estimated values were used [16], following the guidelines set by IS 10262-2019 [17]. These guidelines follow a curve that compares the free water-cement ratio to the 28-day compressive strength ratio. As a result, this research revealed a groundbreaking correlation between the water-cement ratio and the strength of plastic aggregate concrete [16].</w:t>
      </w:r>
    </w:p>
    <w:p w14:paraId="320176DC" w14:textId="77777777" w:rsidR="005628D8" w:rsidRPr="007A6F79" w:rsidRDefault="005628D8" w:rsidP="00EF2196">
      <w:pPr>
        <w:jc w:val="both"/>
        <w:rPr>
          <w:rFonts w:ascii="Times New Roman" w:hAnsi="Times New Roman" w:cs="Times New Roman"/>
        </w:rPr>
      </w:pPr>
      <w:r w:rsidRPr="007A6F79">
        <w:rPr>
          <w:rFonts w:ascii="Times New Roman" w:hAnsi="Times New Roman" w:cs="Times New Roman"/>
        </w:rPr>
        <w:t>In the second stage, the optimal amount of water is determined by referencing ACI 211-98 and considering the specific situation's workability criteria. Typically, the non-air-entrained concrete will have a free water content between 187 kg/m3 and 237 kg/m3. However, this can be reduced by 25% using a 1.5% superplasticizer, such as sulfonated naphthalene polymer concrete mix.</w:t>
      </w:r>
    </w:p>
    <w:p w14:paraId="5C8766C1" w14:textId="77777777" w:rsidR="005628D8" w:rsidRPr="007A6F79" w:rsidRDefault="005628D8" w:rsidP="00EF2196">
      <w:pPr>
        <w:jc w:val="both"/>
        <w:rPr>
          <w:rFonts w:ascii="Times New Roman" w:hAnsi="Times New Roman" w:cs="Times New Roman"/>
        </w:rPr>
      </w:pPr>
      <w:r w:rsidRPr="007A6F79">
        <w:rPr>
          <w:rFonts w:ascii="Times New Roman" w:hAnsi="Times New Roman" w:cs="Times New Roman"/>
        </w:rPr>
        <w:lastRenderedPageBreak/>
        <w:t>In the third stage, we will find the cement content by using this equation: c = w/(w/</w:t>
      </w:r>
      <w:proofErr w:type="gramStart"/>
      <w:r w:rsidRPr="007A6F79">
        <w:rPr>
          <w:rFonts w:ascii="Times New Roman" w:hAnsi="Times New Roman" w:cs="Times New Roman"/>
        </w:rPr>
        <w:t>c)[</w:t>
      </w:r>
      <w:proofErr w:type="gramEnd"/>
      <w:r w:rsidRPr="007A6F79">
        <w:rPr>
          <w:rFonts w:ascii="Times New Roman" w:hAnsi="Times New Roman" w:cs="Times New Roman"/>
        </w:rPr>
        <w:t>3]. This equation takes into account the water/cement ratio (denoted by "w" and determined in stage 1) and provides the cement content in kg/</w:t>
      </w:r>
      <w:proofErr w:type="gramStart"/>
      <w:r w:rsidRPr="007A6F79">
        <w:rPr>
          <w:rFonts w:ascii="Times New Roman" w:hAnsi="Times New Roman" w:cs="Times New Roman"/>
        </w:rPr>
        <w:t>m3</w:t>
      </w:r>
      <w:proofErr w:type="gramEnd"/>
    </w:p>
    <w:p w14:paraId="4F33DF4B" w14:textId="77777777" w:rsidR="002A5ECA" w:rsidRPr="007A6F79" w:rsidRDefault="005628D8" w:rsidP="00EF2196">
      <w:pPr>
        <w:jc w:val="both"/>
        <w:rPr>
          <w:rFonts w:ascii="Times New Roman" w:hAnsi="Times New Roman" w:cs="Times New Roman"/>
        </w:rPr>
      </w:pPr>
      <w:r w:rsidRPr="007A6F79">
        <w:rPr>
          <w:rFonts w:ascii="Times New Roman" w:hAnsi="Times New Roman" w:cs="Times New Roman"/>
        </w:rPr>
        <w:t xml:space="preserve">In Stage 4, the procedure calls for the identification of both coarse and fine aggregates. According to the absolute volume </w:t>
      </w:r>
      <w:proofErr w:type="gramStart"/>
      <w:r w:rsidRPr="007A6F79">
        <w:rPr>
          <w:rFonts w:ascii="Times New Roman" w:hAnsi="Times New Roman" w:cs="Times New Roman"/>
        </w:rPr>
        <w:t>method[</w:t>
      </w:r>
      <w:proofErr w:type="gramEnd"/>
      <w:r w:rsidRPr="007A6F79">
        <w:rPr>
          <w:rFonts w:ascii="Times New Roman" w:hAnsi="Times New Roman" w:cs="Times New Roman"/>
        </w:rPr>
        <w:t>7], these include plastic sand and plastic rock dust aggregates for the coarse aggregates, and natural river sand for the fine aggregates. To meet the specifications of ASTM C330/C330</w:t>
      </w:r>
      <w:proofErr w:type="gramStart"/>
      <w:r w:rsidRPr="007A6F79">
        <w:rPr>
          <w:rFonts w:ascii="Times New Roman" w:hAnsi="Times New Roman" w:cs="Times New Roman"/>
        </w:rPr>
        <w:t>M(</w:t>
      </w:r>
      <w:proofErr w:type="gramEnd"/>
      <w:r w:rsidRPr="007A6F79">
        <w:rPr>
          <w:rFonts w:ascii="Times New Roman" w:hAnsi="Times New Roman" w:cs="Times New Roman"/>
        </w:rPr>
        <w:t xml:space="preserve">4) and ASTM C33[18] at varying water-cement ratios (0.40, 0.60, and 0.65), four types of coarse aggregates were utilized. It is important to note that non-air-entrained concrete typically contains about 2% entrapped </w:t>
      </w:r>
      <w:proofErr w:type="gramStart"/>
      <w:r w:rsidRPr="007A6F79">
        <w:rPr>
          <w:rFonts w:ascii="Times New Roman" w:hAnsi="Times New Roman" w:cs="Times New Roman"/>
        </w:rPr>
        <w:t>air[</w:t>
      </w:r>
      <w:proofErr w:type="gramEnd"/>
      <w:r w:rsidRPr="007A6F79">
        <w:rPr>
          <w:rFonts w:ascii="Times New Roman" w:hAnsi="Times New Roman" w:cs="Times New Roman"/>
        </w:rPr>
        <w:t>16]. Additionally, the total volume of aggregate can be accurately determined using values provided in ACI 211-98 (Table 3.5</w:t>
      </w:r>
      <w:r w:rsidR="002A5ECA" w:rsidRPr="007A6F79">
        <w:rPr>
          <w:rFonts w:ascii="Times New Roman" w:hAnsi="Times New Roman" w:cs="Times New Roman"/>
        </w:rPr>
        <w:t>Between alterations in form and grading of particles, individual changes in dry, loose unit mass play a large role in determining the necessary mortar volume for optimal workability with different types of aggregates"</w:t>
      </w:r>
    </w:p>
    <w:p w14:paraId="5B2A9627" w14:textId="67AF1CCC" w:rsidR="00C86814" w:rsidRPr="007A6F79" w:rsidRDefault="002A5ECA" w:rsidP="00EF2196">
      <w:pPr>
        <w:jc w:val="both"/>
        <w:rPr>
          <w:rFonts w:ascii="Times New Roman" w:hAnsi="Times New Roman" w:cs="Times New Roman"/>
        </w:rPr>
      </w:pPr>
      <w:r w:rsidRPr="007A6F79">
        <w:rPr>
          <w:rFonts w:ascii="Times New Roman" w:hAnsi="Times New Roman" w:cs="Times New Roman"/>
        </w:rPr>
        <w:t>"In the fifth step, we will determine the appropriate amount of fine aggregate to use in the concrete. Using the measurements for all materials except for the fine aggregate from the previous stage, we will calculate the difference and use that to determine the specific amount needed. By subtracting the total weight of the other elements from the weight of the new concrete, we can establish the precise amount of fine aggregate necessary, based on historical data regarding the weight per unit volume of the concrete."</w:t>
      </w:r>
    </w:p>
    <w:p w14:paraId="7455924D" w14:textId="77777777" w:rsidR="00236E34" w:rsidRPr="007A6F79" w:rsidRDefault="00236E34" w:rsidP="00EF2196">
      <w:pPr>
        <w:jc w:val="both"/>
        <w:rPr>
          <w:rFonts w:ascii="Times New Roman" w:hAnsi="Times New Roman" w:cs="Times New Roman"/>
          <w:b/>
          <w:bCs/>
          <w:sz w:val="32"/>
          <w:szCs w:val="32"/>
        </w:rPr>
      </w:pPr>
      <w:r w:rsidRPr="007A6F79">
        <w:rPr>
          <w:rFonts w:ascii="Times New Roman" w:hAnsi="Times New Roman" w:cs="Times New Roman"/>
          <w:b/>
          <w:bCs/>
          <w:sz w:val="32"/>
          <w:szCs w:val="32"/>
        </w:rPr>
        <w:t>Results and discussion</w:t>
      </w:r>
    </w:p>
    <w:p w14:paraId="4DABB533" w14:textId="77777777" w:rsidR="00712568" w:rsidRPr="007A6F79" w:rsidRDefault="00712568" w:rsidP="00EF2196">
      <w:pPr>
        <w:jc w:val="both"/>
        <w:rPr>
          <w:rFonts w:ascii="Times New Roman" w:hAnsi="Times New Roman" w:cs="Times New Roman"/>
          <w:b/>
          <w:bCs/>
        </w:rPr>
      </w:pPr>
      <w:r w:rsidRPr="007A6F79">
        <w:rPr>
          <w:rFonts w:ascii="Times New Roman" w:hAnsi="Times New Roman" w:cs="Times New Roman"/>
          <w:b/>
          <w:bCs/>
        </w:rPr>
        <w:t>Table:4 Mix details for the developed concrete</w:t>
      </w:r>
    </w:p>
    <w:tbl>
      <w:tblPr>
        <w:tblStyle w:val="TableGrid"/>
        <w:tblpPr w:leftFromText="181" w:rightFromText="181" w:vertAnchor="text" w:tblpX="108" w:tblpY="1"/>
        <w:tblOverlap w:val="never"/>
        <w:tblW w:w="8452" w:type="dxa"/>
        <w:tblLook w:val="04A0" w:firstRow="1" w:lastRow="0" w:firstColumn="1" w:lastColumn="0" w:noHBand="0" w:noVBand="1"/>
      </w:tblPr>
      <w:tblGrid>
        <w:gridCol w:w="820"/>
        <w:gridCol w:w="1551"/>
        <w:gridCol w:w="963"/>
        <w:gridCol w:w="1007"/>
        <w:gridCol w:w="1174"/>
        <w:gridCol w:w="1174"/>
        <w:gridCol w:w="1763"/>
      </w:tblGrid>
      <w:tr w:rsidR="00712568" w:rsidRPr="007A6F79" w14:paraId="39DE1BF0" w14:textId="77777777" w:rsidTr="00063A82">
        <w:trPr>
          <w:trHeight w:val="699"/>
        </w:trPr>
        <w:tc>
          <w:tcPr>
            <w:tcW w:w="820" w:type="dxa"/>
          </w:tcPr>
          <w:p w14:paraId="4F534FB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w/c ratio</w:t>
            </w:r>
          </w:p>
        </w:tc>
        <w:tc>
          <w:tcPr>
            <w:tcW w:w="1551" w:type="dxa"/>
          </w:tcPr>
          <w:p w14:paraId="4A256EA0"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Sample type</w:t>
            </w:r>
          </w:p>
        </w:tc>
        <w:tc>
          <w:tcPr>
            <w:tcW w:w="963" w:type="dxa"/>
          </w:tcPr>
          <w:p w14:paraId="1911DFD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Cement</w:t>
            </w:r>
          </w:p>
          <w:p w14:paraId="5DC534A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c>
          <w:tcPr>
            <w:tcW w:w="1007" w:type="dxa"/>
          </w:tcPr>
          <w:p w14:paraId="718142E1"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Water</w:t>
            </w:r>
          </w:p>
          <w:p w14:paraId="06EFA0A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c>
          <w:tcPr>
            <w:tcW w:w="1174" w:type="dxa"/>
          </w:tcPr>
          <w:p w14:paraId="31F23A1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Fine aggregate</w:t>
            </w:r>
          </w:p>
          <w:p w14:paraId="34ABA35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r w:rsidRPr="007A6F79">
              <w:rPr>
                <w:rFonts w:ascii="Times New Roman" w:hAnsi="Times New Roman" w:cs="Times New Roman"/>
                <w:sz w:val="24"/>
                <w:szCs w:val="24"/>
              </w:rPr>
              <w:t xml:space="preserve"> </w:t>
            </w:r>
          </w:p>
        </w:tc>
        <w:tc>
          <w:tcPr>
            <w:tcW w:w="1174" w:type="dxa"/>
          </w:tcPr>
          <w:p w14:paraId="37A69E7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 xml:space="preserve">Coarse aggregate </w:t>
            </w:r>
          </w:p>
          <w:p w14:paraId="0E1A353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c>
          <w:tcPr>
            <w:tcW w:w="1763" w:type="dxa"/>
          </w:tcPr>
          <w:p w14:paraId="1E784DB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Superplasticizer</w:t>
            </w:r>
          </w:p>
          <w:p w14:paraId="084AD51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r>
      <w:tr w:rsidR="00712568" w:rsidRPr="007A6F79" w14:paraId="27947296" w14:textId="77777777" w:rsidTr="00066DBB">
        <w:trPr>
          <w:trHeight w:val="1266"/>
        </w:trPr>
        <w:tc>
          <w:tcPr>
            <w:tcW w:w="820" w:type="dxa"/>
          </w:tcPr>
          <w:p w14:paraId="18E2A9B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0.40</w:t>
            </w:r>
          </w:p>
          <w:p w14:paraId="4A94CD88" w14:textId="77777777" w:rsidR="00712568" w:rsidRPr="007A6F79" w:rsidRDefault="00712568" w:rsidP="00EF2196">
            <w:pPr>
              <w:jc w:val="both"/>
              <w:rPr>
                <w:rFonts w:ascii="Times New Roman" w:hAnsi="Times New Roman" w:cs="Times New Roman"/>
                <w:sz w:val="24"/>
                <w:szCs w:val="24"/>
              </w:rPr>
            </w:pPr>
          </w:p>
          <w:p w14:paraId="499DB944" w14:textId="77777777" w:rsidR="00712568" w:rsidRPr="007A6F79" w:rsidRDefault="00712568" w:rsidP="00EF2196">
            <w:pPr>
              <w:jc w:val="both"/>
              <w:rPr>
                <w:rFonts w:ascii="Times New Roman" w:hAnsi="Times New Roman" w:cs="Times New Roman"/>
                <w:sz w:val="24"/>
                <w:szCs w:val="24"/>
              </w:rPr>
            </w:pPr>
          </w:p>
          <w:p w14:paraId="42D93DE5" w14:textId="77777777" w:rsidR="00712568" w:rsidRPr="007A6F79" w:rsidRDefault="00712568" w:rsidP="00EF2196">
            <w:pPr>
              <w:jc w:val="both"/>
              <w:rPr>
                <w:rFonts w:ascii="Times New Roman" w:hAnsi="Times New Roman" w:cs="Times New Roman"/>
                <w:sz w:val="24"/>
                <w:szCs w:val="24"/>
              </w:rPr>
            </w:pPr>
          </w:p>
          <w:p w14:paraId="23284C04" w14:textId="77777777" w:rsidR="00712568" w:rsidRPr="007A6F79" w:rsidRDefault="00712568" w:rsidP="00EF2196">
            <w:pPr>
              <w:jc w:val="both"/>
              <w:rPr>
                <w:rFonts w:ascii="Times New Roman" w:hAnsi="Times New Roman" w:cs="Times New Roman"/>
                <w:sz w:val="24"/>
                <w:szCs w:val="24"/>
              </w:rPr>
            </w:pPr>
          </w:p>
          <w:p w14:paraId="5BF8F66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0.60</w:t>
            </w:r>
          </w:p>
          <w:p w14:paraId="79122CDA" w14:textId="77777777" w:rsidR="00712568" w:rsidRPr="007A6F79" w:rsidRDefault="00712568" w:rsidP="00EF2196">
            <w:pPr>
              <w:jc w:val="both"/>
              <w:rPr>
                <w:rFonts w:ascii="Times New Roman" w:hAnsi="Times New Roman" w:cs="Times New Roman"/>
                <w:sz w:val="24"/>
                <w:szCs w:val="24"/>
              </w:rPr>
            </w:pPr>
          </w:p>
          <w:p w14:paraId="494F9A0F" w14:textId="77777777" w:rsidR="00712568" w:rsidRPr="007A6F79" w:rsidRDefault="00712568" w:rsidP="00EF2196">
            <w:pPr>
              <w:jc w:val="both"/>
              <w:rPr>
                <w:rFonts w:ascii="Times New Roman" w:hAnsi="Times New Roman" w:cs="Times New Roman"/>
                <w:sz w:val="24"/>
                <w:szCs w:val="24"/>
              </w:rPr>
            </w:pPr>
          </w:p>
          <w:p w14:paraId="0DD61CD3" w14:textId="77777777" w:rsidR="00712568" w:rsidRPr="007A6F79" w:rsidRDefault="00712568" w:rsidP="00EF2196">
            <w:pPr>
              <w:jc w:val="both"/>
              <w:rPr>
                <w:rFonts w:ascii="Times New Roman" w:hAnsi="Times New Roman" w:cs="Times New Roman"/>
                <w:sz w:val="24"/>
                <w:szCs w:val="24"/>
              </w:rPr>
            </w:pPr>
          </w:p>
          <w:p w14:paraId="6A1C894A" w14:textId="77777777" w:rsidR="00712568" w:rsidRPr="007A6F79" w:rsidRDefault="00712568" w:rsidP="00EF2196">
            <w:pPr>
              <w:jc w:val="both"/>
              <w:rPr>
                <w:rFonts w:ascii="Times New Roman" w:hAnsi="Times New Roman" w:cs="Times New Roman"/>
                <w:sz w:val="24"/>
                <w:szCs w:val="24"/>
              </w:rPr>
            </w:pPr>
          </w:p>
          <w:p w14:paraId="63CBD66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lastRenderedPageBreak/>
              <w:t>0.65</w:t>
            </w:r>
          </w:p>
          <w:p w14:paraId="1DEC937F" w14:textId="77777777" w:rsidR="00712568" w:rsidRPr="007A6F79" w:rsidRDefault="00712568" w:rsidP="00EF2196">
            <w:pPr>
              <w:jc w:val="both"/>
              <w:rPr>
                <w:rFonts w:ascii="Times New Roman" w:hAnsi="Times New Roman" w:cs="Times New Roman"/>
                <w:sz w:val="24"/>
                <w:szCs w:val="24"/>
              </w:rPr>
            </w:pPr>
          </w:p>
          <w:p w14:paraId="17E32876" w14:textId="77777777" w:rsidR="00712568" w:rsidRPr="007A6F79" w:rsidRDefault="00712568" w:rsidP="00EF2196">
            <w:pPr>
              <w:jc w:val="both"/>
              <w:rPr>
                <w:rFonts w:ascii="Times New Roman" w:hAnsi="Times New Roman" w:cs="Times New Roman"/>
                <w:sz w:val="24"/>
                <w:szCs w:val="24"/>
              </w:rPr>
            </w:pPr>
          </w:p>
          <w:p w14:paraId="0093E8A0" w14:textId="77777777" w:rsidR="00712568" w:rsidRPr="007A6F79" w:rsidRDefault="00712568" w:rsidP="00EF2196">
            <w:pPr>
              <w:jc w:val="both"/>
              <w:rPr>
                <w:rFonts w:ascii="Times New Roman" w:hAnsi="Times New Roman" w:cs="Times New Roman"/>
                <w:sz w:val="24"/>
                <w:szCs w:val="24"/>
              </w:rPr>
            </w:pPr>
          </w:p>
          <w:p w14:paraId="454FE69D" w14:textId="77777777" w:rsidR="00712568" w:rsidRPr="007A6F79" w:rsidRDefault="00712568" w:rsidP="00EF2196">
            <w:pPr>
              <w:jc w:val="both"/>
              <w:rPr>
                <w:rFonts w:ascii="Times New Roman" w:hAnsi="Times New Roman" w:cs="Times New Roman"/>
                <w:sz w:val="24"/>
                <w:szCs w:val="24"/>
              </w:rPr>
            </w:pPr>
          </w:p>
        </w:tc>
        <w:tc>
          <w:tcPr>
            <w:tcW w:w="1551" w:type="dxa"/>
          </w:tcPr>
          <w:p w14:paraId="254F007C" w14:textId="77777777" w:rsidR="00712568" w:rsidRPr="007A6F79" w:rsidRDefault="00712568" w:rsidP="00EF2196">
            <w:pPr>
              <w:jc w:val="both"/>
              <w:rPr>
                <w:rFonts w:ascii="Times New Roman" w:hAnsi="Times New Roman" w:cs="Times New Roman"/>
                <w:sz w:val="24"/>
                <w:szCs w:val="24"/>
              </w:rPr>
            </w:pPr>
          </w:p>
          <w:p w14:paraId="62D2661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1:1 RPSCA</w:t>
            </w:r>
          </w:p>
          <w:p w14:paraId="3CA47B45"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1:2 RPSCA</w:t>
            </w:r>
          </w:p>
          <w:p w14:paraId="0D19CEE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1:1 RPRDCA</w:t>
            </w:r>
          </w:p>
          <w:p w14:paraId="32231650"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1:2 RPRDCA</w:t>
            </w:r>
          </w:p>
          <w:p w14:paraId="071BBCDA" w14:textId="77777777" w:rsidR="00712568" w:rsidRPr="007A6F79" w:rsidRDefault="00712568" w:rsidP="00EF2196">
            <w:pPr>
              <w:jc w:val="both"/>
              <w:rPr>
                <w:rFonts w:ascii="Times New Roman" w:hAnsi="Times New Roman" w:cs="Times New Roman"/>
                <w:sz w:val="24"/>
                <w:szCs w:val="24"/>
              </w:rPr>
            </w:pPr>
          </w:p>
          <w:p w14:paraId="4E28BD1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1:1 RPSCA</w:t>
            </w:r>
          </w:p>
          <w:p w14:paraId="0BEB7A5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1:2 RPSCA</w:t>
            </w:r>
          </w:p>
          <w:p w14:paraId="63C14B0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1:1 RPRDCA</w:t>
            </w:r>
          </w:p>
          <w:p w14:paraId="096802D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1:2 RPRDCA</w:t>
            </w:r>
          </w:p>
          <w:p w14:paraId="7641CDE4" w14:textId="77777777" w:rsidR="00712568" w:rsidRPr="007A6F79" w:rsidRDefault="00712568" w:rsidP="00EF2196">
            <w:pPr>
              <w:jc w:val="both"/>
              <w:rPr>
                <w:rFonts w:ascii="Times New Roman" w:hAnsi="Times New Roman" w:cs="Times New Roman"/>
                <w:sz w:val="24"/>
                <w:szCs w:val="24"/>
              </w:rPr>
            </w:pPr>
          </w:p>
          <w:p w14:paraId="5584913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1:1 RPSCA</w:t>
            </w:r>
          </w:p>
          <w:p w14:paraId="59C4190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1:2 RPSCA</w:t>
            </w:r>
          </w:p>
          <w:p w14:paraId="53016C9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1:1 RPRDCA</w:t>
            </w:r>
          </w:p>
          <w:p w14:paraId="78B00CD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1:2 RPRDCA</w:t>
            </w:r>
          </w:p>
        </w:tc>
        <w:tc>
          <w:tcPr>
            <w:tcW w:w="963" w:type="dxa"/>
          </w:tcPr>
          <w:p w14:paraId="14EA479D" w14:textId="77777777" w:rsidR="00712568" w:rsidRPr="007A6F79" w:rsidRDefault="00712568" w:rsidP="00EF2196">
            <w:pPr>
              <w:jc w:val="both"/>
              <w:rPr>
                <w:rFonts w:ascii="Times New Roman" w:hAnsi="Times New Roman" w:cs="Times New Roman"/>
                <w:sz w:val="24"/>
                <w:szCs w:val="24"/>
              </w:rPr>
            </w:pPr>
          </w:p>
          <w:p w14:paraId="7ACA16E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35DD264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00118E8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3C951DF1"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3FAA8509" w14:textId="77777777" w:rsidR="00712568" w:rsidRPr="007A6F79" w:rsidRDefault="00712568" w:rsidP="00EF2196">
            <w:pPr>
              <w:jc w:val="both"/>
              <w:rPr>
                <w:rFonts w:ascii="Times New Roman" w:hAnsi="Times New Roman" w:cs="Times New Roman"/>
                <w:sz w:val="24"/>
                <w:szCs w:val="24"/>
              </w:rPr>
            </w:pPr>
          </w:p>
          <w:p w14:paraId="0BBE939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290</w:t>
            </w:r>
          </w:p>
          <w:p w14:paraId="2931FD1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290</w:t>
            </w:r>
          </w:p>
          <w:p w14:paraId="7DC6923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290</w:t>
            </w:r>
          </w:p>
          <w:p w14:paraId="45E48A1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290</w:t>
            </w:r>
          </w:p>
          <w:p w14:paraId="6B939303" w14:textId="77777777" w:rsidR="00712568" w:rsidRPr="007A6F79" w:rsidRDefault="00712568" w:rsidP="00EF2196">
            <w:pPr>
              <w:jc w:val="both"/>
              <w:rPr>
                <w:rFonts w:ascii="Times New Roman" w:hAnsi="Times New Roman" w:cs="Times New Roman"/>
                <w:sz w:val="24"/>
                <w:szCs w:val="24"/>
              </w:rPr>
            </w:pPr>
          </w:p>
          <w:p w14:paraId="177BCC6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p w14:paraId="035E78F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p w14:paraId="5A548AB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p w14:paraId="785AF555"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tc>
        <w:tc>
          <w:tcPr>
            <w:tcW w:w="1007" w:type="dxa"/>
          </w:tcPr>
          <w:p w14:paraId="5482B012" w14:textId="77777777" w:rsidR="00712568" w:rsidRPr="007A6F79" w:rsidRDefault="00712568" w:rsidP="00EF2196">
            <w:pPr>
              <w:jc w:val="both"/>
              <w:rPr>
                <w:rFonts w:ascii="Times New Roman" w:hAnsi="Times New Roman" w:cs="Times New Roman"/>
                <w:sz w:val="24"/>
                <w:szCs w:val="24"/>
              </w:rPr>
            </w:pPr>
          </w:p>
          <w:p w14:paraId="34A9757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640CF2C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5FCBC41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272E9ED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42907AF1" w14:textId="77777777" w:rsidR="00712568" w:rsidRPr="007A6F79" w:rsidRDefault="00712568" w:rsidP="00EF2196">
            <w:pPr>
              <w:jc w:val="both"/>
              <w:rPr>
                <w:rFonts w:ascii="Times New Roman" w:hAnsi="Times New Roman" w:cs="Times New Roman"/>
                <w:sz w:val="24"/>
                <w:szCs w:val="24"/>
              </w:rPr>
            </w:pPr>
          </w:p>
          <w:p w14:paraId="3BC94B6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345EEF8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39172B70"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48EA400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5DA72C4D" w14:textId="77777777" w:rsidR="00712568" w:rsidRPr="007A6F79" w:rsidRDefault="00712568" w:rsidP="00EF2196">
            <w:pPr>
              <w:jc w:val="both"/>
              <w:rPr>
                <w:rFonts w:ascii="Times New Roman" w:hAnsi="Times New Roman" w:cs="Times New Roman"/>
                <w:sz w:val="24"/>
                <w:szCs w:val="24"/>
              </w:rPr>
            </w:pPr>
          </w:p>
          <w:p w14:paraId="715B650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5A40B72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7FC04B8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0F1E88D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tc>
        <w:tc>
          <w:tcPr>
            <w:tcW w:w="1174" w:type="dxa"/>
          </w:tcPr>
          <w:p w14:paraId="21751B7E" w14:textId="77777777" w:rsidR="00712568" w:rsidRPr="007A6F79" w:rsidRDefault="00712568" w:rsidP="00EF2196">
            <w:pPr>
              <w:jc w:val="both"/>
              <w:rPr>
                <w:rFonts w:ascii="Times New Roman" w:hAnsi="Times New Roman" w:cs="Times New Roman"/>
                <w:sz w:val="24"/>
                <w:szCs w:val="24"/>
              </w:rPr>
            </w:pPr>
          </w:p>
          <w:p w14:paraId="24AC73C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918</w:t>
            </w:r>
          </w:p>
          <w:p w14:paraId="06E1C22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771</w:t>
            </w:r>
          </w:p>
          <w:p w14:paraId="1DE2227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910</w:t>
            </w:r>
          </w:p>
          <w:p w14:paraId="07520AD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736</w:t>
            </w:r>
          </w:p>
          <w:p w14:paraId="71760C54" w14:textId="77777777" w:rsidR="00712568" w:rsidRPr="007A6F79" w:rsidRDefault="00712568" w:rsidP="00EF2196">
            <w:pPr>
              <w:jc w:val="both"/>
              <w:rPr>
                <w:rFonts w:ascii="Times New Roman" w:hAnsi="Times New Roman" w:cs="Times New Roman"/>
                <w:sz w:val="24"/>
                <w:szCs w:val="24"/>
              </w:rPr>
            </w:pPr>
          </w:p>
          <w:p w14:paraId="58C3DDE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994</w:t>
            </w:r>
          </w:p>
          <w:p w14:paraId="6D24328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847</w:t>
            </w:r>
          </w:p>
          <w:p w14:paraId="20B3D99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986</w:t>
            </w:r>
          </w:p>
          <w:p w14:paraId="2EB00AB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813</w:t>
            </w:r>
          </w:p>
          <w:p w14:paraId="3297EE8A" w14:textId="77777777" w:rsidR="00712568" w:rsidRPr="007A6F79" w:rsidRDefault="00712568" w:rsidP="00EF2196">
            <w:pPr>
              <w:jc w:val="both"/>
              <w:rPr>
                <w:rFonts w:ascii="Times New Roman" w:hAnsi="Times New Roman" w:cs="Times New Roman"/>
                <w:sz w:val="24"/>
                <w:szCs w:val="24"/>
              </w:rPr>
            </w:pPr>
          </w:p>
          <w:p w14:paraId="09A6F8B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1012</w:t>
            </w:r>
          </w:p>
          <w:p w14:paraId="65A0D42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865</w:t>
            </w:r>
          </w:p>
          <w:p w14:paraId="65F8D60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1005</w:t>
            </w:r>
          </w:p>
          <w:p w14:paraId="1637CB4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727</w:t>
            </w:r>
          </w:p>
        </w:tc>
        <w:tc>
          <w:tcPr>
            <w:tcW w:w="1174" w:type="dxa"/>
          </w:tcPr>
          <w:p w14:paraId="757DF226" w14:textId="77777777" w:rsidR="00712568" w:rsidRPr="007A6F79" w:rsidRDefault="00712568" w:rsidP="00EF2196">
            <w:pPr>
              <w:jc w:val="both"/>
              <w:rPr>
                <w:rFonts w:ascii="Times New Roman" w:hAnsi="Times New Roman" w:cs="Times New Roman"/>
                <w:sz w:val="24"/>
                <w:szCs w:val="24"/>
              </w:rPr>
            </w:pPr>
          </w:p>
          <w:p w14:paraId="7BBFA51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471</w:t>
            </w:r>
          </w:p>
          <w:p w14:paraId="022C9AC1"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608</w:t>
            </w:r>
          </w:p>
          <w:p w14:paraId="0439914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475</w:t>
            </w:r>
          </w:p>
          <w:p w14:paraId="2F87A00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624</w:t>
            </w:r>
          </w:p>
          <w:p w14:paraId="0113C6DE" w14:textId="77777777" w:rsidR="00712568" w:rsidRPr="007A6F79" w:rsidRDefault="00712568" w:rsidP="00EF2196">
            <w:pPr>
              <w:jc w:val="both"/>
              <w:rPr>
                <w:rFonts w:ascii="Times New Roman" w:hAnsi="Times New Roman" w:cs="Times New Roman"/>
                <w:sz w:val="24"/>
                <w:szCs w:val="24"/>
              </w:rPr>
            </w:pPr>
          </w:p>
          <w:p w14:paraId="6EC0E70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471</w:t>
            </w:r>
          </w:p>
          <w:p w14:paraId="796D19A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608</w:t>
            </w:r>
          </w:p>
          <w:p w14:paraId="697F132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475</w:t>
            </w:r>
          </w:p>
          <w:p w14:paraId="4B0DE0F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624</w:t>
            </w:r>
          </w:p>
          <w:p w14:paraId="6E7CF105" w14:textId="77777777" w:rsidR="00712568" w:rsidRPr="007A6F79" w:rsidRDefault="00712568" w:rsidP="00EF2196">
            <w:pPr>
              <w:jc w:val="both"/>
              <w:rPr>
                <w:rFonts w:ascii="Times New Roman" w:hAnsi="Times New Roman" w:cs="Times New Roman"/>
                <w:sz w:val="24"/>
                <w:szCs w:val="24"/>
              </w:rPr>
            </w:pPr>
          </w:p>
          <w:p w14:paraId="4A3745F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471</w:t>
            </w:r>
          </w:p>
          <w:p w14:paraId="458456B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608</w:t>
            </w:r>
          </w:p>
          <w:p w14:paraId="00FFB4F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475</w:t>
            </w:r>
          </w:p>
          <w:p w14:paraId="6CCD9B8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624</w:t>
            </w:r>
          </w:p>
        </w:tc>
        <w:tc>
          <w:tcPr>
            <w:tcW w:w="1763" w:type="dxa"/>
          </w:tcPr>
          <w:p w14:paraId="26D46E4D" w14:textId="77777777" w:rsidR="00712568" w:rsidRPr="007A6F79" w:rsidRDefault="00712568" w:rsidP="00EF2196">
            <w:pPr>
              <w:jc w:val="both"/>
              <w:rPr>
                <w:rFonts w:ascii="Times New Roman" w:hAnsi="Times New Roman" w:cs="Times New Roman"/>
                <w:sz w:val="24"/>
                <w:szCs w:val="24"/>
              </w:rPr>
            </w:pPr>
          </w:p>
          <w:p w14:paraId="3E98405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71E8FE3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126CFE5D"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7A66F7C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5B3D27EC" w14:textId="77777777" w:rsidR="00712568" w:rsidRPr="007A6F79" w:rsidRDefault="00712568" w:rsidP="00EF2196">
            <w:pPr>
              <w:jc w:val="both"/>
              <w:rPr>
                <w:rFonts w:ascii="Times New Roman" w:hAnsi="Times New Roman" w:cs="Times New Roman"/>
                <w:sz w:val="24"/>
                <w:szCs w:val="24"/>
              </w:rPr>
            </w:pPr>
          </w:p>
          <w:p w14:paraId="5431684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2.31</w:t>
            </w:r>
          </w:p>
          <w:p w14:paraId="0679E940"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2.31</w:t>
            </w:r>
          </w:p>
          <w:p w14:paraId="0DF5E8F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2.31</w:t>
            </w:r>
          </w:p>
          <w:p w14:paraId="2DF7CFE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2.31</w:t>
            </w:r>
          </w:p>
          <w:p w14:paraId="16EEDDC2" w14:textId="77777777" w:rsidR="00712568" w:rsidRPr="007A6F79" w:rsidRDefault="00712568" w:rsidP="00EF2196">
            <w:pPr>
              <w:jc w:val="both"/>
              <w:rPr>
                <w:rFonts w:ascii="Times New Roman" w:hAnsi="Times New Roman" w:cs="Times New Roman"/>
                <w:sz w:val="24"/>
                <w:szCs w:val="24"/>
              </w:rPr>
            </w:pPr>
          </w:p>
          <w:p w14:paraId="64BE07F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p w14:paraId="6945245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p w14:paraId="1C8FF69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p w14:paraId="59F5038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tc>
      </w:tr>
    </w:tbl>
    <w:p w14:paraId="07533FC7" w14:textId="77777777" w:rsidR="00797FCA" w:rsidRPr="007A6F79" w:rsidRDefault="00797FCA" w:rsidP="00EF2196">
      <w:pPr>
        <w:jc w:val="both"/>
        <w:rPr>
          <w:rFonts w:ascii="Times New Roman" w:hAnsi="Times New Roman" w:cs="Times New Roman"/>
        </w:rPr>
      </w:pPr>
    </w:p>
    <w:p w14:paraId="2248A9AF" w14:textId="77777777" w:rsidR="002A5ECA" w:rsidRPr="007A6F79" w:rsidRDefault="002A5ECA" w:rsidP="00EF2196">
      <w:pPr>
        <w:jc w:val="both"/>
        <w:rPr>
          <w:rFonts w:ascii="Times New Roman" w:hAnsi="Times New Roman" w:cs="Times New Roman"/>
        </w:rPr>
      </w:pPr>
      <w:proofErr w:type="gramStart"/>
      <w:r w:rsidRPr="007A6F79">
        <w:rPr>
          <w:rFonts w:ascii="Times New Roman" w:hAnsi="Times New Roman" w:cs="Times New Roman"/>
        </w:rPr>
        <w:t>After conducting a visual examination, it</w:t>
      </w:r>
      <w:proofErr w:type="gramEnd"/>
      <w:r w:rsidRPr="007A6F79">
        <w:rPr>
          <w:rFonts w:ascii="Times New Roman" w:hAnsi="Times New Roman" w:cs="Times New Roman"/>
        </w:rPr>
        <w:t xml:space="preserve"> was determined that there were no indications of segregation or bleeding in the concrete [3]. According to the accompanying table, the appropriate dosage of superplasticizer was determined. The lesser need for superplasticizer [13] could potentially be attributed to the subangular nature of the aggregates, potentially improving the concrete's workability.</w:t>
      </w:r>
    </w:p>
    <w:p w14:paraId="1C905602" w14:textId="77777777" w:rsidR="002A5ECA" w:rsidRPr="007A6F79" w:rsidRDefault="002A5ECA" w:rsidP="00EF2196">
      <w:pPr>
        <w:jc w:val="both"/>
        <w:rPr>
          <w:rFonts w:ascii="Times New Roman" w:hAnsi="Times New Roman" w:cs="Times New Roman"/>
        </w:rPr>
      </w:pPr>
      <w:r w:rsidRPr="007A6F79">
        <w:rPr>
          <w:rFonts w:ascii="Times New Roman" w:hAnsi="Times New Roman" w:cs="Times New Roman"/>
        </w:rPr>
        <w:t>Table 5 provides an in-depth look at the densities of various types of concrete, including fresh, air-dry, and oven-dry densities. Our research suggests that lightweight concrete using synthetic aggregates typically has a plastic density ranging from 1940 to 2113 kg/m3, while standard concrete falls within the range of 2200 to 2600 kg/m3[19]. This clear contrast further highlights the impact of completely replacing traditional coarse aggregates with a combination of recycled plastic sand and coarse rock dust. Our findings also reveal that structural lightweight concrete is typically divided into two categories based on density: those with an air-dry density of less than 2000 kg/m3 and those with a wet density of more than 2000 kg/m3[19]. Based on our study, the air-dry density for the samples ranges from 1941 to 2091 kg/m3.</w:t>
      </w:r>
    </w:p>
    <w:p w14:paraId="7ACC2629" w14:textId="2B41F63D" w:rsidR="00A31495" w:rsidRPr="007A6F79" w:rsidRDefault="00A31495" w:rsidP="00EF2196">
      <w:pPr>
        <w:jc w:val="both"/>
        <w:rPr>
          <w:rFonts w:ascii="Times New Roman" w:hAnsi="Times New Roman" w:cs="Times New Roman"/>
        </w:rPr>
      </w:pPr>
      <w:r w:rsidRPr="007A6F79">
        <w:rPr>
          <w:rFonts w:ascii="Times New Roman" w:hAnsi="Times New Roman" w:cs="Times New Roman"/>
          <w:b/>
          <w:bCs/>
        </w:rPr>
        <w:t>Table:5</w:t>
      </w:r>
      <w:r w:rsidRPr="007A6F79">
        <w:rPr>
          <w:rFonts w:ascii="Times New Roman" w:hAnsi="Times New Roman" w:cs="Times New Roman"/>
        </w:rPr>
        <w:t xml:space="preserve"> Densities of the developed concretes.</w:t>
      </w:r>
    </w:p>
    <w:tbl>
      <w:tblPr>
        <w:tblStyle w:val="TableGrid"/>
        <w:tblW w:w="0" w:type="auto"/>
        <w:tblLook w:val="04A0" w:firstRow="1" w:lastRow="0" w:firstColumn="1" w:lastColumn="0" w:noHBand="0" w:noVBand="1"/>
      </w:tblPr>
      <w:tblGrid>
        <w:gridCol w:w="1011"/>
        <w:gridCol w:w="2227"/>
        <w:gridCol w:w="1643"/>
        <w:gridCol w:w="1245"/>
        <w:gridCol w:w="1515"/>
        <w:gridCol w:w="1375"/>
      </w:tblGrid>
      <w:tr w:rsidR="00A31495" w:rsidRPr="007A6F79" w14:paraId="0A595FED" w14:textId="77777777" w:rsidTr="00063A82">
        <w:trPr>
          <w:trHeight w:val="508"/>
        </w:trPr>
        <w:tc>
          <w:tcPr>
            <w:tcW w:w="1044" w:type="dxa"/>
          </w:tcPr>
          <w:p w14:paraId="04E0F28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sz w:val="24"/>
                <w:szCs w:val="24"/>
              </w:rPr>
              <w:t>w/c ratio</w:t>
            </w:r>
          </w:p>
        </w:tc>
        <w:tc>
          <w:tcPr>
            <w:tcW w:w="2326" w:type="dxa"/>
          </w:tcPr>
          <w:p w14:paraId="44C3D8D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sz w:val="24"/>
                <w:szCs w:val="24"/>
              </w:rPr>
              <w:t>Sample type</w:t>
            </w:r>
          </w:p>
        </w:tc>
        <w:tc>
          <w:tcPr>
            <w:tcW w:w="1700" w:type="dxa"/>
          </w:tcPr>
          <w:p w14:paraId="2863714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Fresh Density</w:t>
            </w:r>
          </w:p>
          <w:p w14:paraId="09FC6B5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(WGCA)</w:t>
            </w:r>
          </w:p>
        </w:tc>
        <w:tc>
          <w:tcPr>
            <w:tcW w:w="1275" w:type="dxa"/>
          </w:tcPr>
          <w:p w14:paraId="33AF6A5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Fresh Density</w:t>
            </w:r>
          </w:p>
          <w:p w14:paraId="6B901F4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(SSCA)</w:t>
            </w:r>
          </w:p>
        </w:tc>
        <w:tc>
          <w:tcPr>
            <w:tcW w:w="1560" w:type="dxa"/>
          </w:tcPr>
          <w:p w14:paraId="130C575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Air-dry Density</w:t>
            </w:r>
          </w:p>
          <w:p w14:paraId="5B802E6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(WGCA)</w:t>
            </w:r>
          </w:p>
        </w:tc>
        <w:tc>
          <w:tcPr>
            <w:tcW w:w="1417" w:type="dxa"/>
          </w:tcPr>
          <w:p w14:paraId="5F7FFD6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Air-dry Density</w:t>
            </w:r>
          </w:p>
          <w:p w14:paraId="4C2A35A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(SSCA)</w:t>
            </w:r>
          </w:p>
        </w:tc>
      </w:tr>
      <w:tr w:rsidR="00A31495" w:rsidRPr="007A6F79" w14:paraId="04013272" w14:textId="77777777" w:rsidTr="00063A82">
        <w:trPr>
          <w:trHeight w:val="1408"/>
        </w:trPr>
        <w:tc>
          <w:tcPr>
            <w:tcW w:w="1044" w:type="dxa"/>
          </w:tcPr>
          <w:p w14:paraId="21C1BE2C"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0.40</w:t>
            </w:r>
          </w:p>
          <w:p w14:paraId="20A964DE" w14:textId="77777777" w:rsidR="00A31495" w:rsidRPr="007A6F79" w:rsidRDefault="00A31495" w:rsidP="00EF2196">
            <w:pPr>
              <w:jc w:val="both"/>
              <w:rPr>
                <w:rFonts w:ascii="Times New Roman" w:hAnsi="Times New Roman" w:cs="Times New Roman"/>
                <w:sz w:val="24"/>
                <w:szCs w:val="24"/>
              </w:rPr>
            </w:pPr>
          </w:p>
          <w:p w14:paraId="1D8F6C0C" w14:textId="77777777" w:rsidR="00A31495" w:rsidRPr="007A6F79" w:rsidRDefault="00A31495" w:rsidP="00EF2196">
            <w:pPr>
              <w:jc w:val="both"/>
              <w:rPr>
                <w:rFonts w:ascii="Times New Roman" w:hAnsi="Times New Roman" w:cs="Times New Roman"/>
                <w:sz w:val="24"/>
                <w:szCs w:val="24"/>
              </w:rPr>
            </w:pPr>
          </w:p>
          <w:p w14:paraId="2230C235" w14:textId="77777777" w:rsidR="00A31495" w:rsidRPr="007A6F79" w:rsidRDefault="00A31495" w:rsidP="00EF2196">
            <w:pPr>
              <w:jc w:val="both"/>
              <w:rPr>
                <w:rFonts w:ascii="Times New Roman" w:hAnsi="Times New Roman" w:cs="Times New Roman"/>
                <w:sz w:val="24"/>
                <w:szCs w:val="24"/>
              </w:rPr>
            </w:pPr>
          </w:p>
          <w:p w14:paraId="4397276C" w14:textId="77777777" w:rsidR="00A31495" w:rsidRPr="007A6F79" w:rsidRDefault="00A31495" w:rsidP="00EF2196">
            <w:pPr>
              <w:jc w:val="both"/>
              <w:rPr>
                <w:rFonts w:ascii="Times New Roman" w:hAnsi="Times New Roman" w:cs="Times New Roman"/>
                <w:sz w:val="24"/>
                <w:szCs w:val="24"/>
              </w:rPr>
            </w:pPr>
          </w:p>
          <w:p w14:paraId="18D02E9B"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0.60</w:t>
            </w:r>
          </w:p>
          <w:p w14:paraId="0598B805" w14:textId="77777777" w:rsidR="00A31495" w:rsidRPr="007A6F79" w:rsidRDefault="00A31495" w:rsidP="00EF2196">
            <w:pPr>
              <w:jc w:val="both"/>
              <w:rPr>
                <w:rFonts w:ascii="Times New Roman" w:hAnsi="Times New Roman" w:cs="Times New Roman"/>
                <w:sz w:val="24"/>
                <w:szCs w:val="24"/>
              </w:rPr>
            </w:pPr>
          </w:p>
          <w:p w14:paraId="4ED844C6" w14:textId="77777777" w:rsidR="00A31495" w:rsidRPr="007A6F79" w:rsidRDefault="00A31495" w:rsidP="00EF2196">
            <w:pPr>
              <w:jc w:val="both"/>
              <w:rPr>
                <w:rFonts w:ascii="Times New Roman" w:hAnsi="Times New Roman" w:cs="Times New Roman"/>
                <w:sz w:val="24"/>
                <w:szCs w:val="24"/>
              </w:rPr>
            </w:pPr>
          </w:p>
          <w:p w14:paraId="59D3392B" w14:textId="77777777" w:rsidR="00A31495" w:rsidRPr="007A6F79" w:rsidRDefault="00A31495" w:rsidP="00EF2196">
            <w:pPr>
              <w:jc w:val="both"/>
              <w:rPr>
                <w:rFonts w:ascii="Times New Roman" w:hAnsi="Times New Roman" w:cs="Times New Roman"/>
                <w:sz w:val="24"/>
                <w:szCs w:val="24"/>
              </w:rPr>
            </w:pPr>
          </w:p>
          <w:p w14:paraId="17450D47" w14:textId="77777777" w:rsidR="00A31495" w:rsidRPr="007A6F79" w:rsidRDefault="00A31495" w:rsidP="00EF2196">
            <w:pPr>
              <w:jc w:val="both"/>
              <w:rPr>
                <w:rFonts w:ascii="Times New Roman" w:hAnsi="Times New Roman" w:cs="Times New Roman"/>
                <w:sz w:val="24"/>
                <w:szCs w:val="24"/>
              </w:rPr>
            </w:pPr>
          </w:p>
          <w:p w14:paraId="4F1B0A6C"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0.65</w:t>
            </w:r>
          </w:p>
          <w:p w14:paraId="5B6BC2D3" w14:textId="77777777" w:rsidR="00A31495" w:rsidRPr="007A6F79" w:rsidRDefault="00A31495" w:rsidP="00EF2196">
            <w:pPr>
              <w:jc w:val="both"/>
              <w:rPr>
                <w:rFonts w:ascii="Times New Roman" w:hAnsi="Times New Roman" w:cs="Times New Roman"/>
                <w:sz w:val="24"/>
                <w:szCs w:val="24"/>
              </w:rPr>
            </w:pPr>
          </w:p>
          <w:p w14:paraId="501E0094" w14:textId="77777777" w:rsidR="00A31495" w:rsidRPr="007A6F79" w:rsidRDefault="00A31495" w:rsidP="00EF2196">
            <w:pPr>
              <w:jc w:val="both"/>
              <w:rPr>
                <w:rFonts w:ascii="Times New Roman" w:hAnsi="Times New Roman" w:cs="Times New Roman"/>
                <w:sz w:val="24"/>
                <w:szCs w:val="24"/>
              </w:rPr>
            </w:pPr>
          </w:p>
          <w:p w14:paraId="2A090522" w14:textId="77777777" w:rsidR="00A31495" w:rsidRPr="007A6F79" w:rsidRDefault="00A31495" w:rsidP="00EF2196">
            <w:pPr>
              <w:jc w:val="both"/>
              <w:rPr>
                <w:rFonts w:ascii="Times New Roman" w:hAnsi="Times New Roman" w:cs="Times New Roman"/>
                <w:sz w:val="24"/>
                <w:szCs w:val="24"/>
              </w:rPr>
            </w:pPr>
          </w:p>
          <w:p w14:paraId="3716BB40" w14:textId="77777777" w:rsidR="00A31495" w:rsidRPr="007A6F79" w:rsidRDefault="00A31495" w:rsidP="00EF2196">
            <w:pPr>
              <w:jc w:val="both"/>
              <w:rPr>
                <w:rFonts w:ascii="Times New Roman" w:hAnsi="Times New Roman" w:cs="Times New Roman"/>
              </w:rPr>
            </w:pPr>
          </w:p>
        </w:tc>
        <w:tc>
          <w:tcPr>
            <w:tcW w:w="2326" w:type="dxa"/>
          </w:tcPr>
          <w:p w14:paraId="7E1A4E2D" w14:textId="77777777" w:rsidR="00A31495" w:rsidRPr="007A6F79" w:rsidRDefault="00A31495" w:rsidP="00EF2196">
            <w:pPr>
              <w:jc w:val="both"/>
              <w:rPr>
                <w:rFonts w:ascii="Times New Roman" w:hAnsi="Times New Roman" w:cs="Times New Roman"/>
                <w:sz w:val="24"/>
                <w:szCs w:val="24"/>
              </w:rPr>
            </w:pPr>
          </w:p>
          <w:p w14:paraId="523622EF"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1:1 RPSCA</w:t>
            </w:r>
          </w:p>
          <w:p w14:paraId="01E71E25"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1:2 RPSCA</w:t>
            </w:r>
          </w:p>
          <w:p w14:paraId="1A7C1376"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1:1 RPRDCA</w:t>
            </w:r>
          </w:p>
          <w:p w14:paraId="0CCDBEDE" w14:textId="2E171336" w:rsidR="00A31495"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1:2 RPRDCA</w:t>
            </w:r>
          </w:p>
          <w:p w14:paraId="73CD105D" w14:textId="77777777" w:rsidR="007A6F79" w:rsidRPr="007A6F79" w:rsidRDefault="007A6F79" w:rsidP="00EF2196">
            <w:pPr>
              <w:jc w:val="both"/>
              <w:rPr>
                <w:rFonts w:ascii="Times New Roman" w:hAnsi="Times New Roman" w:cs="Times New Roman"/>
                <w:sz w:val="24"/>
                <w:szCs w:val="24"/>
              </w:rPr>
            </w:pPr>
          </w:p>
          <w:p w14:paraId="4C20053E"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1:1 RPSCA</w:t>
            </w:r>
          </w:p>
          <w:p w14:paraId="0375F704"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1:2 RPSCA</w:t>
            </w:r>
          </w:p>
          <w:p w14:paraId="5F91FF9C"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lastRenderedPageBreak/>
              <w:t>1:1 RPRDCA</w:t>
            </w:r>
          </w:p>
          <w:p w14:paraId="7F07F57C"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1:2 RPRDCA</w:t>
            </w:r>
          </w:p>
          <w:p w14:paraId="6F6192E0" w14:textId="77777777" w:rsidR="00A31495" w:rsidRPr="007A6F79" w:rsidRDefault="00A31495" w:rsidP="00EF2196">
            <w:pPr>
              <w:jc w:val="both"/>
              <w:rPr>
                <w:rFonts w:ascii="Times New Roman" w:hAnsi="Times New Roman" w:cs="Times New Roman"/>
                <w:sz w:val="24"/>
                <w:szCs w:val="24"/>
              </w:rPr>
            </w:pPr>
          </w:p>
          <w:p w14:paraId="0D4C8CE5"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1:1 RPSCA</w:t>
            </w:r>
          </w:p>
          <w:p w14:paraId="4CC5E7DC"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1:2 RPSCA</w:t>
            </w:r>
          </w:p>
          <w:p w14:paraId="5F5CC560"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1:1 RPRDCA</w:t>
            </w:r>
          </w:p>
          <w:p w14:paraId="050CE7A5"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sz w:val="24"/>
                <w:szCs w:val="24"/>
              </w:rPr>
              <w:t>1:2 RPRDCA</w:t>
            </w:r>
          </w:p>
        </w:tc>
        <w:tc>
          <w:tcPr>
            <w:tcW w:w="1700" w:type="dxa"/>
          </w:tcPr>
          <w:p w14:paraId="5B1F4A67" w14:textId="77777777" w:rsidR="00A31495" w:rsidRPr="007A6F79" w:rsidRDefault="00A31495" w:rsidP="00EF2196">
            <w:pPr>
              <w:jc w:val="both"/>
              <w:rPr>
                <w:rFonts w:ascii="Times New Roman" w:hAnsi="Times New Roman" w:cs="Times New Roman"/>
              </w:rPr>
            </w:pPr>
          </w:p>
          <w:p w14:paraId="5A764ABA"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2109</w:t>
            </w:r>
          </w:p>
          <w:p w14:paraId="071D9E56"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2134</w:t>
            </w:r>
          </w:p>
          <w:p w14:paraId="164FF7C7"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2090</w:t>
            </w:r>
          </w:p>
          <w:p w14:paraId="14E1390E"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2113</w:t>
            </w:r>
          </w:p>
          <w:p w14:paraId="55283DCF" w14:textId="77777777" w:rsidR="00A31495" w:rsidRDefault="00A31495" w:rsidP="00EF2196">
            <w:pPr>
              <w:jc w:val="both"/>
              <w:rPr>
                <w:rFonts w:ascii="Times New Roman" w:hAnsi="Times New Roman" w:cs="Times New Roman"/>
              </w:rPr>
            </w:pPr>
          </w:p>
          <w:p w14:paraId="4F5027ED" w14:textId="77777777" w:rsidR="00841682" w:rsidRPr="007A6F79" w:rsidRDefault="00841682" w:rsidP="00EF2196">
            <w:pPr>
              <w:jc w:val="both"/>
              <w:rPr>
                <w:rFonts w:ascii="Times New Roman" w:hAnsi="Times New Roman" w:cs="Times New Roman"/>
              </w:rPr>
            </w:pPr>
          </w:p>
          <w:p w14:paraId="03D82291"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2048</w:t>
            </w:r>
          </w:p>
          <w:p w14:paraId="15B2CB87"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2058</w:t>
            </w:r>
          </w:p>
          <w:p w14:paraId="0736AC06"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1986</w:t>
            </w:r>
          </w:p>
          <w:p w14:paraId="57721B93"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2025</w:t>
            </w:r>
          </w:p>
          <w:p w14:paraId="4F98B57C" w14:textId="77777777" w:rsidR="00A31495" w:rsidRPr="007A6F79" w:rsidRDefault="00A31495" w:rsidP="00EF2196">
            <w:pPr>
              <w:jc w:val="both"/>
              <w:rPr>
                <w:rFonts w:ascii="Times New Roman" w:hAnsi="Times New Roman" w:cs="Times New Roman"/>
              </w:rPr>
            </w:pPr>
          </w:p>
          <w:p w14:paraId="30774325"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2009</w:t>
            </w:r>
          </w:p>
          <w:p w14:paraId="6A57A7E6"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2017</w:t>
            </w:r>
          </w:p>
          <w:p w14:paraId="3FD10B01"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1996</w:t>
            </w:r>
          </w:p>
          <w:p w14:paraId="51A00725"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2001</w:t>
            </w:r>
          </w:p>
        </w:tc>
        <w:tc>
          <w:tcPr>
            <w:tcW w:w="1275" w:type="dxa"/>
          </w:tcPr>
          <w:p w14:paraId="033EF1DC" w14:textId="77777777" w:rsidR="00A31495" w:rsidRPr="007A6F79" w:rsidRDefault="00A31495" w:rsidP="00EF2196">
            <w:pPr>
              <w:jc w:val="both"/>
              <w:rPr>
                <w:rFonts w:ascii="Times New Roman" w:hAnsi="Times New Roman" w:cs="Times New Roman"/>
              </w:rPr>
            </w:pPr>
          </w:p>
          <w:p w14:paraId="20D1291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1942</w:t>
            </w:r>
          </w:p>
          <w:p w14:paraId="13230D1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1945</w:t>
            </w:r>
          </w:p>
          <w:p w14:paraId="42BAD845"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1933</w:t>
            </w:r>
          </w:p>
          <w:p w14:paraId="15079487"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1947</w:t>
            </w:r>
          </w:p>
          <w:p w14:paraId="5ED9C121" w14:textId="77777777" w:rsidR="00A31495" w:rsidRPr="007A6F79" w:rsidRDefault="00A31495" w:rsidP="00EF2196">
            <w:pPr>
              <w:jc w:val="both"/>
              <w:rPr>
                <w:rFonts w:ascii="Times New Roman" w:hAnsi="Times New Roman" w:cs="Times New Roman"/>
              </w:rPr>
            </w:pPr>
          </w:p>
          <w:p w14:paraId="62D2F0C5" w14:textId="77777777" w:rsidR="00A31495" w:rsidRPr="007A6F79" w:rsidRDefault="00A31495" w:rsidP="00EF2196">
            <w:pPr>
              <w:jc w:val="both"/>
              <w:rPr>
                <w:rFonts w:ascii="Times New Roman" w:hAnsi="Times New Roman" w:cs="Times New Roman"/>
              </w:rPr>
            </w:pPr>
          </w:p>
          <w:p w14:paraId="516B90FA"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1948</w:t>
            </w:r>
          </w:p>
          <w:p w14:paraId="26A5B7B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1968</w:t>
            </w:r>
          </w:p>
          <w:p w14:paraId="3E869D3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1948</w:t>
            </w:r>
          </w:p>
          <w:p w14:paraId="4D4ADCE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1961</w:t>
            </w:r>
          </w:p>
          <w:p w14:paraId="4C08E55A" w14:textId="77777777" w:rsidR="00A31495" w:rsidRPr="007A6F79" w:rsidRDefault="00A31495" w:rsidP="00EF2196">
            <w:pPr>
              <w:jc w:val="both"/>
              <w:rPr>
                <w:rFonts w:ascii="Times New Roman" w:hAnsi="Times New Roman" w:cs="Times New Roman"/>
              </w:rPr>
            </w:pPr>
          </w:p>
          <w:p w14:paraId="0C539553"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1927</w:t>
            </w:r>
          </w:p>
          <w:p w14:paraId="7D944CA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1933</w:t>
            </w:r>
          </w:p>
          <w:p w14:paraId="3D4D3853"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1923</w:t>
            </w:r>
          </w:p>
          <w:p w14:paraId="56768EA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1935</w:t>
            </w:r>
          </w:p>
        </w:tc>
        <w:tc>
          <w:tcPr>
            <w:tcW w:w="1560" w:type="dxa"/>
          </w:tcPr>
          <w:p w14:paraId="1D4BC050" w14:textId="77777777" w:rsidR="00A31495" w:rsidRPr="007A6F79" w:rsidRDefault="00A31495" w:rsidP="00EF2196">
            <w:pPr>
              <w:jc w:val="both"/>
              <w:rPr>
                <w:rFonts w:ascii="Times New Roman" w:hAnsi="Times New Roman" w:cs="Times New Roman"/>
              </w:rPr>
            </w:pPr>
          </w:p>
          <w:p w14:paraId="7E1D8B82"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2069</w:t>
            </w:r>
          </w:p>
          <w:p w14:paraId="4E7E013F"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2091</w:t>
            </w:r>
          </w:p>
          <w:p w14:paraId="5302B403"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2051</w:t>
            </w:r>
          </w:p>
          <w:p w14:paraId="29C0C70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2069</w:t>
            </w:r>
          </w:p>
          <w:p w14:paraId="63A065FB" w14:textId="77777777" w:rsidR="00A31495" w:rsidRPr="007A6F79" w:rsidRDefault="00A31495" w:rsidP="00EF2196">
            <w:pPr>
              <w:jc w:val="both"/>
              <w:rPr>
                <w:rFonts w:ascii="Times New Roman" w:hAnsi="Times New Roman" w:cs="Times New Roman"/>
              </w:rPr>
            </w:pPr>
          </w:p>
          <w:p w14:paraId="1B75337D" w14:textId="77777777" w:rsidR="00A31495" w:rsidRPr="007A6F79" w:rsidRDefault="00A31495" w:rsidP="00EF2196">
            <w:pPr>
              <w:jc w:val="both"/>
              <w:rPr>
                <w:rFonts w:ascii="Times New Roman" w:hAnsi="Times New Roman" w:cs="Times New Roman"/>
              </w:rPr>
            </w:pPr>
          </w:p>
          <w:p w14:paraId="7A450C1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2010</w:t>
            </w:r>
          </w:p>
          <w:p w14:paraId="45ECB0DB"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2011</w:t>
            </w:r>
          </w:p>
          <w:p w14:paraId="2449A2E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1941</w:t>
            </w:r>
          </w:p>
          <w:p w14:paraId="37FADCCB"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1974</w:t>
            </w:r>
          </w:p>
          <w:p w14:paraId="2DF53B07" w14:textId="77777777" w:rsidR="00A31495" w:rsidRPr="007A6F79" w:rsidRDefault="00A31495" w:rsidP="00EF2196">
            <w:pPr>
              <w:jc w:val="both"/>
              <w:rPr>
                <w:rFonts w:ascii="Times New Roman" w:hAnsi="Times New Roman" w:cs="Times New Roman"/>
              </w:rPr>
            </w:pPr>
          </w:p>
          <w:p w14:paraId="33E648DF"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1977</w:t>
            </w:r>
          </w:p>
          <w:p w14:paraId="248657DF"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1982</w:t>
            </w:r>
          </w:p>
          <w:p w14:paraId="50E5DD1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1969</w:t>
            </w:r>
          </w:p>
          <w:p w14:paraId="1D5F24A8"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1971</w:t>
            </w:r>
          </w:p>
        </w:tc>
        <w:tc>
          <w:tcPr>
            <w:tcW w:w="1417" w:type="dxa"/>
          </w:tcPr>
          <w:p w14:paraId="660DF315" w14:textId="77777777" w:rsidR="00A31495" w:rsidRPr="007A6F79" w:rsidRDefault="00A31495" w:rsidP="00EF2196">
            <w:pPr>
              <w:jc w:val="both"/>
              <w:rPr>
                <w:rFonts w:ascii="Times New Roman" w:hAnsi="Times New Roman" w:cs="Times New Roman"/>
              </w:rPr>
            </w:pPr>
          </w:p>
          <w:p w14:paraId="4033535B"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1931</w:t>
            </w:r>
          </w:p>
          <w:p w14:paraId="0C11A506"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1939</w:t>
            </w:r>
          </w:p>
          <w:p w14:paraId="1BF49E4A"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1927</w:t>
            </w:r>
          </w:p>
          <w:p w14:paraId="12693ED3"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1941</w:t>
            </w:r>
          </w:p>
          <w:p w14:paraId="6A9BD222" w14:textId="77777777" w:rsidR="00A31495" w:rsidRPr="007A6F79" w:rsidRDefault="00A31495" w:rsidP="00EF2196">
            <w:pPr>
              <w:jc w:val="both"/>
              <w:rPr>
                <w:rFonts w:ascii="Times New Roman" w:hAnsi="Times New Roman" w:cs="Times New Roman"/>
              </w:rPr>
            </w:pPr>
          </w:p>
          <w:p w14:paraId="76D94601" w14:textId="77777777" w:rsidR="00A31495" w:rsidRPr="007A6F79" w:rsidRDefault="00A31495" w:rsidP="00EF2196">
            <w:pPr>
              <w:jc w:val="both"/>
              <w:rPr>
                <w:rFonts w:ascii="Times New Roman" w:hAnsi="Times New Roman" w:cs="Times New Roman"/>
              </w:rPr>
            </w:pPr>
          </w:p>
          <w:p w14:paraId="085F848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1941</w:t>
            </w:r>
          </w:p>
          <w:p w14:paraId="536C2C1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1958</w:t>
            </w:r>
          </w:p>
          <w:p w14:paraId="77E49AF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1938</w:t>
            </w:r>
          </w:p>
          <w:p w14:paraId="181AC8EF"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1948</w:t>
            </w:r>
          </w:p>
          <w:p w14:paraId="569B3763" w14:textId="77777777" w:rsidR="00A31495" w:rsidRPr="007A6F79" w:rsidRDefault="00A31495" w:rsidP="00EF2196">
            <w:pPr>
              <w:jc w:val="both"/>
              <w:rPr>
                <w:rFonts w:ascii="Times New Roman" w:hAnsi="Times New Roman" w:cs="Times New Roman"/>
              </w:rPr>
            </w:pPr>
          </w:p>
          <w:p w14:paraId="1BA8C482"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1919</w:t>
            </w:r>
          </w:p>
          <w:p w14:paraId="34876626"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1923</w:t>
            </w:r>
          </w:p>
          <w:p w14:paraId="49669F1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1918</w:t>
            </w:r>
          </w:p>
          <w:p w14:paraId="00F2F72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1927</w:t>
            </w:r>
          </w:p>
        </w:tc>
      </w:tr>
    </w:tbl>
    <w:p w14:paraId="57233798" w14:textId="77777777" w:rsidR="00B66A98" w:rsidRPr="007A6F79" w:rsidRDefault="00B66A98" w:rsidP="00EF2196">
      <w:pPr>
        <w:jc w:val="both"/>
        <w:rPr>
          <w:rFonts w:ascii="Times New Roman" w:hAnsi="Times New Roman" w:cs="Times New Roman"/>
          <w:b/>
          <w:bCs/>
          <w:sz w:val="24"/>
          <w:szCs w:val="24"/>
        </w:rPr>
      </w:pPr>
      <w:r w:rsidRPr="007A6F79">
        <w:rPr>
          <w:rFonts w:ascii="Times New Roman" w:hAnsi="Times New Roman" w:cs="Times New Roman"/>
          <w:b/>
          <w:bCs/>
          <w:sz w:val="24"/>
          <w:szCs w:val="24"/>
        </w:rPr>
        <w:lastRenderedPageBreak/>
        <w:t>Compressive Strength:</w:t>
      </w:r>
    </w:p>
    <w:p w14:paraId="27ADDF90" w14:textId="77777777" w:rsidR="002A5ECA" w:rsidRPr="007A6F79" w:rsidRDefault="002A5ECA" w:rsidP="00EF2196">
      <w:pPr>
        <w:jc w:val="both"/>
        <w:rPr>
          <w:rFonts w:ascii="Times New Roman" w:hAnsi="Times New Roman" w:cs="Times New Roman"/>
        </w:rPr>
      </w:pPr>
      <w:r w:rsidRPr="007A6F79">
        <w:rPr>
          <w:rFonts w:ascii="Times New Roman" w:hAnsi="Times New Roman" w:cs="Times New Roman"/>
        </w:rPr>
        <w:t>When using structural lightweight concrete, it is crucial to adhere to the minimum compressive strength requirement of 17 MPa. This standard is outlined in ASTM C330, which governs the manufacturing process. When using a water-to-cement (w/c) ratio of 0.40, both single-graded and well-graded aggregate mixtures meet this criterion. However, it is important to note that this is not the case for w/c ratios of 0.60 and 0.65. To better understand the compressive strengths achieved by different types of concrete, refer to Figure 8(a)(b)(c). This visual representation offers valuable insight into the strength capabilities of various concrete mixtures.</w:t>
      </w:r>
    </w:p>
    <w:p w14:paraId="2C4CB013" w14:textId="527F4CAB" w:rsidR="007A6F79" w:rsidRPr="007A6F79" w:rsidRDefault="002A5ECA" w:rsidP="00EF2196">
      <w:pPr>
        <w:jc w:val="both"/>
        <w:rPr>
          <w:rFonts w:ascii="Times New Roman" w:hAnsi="Times New Roman" w:cs="Times New Roman"/>
        </w:rPr>
      </w:pPr>
      <w:r w:rsidRPr="007A6F79">
        <w:rPr>
          <w:rFonts w:ascii="Times New Roman" w:hAnsi="Times New Roman" w:cs="Times New Roman"/>
        </w:rPr>
        <w:t xml:space="preserve">When the chart in Figure 8(a) is analyzed, it is observed that the compressive strengths of 1:1 RPSCA and 1:2 RPSCA are lower than those of 1:1 RPRDCA and 1:2 RPRDCA for a w/c ratio of 0.40 when using single-size coarse aggregate (SSCA). However, interestingly, the compressive strength of well-graded coarse aggregate (WGCA) for 1:2 RPSCA and 1:2 RPRDCA yields nearly identical results at 28 days. In a similar manner, for a w/c ratio of 0.60, SSCA demonstrates lower compressive strength for 1:1 RPSCA and 1:2 RPSCA, while 1:1 RPRDCA and 1:2 RPRDCA exhibit stronger results at 28 days. </w:t>
      </w:r>
      <w:r w:rsidR="00B66A98" w:rsidRPr="007A6F79">
        <w:rPr>
          <w:rFonts w:ascii="Times New Roman" w:hAnsi="Times New Roman" w:cs="Times New Roman"/>
        </w:rPr>
        <w:t xml:space="preserve"> </w:t>
      </w:r>
      <w:r w:rsidRPr="007A6F79">
        <w:rPr>
          <w:rFonts w:ascii="Times New Roman" w:hAnsi="Times New Roman" w:cs="Times New Roman"/>
        </w:rPr>
        <w:t>At a water-cement ratio of 0.65, the difference in strength between the highest (1:1 RPRDCA and 1:2 RPRDCA) and lowest (1:1 RPSCA and 1:2 RPSCA) compressive strengths at 28 days remains consistent for the same single-graded aggregate. In terms of SSCA and WGCA with a 0.65 w/c ratio (1:1 RPSCA, 1:2 RPSCA, 1:1 RPRDCA, and 1:2 RPRDCA), the decrease in compressive strength is the least significant.</w:t>
      </w:r>
    </w:p>
    <w:p w14:paraId="69A87C89" w14:textId="77777777" w:rsidR="002A07AE" w:rsidRPr="007A6F79" w:rsidRDefault="002A07AE" w:rsidP="00EF2196">
      <w:pPr>
        <w:jc w:val="both"/>
        <w:rPr>
          <w:rFonts w:ascii="Times New Roman" w:hAnsi="Times New Roman" w:cs="Times New Roman"/>
          <w:b/>
          <w:bCs/>
        </w:rPr>
      </w:pPr>
      <w:r w:rsidRPr="007A6F79">
        <w:rPr>
          <w:rFonts w:ascii="Times New Roman" w:hAnsi="Times New Roman" w:cs="Times New Roman"/>
          <w:b/>
          <w:bCs/>
          <w:noProof/>
        </w:rPr>
        <w:drawing>
          <wp:anchor distT="0" distB="0" distL="114300" distR="114300" simplePos="0" relativeHeight="251682816" behindDoc="0" locked="0" layoutInCell="1" allowOverlap="1" wp14:anchorId="3F9F6796" wp14:editId="6155BB22">
            <wp:simplePos x="0" y="0"/>
            <wp:positionH relativeFrom="margin">
              <wp:posOffset>6350</wp:posOffset>
            </wp:positionH>
            <wp:positionV relativeFrom="paragraph">
              <wp:posOffset>198120</wp:posOffset>
            </wp:positionV>
            <wp:extent cx="1727200" cy="2495550"/>
            <wp:effectExtent l="0" t="0" r="6350" b="0"/>
            <wp:wrapNone/>
            <wp:docPr id="7" name="Chart 7">
              <a:extLst xmlns:a="http://schemas.openxmlformats.org/drawingml/2006/main">
                <a:ext uri="{FF2B5EF4-FFF2-40B4-BE49-F238E27FC236}">
                  <a16:creationId xmlns:a16="http://schemas.microsoft.com/office/drawing/2014/main" id="{41A55F69-C559-2A30-B8EE-014FC1D4E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b/>
          <w:bCs/>
          <w:noProof/>
        </w:rPr>
        <w:drawing>
          <wp:anchor distT="0" distB="0" distL="114300" distR="114300" simplePos="0" relativeHeight="251684864" behindDoc="0" locked="0" layoutInCell="1" allowOverlap="1" wp14:anchorId="30F8F8CB" wp14:editId="5A6D5DBC">
            <wp:simplePos x="0" y="0"/>
            <wp:positionH relativeFrom="margin">
              <wp:align>right</wp:align>
            </wp:positionH>
            <wp:positionV relativeFrom="paragraph">
              <wp:posOffset>230505</wp:posOffset>
            </wp:positionV>
            <wp:extent cx="1695450" cy="2432050"/>
            <wp:effectExtent l="0" t="0" r="0" b="6350"/>
            <wp:wrapNone/>
            <wp:docPr id="14" name="Chart 14">
              <a:extLst xmlns:a="http://schemas.openxmlformats.org/drawingml/2006/main">
                <a:ext uri="{FF2B5EF4-FFF2-40B4-BE49-F238E27FC236}">
                  <a16:creationId xmlns:a16="http://schemas.microsoft.com/office/drawing/2014/main" id="{F66169F6-E700-4B9E-55D6-3DE273D7B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noProof/>
        </w:rPr>
        <w:drawing>
          <wp:anchor distT="0" distB="0" distL="114300" distR="114300" simplePos="0" relativeHeight="251683840" behindDoc="0" locked="0" layoutInCell="1" allowOverlap="1" wp14:anchorId="30B1D4E8" wp14:editId="3141996E">
            <wp:simplePos x="0" y="0"/>
            <wp:positionH relativeFrom="margin">
              <wp:posOffset>1917700</wp:posOffset>
            </wp:positionH>
            <wp:positionV relativeFrom="paragraph">
              <wp:posOffset>230505</wp:posOffset>
            </wp:positionV>
            <wp:extent cx="2108200" cy="2451100"/>
            <wp:effectExtent l="0" t="0" r="6350" b="6350"/>
            <wp:wrapNone/>
            <wp:docPr id="13" name="Chart 13">
              <a:extLst xmlns:a="http://schemas.openxmlformats.org/drawingml/2006/main">
                <a:ext uri="{FF2B5EF4-FFF2-40B4-BE49-F238E27FC236}">
                  <a16:creationId xmlns:a16="http://schemas.microsoft.com/office/drawing/2014/main" id="{4874974A-B717-E750-4FBB-5111448D09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b/>
          <w:bCs/>
        </w:rPr>
        <w:t xml:space="preserve">   0.40 w/c ratio graph                        0.60 w/c ratio graph                                 0.65 w/c ratio graph</w:t>
      </w:r>
    </w:p>
    <w:p w14:paraId="7FBE7DA4" w14:textId="77777777" w:rsidR="002A07AE" w:rsidRPr="007A6F79" w:rsidRDefault="002A07AE" w:rsidP="00EF2196">
      <w:pPr>
        <w:jc w:val="both"/>
        <w:rPr>
          <w:rFonts w:ascii="Times New Roman" w:hAnsi="Times New Roman" w:cs="Times New Roman"/>
          <w:b/>
          <w:bCs/>
        </w:rPr>
      </w:pPr>
    </w:p>
    <w:p w14:paraId="49E6EFAB" w14:textId="77777777" w:rsidR="002A07AE" w:rsidRPr="007A6F79" w:rsidRDefault="002A07AE" w:rsidP="00EF2196">
      <w:pPr>
        <w:jc w:val="both"/>
        <w:rPr>
          <w:rFonts w:ascii="Times New Roman" w:hAnsi="Times New Roman" w:cs="Times New Roman"/>
        </w:rPr>
      </w:pPr>
    </w:p>
    <w:p w14:paraId="3B854CF6" w14:textId="77777777" w:rsidR="002A07AE" w:rsidRPr="007A6F79" w:rsidRDefault="002A07AE" w:rsidP="00EF2196">
      <w:pPr>
        <w:jc w:val="both"/>
        <w:rPr>
          <w:rFonts w:ascii="Times New Roman" w:hAnsi="Times New Roman" w:cs="Times New Roman"/>
        </w:rPr>
      </w:pPr>
    </w:p>
    <w:p w14:paraId="03E64B0B" w14:textId="77777777" w:rsidR="002A07AE" w:rsidRPr="007A6F79" w:rsidRDefault="002A07AE" w:rsidP="00EF2196">
      <w:pPr>
        <w:jc w:val="both"/>
        <w:rPr>
          <w:rFonts w:ascii="Times New Roman" w:hAnsi="Times New Roman" w:cs="Times New Roman"/>
        </w:rPr>
      </w:pPr>
    </w:p>
    <w:p w14:paraId="34D99806" w14:textId="77777777" w:rsidR="002A07AE" w:rsidRPr="007A6F79" w:rsidRDefault="002A07AE" w:rsidP="00EF2196">
      <w:pPr>
        <w:jc w:val="both"/>
        <w:rPr>
          <w:rFonts w:ascii="Times New Roman" w:hAnsi="Times New Roman" w:cs="Times New Roman"/>
        </w:rPr>
      </w:pPr>
    </w:p>
    <w:p w14:paraId="217CDCC0" w14:textId="77777777" w:rsidR="002A07AE" w:rsidRPr="007A6F79" w:rsidRDefault="002A07AE" w:rsidP="00EF2196">
      <w:pPr>
        <w:jc w:val="both"/>
        <w:rPr>
          <w:rFonts w:ascii="Times New Roman" w:hAnsi="Times New Roman" w:cs="Times New Roman"/>
        </w:rPr>
      </w:pPr>
    </w:p>
    <w:p w14:paraId="23BD29B4" w14:textId="77777777" w:rsidR="007A6F79" w:rsidRDefault="007A6F79" w:rsidP="00EF2196">
      <w:pPr>
        <w:jc w:val="both"/>
        <w:rPr>
          <w:rFonts w:ascii="Times New Roman" w:hAnsi="Times New Roman" w:cs="Times New Roman"/>
        </w:rPr>
      </w:pPr>
    </w:p>
    <w:p w14:paraId="55858228" w14:textId="78AD19A1" w:rsidR="002A07AE" w:rsidRPr="007A6F79" w:rsidRDefault="002A5ECA" w:rsidP="00EF2196">
      <w:pPr>
        <w:jc w:val="both"/>
        <w:rPr>
          <w:rFonts w:ascii="Times New Roman" w:hAnsi="Times New Roman" w:cs="Times New Roman"/>
        </w:rPr>
      </w:pPr>
      <w:r w:rsidRPr="007A6F79">
        <w:rPr>
          <w:rFonts w:ascii="Times New Roman" w:hAnsi="Times New Roman" w:cs="Times New Roman"/>
        </w:rPr>
        <w:lastRenderedPageBreak/>
        <w:t>When comparing SSCA concrete and WGCA concrete, it was found that there was a consistent and minimal variation in compressive strength percentages with varying filler amounts. This suggests that these concrete mixtures, specifically 1:1 RPSCA, 1:2 RPSCA, and 1:1 RPRDCA for a w/c ratio of 0.40 (in both SSCA and WGCA), 1:1 RPRDCA (in SSCA), and 1:2 RPSCA, 1:1 RPRDCA (in WGCA) for a w/c ratio of 0.60, and 1:1 RPRDCA, 1:2 RPRDCA (in both SSCA and WGCA) for a w/c ratio of 0.65, all meet the strength requirements set by ASTM C330-04. These results demonstrate the potential suitability of these concrete variations for structural use, as their compressive</w:t>
      </w:r>
      <w:r w:rsidRPr="007A6F79">
        <w:rPr>
          <w:rFonts w:ascii="Times New Roman" w:hAnsi="Times New Roman" w:cs="Times New Roman"/>
        </w:rPr>
        <w:t xml:space="preserve"> </w:t>
      </w:r>
      <w:r w:rsidR="002A20D1" w:rsidRPr="007A6F79">
        <w:rPr>
          <w:rFonts w:ascii="Times New Roman" w:hAnsi="Times New Roman" w:cs="Times New Roman"/>
        </w:rPr>
        <w:t xml:space="preserve">strength exceeds 17 </w:t>
      </w:r>
      <w:proofErr w:type="gramStart"/>
      <w:r w:rsidR="002A20D1" w:rsidRPr="007A6F79">
        <w:rPr>
          <w:rFonts w:ascii="Times New Roman" w:hAnsi="Times New Roman" w:cs="Times New Roman"/>
        </w:rPr>
        <w:t>MPa[</w:t>
      </w:r>
      <w:proofErr w:type="gramEnd"/>
      <w:r w:rsidR="002A20D1" w:rsidRPr="007A6F79">
        <w:rPr>
          <w:rFonts w:ascii="Times New Roman" w:hAnsi="Times New Roman" w:cs="Times New Roman"/>
        </w:rPr>
        <w:t>16].</w:t>
      </w:r>
    </w:p>
    <w:p w14:paraId="648B2203" w14:textId="0556FEC4" w:rsidR="00F43E08" w:rsidRPr="007A6F79" w:rsidRDefault="00F43E08" w:rsidP="00EF2196">
      <w:pPr>
        <w:jc w:val="both"/>
        <w:rPr>
          <w:rFonts w:ascii="Times New Roman" w:hAnsi="Times New Roman" w:cs="Times New Roman"/>
          <w:b/>
          <w:bCs/>
          <w:sz w:val="24"/>
          <w:szCs w:val="24"/>
        </w:rPr>
      </w:pPr>
      <w:r w:rsidRPr="007A6F79">
        <w:rPr>
          <w:rFonts w:ascii="Times New Roman" w:hAnsi="Times New Roman" w:cs="Times New Roman"/>
          <w:b/>
          <w:bCs/>
          <w:sz w:val="24"/>
          <w:szCs w:val="24"/>
        </w:rPr>
        <w:t>Conclusion:</w:t>
      </w:r>
    </w:p>
    <w:p w14:paraId="79C2697A" w14:textId="77777777" w:rsidR="00E70A20" w:rsidRPr="007A6F79" w:rsidRDefault="00E70A20" w:rsidP="00EF2196">
      <w:pPr>
        <w:jc w:val="both"/>
        <w:rPr>
          <w:rFonts w:ascii="Times New Roman" w:hAnsi="Times New Roman" w:cs="Times New Roman"/>
        </w:rPr>
      </w:pPr>
      <w:r w:rsidRPr="007A6F79">
        <w:rPr>
          <w:rFonts w:ascii="Times New Roman" w:hAnsi="Times New Roman" w:cs="Times New Roman"/>
        </w:rPr>
        <w:t>Overall, the groundbreaking plastic aggregate shows great potential as a replacement for traditional aggregate due to its lighter weight. This study has yielded important findings, including:</w:t>
      </w:r>
    </w:p>
    <w:p w14:paraId="784D0812" w14:textId="61B38796" w:rsidR="00F43E08" w:rsidRPr="007A6F79" w:rsidRDefault="00F43E08" w:rsidP="00EF2196">
      <w:pPr>
        <w:jc w:val="both"/>
        <w:rPr>
          <w:rFonts w:ascii="Times New Roman" w:hAnsi="Times New Roman" w:cs="Times New Roman"/>
        </w:rPr>
      </w:pPr>
      <w:r w:rsidRPr="007A6F79">
        <w:rPr>
          <w:rFonts w:ascii="Times New Roman" w:hAnsi="Times New Roman" w:cs="Times New Roman"/>
        </w:rPr>
        <w:t>Successful manufacturing of new plastic aggregates from recycled plastics utilizing High-Density Polyethylene (HDPE) and different filler types (HDPE/sand, rock dust).</w:t>
      </w:r>
    </w:p>
    <w:p w14:paraId="48DD1779" w14:textId="302A3E7C" w:rsidR="00E70A20" w:rsidRPr="007A6F79" w:rsidRDefault="00E70A20" w:rsidP="00EF2196">
      <w:pPr>
        <w:jc w:val="both"/>
        <w:rPr>
          <w:rFonts w:ascii="Times New Roman" w:hAnsi="Times New Roman" w:cs="Times New Roman"/>
        </w:rPr>
      </w:pPr>
      <w:r w:rsidRPr="007A6F79">
        <w:rPr>
          <w:rFonts w:ascii="Times New Roman" w:hAnsi="Times New Roman" w:cs="Times New Roman"/>
        </w:rPr>
        <w:t xml:space="preserve">The new recycled plastic aggregate proves its potential as a complete substitute for traditional materials in concrete by meeting the compliance standards outlined in ASTM C330-04. </w:t>
      </w:r>
    </w:p>
    <w:p w14:paraId="0F3941F2" w14:textId="2B22D65E" w:rsidR="00F43E08" w:rsidRPr="007A6F79" w:rsidRDefault="00E70A20" w:rsidP="00EF2196">
      <w:pPr>
        <w:jc w:val="both"/>
        <w:rPr>
          <w:rFonts w:ascii="Times New Roman" w:hAnsi="Times New Roman" w:cs="Times New Roman"/>
        </w:rPr>
      </w:pPr>
      <w:proofErr w:type="gramStart"/>
      <w:r w:rsidRPr="007A6F79">
        <w:rPr>
          <w:rFonts w:ascii="Times New Roman" w:hAnsi="Times New Roman" w:cs="Times New Roman"/>
        </w:rPr>
        <w:t>Upon examining SEM images, it</w:t>
      </w:r>
      <w:proofErr w:type="gramEnd"/>
      <w:r w:rsidRPr="007A6F79">
        <w:rPr>
          <w:rFonts w:ascii="Times New Roman" w:hAnsi="Times New Roman" w:cs="Times New Roman"/>
        </w:rPr>
        <w:t xml:space="preserve"> becomes evident that the material structure is clearly defined, and optical microscope images further corroborate this finding by illustrating a robust bond between the filler and HDPE plastic.</w:t>
      </w:r>
    </w:p>
    <w:p w14:paraId="4CD48180" w14:textId="77777777" w:rsidR="00E70A20" w:rsidRPr="007A6F79" w:rsidRDefault="00E70A20" w:rsidP="00EF2196">
      <w:pPr>
        <w:jc w:val="both"/>
        <w:rPr>
          <w:rFonts w:ascii="Times New Roman" w:hAnsi="Times New Roman" w:cs="Times New Roman"/>
        </w:rPr>
      </w:pPr>
      <w:r w:rsidRPr="007A6F79">
        <w:rPr>
          <w:rFonts w:ascii="Times New Roman" w:hAnsi="Times New Roman" w:cs="Times New Roman"/>
        </w:rPr>
        <w:t xml:space="preserve">The strength of Single-Size Coarse Aggregate (SSCA) concrete is notably lower than that of Well-Graded Coarse Aggregate (WGCA) concrete, an observation credited to the variation in coarse aggregate size. </w:t>
      </w:r>
    </w:p>
    <w:p w14:paraId="42AFAC30" w14:textId="686D86AD" w:rsidR="00E70A20" w:rsidRPr="007A6F79" w:rsidRDefault="00E70A20" w:rsidP="00EF2196">
      <w:pPr>
        <w:jc w:val="both"/>
        <w:rPr>
          <w:rFonts w:ascii="Times New Roman" w:hAnsi="Times New Roman" w:cs="Times New Roman"/>
        </w:rPr>
      </w:pPr>
      <w:r w:rsidRPr="007A6F79">
        <w:rPr>
          <w:rFonts w:ascii="Times New Roman" w:hAnsi="Times New Roman" w:cs="Times New Roman"/>
        </w:rPr>
        <w:t>This discrepancy in compressive strength is further highlighted by the distinct failure mechanism of crack propagation observed in both SSCA and WGCA concrete. Despite this difference, all types of concrete, including SSCA and WGCA, can still meet the requirements for compressive strength listed in ASTM C330-04 with a water-to-cement ratio of 0.4. As a result, they are suitable choices for various applications such as sidewalks, driveways, and backfilling, where a lower strength is deemed acceptable.</w:t>
      </w:r>
    </w:p>
    <w:p w14:paraId="61F82203" w14:textId="2FF2C6F3" w:rsidR="00F43E08" w:rsidRPr="007A6F79" w:rsidRDefault="00921080" w:rsidP="00EF2196">
      <w:pPr>
        <w:jc w:val="both"/>
        <w:rPr>
          <w:rFonts w:ascii="Times New Roman" w:hAnsi="Times New Roman" w:cs="Times New Roman"/>
        </w:rPr>
      </w:pPr>
      <w:r w:rsidRPr="007A6F79">
        <w:rPr>
          <w:rFonts w:ascii="Times New Roman" w:hAnsi="Times New Roman" w:cs="Times New Roman"/>
        </w:rPr>
        <w:t>We have developed specific concrete mixtures that fully adhere to the high compressive strength standards outlined in ASTM C330-04. These mixtures have been carefully crafted to achieve a water to cement ratio of 0.60 or 0.65, depending on the type of aggregate used (such as SSCA or WGCA). Our recommended ratios are 1:1 RPRDCA for SSCA and 1:2 RPSCA, 1:1 RPRDCA, and 1:2 RPRDCA for WGCA. Trust in our proven formulas to deliver outstanding results.</w:t>
      </w:r>
    </w:p>
    <w:p w14:paraId="0C89D6BA" w14:textId="2AF5ADBE" w:rsidR="00E70A20" w:rsidRPr="007A6F79" w:rsidRDefault="00921080" w:rsidP="00EF2196">
      <w:pPr>
        <w:jc w:val="both"/>
        <w:rPr>
          <w:rFonts w:ascii="Times New Roman" w:hAnsi="Times New Roman" w:cs="Times New Roman"/>
        </w:rPr>
      </w:pPr>
      <w:r w:rsidRPr="007A6F79">
        <w:rPr>
          <w:rFonts w:ascii="Times New Roman" w:hAnsi="Times New Roman" w:cs="Times New Roman"/>
        </w:rPr>
        <w:t>"Despite the existing evidence, it is highly encouraged to conduct further and thorough mechanical sustainability tests, including environmental and economic assessments, in order to fully understand the potential use of plastic aggregates in civil infrastructure."</w:t>
      </w:r>
    </w:p>
    <w:p w14:paraId="33F341B1" w14:textId="5BA60E92" w:rsidR="0089028F" w:rsidRPr="007A6F79" w:rsidRDefault="0089028F" w:rsidP="00EF2196">
      <w:pPr>
        <w:jc w:val="both"/>
        <w:rPr>
          <w:rFonts w:ascii="Times New Roman" w:hAnsi="Times New Roman" w:cs="Times New Roman"/>
          <w:b/>
          <w:bCs/>
        </w:rPr>
      </w:pPr>
      <w:r w:rsidRPr="007A6F79">
        <w:rPr>
          <w:rFonts w:ascii="Times New Roman" w:hAnsi="Times New Roman" w:cs="Times New Roman"/>
          <w:b/>
          <w:bCs/>
        </w:rPr>
        <w:t>Acknowledgments:</w:t>
      </w:r>
    </w:p>
    <w:p w14:paraId="3E22E488" w14:textId="77777777" w:rsidR="00E70A20" w:rsidRPr="007A6F79" w:rsidRDefault="00E70A20" w:rsidP="00EF2196">
      <w:pPr>
        <w:jc w:val="both"/>
        <w:rPr>
          <w:rFonts w:ascii="Times New Roman" w:hAnsi="Times New Roman" w:cs="Times New Roman"/>
        </w:rPr>
      </w:pPr>
      <w:r w:rsidRPr="007A6F79">
        <w:rPr>
          <w:rFonts w:ascii="Times New Roman" w:hAnsi="Times New Roman" w:cs="Times New Roman"/>
        </w:rPr>
        <w:t xml:space="preserve">The authors would like to sincerely thank the University College of Engineering at Osmania University for their invaluable academic guidance and supervision. Additionally, we are extremely grateful to the Ministry of Tribal Affairs-NFST-India for their generous financial assistance, without which this </w:t>
      </w:r>
      <w:r w:rsidRPr="007A6F79">
        <w:rPr>
          <w:rFonts w:ascii="Times New Roman" w:hAnsi="Times New Roman" w:cs="Times New Roman"/>
        </w:rPr>
        <w:lastRenderedPageBreak/>
        <w:t>research would not have been possible. Special appreciation also goes out to the head of the laboratory and the dedicated staff at CED-UCE-OU for their unwavering support during our time in the laboratory.</w:t>
      </w:r>
    </w:p>
    <w:p w14:paraId="19BEF954" w14:textId="204625BF" w:rsidR="004E2691" w:rsidRPr="007A6F79" w:rsidRDefault="004E2691" w:rsidP="00EF2196">
      <w:pPr>
        <w:jc w:val="both"/>
        <w:rPr>
          <w:rFonts w:ascii="Times New Roman" w:hAnsi="Times New Roman" w:cs="Times New Roman"/>
          <w:b/>
          <w:bCs/>
          <w:sz w:val="28"/>
          <w:szCs w:val="28"/>
        </w:rPr>
      </w:pPr>
      <w:r w:rsidRPr="007A6F79">
        <w:rPr>
          <w:rFonts w:ascii="Times New Roman" w:hAnsi="Times New Roman" w:cs="Times New Roman"/>
          <w:b/>
          <w:bCs/>
          <w:sz w:val="28"/>
          <w:szCs w:val="28"/>
        </w:rPr>
        <w:t>References</w:t>
      </w:r>
    </w:p>
    <w:p w14:paraId="4E6FCE80"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sz w:val="24"/>
          <w:szCs w:val="24"/>
        </w:rPr>
        <w:fldChar w:fldCharType="begin" w:fldLock="1"/>
      </w:r>
      <w:r w:rsidRPr="007A6F79">
        <w:rPr>
          <w:rFonts w:ascii="Times New Roman" w:hAnsi="Times New Roman" w:cs="Times New Roman"/>
          <w:sz w:val="24"/>
          <w:szCs w:val="24"/>
        </w:rPr>
        <w:instrText xml:space="preserve">ADDIN Mendeley Bibliography CSL_BIBLIOGRAPHY </w:instrText>
      </w:r>
      <w:r w:rsidRPr="007A6F79">
        <w:rPr>
          <w:rFonts w:ascii="Times New Roman" w:hAnsi="Times New Roman" w:cs="Times New Roman"/>
          <w:sz w:val="24"/>
          <w:szCs w:val="24"/>
        </w:rPr>
        <w:fldChar w:fldCharType="separate"/>
      </w:r>
      <w:r w:rsidRPr="007A6F79">
        <w:rPr>
          <w:rFonts w:ascii="Times New Roman" w:hAnsi="Times New Roman" w:cs="Times New Roman"/>
          <w:noProof/>
          <w:sz w:val="24"/>
          <w:szCs w:val="24"/>
        </w:rPr>
        <w:t>[1]</w:t>
      </w:r>
      <w:r w:rsidRPr="007A6F79">
        <w:rPr>
          <w:rFonts w:ascii="Times New Roman" w:hAnsi="Times New Roman" w:cs="Times New Roman"/>
          <w:noProof/>
          <w:sz w:val="24"/>
          <w:szCs w:val="24"/>
        </w:rPr>
        <w:tab/>
        <w:t xml:space="preserve">H. A. Leslie, M. J. M. van Velzen, S. H. Brandsma, A. D. Vethaak, J. J. Garcia-Vallejo, and M. H. Lamoree, “Discovery and quantification of plastic particle pollution in human blood,” </w:t>
      </w:r>
      <w:r w:rsidRPr="007A6F79">
        <w:rPr>
          <w:rFonts w:ascii="Times New Roman" w:hAnsi="Times New Roman" w:cs="Times New Roman"/>
          <w:i/>
          <w:iCs/>
          <w:noProof/>
          <w:sz w:val="24"/>
          <w:szCs w:val="24"/>
        </w:rPr>
        <w:t>Environ. Int.</w:t>
      </w:r>
      <w:r w:rsidRPr="007A6F79">
        <w:rPr>
          <w:rFonts w:ascii="Times New Roman" w:hAnsi="Times New Roman" w:cs="Times New Roman"/>
          <w:noProof/>
          <w:sz w:val="24"/>
          <w:szCs w:val="24"/>
        </w:rPr>
        <w:t>, vol. 163, no. March, p. 107199, 2022, doi: 10.1016/j.envint.2022.107199.</w:t>
      </w:r>
    </w:p>
    <w:p w14:paraId="3251ED2D"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[2]</w:t>
      </w:r>
      <w:r w:rsidRPr="007A6F79">
        <w:rPr>
          <w:rFonts w:ascii="Times New Roman" w:hAnsi="Times New Roman" w:cs="Times New Roman"/>
          <w:noProof/>
          <w:sz w:val="24"/>
          <w:szCs w:val="24"/>
        </w:rPr>
        <w:tab/>
        <w:t xml:space="preserve">F. K. Alqahtani, G. Ghataora, S. Dirar, M. I. Khan, and I. Zafar, “Experimental study to investigate the engineering and durability performance of concrete using synthetic aggregates,” </w:t>
      </w:r>
      <w:r w:rsidRPr="007A6F79">
        <w:rPr>
          <w:rFonts w:ascii="Times New Roman" w:hAnsi="Times New Roman" w:cs="Times New Roman"/>
          <w:i/>
          <w:iCs/>
          <w:noProof/>
          <w:sz w:val="24"/>
          <w:szCs w:val="24"/>
        </w:rPr>
        <w:t>Constr. Build. Mater.</w:t>
      </w:r>
      <w:r w:rsidRPr="007A6F79">
        <w:rPr>
          <w:rFonts w:ascii="Times New Roman" w:hAnsi="Times New Roman" w:cs="Times New Roman"/>
          <w:noProof/>
          <w:sz w:val="24"/>
          <w:szCs w:val="24"/>
        </w:rPr>
        <w:t>, vol. 173, no. June, pp. 350–358, 2018, doi: 10.1016/j.conbuildmat.2018.04.018.</w:t>
      </w:r>
    </w:p>
    <w:p w14:paraId="0C04A7AD"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[3]</w:t>
      </w:r>
      <w:r w:rsidRPr="007A6F79">
        <w:rPr>
          <w:rFonts w:ascii="Times New Roman" w:hAnsi="Times New Roman" w:cs="Times New Roman"/>
          <w:noProof/>
          <w:sz w:val="24"/>
          <w:szCs w:val="24"/>
        </w:rPr>
        <w:tab/>
        <w:t xml:space="preserve">M. S. Nadesan and P. Dinakar, “Mix design and properties of fly ash waste lightweight aggregates in structural lightweight concrete,” </w:t>
      </w:r>
      <w:r w:rsidRPr="007A6F79">
        <w:rPr>
          <w:rFonts w:ascii="Times New Roman" w:hAnsi="Times New Roman" w:cs="Times New Roman"/>
          <w:i/>
          <w:iCs/>
          <w:noProof/>
          <w:sz w:val="24"/>
          <w:szCs w:val="24"/>
        </w:rPr>
        <w:t>Case Stud. Constr. Mater.</w:t>
      </w:r>
      <w:r w:rsidRPr="007A6F79">
        <w:rPr>
          <w:rFonts w:ascii="Times New Roman" w:hAnsi="Times New Roman" w:cs="Times New Roman"/>
          <w:noProof/>
          <w:sz w:val="24"/>
          <w:szCs w:val="24"/>
        </w:rPr>
        <w:t>, vol. 7, no. September, pp. 336–347, 2017, doi: 10.1016/j.cscm.2017.09.005.</w:t>
      </w:r>
    </w:p>
    <w:p w14:paraId="29A14089"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[4]</w:t>
      </w:r>
      <w:r w:rsidRPr="007A6F79">
        <w:rPr>
          <w:rFonts w:ascii="Times New Roman" w:hAnsi="Times New Roman" w:cs="Times New Roman"/>
          <w:noProof/>
          <w:sz w:val="24"/>
          <w:szCs w:val="24"/>
        </w:rPr>
        <w:tab/>
        <w:t xml:space="preserve">F. K. Alqahtani, M. I. Khan, G. Ghataora, and S. Dirar, “Production of Recycled Plastic Aggregates and Its Utilization in Concrete,” </w:t>
      </w:r>
      <w:r w:rsidRPr="007A6F79">
        <w:rPr>
          <w:rFonts w:ascii="Times New Roman" w:hAnsi="Times New Roman" w:cs="Times New Roman"/>
          <w:i/>
          <w:iCs/>
          <w:noProof/>
          <w:sz w:val="24"/>
          <w:szCs w:val="24"/>
        </w:rPr>
        <w:t>J. Mater. Civ. Eng.</w:t>
      </w:r>
      <w:r w:rsidRPr="007A6F79">
        <w:rPr>
          <w:rFonts w:ascii="Times New Roman" w:hAnsi="Times New Roman" w:cs="Times New Roman"/>
          <w:noProof/>
          <w:sz w:val="24"/>
          <w:szCs w:val="24"/>
        </w:rPr>
        <w:t>, vol. 29, no. 4, p. 04016248, 2017, doi: 10.1061/(asce)mt.1943-5533.0001765.</w:t>
      </w:r>
    </w:p>
    <w:p w14:paraId="2A359373"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[5]</w:t>
      </w:r>
      <w:r w:rsidRPr="007A6F79">
        <w:rPr>
          <w:rFonts w:ascii="Times New Roman" w:hAnsi="Times New Roman" w:cs="Times New Roman"/>
          <w:noProof/>
          <w:sz w:val="24"/>
          <w:szCs w:val="24"/>
        </w:rPr>
        <w:tab/>
        <w:t xml:space="preserve">IS-4032 1985, “Method of chemical analysis of hydraulic cement,” </w:t>
      </w:r>
      <w:r w:rsidRPr="007A6F79">
        <w:rPr>
          <w:rFonts w:ascii="Times New Roman" w:hAnsi="Times New Roman" w:cs="Times New Roman"/>
          <w:i/>
          <w:iCs/>
          <w:noProof/>
          <w:sz w:val="24"/>
          <w:szCs w:val="24"/>
        </w:rPr>
        <w:t>Indian Stand.</w:t>
      </w:r>
      <w:r w:rsidRPr="007A6F79">
        <w:rPr>
          <w:rFonts w:ascii="Times New Roman" w:hAnsi="Times New Roman" w:cs="Times New Roman"/>
          <w:noProof/>
          <w:sz w:val="24"/>
          <w:szCs w:val="24"/>
        </w:rPr>
        <w:t>, pp. 1–47, 1985.</w:t>
      </w:r>
    </w:p>
    <w:p w14:paraId="646667C9"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[6]</w:t>
      </w:r>
      <w:r w:rsidRPr="007A6F79">
        <w:rPr>
          <w:rFonts w:ascii="Times New Roman" w:hAnsi="Times New Roman" w:cs="Times New Roman"/>
          <w:noProof/>
          <w:sz w:val="24"/>
          <w:szCs w:val="24"/>
        </w:rPr>
        <w:tab/>
        <w:t xml:space="preserve">IS:383, “Specification for Coarse and Fine Aggregates From Natural Sources for Concrete,” </w:t>
      </w:r>
      <w:r w:rsidRPr="007A6F79">
        <w:rPr>
          <w:rFonts w:ascii="Times New Roman" w:hAnsi="Times New Roman" w:cs="Times New Roman"/>
          <w:i/>
          <w:iCs/>
          <w:noProof/>
          <w:sz w:val="24"/>
          <w:szCs w:val="24"/>
        </w:rPr>
        <w:t>Indian Stand.</w:t>
      </w:r>
      <w:r w:rsidRPr="007A6F79">
        <w:rPr>
          <w:rFonts w:ascii="Times New Roman" w:hAnsi="Times New Roman" w:cs="Times New Roman"/>
          <w:noProof/>
          <w:sz w:val="24"/>
          <w:szCs w:val="24"/>
        </w:rPr>
        <w:t>, pp. 1–24, 1970.</w:t>
      </w:r>
    </w:p>
    <w:p w14:paraId="47A86F06"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[7]</w:t>
      </w:r>
      <w:r w:rsidRPr="007A6F79">
        <w:rPr>
          <w:rFonts w:ascii="Times New Roman" w:hAnsi="Times New Roman" w:cs="Times New Roman"/>
          <w:noProof/>
          <w:sz w:val="24"/>
          <w:szCs w:val="24"/>
        </w:rPr>
        <w:tab/>
        <w:t xml:space="preserve">IS 2386- Part III, “Method of Test for aggregate for concrete. Part III- Specific gravity, density, voids, absorption and bulking,” </w:t>
      </w:r>
      <w:r w:rsidRPr="007A6F79">
        <w:rPr>
          <w:rFonts w:ascii="Times New Roman" w:hAnsi="Times New Roman" w:cs="Times New Roman"/>
          <w:i/>
          <w:iCs/>
          <w:noProof/>
          <w:sz w:val="24"/>
          <w:szCs w:val="24"/>
        </w:rPr>
        <w:t>Bur. Indian Stand. New Delhi</w:t>
      </w:r>
      <w:r w:rsidRPr="007A6F79">
        <w:rPr>
          <w:rFonts w:ascii="Times New Roman" w:hAnsi="Times New Roman" w:cs="Times New Roman"/>
          <w:noProof/>
          <w:sz w:val="24"/>
          <w:szCs w:val="24"/>
        </w:rPr>
        <w:t>, p. (Reaffirmed 2002), 1963.</w:t>
      </w:r>
    </w:p>
    <w:p w14:paraId="23B80D54"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[8]</w:t>
      </w:r>
      <w:r w:rsidRPr="007A6F79">
        <w:rPr>
          <w:rFonts w:ascii="Times New Roman" w:hAnsi="Times New Roman" w:cs="Times New Roman"/>
          <w:noProof/>
          <w:sz w:val="24"/>
          <w:szCs w:val="24"/>
        </w:rPr>
        <w:tab/>
        <w:t xml:space="preserve">R. Vinod Kumar and D. D. Rupesh Kumar, “Recycled plastic (HDPE) coarse aggregate manufacturing method and performance in concrete,” </w:t>
      </w:r>
      <w:r w:rsidRPr="007A6F79">
        <w:rPr>
          <w:rFonts w:ascii="Times New Roman" w:hAnsi="Times New Roman" w:cs="Times New Roman"/>
          <w:i/>
          <w:iCs/>
          <w:noProof/>
          <w:sz w:val="24"/>
          <w:szCs w:val="24"/>
        </w:rPr>
        <w:t>Mater. Today Proc.</w:t>
      </w:r>
      <w:r w:rsidRPr="007A6F79">
        <w:rPr>
          <w:rFonts w:ascii="Times New Roman" w:hAnsi="Times New Roman" w:cs="Times New Roman"/>
          <w:noProof/>
          <w:sz w:val="24"/>
          <w:szCs w:val="24"/>
        </w:rPr>
        <w:t>, vol. 92, pp. 1304–1309, 2023, doi: 10.1016/j.matpr.2023.05.489.</w:t>
      </w:r>
    </w:p>
    <w:p w14:paraId="66E40251"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[9]</w:t>
      </w:r>
      <w:r w:rsidRPr="007A6F79">
        <w:rPr>
          <w:rFonts w:ascii="Times New Roman" w:hAnsi="Times New Roman" w:cs="Times New Roman"/>
          <w:noProof/>
          <w:sz w:val="24"/>
          <w:szCs w:val="24"/>
        </w:rPr>
        <w:tab/>
        <w:t>Anonim, “ASTM C330-28a, Standard Specification for Lightweight Aggregates for Structural Concrete, ASTM Standards: Concrete and Aggregates,” vol. 552, no. 18, 1996.</w:t>
      </w:r>
    </w:p>
    <w:p w14:paraId="5439BD1C"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[10]</w:t>
      </w:r>
      <w:r w:rsidRPr="007A6F79">
        <w:rPr>
          <w:rFonts w:ascii="Times New Roman" w:hAnsi="Times New Roman" w:cs="Times New Roman"/>
          <w:noProof/>
          <w:sz w:val="24"/>
          <w:szCs w:val="24"/>
        </w:rPr>
        <w:tab/>
        <w:t xml:space="preserve">IS 456, “Plain Concrete and Reinforced,” </w:t>
      </w:r>
      <w:r w:rsidRPr="007A6F79">
        <w:rPr>
          <w:rFonts w:ascii="Times New Roman" w:hAnsi="Times New Roman" w:cs="Times New Roman"/>
          <w:i/>
          <w:iCs/>
          <w:noProof/>
          <w:sz w:val="24"/>
          <w:szCs w:val="24"/>
        </w:rPr>
        <w:t>Bur. Indian Stand. Dehli</w:t>
      </w:r>
      <w:r w:rsidRPr="007A6F79">
        <w:rPr>
          <w:rFonts w:ascii="Times New Roman" w:hAnsi="Times New Roman" w:cs="Times New Roman"/>
          <w:noProof/>
          <w:sz w:val="24"/>
          <w:szCs w:val="24"/>
        </w:rPr>
        <w:t>, pp. 1–114, 2000.</w:t>
      </w:r>
    </w:p>
    <w:p w14:paraId="4618B34A"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[11]</w:t>
      </w:r>
      <w:r w:rsidRPr="007A6F79">
        <w:rPr>
          <w:rFonts w:ascii="Times New Roman" w:hAnsi="Times New Roman" w:cs="Times New Roman"/>
          <w:noProof/>
          <w:sz w:val="24"/>
          <w:szCs w:val="24"/>
        </w:rPr>
        <w:tab/>
        <w:t xml:space="preserve">N. Ural, “The significance of scanning electron microscopy (SEM) analysis on the microstructure of improved clay: An overview,” </w:t>
      </w:r>
      <w:r w:rsidRPr="007A6F79">
        <w:rPr>
          <w:rFonts w:ascii="Times New Roman" w:hAnsi="Times New Roman" w:cs="Times New Roman"/>
          <w:i/>
          <w:iCs/>
          <w:noProof/>
          <w:sz w:val="24"/>
          <w:szCs w:val="24"/>
        </w:rPr>
        <w:t>Open Geosci.</w:t>
      </w:r>
      <w:r w:rsidRPr="007A6F79">
        <w:rPr>
          <w:rFonts w:ascii="Times New Roman" w:hAnsi="Times New Roman" w:cs="Times New Roman"/>
          <w:noProof/>
          <w:sz w:val="24"/>
          <w:szCs w:val="24"/>
        </w:rPr>
        <w:t>, vol. 13, no. 1, pp. 197–218, 2021, doi: 10.1515/geo-2020-0145.</w:t>
      </w:r>
    </w:p>
    <w:p w14:paraId="3CA2E8BD"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[12]</w:t>
      </w:r>
      <w:r w:rsidRPr="007A6F79">
        <w:rPr>
          <w:rFonts w:ascii="Times New Roman" w:hAnsi="Times New Roman" w:cs="Times New Roman"/>
          <w:noProof/>
          <w:sz w:val="24"/>
          <w:szCs w:val="24"/>
        </w:rPr>
        <w:tab/>
        <w:t xml:space="preserve">IS-12269:, “Specification for 53 grade ordinary Portland cement,” </w:t>
      </w:r>
      <w:r w:rsidRPr="007A6F79">
        <w:rPr>
          <w:rFonts w:ascii="Times New Roman" w:hAnsi="Times New Roman" w:cs="Times New Roman"/>
          <w:i/>
          <w:iCs/>
          <w:noProof/>
          <w:sz w:val="24"/>
          <w:szCs w:val="24"/>
        </w:rPr>
        <w:t>Bur. Indian Stand.</w:t>
      </w:r>
      <w:r w:rsidRPr="007A6F79">
        <w:rPr>
          <w:rFonts w:ascii="Times New Roman" w:hAnsi="Times New Roman" w:cs="Times New Roman"/>
          <w:noProof/>
          <w:sz w:val="24"/>
          <w:szCs w:val="24"/>
        </w:rPr>
        <w:t>, p. New Delhi,India, 1987, [Online]. Available: https://law.resource.org/pub/in/bis/S03/is.12269.b.1987.pdf</w:t>
      </w:r>
    </w:p>
    <w:p w14:paraId="50C75FBE"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[13]</w:t>
      </w:r>
      <w:r w:rsidRPr="007A6F79">
        <w:rPr>
          <w:rFonts w:ascii="Times New Roman" w:hAnsi="Times New Roman" w:cs="Times New Roman"/>
          <w:noProof/>
          <w:sz w:val="24"/>
          <w:szCs w:val="24"/>
        </w:rPr>
        <w:tab/>
        <w:t xml:space="preserve">ASTM C494-99, “C494 - 99 Standard Specification for Chemical Admixtures for Concrete,” </w:t>
      </w:r>
      <w:r w:rsidRPr="007A6F79">
        <w:rPr>
          <w:rFonts w:ascii="Times New Roman" w:hAnsi="Times New Roman" w:cs="Times New Roman"/>
          <w:i/>
          <w:iCs/>
          <w:noProof/>
          <w:sz w:val="24"/>
          <w:szCs w:val="24"/>
        </w:rPr>
        <w:t>ASTM Int.</w:t>
      </w:r>
      <w:r w:rsidRPr="007A6F79">
        <w:rPr>
          <w:rFonts w:ascii="Times New Roman" w:hAnsi="Times New Roman" w:cs="Times New Roman"/>
          <w:noProof/>
          <w:sz w:val="24"/>
          <w:szCs w:val="24"/>
        </w:rPr>
        <w:t>, vol. 04, pp. 1–9, 2013.</w:t>
      </w:r>
    </w:p>
    <w:p w14:paraId="0BB0E800"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lastRenderedPageBreak/>
        <w:t>[14]</w:t>
      </w:r>
      <w:r w:rsidRPr="007A6F79">
        <w:rPr>
          <w:rFonts w:ascii="Times New Roman" w:hAnsi="Times New Roman" w:cs="Times New Roman"/>
          <w:noProof/>
          <w:sz w:val="24"/>
          <w:szCs w:val="24"/>
        </w:rPr>
        <w:tab/>
        <w:t xml:space="preserve">J. I. Goldstein </w:t>
      </w:r>
      <w:r w:rsidRPr="007A6F79">
        <w:rPr>
          <w:rFonts w:ascii="Times New Roman" w:hAnsi="Times New Roman" w:cs="Times New Roman"/>
          <w:i/>
          <w:iCs/>
          <w:noProof/>
          <w:sz w:val="24"/>
          <w:szCs w:val="24"/>
        </w:rPr>
        <w:t>et al.</w:t>
      </w:r>
      <w:r w:rsidRPr="007A6F79">
        <w:rPr>
          <w:rFonts w:ascii="Times New Roman" w:hAnsi="Times New Roman" w:cs="Times New Roman"/>
          <w:noProof/>
          <w:sz w:val="24"/>
          <w:szCs w:val="24"/>
        </w:rPr>
        <w:t xml:space="preserve">, “Generation of X-Rays in the SEM Specimen,” </w:t>
      </w:r>
      <w:r w:rsidRPr="007A6F79">
        <w:rPr>
          <w:rFonts w:ascii="Times New Roman" w:hAnsi="Times New Roman" w:cs="Times New Roman"/>
          <w:i/>
          <w:iCs/>
          <w:noProof/>
          <w:sz w:val="24"/>
          <w:szCs w:val="24"/>
        </w:rPr>
        <w:t>Scanning Electron Microsc. X-ray Microanal.</w:t>
      </w:r>
      <w:r w:rsidRPr="007A6F79">
        <w:rPr>
          <w:rFonts w:ascii="Times New Roman" w:hAnsi="Times New Roman" w:cs="Times New Roman"/>
          <w:noProof/>
          <w:sz w:val="24"/>
          <w:szCs w:val="24"/>
        </w:rPr>
        <w:t>, pp. 271–296, 2003, doi: 10.1007/978-1-4615-0215-9_6.</w:t>
      </w:r>
    </w:p>
    <w:p w14:paraId="1CC0F1AA"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[15]</w:t>
      </w:r>
      <w:r w:rsidRPr="007A6F79">
        <w:rPr>
          <w:rFonts w:ascii="Times New Roman" w:hAnsi="Times New Roman" w:cs="Times New Roman"/>
          <w:noProof/>
          <w:sz w:val="24"/>
          <w:szCs w:val="24"/>
        </w:rPr>
        <w:tab/>
        <w:t xml:space="preserve">J. Dewar, </w:t>
      </w:r>
      <w:r w:rsidRPr="007A6F79">
        <w:rPr>
          <w:rFonts w:ascii="Times New Roman" w:hAnsi="Times New Roman" w:cs="Times New Roman"/>
          <w:i/>
          <w:iCs/>
          <w:noProof/>
          <w:sz w:val="24"/>
          <w:szCs w:val="24"/>
        </w:rPr>
        <w:t>Computer Modelling of Concrete Mixtures</w:t>
      </w:r>
      <w:r w:rsidRPr="007A6F79">
        <w:rPr>
          <w:rFonts w:ascii="Times New Roman" w:hAnsi="Times New Roman" w:cs="Times New Roman"/>
          <w:noProof/>
          <w:sz w:val="24"/>
          <w:szCs w:val="24"/>
        </w:rPr>
        <w:t>. 1999. doi: 10.4324/9780203031148.</w:t>
      </w:r>
    </w:p>
    <w:p w14:paraId="3103B9EF"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[16]</w:t>
      </w:r>
      <w:r w:rsidRPr="007A6F79">
        <w:rPr>
          <w:rFonts w:ascii="Times New Roman" w:hAnsi="Times New Roman" w:cs="Times New Roman"/>
          <w:noProof/>
          <w:sz w:val="24"/>
          <w:szCs w:val="24"/>
        </w:rPr>
        <w:tab/>
        <w:t xml:space="preserve">S. G. Barton </w:t>
      </w:r>
      <w:r w:rsidRPr="007A6F79">
        <w:rPr>
          <w:rFonts w:ascii="Times New Roman" w:hAnsi="Times New Roman" w:cs="Times New Roman"/>
          <w:i/>
          <w:iCs/>
          <w:noProof/>
          <w:sz w:val="24"/>
          <w:szCs w:val="24"/>
        </w:rPr>
        <w:t>et al.</w:t>
      </w:r>
      <w:r w:rsidRPr="007A6F79">
        <w:rPr>
          <w:rFonts w:ascii="Times New Roman" w:hAnsi="Times New Roman" w:cs="Times New Roman"/>
          <w:noProof/>
          <w:sz w:val="24"/>
          <w:szCs w:val="24"/>
        </w:rPr>
        <w:t xml:space="preserve">, “Standard Practice for Selecting Proportions for Structural Lightweight Concrete (ACI 211 . 2-98) Reported by ACI Committee 211,” </w:t>
      </w:r>
      <w:r w:rsidRPr="007A6F79">
        <w:rPr>
          <w:rFonts w:ascii="Times New Roman" w:hAnsi="Times New Roman" w:cs="Times New Roman"/>
          <w:i/>
          <w:iCs/>
          <w:noProof/>
          <w:sz w:val="24"/>
          <w:szCs w:val="24"/>
        </w:rPr>
        <w:t>Aci 211.2-98</w:t>
      </w:r>
      <w:r w:rsidRPr="007A6F79">
        <w:rPr>
          <w:rFonts w:ascii="Times New Roman" w:hAnsi="Times New Roman" w:cs="Times New Roman"/>
          <w:noProof/>
          <w:sz w:val="24"/>
          <w:szCs w:val="24"/>
        </w:rPr>
        <w:t>, vol. 98, no. Reapproved, pp. 1–18, 1998.</w:t>
      </w:r>
    </w:p>
    <w:p w14:paraId="7700E1FC"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[17]</w:t>
      </w:r>
      <w:r w:rsidRPr="007A6F79">
        <w:rPr>
          <w:rFonts w:ascii="Times New Roman" w:hAnsi="Times New Roman" w:cs="Times New Roman"/>
          <w:noProof/>
          <w:sz w:val="24"/>
          <w:szCs w:val="24"/>
        </w:rPr>
        <w:tab/>
        <w:t xml:space="preserve">I. Standard, “IS 10262: 2019 ,Concrete Mix Proportioning,” </w:t>
      </w:r>
      <w:r w:rsidRPr="007A6F79">
        <w:rPr>
          <w:rFonts w:ascii="Times New Roman" w:hAnsi="Times New Roman" w:cs="Times New Roman"/>
          <w:i/>
          <w:iCs/>
          <w:noProof/>
          <w:sz w:val="24"/>
          <w:szCs w:val="24"/>
        </w:rPr>
        <w:t>Indian Stand.</w:t>
      </w:r>
      <w:r w:rsidRPr="007A6F79">
        <w:rPr>
          <w:rFonts w:ascii="Times New Roman" w:hAnsi="Times New Roman" w:cs="Times New Roman"/>
          <w:noProof/>
          <w:sz w:val="24"/>
          <w:szCs w:val="24"/>
        </w:rPr>
        <w:t>, no. January, 2019.</w:t>
      </w:r>
    </w:p>
    <w:p w14:paraId="77EA6A6B"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[18]</w:t>
      </w:r>
      <w:r w:rsidRPr="007A6F79">
        <w:rPr>
          <w:rFonts w:ascii="Times New Roman" w:hAnsi="Times New Roman" w:cs="Times New Roman"/>
          <w:noProof/>
          <w:sz w:val="24"/>
          <w:szCs w:val="24"/>
        </w:rPr>
        <w:tab/>
        <w:t xml:space="preserve">American Society for Testing and Materials, “ASTM C 33-99a : Standard Spesification for Concrete Aggregates,” </w:t>
      </w:r>
      <w:r w:rsidRPr="007A6F79">
        <w:rPr>
          <w:rFonts w:ascii="Times New Roman" w:hAnsi="Times New Roman" w:cs="Times New Roman"/>
          <w:i/>
          <w:iCs/>
          <w:noProof/>
          <w:sz w:val="24"/>
          <w:szCs w:val="24"/>
        </w:rPr>
        <w:t>Annu. B. ASTM Stand.</w:t>
      </w:r>
      <w:r w:rsidRPr="007A6F79">
        <w:rPr>
          <w:rFonts w:ascii="Times New Roman" w:hAnsi="Times New Roman" w:cs="Times New Roman"/>
          <w:noProof/>
          <w:sz w:val="24"/>
          <w:szCs w:val="24"/>
        </w:rPr>
        <w:t>, vol. i, no. C, pp. 1–11, 2010.</w:t>
      </w:r>
    </w:p>
    <w:p w14:paraId="77017E08"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rPr>
      </w:pPr>
      <w:r w:rsidRPr="007A6F79">
        <w:rPr>
          <w:rFonts w:ascii="Times New Roman" w:hAnsi="Times New Roman" w:cs="Times New Roman"/>
          <w:noProof/>
          <w:sz w:val="24"/>
          <w:szCs w:val="24"/>
        </w:rPr>
        <w:t>[19]</w:t>
      </w:r>
      <w:r w:rsidRPr="007A6F79">
        <w:rPr>
          <w:rFonts w:ascii="Times New Roman" w:hAnsi="Times New Roman" w:cs="Times New Roman"/>
          <w:noProof/>
          <w:sz w:val="24"/>
          <w:szCs w:val="24"/>
        </w:rPr>
        <w:tab/>
        <w:t xml:space="preserve">L. Horn, “Targeted/emerging therapies for metastatic non-small cell lung cancer,” </w:t>
      </w:r>
      <w:r w:rsidRPr="007A6F79">
        <w:rPr>
          <w:rFonts w:ascii="Times New Roman" w:hAnsi="Times New Roman" w:cs="Times New Roman"/>
          <w:i/>
          <w:iCs/>
          <w:noProof/>
          <w:sz w:val="24"/>
          <w:szCs w:val="24"/>
        </w:rPr>
        <w:t>JNCCN Journal of the National Comprehensive Cancer Network</w:t>
      </w:r>
      <w:r w:rsidRPr="007A6F79">
        <w:rPr>
          <w:rFonts w:ascii="Times New Roman" w:hAnsi="Times New Roman" w:cs="Times New Roman"/>
          <w:noProof/>
          <w:sz w:val="24"/>
          <w:szCs w:val="24"/>
        </w:rPr>
        <w:t>, vol. 13. pp. 676–678, 2015. doi: 10.6004/jnccn.2015.0201.</w:t>
      </w:r>
    </w:p>
    <w:p w14:paraId="14B2C612" w14:textId="0F4D0028" w:rsidR="0089028F" w:rsidRPr="007A6F79" w:rsidRDefault="004E2691" w:rsidP="00EF2196">
      <w:pPr>
        <w:jc w:val="both"/>
        <w:rPr>
          <w:rFonts w:ascii="Times New Roman" w:hAnsi="Times New Roman" w:cs="Times New Roman"/>
        </w:rPr>
      </w:pPr>
      <w:r w:rsidRPr="007A6F79">
        <w:rPr>
          <w:rFonts w:ascii="Times New Roman" w:hAnsi="Times New Roman" w:cs="Times New Roman"/>
          <w:sz w:val="24"/>
          <w:szCs w:val="24"/>
        </w:rPr>
        <w:fldChar w:fldCharType="end"/>
      </w:r>
    </w:p>
    <w:p w14:paraId="0BC91439" w14:textId="77777777" w:rsidR="00AC00F4" w:rsidRPr="007A6F79" w:rsidRDefault="00AC00F4" w:rsidP="00EF2196">
      <w:pPr>
        <w:jc w:val="both"/>
        <w:rPr>
          <w:rFonts w:ascii="Times New Roman" w:hAnsi="Times New Roman" w:cs="Times New Roman"/>
        </w:rPr>
      </w:pPr>
    </w:p>
    <w:p w14:paraId="3562CE76" w14:textId="77777777" w:rsidR="00264236" w:rsidRPr="007A6F79" w:rsidRDefault="00264236" w:rsidP="00EF2196">
      <w:pPr>
        <w:jc w:val="both"/>
        <w:rPr>
          <w:rFonts w:ascii="Times New Roman" w:hAnsi="Times New Roman" w:cs="Times New Roman"/>
        </w:rPr>
      </w:pPr>
    </w:p>
    <w:sectPr w:rsidR="00264236" w:rsidRPr="007A6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D2A4A"/>
    <w:multiLevelType w:val="hybridMultilevel"/>
    <w:tmpl w:val="160AC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806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26"/>
    <w:rsid w:val="00006784"/>
    <w:rsid w:val="00026490"/>
    <w:rsid w:val="00066DBB"/>
    <w:rsid w:val="00071ABF"/>
    <w:rsid w:val="00141036"/>
    <w:rsid w:val="00143BF0"/>
    <w:rsid w:val="00236E34"/>
    <w:rsid w:val="00264236"/>
    <w:rsid w:val="00265CC1"/>
    <w:rsid w:val="00293F9B"/>
    <w:rsid w:val="002A07AE"/>
    <w:rsid w:val="002A20D1"/>
    <w:rsid w:val="002A5ECA"/>
    <w:rsid w:val="002D3170"/>
    <w:rsid w:val="002F646B"/>
    <w:rsid w:val="003167A7"/>
    <w:rsid w:val="00357A67"/>
    <w:rsid w:val="00376BD4"/>
    <w:rsid w:val="00386A97"/>
    <w:rsid w:val="00401A27"/>
    <w:rsid w:val="004C4563"/>
    <w:rsid w:val="004C66F0"/>
    <w:rsid w:val="004E2691"/>
    <w:rsid w:val="005628D8"/>
    <w:rsid w:val="00593CE0"/>
    <w:rsid w:val="00600015"/>
    <w:rsid w:val="00622BA2"/>
    <w:rsid w:val="00637136"/>
    <w:rsid w:val="00663423"/>
    <w:rsid w:val="00691F10"/>
    <w:rsid w:val="006B35BB"/>
    <w:rsid w:val="006C1EE8"/>
    <w:rsid w:val="00712568"/>
    <w:rsid w:val="00797FCA"/>
    <w:rsid w:val="007A6F79"/>
    <w:rsid w:val="00841682"/>
    <w:rsid w:val="00847196"/>
    <w:rsid w:val="0086348B"/>
    <w:rsid w:val="0089028F"/>
    <w:rsid w:val="008A34BE"/>
    <w:rsid w:val="009071F3"/>
    <w:rsid w:val="00921080"/>
    <w:rsid w:val="009B1212"/>
    <w:rsid w:val="009F17DD"/>
    <w:rsid w:val="00A31495"/>
    <w:rsid w:val="00A736C8"/>
    <w:rsid w:val="00A74F16"/>
    <w:rsid w:val="00AA284C"/>
    <w:rsid w:val="00AC00F4"/>
    <w:rsid w:val="00B34311"/>
    <w:rsid w:val="00B520CD"/>
    <w:rsid w:val="00B66A98"/>
    <w:rsid w:val="00B809BB"/>
    <w:rsid w:val="00BA5647"/>
    <w:rsid w:val="00C86814"/>
    <w:rsid w:val="00C940F0"/>
    <w:rsid w:val="00CD51BC"/>
    <w:rsid w:val="00CF02AC"/>
    <w:rsid w:val="00D12A27"/>
    <w:rsid w:val="00D16726"/>
    <w:rsid w:val="00D32DDB"/>
    <w:rsid w:val="00D55133"/>
    <w:rsid w:val="00D80850"/>
    <w:rsid w:val="00D86B0F"/>
    <w:rsid w:val="00D86FE1"/>
    <w:rsid w:val="00E60097"/>
    <w:rsid w:val="00E70A20"/>
    <w:rsid w:val="00E813D7"/>
    <w:rsid w:val="00E83916"/>
    <w:rsid w:val="00EB3C9F"/>
    <w:rsid w:val="00EE1AED"/>
    <w:rsid w:val="00EF2196"/>
    <w:rsid w:val="00F2220C"/>
    <w:rsid w:val="00F43E0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27AF"/>
  <w15:chartTrackingRefBased/>
  <w15:docId w15:val="{B10DA73A-AB3B-4FF6-91F9-223E2E7A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AC"/>
    <w:pPr>
      <w:spacing w:after="200" w:line="276" w:lineRule="auto"/>
    </w:pPr>
    <w:rPr>
      <w:rFonts w:eastAsiaTheme="minorEastAsia"/>
      <w:kern w:val="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F02AC"/>
  </w:style>
  <w:style w:type="paragraph" w:styleId="ListParagraph">
    <w:name w:val="List Paragraph"/>
    <w:basedOn w:val="Normal"/>
    <w:uiPriority w:val="34"/>
    <w:qFormat/>
    <w:rsid w:val="0086348B"/>
    <w:pPr>
      <w:ind w:left="720"/>
      <w:contextualSpacing/>
    </w:pPr>
  </w:style>
  <w:style w:type="table" w:styleId="TableGrid">
    <w:name w:val="Table Grid"/>
    <w:basedOn w:val="TableNormal"/>
    <w:uiPriority w:val="39"/>
    <w:rsid w:val="0086348B"/>
    <w:pPr>
      <w:spacing w:after="0" w:line="240" w:lineRule="auto"/>
    </w:pPr>
    <w:rPr>
      <w:rFonts w:eastAsiaTheme="minorEastAsia"/>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4007">
      <w:bodyDiv w:val="1"/>
      <w:marLeft w:val="0"/>
      <w:marRight w:val="0"/>
      <w:marTop w:val="0"/>
      <w:marBottom w:val="0"/>
      <w:divBdr>
        <w:top w:val="none" w:sz="0" w:space="0" w:color="auto"/>
        <w:left w:val="none" w:sz="0" w:space="0" w:color="auto"/>
        <w:bottom w:val="none" w:sz="0" w:space="0" w:color="auto"/>
        <w:right w:val="none" w:sz="0" w:space="0" w:color="auto"/>
      </w:divBdr>
    </w:div>
    <w:div w:id="10738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image" Target="media/image2.jpeg"/><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tiff"/><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200" b="0" i="0" u="none" strike="noStrike" cap="none" baseline="0">
                <a:solidFill>
                  <a:schemeClr val="tx1"/>
                </a:solidFill>
                <a:effectLst/>
                <a:latin typeface="Times New Roman" panose="02020603050405020304" pitchFamily="18" charset="0"/>
                <a:cs typeface="Times New Roman" panose="02020603050405020304" pitchFamily="18" charset="0"/>
              </a:rPr>
              <a:t>Figure:4 Grading curve for well-graded 20mm aggregate </a:t>
            </a:r>
            <a:endParaRPr lang="en-IN" sz="12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439784093327401"/>
          <c:y val="0.78024922118380058"/>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0.19727525469268947"/>
          <c:y val="3.4081941680366878E-2"/>
          <c:w val="0.71781106359167035"/>
          <c:h val="0.41386551459828591"/>
        </c:manualLayout>
      </c:layout>
      <c:lineChart>
        <c:grouping val="standard"/>
        <c:varyColors val="0"/>
        <c:ser>
          <c:idx val="0"/>
          <c:order val="0"/>
          <c:tx>
            <c:v>1:1-RPSCA</c:v>
          </c:tx>
          <c:spPr>
            <a:ln w="22225" cap="rnd" cmpd="sng" algn="ctr">
              <a:solidFill>
                <a:schemeClr val="accent6"/>
              </a:solidFill>
              <a:round/>
            </a:ln>
            <a:effectLst/>
          </c:spPr>
          <c:marker>
            <c:symbol val="circle"/>
            <c:size val="4"/>
            <c:spPr>
              <a:solidFill>
                <a:schemeClr val="accent6"/>
              </a:solidFill>
              <a:ln w="9525" cap="flat" cmpd="sng" algn="ctr">
                <a:solidFill>
                  <a:schemeClr val="accent6"/>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Sheet1!$B$4:$B$12</c:f>
              <c:numCache>
                <c:formatCode>General</c:formatCode>
                <c:ptCount val="9"/>
                <c:pt idx="0">
                  <c:v>100</c:v>
                </c:pt>
                <c:pt idx="1">
                  <c:v>100</c:v>
                </c:pt>
                <c:pt idx="2">
                  <c:v>96.24</c:v>
                </c:pt>
                <c:pt idx="3">
                  <c:v>25.27</c:v>
                </c:pt>
                <c:pt idx="4">
                  <c:v>5.76</c:v>
                </c:pt>
                <c:pt idx="5">
                  <c:v>0.43</c:v>
                </c:pt>
                <c:pt idx="6">
                  <c:v>0</c:v>
                </c:pt>
              </c:numCache>
            </c:numRef>
          </c:val>
          <c:smooth val="1"/>
          <c:extLst>
            <c:ext xmlns:c16="http://schemas.microsoft.com/office/drawing/2014/chart" uri="{C3380CC4-5D6E-409C-BE32-E72D297353CC}">
              <c16:uniqueId val="{00000000-582D-4211-8644-54CB38DCAE41}"/>
            </c:ext>
          </c:extLst>
        </c:ser>
        <c:ser>
          <c:idx val="1"/>
          <c:order val="1"/>
          <c:tx>
            <c:strRef>
              <c:f>Sheet1!$C$1</c:f>
              <c:strCache>
                <c:ptCount val="1"/>
                <c:pt idx="0">
                  <c:v>1:2-RPSCA</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Sheet1!$C$4:$C$10</c:f>
              <c:numCache>
                <c:formatCode>General</c:formatCode>
                <c:ptCount val="7"/>
                <c:pt idx="0">
                  <c:v>100</c:v>
                </c:pt>
                <c:pt idx="1">
                  <c:v>100</c:v>
                </c:pt>
                <c:pt idx="2">
                  <c:v>96.4</c:v>
                </c:pt>
                <c:pt idx="3">
                  <c:v>26.26</c:v>
                </c:pt>
                <c:pt idx="4">
                  <c:v>7.04</c:v>
                </c:pt>
                <c:pt idx="5">
                  <c:v>1.79</c:v>
                </c:pt>
                <c:pt idx="6">
                  <c:v>0</c:v>
                </c:pt>
              </c:numCache>
            </c:numRef>
          </c:val>
          <c:smooth val="1"/>
          <c:extLst>
            <c:ext xmlns:c16="http://schemas.microsoft.com/office/drawing/2014/chart" uri="{C3380CC4-5D6E-409C-BE32-E72D297353CC}">
              <c16:uniqueId val="{00000001-582D-4211-8644-54CB38DCAE41}"/>
            </c:ext>
          </c:extLst>
        </c:ser>
        <c:ser>
          <c:idx val="2"/>
          <c:order val="2"/>
          <c:tx>
            <c:v>1:1-RPRDCA</c:v>
          </c:tx>
          <c:spPr>
            <a:ln w="22225" cap="rnd" cmpd="sng" algn="ctr">
              <a:solidFill>
                <a:schemeClr val="accent4"/>
              </a:solidFill>
              <a:round/>
            </a:ln>
            <a:effectLst/>
          </c:spPr>
          <c:marker>
            <c:symbol val="circle"/>
            <c:size val="4"/>
            <c:spPr>
              <a:solidFill>
                <a:schemeClr val="accent4"/>
              </a:solidFill>
              <a:ln w="9525" cap="flat" cmpd="sng" algn="ctr">
                <a:solidFill>
                  <a:schemeClr val="accent4"/>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Sheet1!$D$4:$D$10</c:f>
              <c:numCache>
                <c:formatCode>General</c:formatCode>
                <c:ptCount val="7"/>
                <c:pt idx="0">
                  <c:v>100</c:v>
                </c:pt>
                <c:pt idx="1">
                  <c:v>100</c:v>
                </c:pt>
                <c:pt idx="2">
                  <c:v>96.33</c:v>
                </c:pt>
                <c:pt idx="3">
                  <c:v>22.71</c:v>
                </c:pt>
                <c:pt idx="4">
                  <c:v>5.74</c:v>
                </c:pt>
                <c:pt idx="5">
                  <c:v>0.66</c:v>
                </c:pt>
                <c:pt idx="6">
                  <c:v>0</c:v>
                </c:pt>
              </c:numCache>
            </c:numRef>
          </c:val>
          <c:smooth val="1"/>
          <c:extLst>
            <c:ext xmlns:c16="http://schemas.microsoft.com/office/drawing/2014/chart" uri="{C3380CC4-5D6E-409C-BE32-E72D297353CC}">
              <c16:uniqueId val="{00000002-582D-4211-8644-54CB38DCAE41}"/>
            </c:ext>
          </c:extLst>
        </c:ser>
        <c:ser>
          <c:idx val="3"/>
          <c:order val="3"/>
          <c:tx>
            <c:v>1:2-RPRDCA</c:v>
          </c:tx>
          <c:spPr>
            <a:ln w="22225" cap="rnd" cmpd="sng" algn="ctr">
              <a:solidFill>
                <a:schemeClr val="accent6">
                  <a:lumMod val="60000"/>
                </a:schemeClr>
              </a:solidFill>
              <a:round/>
            </a:ln>
            <a:effectLst/>
          </c:spPr>
          <c:marker>
            <c:symbol val="circle"/>
            <c:size val="4"/>
            <c:spPr>
              <a:solidFill>
                <a:schemeClr val="accent6">
                  <a:lumMod val="60000"/>
                </a:schemeClr>
              </a:solidFill>
              <a:ln w="9525" cap="flat" cmpd="sng" algn="ctr">
                <a:solidFill>
                  <a:schemeClr val="accent6">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Sheet1!$E$4:$E$10</c:f>
              <c:numCache>
                <c:formatCode>General</c:formatCode>
                <c:ptCount val="7"/>
                <c:pt idx="0">
                  <c:v>100</c:v>
                </c:pt>
                <c:pt idx="1">
                  <c:v>100</c:v>
                </c:pt>
                <c:pt idx="2">
                  <c:v>96.45</c:v>
                </c:pt>
                <c:pt idx="3">
                  <c:v>22.64</c:v>
                </c:pt>
                <c:pt idx="4">
                  <c:v>5.91</c:v>
                </c:pt>
                <c:pt idx="5">
                  <c:v>1.1299999999999999</c:v>
                </c:pt>
                <c:pt idx="6">
                  <c:v>0</c:v>
                </c:pt>
              </c:numCache>
            </c:numRef>
          </c:val>
          <c:smooth val="1"/>
          <c:extLst>
            <c:ext xmlns:c16="http://schemas.microsoft.com/office/drawing/2014/chart" uri="{C3380CC4-5D6E-409C-BE32-E72D297353CC}">
              <c16:uniqueId val="{00000003-582D-4211-8644-54CB38DCAE41}"/>
            </c:ext>
          </c:extLst>
        </c:ser>
        <c:ser>
          <c:idx val="5"/>
          <c:order val="4"/>
          <c:tx>
            <c:v>IS 393-2019</c:v>
          </c:tx>
          <c:spPr>
            <a:ln w="22225" cap="rnd" cmpd="sng" algn="ctr">
              <a:solidFill>
                <a:schemeClr val="accent4">
                  <a:lumMod val="60000"/>
                </a:schemeClr>
              </a:solidFill>
              <a:round/>
            </a:ln>
            <a:effectLst/>
          </c:spPr>
          <c:marker>
            <c:symbol val="circle"/>
            <c:size val="4"/>
            <c:spPr>
              <a:solidFill>
                <a:schemeClr val="accent4">
                  <a:lumMod val="60000"/>
                </a:schemeClr>
              </a:solidFill>
              <a:ln w="9525" cap="flat" cmpd="sng" algn="ctr">
                <a:solidFill>
                  <a:schemeClr val="accent4">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Sheet1!$G$4:$G$10</c:f>
              <c:numCache>
                <c:formatCode>General</c:formatCode>
                <c:ptCount val="7"/>
                <c:pt idx="0">
                  <c:v>100</c:v>
                </c:pt>
                <c:pt idx="1">
                  <c:v>100</c:v>
                </c:pt>
                <c:pt idx="2">
                  <c:v>90</c:v>
                </c:pt>
                <c:pt idx="3">
                  <c:v>25</c:v>
                </c:pt>
                <c:pt idx="4">
                  <c:v>0</c:v>
                </c:pt>
                <c:pt idx="5">
                  <c:v>0</c:v>
                </c:pt>
                <c:pt idx="6">
                  <c:v>0</c:v>
                </c:pt>
              </c:numCache>
            </c:numRef>
          </c:val>
          <c:smooth val="1"/>
          <c:extLst>
            <c:ext xmlns:c16="http://schemas.microsoft.com/office/drawing/2014/chart" uri="{C3380CC4-5D6E-409C-BE32-E72D297353CC}">
              <c16:uniqueId val="{00000004-582D-4211-8644-54CB38DCAE41}"/>
            </c:ext>
          </c:extLst>
        </c:ser>
        <c:ser>
          <c:idx val="4"/>
          <c:order val="5"/>
          <c:tx>
            <c:v>ASTM-330</c:v>
          </c:tx>
          <c:spPr>
            <a:ln w="22225" cap="rnd" cmpd="sng" algn="ctr">
              <a:solidFill>
                <a:schemeClr val="accent5">
                  <a:lumMod val="60000"/>
                </a:schemeClr>
              </a:solidFill>
              <a:round/>
            </a:ln>
            <a:effectLst/>
          </c:spPr>
          <c:marker>
            <c:symbol val="circle"/>
            <c:size val="4"/>
            <c:spPr>
              <a:solidFill>
                <a:schemeClr val="accent5">
                  <a:lumMod val="60000"/>
                </a:schemeClr>
              </a:solidFill>
              <a:ln w="9525" cap="flat" cmpd="sng" algn="ctr">
                <a:solidFill>
                  <a:schemeClr val="accent5">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Sheet1!$F$4:$F$10</c:f>
              <c:numCache>
                <c:formatCode>General</c:formatCode>
                <c:ptCount val="7"/>
                <c:pt idx="0">
                  <c:v>100</c:v>
                </c:pt>
                <c:pt idx="1">
                  <c:v>100</c:v>
                </c:pt>
                <c:pt idx="2">
                  <c:v>90</c:v>
                </c:pt>
                <c:pt idx="3">
                  <c:v>10</c:v>
                </c:pt>
                <c:pt idx="4">
                  <c:v>0</c:v>
                </c:pt>
                <c:pt idx="5">
                  <c:v>0</c:v>
                </c:pt>
                <c:pt idx="6">
                  <c:v>0</c:v>
                </c:pt>
              </c:numCache>
            </c:numRef>
          </c:val>
          <c:smooth val="1"/>
          <c:extLst>
            <c:ext xmlns:c16="http://schemas.microsoft.com/office/drawing/2014/chart" uri="{C3380CC4-5D6E-409C-BE32-E72D297353CC}">
              <c16:uniqueId val="{00000005-582D-4211-8644-54CB38DCAE4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8935712"/>
        <c:axId val="18940704"/>
      </c:lineChart>
      <c:catAx>
        <c:axId val="18935712"/>
        <c:scaling>
          <c:orientation val="maxMin"/>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IN" sz="1200" b="1" i="0" cap="none" baseline="0">
                    <a:effectLst/>
                  </a:rPr>
                  <a:t>sieve  number</a:t>
                </a:r>
              </a:p>
            </c:rich>
          </c:tx>
          <c:layout>
            <c:manualLayout>
              <c:xMode val="edge"/>
              <c:yMode val="edge"/>
              <c:x val="0.32320068099595656"/>
              <c:y val="0.61877940491083461"/>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940704"/>
        <c:crosses val="autoZero"/>
        <c:auto val="1"/>
        <c:lblAlgn val="ctr"/>
        <c:lblOffset val="100"/>
        <c:noMultiLvlLbl val="0"/>
      </c:catAx>
      <c:valAx>
        <c:axId val="18940704"/>
        <c:scaling>
          <c:orientation val="minMax"/>
          <c:max val="100"/>
          <c:min val="0"/>
        </c:scaling>
        <c:delete val="0"/>
        <c:axPos val="r"/>
        <c:majorGridlines>
          <c:spPr>
            <a:ln>
              <a:solidFill>
                <a:schemeClr val="dk1">
                  <a:lumMod val="15000"/>
                  <a:lumOff val="85000"/>
                </a:schemeClr>
              </a:solidFill>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1200" b="1" i="0" cap="none" baseline="0">
                    <a:effectLst/>
                  </a:rPr>
                  <a:t>percentage  of</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cap="none" baseline="0">
                    <a:effectLst/>
                  </a:rPr>
                  <a:t> passing</a:t>
                </a:r>
              </a:p>
            </c:rich>
          </c:tx>
          <c:layout>
            <c:manualLayout>
              <c:xMode val="edge"/>
              <c:yMode val="edge"/>
              <c:x val="8.8940926223084679E-3"/>
              <c:y val="0"/>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935712"/>
        <c:crosses val="autoZero"/>
        <c:crossBetween val="between"/>
      </c:valAx>
      <c:spPr>
        <a:gradFill>
          <a:gsLst>
            <a:gs pos="100000">
              <a:schemeClr val="lt1">
                <a:lumMod val="95000"/>
              </a:schemeClr>
            </a:gs>
            <a:gs pos="0">
              <a:schemeClr val="lt1"/>
            </a:gs>
          </a:gsLst>
          <a:lin ang="5400000" scaled="0"/>
        </a:gradFill>
        <a:ln>
          <a:noFill/>
        </a:ln>
        <a:effectLst/>
      </c:spPr>
    </c:plotArea>
    <c:plotVisOnly val="0"/>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a:effectLst/>
              </a:rPr>
              <a:t>Figure:5 Grading curve for single size 20mm aggregate</a:t>
            </a:r>
            <a:endParaRPr lang="en-IN" sz="1200">
              <a:effectLst/>
            </a:endParaRPr>
          </a:p>
        </c:rich>
      </c:tx>
      <c:layout>
        <c:manualLayout>
          <c:xMode val="edge"/>
          <c:yMode val="edge"/>
          <c:x val="0.15708740157480316"/>
          <c:y val="0.7920227920227920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2395687442205304"/>
          <c:y val="6.8578175300902919E-2"/>
          <c:w val="0.66330819954926123"/>
          <c:h val="0.41320625502974451"/>
        </c:manualLayout>
      </c:layout>
      <c:lineChart>
        <c:grouping val="standard"/>
        <c:varyColors val="0"/>
        <c:ser>
          <c:idx val="0"/>
          <c:order val="0"/>
          <c:tx>
            <c:strRef>
              <c:f>Sheet2!$B$1</c:f>
              <c:strCache>
                <c:ptCount val="1"/>
                <c:pt idx="0">
                  <c:v>1:1-RPSCA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Sheet2!$B$3:$B$8</c:f>
              <c:numCache>
                <c:formatCode>General</c:formatCode>
                <c:ptCount val="6"/>
                <c:pt idx="0">
                  <c:v>100</c:v>
                </c:pt>
                <c:pt idx="1">
                  <c:v>100</c:v>
                </c:pt>
                <c:pt idx="2">
                  <c:v>94.9</c:v>
                </c:pt>
                <c:pt idx="3">
                  <c:v>1.23</c:v>
                </c:pt>
                <c:pt idx="4">
                  <c:v>0</c:v>
                </c:pt>
                <c:pt idx="5">
                  <c:v>0</c:v>
                </c:pt>
              </c:numCache>
            </c:numRef>
          </c:val>
          <c:smooth val="0"/>
          <c:extLst>
            <c:ext xmlns:c16="http://schemas.microsoft.com/office/drawing/2014/chart" uri="{C3380CC4-5D6E-409C-BE32-E72D297353CC}">
              <c16:uniqueId val="{00000000-8424-4977-BD70-D68E27089D65}"/>
            </c:ext>
          </c:extLst>
        </c:ser>
        <c:ser>
          <c:idx val="1"/>
          <c:order val="1"/>
          <c:tx>
            <c:strRef>
              <c:f>Sheet2!$C$1</c:f>
              <c:strCache>
                <c:ptCount val="1"/>
                <c:pt idx="0">
                  <c:v>1:2-RPSCA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Sheet2!$C$3:$C$8</c:f>
              <c:numCache>
                <c:formatCode>General</c:formatCode>
                <c:ptCount val="6"/>
                <c:pt idx="0">
                  <c:v>100</c:v>
                </c:pt>
                <c:pt idx="1">
                  <c:v>100</c:v>
                </c:pt>
                <c:pt idx="2">
                  <c:v>94.67</c:v>
                </c:pt>
                <c:pt idx="3">
                  <c:v>2.1</c:v>
                </c:pt>
                <c:pt idx="4">
                  <c:v>0</c:v>
                </c:pt>
                <c:pt idx="5">
                  <c:v>0</c:v>
                </c:pt>
              </c:numCache>
            </c:numRef>
          </c:val>
          <c:smooth val="0"/>
          <c:extLst>
            <c:ext xmlns:c16="http://schemas.microsoft.com/office/drawing/2014/chart" uri="{C3380CC4-5D6E-409C-BE32-E72D297353CC}">
              <c16:uniqueId val="{00000001-8424-4977-BD70-D68E27089D65}"/>
            </c:ext>
          </c:extLst>
        </c:ser>
        <c:ser>
          <c:idx val="2"/>
          <c:order val="2"/>
          <c:tx>
            <c:strRef>
              <c:f>Sheet2!$D$1</c:f>
              <c:strCache>
                <c:ptCount val="1"/>
                <c:pt idx="0">
                  <c:v>1:1-RPRDCA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Sheet2!$D$3:$D$8</c:f>
              <c:numCache>
                <c:formatCode>General</c:formatCode>
                <c:ptCount val="6"/>
                <c:pt idx="0">
                  <c:v>100</c:v>
                </c:pt>
                <c:pt idx="1">
                  <c:v>100</c:v>
                </c:pt>
                <c:pt idx="2">
                  <c:v>94.3</c:v>
                </c:pt>
                <c:pt idx="3">
                  <c:v>1.07</c:v>
                </c:pt>
                <c:pt idx="4">
                  <c:v>0</c:v>
                </c:pt>
                <c:pt idx="5">
                  <c:v>0</c:v>
                </c:pt>
              </c:numCache>
            </c:numRef>
          </c:val>
          <c:smooth val="0"/>
          <c:extLst>
            <c:ext xmlns:c16="http://schemas.microsoft.com/office/drawing/2014/chart" uri="{C3380CC4-5D6E-409C-BE32-E72D297353CC}">
              <c16:uniqueId val="{00000002-8424-4977-BD70-D68E27089D65}"/>
            </c:ext>
          </c:extLst>
        </c:ser>
        <c:ser>
          <c:idx val="3"/>
          <c:order val="3"/>
          <c:tx>
            <c:strRef>
              <c:f>Sheet2!$E$1</c:f>
              <c:strCache>
                <c:ptCount val="1"/>
                <c:pt idx="0">
                  <c:v>1:2-RPRDCA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Sheet2!$E$3:$E$8</c:f>
              <c:numCache>
                <c:formatCode>General</c:formatCode>
                <c:ptCount val="6"/>
                <c:pt idx="0">
                  <c:v>100</c:v>
                </c:pt>
                <c:pt idx="1">
                  <c:v>100</c:v>
                </c:pt>
                <c:pt idx="2">
                  <c:v>93.8</c:v>
                </c:pt>
                <c:pt idx="3">
                  <c:v>1.1000000000000001</c:v>
                </c:pt>
                <c:pt idx="4">
                  <c:v>0</c:v>
                </c:pt>
                <c:pt idx="5">
                  <c:v>0</c:v>
                </c:pt>
              </c:numCache>
            </c:numRef>
          </c:val>
          <c:smooth val="0"/>
          <c:extLst>
            <c:ext xmlns:c16="http://schemas.microsoft.com/office/drawing/2014/chart" uri="{C3380CC4-5D6E-409C-BE32-E72D297353CC}">
              <c16:uniqueId val="{00000003-8424-4977-BD70-D68E27089D65}"/>
            </c:ext>
          </c:extLst>
        </c:ser>
        <c:ser>
          <c:idx val="4"/>
          <c:order val="4"/>
          <c:tx>
            <c:strRef>
              <c:f>Sheet2!$G$1</c:f>
              <c:strCache>
                <c:ptCount val="1"/>
                <c:pt idx="0">
                  <c:v>ASTM-330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Sheet2!$G$3:$G$8</c:f>
              <c:numCache>
                <c:formatCode>General</c:formatCode>
                <c:ptCount val="6"/>
                <c:pt idx="0">
                  <c:v>100</c:v>
                </c:pt>
                <c:pt idx="1">
                  <c:v>100</c:v>
                </c:pt>
                <c:pt idx="2">
                  <c:v>90</c:v>
                </c:pt>
                <c:pt idx="3">
                  <c:v>10</c:v>
                </c:pt>
                <c:pt idx="4">
                  <c:v>0</c:v>
                </c:pt>
                <c:pt idx="5">
                  <c:v>0</c:v>
                </c:pt>
              </c:numCache>
            </c:numRef>
          </c:val>
          <c:smooth val="0"/>
          <c:extLst>
            <c:ext xmlns:c16="http://schemas.microsoft.com/office/drawing/2014/chart" uri="{C3380CC4-5D6E-409C-BE32-E72D297353CC}">
              <c16:uniqueId val="{00000004-8424-4977-BD70-D68E27089D65}"/>
            </c:ext>
          </c:extLst>
        </c:ser>
        <c:dLbls>
          <c:showLegendKey val="0"/>
          <c:showVal val="0"/>
          <c:showCatName val="0"/>
          <c:showSerName val="0"/>
          <c:showPercent val="0"/>
          <c:showBubbleSize val="0"/>
        </c:dLbls>
        <c:marker val="1"/>
        <c:smooth val="0"/>
        <c:axId val="1236538239"/>
        <c:axId val="1236541151"/>
      </c:lineChart>
      <c:catAx>
        <c:axId val="1236538239"/>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Sieve</a:t>
                </a:r>
                <a:r>
                  <a:rPr lang="en-IN" sz="1200" b="1" baseline="0"/>
                  <a:t>number</a:t>
                </a:r>
                <a:endParaRPr lang="en-IN" sz="1200" b="1"/>
              </a:p>
            </c:rich>
          </c:tx>
          <c:layout>
            <c:manualLayout>
              <c:xMode val="edge"/>
              <c:yMode val="edge"/>
              <c:x val="0.33170196850393702"/>
              <c:y val="0.670873768984005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236541151"/>
        <c:crosses val="autoZero"/>
        <c:auto val="1"/>
        <c:lblAlgn val="ctr"/>
        <c:lblOffset val="100"/>
        <c:noMultiLvlLbl val="0"/>
      </c:catAx>
      <c:valAx>
        <c:axId val="1236541151"/>
        <c:scaling>
          <c:orientation val="minMax"/>
          <c:max val="10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Percentage</a:t>
                </a:r>
                <a:r>
                  <a:rPr lang="en-IN" sz="1200" b="1" baseline="0"/>
                  <a:t> of passing</a:t>
                </a:r>
                <a:endParaRPr lang="en-IN" sz="1200" b="1"/>
              </a:p>
            </c:rich>
          </c:tx>
          <c:layout>
            <c:manualLayout>
              <c:xMode val="edge"/>
              <c:yMode val="edge"/>
              <c:x val="2.6592656483310599E-2"/>
              <c:y val="2.6822202780208059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0\)" sourceLinked="0"/>
        <c:majorTickMark val="none"/>
        <c:minorTickMark val="none"/>
        <c:tickLblPos val="nextTo"/>
        <c:spPr>
          <a:noFill/>
          <a:ln>
            <a:noFill/>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236538239"/>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0.40</a:t>
            </a:r>
            <a:r>
              <a:rPr lang="en-IN" sz="1200" b="1" baseline="0">
                <a:solidFill>
                  <a:schemeClr val="tx1"/>
                </a:solidFill>
                <a:latin typeface="Times New Roman" panose="02020603050405020304" pitchFamily="18" charset="0"/>
                <a:cs typeface="Times New Roman" panose="02020603050405020304" pitchFamily="18" charset="0"/>
              </a:rPr>
              <a:t> w/c Ratio</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40945176474920369"/>
          <c:y val="3.03358613217768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Sheet5!$C$1</c:f>
              <c:strCache>
                <c:ptCount val="1"/>
                <c:pt idx="0">
                  <c:v>Single size aggregate</c:v>
                </c:pt>
              </c:strCache>
            </c:strRef>
          </c:tx>
          <c:spPr>
            <a:solidFill>
              <a:schemeClr val="accent1"/>
            </a:solidFill>
            <a:ln>
              <a:noFill/>
            </a:ln>
            <a:effectLst/>
          </c:spPr>
          <c:invertIfNegative val="0"/>
          <c:cat>
            <c:strRef>
              <c:f>Sheet5!$A$2:$B$6</c:f>
              <c:strCache>
                <c:ptCount val="5"/>
                <c:pt idx="1">
                  <c:v>1:1 RPSCA</c:v>
                </c:pt>
                <c:pt idx="2">
                  <c:v>1:2 RPSCA</c:v>
                </c:pt>
                <c:pt idx="3">
                  <c:v>1:1 RPRDCA</c:v>
                </c:pt>
                <c:pt idx="4">
                  <c:v>1:2 RPRDCA</c:v>
                </c:pt>
              </c:strCache>
            </c:strRef>
          </c:cat>
          <c:val>
            <c:numRef>
              <c:f>Sheet5!$C$2:$C$6</c:f>
              <c:numCache>
                <c:formatCode>General</c:formatCode>
                <c:ptCount val="5"/>
                <c:pt idx="1">
                  <c:v>17.600000000000001</c:v>
                </c:pt>
                <c:pt idx="2">
                  <c:v>19</c:v>
                </c:pt>
                <c:pt idx="3">
                  <c:v>23.3</c:v>
                </c:pt>
                <c:pt idx="4">
                  <c:v>21.9</c:v>
                </c:pt>
              </c:numCache>
            </c:numRef>
          </c:val>
          <c:extLst>
            <c:ext xmlns:c16="http://schemas.microsoft.com/office/drawing/2014/chart" uri="{C3380CC4-5D6E-409C-BE32-E72D297353CC}">
              <c16:uniqueId val="{00000000-B241-4914-BFAD-4EDB2BCE900F}"/>
            </c:ext>
          </c:extLst>
        </c:ser>
        <c:ser>
          <c:idx val="1"/>
          <c:order val="1"/>
          <c:tx>
            <c:strRef>
              <c:f>Sheet5!$D$1</c:f>
              <c:strCache>
                <c:ptCount val="1"/>
                <c:pt idx="0">
                  <c:v>Well graded aggregate</c:v>
                </c:pt>
              </c:strCache>
            </c:strRef>
          </c:tx>
          <c:spPr>
            <a:solidFill>
              <a:schemeClr val="accent2"/>
            </a:solidFill>
            <a:ln>
              <a:noFill/>
            </a:ln>
            <a:effectLst/>
          </c:spPr>
          <c:invertIfNegative val="0"/>
          <c:cat>
            <c:strRef>
              <c:f>Sheet5!$A$2:$B$6</c:f>
              <c:strCache>
                <c:ptCount val="5"/>
                <c:pt idx="1">
                  <c:v>1:1 RPSCA</c:v>
                </c:pt>
                <c:pt idx="2">
                  <c:v>1:2 RPSCA</c:v>
                </c:pt>
                <c:pt idx="3">
                  <c:v>1:1 RPRDCA</c:v>
                </c:pt>
                <c:pt idx="4">
                  <c:v>1:2 RPRDCA</c:v>
                </c:pt>
              </c:strCache>
            </c:strRef>
          </c:cat>
          <c:val>
            <c:numRef>
              <c:f>Sheet5!$D$2:$D$6</c:f>
              <c:numCache>
                <c:formatCode>General</c:formatCode>
                <c:ptCount val="5"/>
                <c:pt idx="1">
                  <c:v>23.2</c:v>
                </c:pt>
                <c:pt idx="2">
                  <c:v>25.2</c:v>
                </c:pt>
                <c:pt idx="3">
                  <c:v>27</c:v>
                </c:pt>
                <c:pt idx="4">
                  <c:v>25.7</c:v>
                </c:pt>
              </c:numCache>
            </c:numRef>
          </c:val>
          <c:extLst>
            <c:ext xmlns:c16="http://schemas.microsoft.com/office/drawing/2014/chart" uri="{C3380CC4-5D6E-409C-BE32-E72D297353CC}">
              <c16:uniqueId val="{00000001-B241-4914-BFAD-4EDB2BCE900F}"/>
            </c:ext>
          </c:extLst>
        </c:ser>
        <c:dLbls>
          <c:showLegendKey val="0"/>
          <c:showVal val="0"/>
          <c:showCatName val="0"/>
          <c:showSerName val="0"/>
          <c:showPercent val="0"/>
          <c:showBubbleSize val="0"/>
        </c:dLbls>
        <c:gapWidth val="219"/>
        <c:axId val="1299568048"/>
        <c:axId val="1297621216"/>
      </c:barChart>
      <c:catAx>
        <c:axId val="129956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Type</a:t>
                </a:r>
                <a:r>
                  <a:rPr lang="en-IN" b="1" baseline="0">
                    <a:solidFill>
                      <a:schemeClr val="tx1"/>
                    </a:solidFill>
                    <a:latin typeface="Times New Roman" panose="02020603050405020304" pitchFamily="18" charset="0"/>
                    <a:cs typeface="Times New Roman" panose="02020603050405020304" pitchFamily="18" charset="0"/>
                  </a:rPr>
                  <a:t> of concrete</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21216"/>
        <c:crosses val="autoZero"/>
        <c:auto val="1"/>
        <c:lblAlgn val="ctr"/>
        <c:lblOffset val="100"/>
        <c:noMultiLvlLbl val="0"/>
      </c:catAx>
      <c:valAx>
        <c:axId val="129762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Compressive</a:t>
                </a:r>
                <a:r>
                  <a:rPr lang="en-IN" b="1" baseline="0">
                    <a:solidFill>
                      <a:schemeClr val="tx1"/>
                    </a:solidFill>
                    <a:latin typeface="Times New Roman" panose="02020603050405020304" pitchFamily="18" charset="0"/>
                    <a:cs typeface="Times New Roman" panose="02020603050405020304" pitchFamily="18" charset="0"/>
                  </a:rPr>
                  <a:t> strength(MPa)</a:t>
                </a:r>
              </a:p>
              <a:p>
                <a:pPr>
                  <a:defRPr/>
                </a:pPr>
                <a:r>
                  <a:rPr lang="en-IN" b="1" baseline="0">
                    <a:solidFill>
                      <a:schemeClr val="tx1"/>
                    </a:solidFill>
                    <a:latin typeface="Times New Roman" panose="02020603050405020304" pitchFamily="18" charset="0"/>
                    <a:cs typeface="Times New Roman" panose="02020603050405020304" pitchFamily="18" charset="0"/>
                  </a:rPr>
                  <a:t>at the age of 28 days curing </a:t>
                </a:r>
                <a:endParaRPr lang="en-IN"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417624521072794E-2"/>
              <c:y val="0.166159988397983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56804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t>0.65</a:t>
            </a:r>
            <a:r>
              <a:rPr lang="en-IN" sz="1200" b="1" baseline="0"/>
              <a:t> w/c Ratio</a:t>
            </a:r>
            <a:endParaRPr lang="en-IN"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Sheet7!$C$1</c:f>
              <c:strCache>
                <c:ptCount val="1"/>
                <c:pt idx="0">
                  <c:v>Single size aggregate</c:v>
                </c:pt>
              </c:strCache>
            </c:strRef>
          </c:tx>
          <c:spPr>
            <a:solidFill>
              <a:schemeClr val="accent1"/>
            </a:solidFill>
            <a:ln>
              <a:noFill/>
            </a:ln>
            <a:effectLst/>
          </c:spPr>
          <c:invertIfNegative val="0"/>
          <c:cat>
            <c:strRef>
              <c:f>Sheet7!$A$2:$B$6</c:f>
              <c:strCache>
                <c:ptCount val="5"/>
                <c:pt idx="1">
                  <c:v>1:1 RPSCA</c:v>
                </c:pt>
                <c:pt idx="2">
                  <c:v>1:2 RPSCA</c:v>
                </c:pt>
                <c:pt idx="3">
                  <c:v>1:1 RPRDCA</c:v>
                </c:pt>
                <c:pt idx="4">
                  <c:v>1:2 RPRDCA</c:v>
                </c:pt>
              </c:strCache>
            </c:strRef>
          </c:cat>
          <c:val>
            <c:numRef>
              <c:f>Sheet7!$C$2:$C$6</c:f>
              <c:numCache>
                <c:formatCode>General</c:formatCode>
                <c:ptCount val="5"/>
                <c:pt idx="1">
                  <c:v>14.7</c:v>
                </c:pt>
                <c:pt idx="2">
                  <c:v>16</c:v>
                </c:pt>
                <c:pt idx="3">
                  <c:v>19</c:v>
                </c:pt>
                <c:pt idx="4">
                  <c:v>17.3</c:v>
                </c:pt>
              </c:numCache>
            </c:numRef>
          </c:val>
          <c:extLst>
            <c:ext xmlns:c16="http://schemas.microsoft.com/office/drawing/2014/chart" uri="{C3380CC4-5D6E-409C-BE32-E72D297353CC}">
              <c16:uniqueId val="{00000000-6BF9-4B25-AB55-C323AC8B81FF}"/>
            </c:ext>
          </c:extLst>
        </c:ser>
        <c:ser>
          <c:idx val="1"/>
          <c:order val="1"/>
          <c:tx>
            <c:strRef>
              <c:f>Sheet7!$D$1</c:f>
              <c:strCache>
                <c:ptCount val="1"/>
                <c:pt idx="0">
                  <c:v>Well graded aggregate</c:v>
                </c:pt>
              </c:strCache>
            </c:strRef>
          </c:tx>
          <c:spPr>
            <a:solidFill>
              <a:schemeClr val="accent2"/>
            </a:solidFill>
            <a:ln>
              <a:noFill/>
            </a:ln>
            <a:effectLst/>
          </c:spPr>
          <c:invertIfNegative val="0"/>
          <c:cat>
            <c:strRef>
              <c:f>Sheet7!$A$2:$B$6</c:f>
              <c:strCache>
                <c:ptCount val="5"/>
                <c:pt idx="1">
                  <c:v>1:1 RPSCA</c:v>
                </c:pt>
                <c:pt idx="2">
                  <c:v>1:2 RPSCA</c:v>
                </c:pt>
                <c:pt idx="3">
                  <c:v>1:1 RPRDCA</c:v>
                </c:pt>
                <c:pt idx="4">
                  <c:v>1:2 RPRDCA</c:v>
                </c:pt>
              </c:strCache>
            </c:strRef>
          </c:cat>
          <c:val>
            <c:numRef>
              <c:f>Sheet7!$D$2:$D$6</c:f>
              <c:numCache>
                <c:formatCode>General</c:formatCode>
                <c:ptCount val="5"/>
                <c:pt idx="1">
                  <c:v>14.9</c:v>
                </c:pt>
                <c:pt idx="2">
                  <c:v>16.8</c:v>
                </c:pt>
                <c:pt idx="3">
                  <c:v>18.100000000000001</c:v>
                </c:pt>
                <c:pt idx="4">
                  <c:v>19.3</c:v>
                </c:pt>
              </c:numCache>
            </c:numRef>
          </c:val>
          <c:extLst>
            <c:ext xmlns:c16="http://schemas.microsoft.com/office/drawing/2014/chart" uri="{C3380CC4-5D6E-409C-BE32-E72D297353CC}">
              <c16:uniqueId val="{00000001-6BF9-4B25-AB55-C323AC8B81FF}"/>
            </c:ext>
          </c:extLst>
        </c:ser>
        <c:dLbls>
          <c:showLegendKey val="0"/>
          <c:showVal val="0"/>
          <c:showCatName val="0"/>
          <c:showSerName val="0"/>
          <c:showPercent val="0"/>
          <c:showBubbleSize val="0"/>
        </c:dLbls>
        <c:gapWidth val="150"/>
        <c:axId val="1429142896"/>
        <c:axId val="1429151632"/>
      </c:barChart>
      <c:catAx>
        <c:axId val="1429142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Type</a:t>
                </a:r>
                <a:r>
                  <a:rPr lang="en-IN" sz="1000" b="1" baseline="0">
                    <a:latin typeface="Times New Roman" panose="02020603050405020304" pitchFamily="18" charset="0"/>
                    <a:cs typeface="Times New Roman" panose="02020603050405020304" pitchFamily="18" charset="0"/>
                  </a:rPr>
                  <a:t> of concrete</a:t>
                </a:r>
                <a:endParaRPr lang="en-IN"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151632"/>
        <c:crosses val="autoZero"/>
        <c:auto val="1"/>
        <c:lblAlgn val="ctr"/>
        <c:lblOffset val="100"/>
        <c:noMultiLvlLbl val="0"/>
      </c:catAx>
      <c:valAx>
        <c:axId val="142915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Compressive</a:t>
                </a:r>
                <a:r>
                  <a:rPr lang="en-IN" sz="1000" b="1" baseline="0">
                    <a:latin typeface="Times New Roman" panose="02020603050405020304" pitchFamily="18" charset="0"/>
                    <a:cs typeface="Times New Roman" panose="02020603050405020304" pitchFamily="18" charset="0"/>
                  </a:rPr>
                  <a:t> strength(MPa)</a:t>
                </a:r>
              </a:p>
              <a:p>
                <a:pPr>
                  <a:defRPr/>
                </a:pPr>
                <a:r>
                  <a:rPr lang="en-IN" sz="1000" b="1" baseline="0">
                    <a:latin typeface="Times New Roman" panose="02020603050405020304" pitchFamily="18" charset="0"/>
                    <a:cs typeface="Times New Roman" panose="02020603050405020304" pitchFamily="18" charset="0"/>
                  </a:rPr>
                  <a:t>at the age of 28days of curing</a:t>
                </a:r>
                <a:endParaRPr lang="en-IN" sz="1000" b="1">
                  <a:latin typeface="Times New Roman" panose="02020603050405020304" pitchFamily="18" charset="0"/>
                  <a:cs typeface="Times New Roman" panose="02020603050405020304" pitchFamily="18" charset="0"/>
                </a:endParaRPr>
              </a:p>
            </c:rich>
          </c:tx>
          <c:layout>
            <c:manualLayout>
              <c:xMode val="edge"/>
              <c:yMode val="edge"/>
              <c:x val="3.0555555555555555E-2"/>
              <c:y val="0.12337962962962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14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0.60 </a:t>
            </a:r>
            <a:r>
              <a:rPr lang="en-IN" sz="1200" b="1" baseline="0">
                <a:solidFill>
                  <a:schemeClr val="tx1"/>
                </a:solidFill>
                <a:latin typeface="Times New Roman" panose="02020603050405020304" pitchFamily="18" charset="0"/>
                <a:cs typeface="Times New Roman" panose="02020603050405020304" pitchFamily="18" charset="0"/>
              </a:rPr>
              <a:t>w/c Ratio</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Sheet6!$C$1</c:f>
              <c:strCache>
                <c:ptCount val="1"/>
                <c:pt idx="0">
                  <c:v>Single size aggregate</c:v>
                </c:pt>
              </c:strCache>
            </c:strRef>
          </c:tx>
          <c:spPr>
            <a:solidFill>
              <a:schemeClr val="accent1"/>
            </a:solidFill>
            <a:ln>
              <a:noFill/>
            </a:ln>
            <a:effectLst/>
          </c:spPr>
          <c:invertIfNegative val="0"/>
          <c:cat>
            <c:strRef>
              <c:f>Sheet6!$B$2:$B$6</c:f>
              <c:strCache>
                <c:ptCount val="5"/>
                <c:pt idx="1">
                  <c:v>1:1 RPSCA</c:v>
                </c:pt>
                <c:pt idx="2">
                  <c:v>1:2 RPSCA</c:v>
                </c:pt>
                <c:pt idx="3">
                  <c:v>1:1 RPRDCA</c:v>
                </c:pt>
                <c:pt idx="4">
                  <c:v>1:2 RPRDCA</c:v>
                </c:pt>
              </c:strCache>
            </c:strRef>
          </c:cat>
          <c:val>
            <c:numRef>
              <c:f>Sheet6!$C$2:$C$6</c:f>
              <c:numCache>
                <c:formatCode>General</c:formatCode>
                <c:ptCount val="5"/>
                <c:pt idx="1">
                  <c:v>13.4</c:v>
                </c:pt>
                <c:pt idx="2">
                  <c:v>14.1</c:v>
                </c:pt>
                <c:pt idx="3">
                  <c:v>17.5</c:v>
                </c:pt>
                <c:pt idx="4">
                  <c:v>16.8</c:v>
                </c:pt>
              </c:numCache>
            </c:numRef>
          </c:val>
          <c:extLst>
            <c:ext xmlns:c16="http://schemas.microsoft.com/office/drawing/2014/chart" uri="{C3380CC4-5D6E-409C-BE32-E72D297353CC}">
              <c16:uniqueId val="{00000000-2971-4718-97DF-D262972118DA}"/>
            </c:ext>
          </c:extLst>
        </c:ser>
        <c:ser>
          <c:idx val="1"/>
          <c:order val="1"/>
          <c:tx>
            <c:strRef>
              <c:f>Sheet6!$D$1</c:f>
              <c:strCache>
                <c:ptCount val="1"/>
                <c:pt idx="0">
                  <c:v>Well graded aggregate</c:v>
                </c:pt>
              </c:strCache>
            </c:strRef>
          </c:tx>
          <c:spPr>
            <a:solidFill>
              <a:schemeClr val="accent2"/>
            </a:solidFill>
            <a:ln>
              <a:noFill/>
            </a:ln>
            <a:effectLst/>
          </c:spPr>
          <c:invertIfNegative val="0"/>
          <c:cat>
            <c:strRef>
              <c:f>Sheet6!$B$2:$B$6</c:f>
              <c:strCache>
                <c:ptCount val="5"/>
                <c:pt idx="1">
                  <c:v>1:1 RPSCA</c:v>
                </c:pt>
                <c:pt idx="2">
                  <c:v>1:2 RPSCA</c:v>
                </c:pt>
                <c:pt idx="3">
                  <c:v>1:1 RPRDCA</c:v>
                </c:pt>
                <c:pt idx="4">
                  <c:v>1:2 RPRDCA</c:v>
                </c:pt>
              </c:strCache>
            </c:strRef>
          </c:cat>
          <c:val>
            <c:numRef>
              <c:f>Sheet6!$D$2:$D$6</c:f>
              <c:numCache>
                <c:formatCode>General</c:formatCode>
                <c:ptCount val="5"/>
                <c:pt idx="1">
                  <c:v>15.3</c:v>
                </c:pt>
                <c:pt idx="2">
                  <c:v>17.100000000000001</c:v>
                </c:pt>
                <c:pt idx="3">
                  <c:v>18.399999999999999</c:v>
                </c:pt>
                <c:pt idx="4">
                  <c:v>16.899999999999999</c:v>
                </c:pt>
              </c:numCache>
            </c:numRef>
          </c:val>
          <c:extLst>
            <c:ext xmlns:c16="http://schemas.microsoft.com/office/drawing/2014/chart" uri="{C3380CC4-5D6E-409C-BE32-E72D297353CC}">
              <c16:uniqueId val="{00000001-2971-4718-97DF-D262972118DA}"/>
            </c:ext>
          </c:extLst>
        </c:ser>
        <c:dLbls>
          <c:showLegendKey val="0"/>
          <c:showVal val="0"/>
          <c:showCatName val="0"/>
          <c:showSerName val="0"/>
          <c:showPercent val="0"/>
          <c:showBubbleSize val="0"/>
        </c:dLbls>
        <c:gapWidth val="219"/>
        <c:axId val="1416826880"/>
        <c:axId val="1416829792"/>
      </c:barChart>
      <c:catAx>
        <c:axId val="1416826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latin typeface="Times New Roman" panose="02020603050405020304" pitchFamily="18" charset="0"/>
                    <a:cs typeface="Times New Roman" panose="02020603050405020304" pitchFamily="18" charset="0"/>
                  </a:rPr>
                  <a:t>Type</a:t>
                </a:r>
                <a:r>
                  <a:rPr lang="en-IN" sz="1000" b="1" baseline="0">
                    <a:solidFill>
                      <a:schemeClr val="tx1"/>
                    </a:solidFill>
                    <a:latin typeface="Times New Roman" panose="02020603050405020304" pitchFamily="18" charset="0"/>
                    <a:cs typeface="Times New Roman" panose="02020603050405020304" pitchFamily="18" charset="0"/>
                  </a:rPr>
                  <a:t> of concrete</a:t>
                </a:r>
                <a:endParaRPr lang="en-IN" sz="10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43299190726159237"/>
              <c:y val="0.785300379119276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829792"/>
        <c:crosses val="autoZero"/>
        <c:auto val="1"/>
        <c:lblAlgn val="ctr"/>
        <c:lblOffset val="100"/>
        <c:noMultiLvlLbl val="0"/>
      </c:catAx>
      <c:valAx>
        <c:axId val="1416829792"/>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rPr>
                  <a:t>Compressive</a:t>
                </a:r>
                <a:r>
                  <a:rPr lang="en-IN" sz="1000" b="1" baseline="0">
                    <a:solidFill>
                      <a:schemeClr val="tx1"/>
                    </a:solidFill>
                  </a:rPr>
                  <a:t> strength(MPa</a:t>
                </a:r>
                <a:r>
                  <a:rPr lang="en-IN" sz="1200" b="1" baseline="0">
                    <a:solidFill>
                      <a:schemeClr val="tx1"/>
                    </a:solidFill>
                  </a:rPr>
                  <a:t>)</a:t>
                </a:r>
              </a:p>
              <a:p>
                <a:pPr>
                  <a:defRPr/>
                </a:pPr>
                <a:r>
                  <a:rPr lang="en-IN" sz="1200" b="1" baseline="0">
                    <a:solidFill>
                      <a:schemeClr val="tx1"/>
                    </a:solidFill>
                  </a:rPr>
                  <a:t>at the age of 28 days curing</a:t>
                </a:r>
                <a:endParaRPr lang="en-IN" sz="1200" b="1">
                  <a:solidFill>
                    <a:schemeClr val="tx1"/>
                  </a:solidFill>
                </a:endParaRPr>
              </a:p>
            </c:rich>
          </c:tx>
          <c:layout>
            <c:manualLayout>
              <c:xMode val="edge"/>
              <c:yMode val="edge"/>
              <c:x val="2.7777661853063376E-2"/>
              <c:y val="0.14259259259259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826880"/>
        <c:crosses val="autoZero"/>
        <c:crossBetween val="between"/>
        <c:majorUnit val="5"/>
      </c:valAx>
      <c:spPr>
        <a:noFill/>
        <a:ln>
          <a:noFill/>
        </a:ln>
        <a:effectLst/>
      </c:spPr>
    </c:plotArea>
    <c:legend>
      <c:legendPos val="b"/>
      <c:layout>
        <c:manualLayout>
          <c:xMode val="edge"/>
          <c:yMode val="edge"/>
          <c:x val="0.21333341516254348"/>
          <c:y val="0.88946704578594338"/>
          <c:w val="0.6673006793870174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150D-5274-4262-9A73-78D5F2F5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8992</TotalTime>
  <Pages>12</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Rathod</dc:creator>
  <cp:keywords/>
  <dc:description/>
  <cp:lastModifiedBy>Vinod Rathod</cp:lastModifiedBy>
  <cp:revision>77</cp:revision>
  <dcterms:created xsi:type="dcterms:W3CDTF">2024-01-30T06:11:00Z</dcterms:created>
  <dcterms:modified xsi:type="dcterms:W3CDTF">2024-02-11T07:50:00Z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576a56b8-4432-33ad-8451-a299541ef4cf</vt:lpwstr>
  </property>
</Properties>
</file>