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75CE" w:rsidRDefault="00C16487" w:rsidP="00C16487">
      <w:pPr>
        <w:spacing w:line="276" w:lineRule="auto"/>
        <w:jc w:val="center"/>
        <w:rPr>
          <w:b/>
          <w:bCs/>
          <w:smallCaps/>
          <w:sz w:val="32"/>
          <w:szCs w:val="32"/>
        </w:rPr>
      </w:pPr>
      <w:r w:rsidRPr="00C16487">
        <w:rPr>
          <w:b/>
          <w:bCs/>
          <w:smallCaps/>
          <w:sz w:val="32"/>
          <w:szCs w:val="32"/>
        </w:rPr>
        <w:t>Navigating the Digital Frontier:</w:t>
      </w:r>
      <w:r w:rsidRPr="00C16487">
        <w:rPr>
          <w:b/>
          <w:bCs/>
          <w:smallCaps/>
          <w:sz w:val="32"/>
          <w:szCs w:val="32"/>
        </w:rPr>
        <w:t xml:space="preserve">  </w:t>
      </w:r>
      <w:r w:rsidRPr="00C16487">
        <w:rPr>
          <w:b/>
          <w:bCs/>
          <w:smallCaps/>
          <w:sz w:val="32"/>
          <w:szCs w:val="32"/>
        </w:rPr>
        <w:t xml:space="preserve">The intersection of </w:t>
      </w:r>
      <w:r w:rsidRPr="00C16487">
        <w:rPr>
          <w:b/>
          <w:bCs/>
          <w:smallCaps/>
          <w:sz w:val="32"/>
          <w:szCs w:val="32"/>
        </w:rPr>
        <w:t>Technology and</w:t>
      </w:r>
      <w:r w:rsidRPr="00C16487">
        <w:rPr>
          <w:b/>
          <w:bCs/>
          <w:smallCaps/>
          <w:sz w:val="32"/>
          <w:szCs w:val="32"/>
        </w:rPr>
        <w:t xml:space="preserve"> Criminal Liability</w:t>
      </w:r>
      <w:r w:rsidRPr="00C16487">
        <w:rPr>
          <w:b/>
          <w:bCs/>
          <w:smallCaps/>
          <w:sz w:val="32"/>
          <w:szCs w:val="32"/>
        </w:rPr>
        <w:t xml:space="preserve"> </w:t>
      </w:r>
      <w:r w:rsidRPr="00C16487">
        <w:rPr>
          <w:b/>
          <w:bCs/>
          <w:smallCaps/>
          <w:sz w:val="32"/>
          <w:szCs w:val="32"/>
        </w:rPr>
        <w:t>in Modern Jurisprudence</w:t>
      </w:r>
    </w:p>
    <w:p w:rsidR="00C16487" w:rsidRPr="001A16A4" w:rsidRDefault="001A16A4" w:rsidP="001A16A4">
      <w:pPr>
        <w:spacing w:line="276" w:lineRule="auto"/>
        <w:jc w:val="center"/>
        <w:rPr>
          <w:b/>
          <w:bCs/>
          <w:smallCaps/>
          <w:sz w:val="28"/>
          <w:szCs w:val="28"/>
        </w:rPr>
      </w:pPr>
      <w:r>
        <w:rPr>
          <w:b/>
          <w:bCs/>
          <w:color w:val="222222"/>
          <w:shd w:val="clear" w:color="auto" w:fill="FFFFFF"/>
        </w:rPr>
        <w:t xml:space="preserve">                                                                                                        </w:t>
      </w:r>
      <w:r w:rsidRPr="001A16A4">
        <w:rPr>
          <w:b/>
          <w:bCs/>
          <w:color w:val="222222"/>
          <w:sz w:val="28"/>
          <w:szCs w:val="28"/>
          <w:shd w:val="clear" w:color="auto" w:fill="FFFFFF"/>
        </w:rPr>
        <w:t>Radha Ranjan</w:t>
      </w:r>
      <w:r>
        <w:rPr>
          <w:rStyle w:val="FootnoteReference"/>
          <w:b/>
          <w:bCs/>
          <w:color w:val="222222"/>
          <w:sz w:val="28"/>
          <w:szCs w:val="28"/>
          <w:shd w:val="clear" w:color="auto" w:fill="FFFFFF"/>
        </w:rPr>
        <w:footnoteReference w:id="1"/>
      </w:r>
    </w:p>
    <w:p w:rsidR="00C16487" w:rsidRDefault="00C16487" w:rsidP="00C16487">
      <w:pPr>
        <w:spacing w:line="276" w:lineRule="auto"/>
        <w:jc w:val="center"/>
        <w:rPr>
          <w:b/>
          <w:bCs/>
          <w:smallCaps/>
          <w:sz w:val="28"/>
          <w:szCs w:val="28"/>
        </w:rPr>
      </w:pPr>
    </w:p>
    <w:p w:rsidR="00C16487" w:rsidRDefault="00C16487" w:rsidP="00C16487">
      <w:pPr>
        <w:spacing w:line="276" w:lineRule="auto"/>
        <w:rPr>
          <w:b/>
          <w:bCs/>
          <w:smallCaps/>
          <w:sz w:val="28"/>
          <w:szCs w:val="28"/>
        </w:rPr>
      </w:pPr>
      <w:r>
        <w:rPr>
          <w:b/>
          <w:bCs/>
          <w:smallCaps/>
          <w:sz w:val="28"/>
          <w:szCs w:val="28"/>
        </w:rPr>
        <w:t>ABSTRACT</w:t>
      </w:r>
    </w:p>
    <w:p w:rsidR="00C16487" w:rsidRDefault="00C16487" w:rsidP="00C16487">
      <w:pPr>
        <w:spacing w:line="276" w:lineRule="auto"/>
        <w:rPr>
          <w:b/>
          <w:bCs/>
          <w:smallCaps/>
          <w:sz w:val="28"/>
          <w:szCs w:val="28"/>
        </w:rPr>
      </w:pPr>
    </w:p>
    <w:p w:rsidR="00C16487" w:rsidRPr="002135FF" w:rsidRDefault="00C16487" w:rsidP="00C16487">
      <w:pPr>
        <w:spacing w:line="360" w:lineRule="auto"/>
        <w:jc w:val="both"/>
        <w:rPr>
          <w:bCs/>
        </w:rPr>
      </w:pPr>
      <w:r w:rsidRPr="002135FF">
        <w:rPr>
          <w:bCs/>
        </w:rPr>
        <w:t>In the contemporary legal landscape, the burgeoning incorporation of Artificial Intelligence (AI) precipitates a plethora of complex legal dilemmas regarding criminal liability. In addition, the prevalence of digital evidence in contemporary criminal investigations has precipitated a paradigm shift, necessitating an in-depth investigation into the admissibility and reliability of such evidentiary substrates. Concomitantly, the proliferation of cybercrime necessitates a recalibration of legal instruments to address the spectrum of modern digital offenses. This research paper distils the numerous implications of technological incursions into contemporary criminal law. The objective of striking a balance between protecting digital domains and upholding individual liberties is central to this study, which aims to develop a coherent legislative adaptation blueprint. By dissecting AI's evolutionary culpability, elevating the discourse on digital evidence, and recalibrating legislative responses to cybercrime, it illuminates the intricate tapestry of challenges and opportunities spawned by the complex intersection of technology and criminal liability.</w:t>
      </w:r>
      <w:r w:rsidR="002135FF" w:rsidRPr="002135FF">
        <w:t xml:space="preserve"> </w:t>
      </w:r>
      <w:r w:rsidR="002135FF" w:rsidRPr="002135FF">
        <w:rPr>
          <w:bCs/>
        </w:rPr>
        <w:t>The development of technology has changed the parameters of criminal responsibility by creating difficult problems that transcend national boundaries. The convergence of technology and criminality in contemporary jurisprudence is examined in this essay for its global consequences. It goes into detail about how to harmonise cybercrime laws, complicated jurisdictional issues, extradition, data privacy, and international cooperation. In a globally connected world, understanding the international dimension is essential for protecting individual rights and effectively combating cybercrime. This viewpoint emphasises how crucial it is to work together and have flexible laws as we manage the rapidly changing digital landscape.</w:t>
      </w:r>
    </w:p>
    <w:p w:rsidR="002135FF" w:rsidRPr="00B83B5D" w:rsidRDefault="002135FF" w:rsidP="00C16487">
      <w:pPr>
        <w:spacing w:line="360" w:lineRule="auto"/>
        <w:jc w:val="both"/>
        <w:rPr>
          <w:bCs/>
          <w:i/>
          <w:iCs/>
        </w:rPr>
      </w:pPr>
    </w:p>
    <w:p w:rsidR="00C16487" w:rsidRPr="002135FF" w:rsidRDefault="00C16487" w:rsidP="00C16487">
      <w:pPr>
        <w:spacing w:line="360" w:lineRule="auto"/>
        <w:jc w:val="both"/>
        <w:rPr>
          <w:b/>
        </w:rPr>
      </w:pPr>
      <w:r w:rsidRPr="002135FF">
        <w:rPr>
          <w:b/>
        </w:rPr>
        <w:t>Keywords: Criminal liability, Artificial Intelligence, Digital Evidence, Cybercrime, Legislative Adaptation</w:t>
      </w:r>
    </w:p>
    <w:p w:rsidR="002135FF" w:rsidRDefault="002135FF" w:rsidP="00C16487">
      <w:pPr>
        <w:spacing w:line="360" w:lineRule="auto"/>
        <w:jc w:val="both"/>
        <w:rPr>
          <w:b/>
          <w:i/>
          <w:iCs/>
        </w:rPr>
      </w:pPr>
    </w:p>
    <w:p w:rsidR="002135FF" w:rsidRDefault="002135FF" w:rsidP="00C16487">
      <w:pPr>
        <w:spacing w:line="360" w:lineRule="auto"/>
        <w:jc w:val="both"/>
        <w:rPr>
          <w:b/>
          <w:i/>
          <w:iCs/>
        </w:rPr>
      </w:pPr>
    </w:p>
    <w:p w:rsidR="00C16487" w:rsidRDefault="00704EDD" w:rsidP="00C16487">
      <w:pPr>
        <w:spacing w:line="276" w:lineRule="auto"/>
        <w:rPr>
          <w:b/>
          <w:bCs/>
          <w:smallCaps/>
          <w:sz w:val="28"/>
          <w:szCs w:val="28"/>
        </w:rPr>
      </w:pPr>
      <w:r>
        <w:rPr>
          <w:b/>
          <w:bCs/>
          <w:smallCaps/>
          <w:sz w:val="28"/>
          <w:szCs w:val="28"/>
        </w:rPr>
        <w:t>INTRODUCTION</w:t>
      </w:r>
    </w:p>
    <w:p w:rsidR="002135FF" w:rsidRDefault="002135FF" w:rsidP="00C16487">
      <w:pPr>
        <w:spacing w:line="276" w:lineRule="auto"/>
        <w:rPr>
          <w:b/>
          <w:bCs/>
          <w:smallCaps/>
          <w:sz w:val="28"/>
          <w:szCs w:val="28"/>
        </w:rPr>
      </w:pPr>
    </w:p>
    <w:p w:rsidR="001A16A4" w:rsidRPr="001A16A4" w:rsidRDefault="001A16A4" w:rsidP="001A16A4">
      <w:pPr>
        <w:spacing w:line="360" w:lineRule="auto"/>
        <w:jc w:val="both"/>
      </w:pPr>
      <w:r w:rsidRPr="001A16A4">
        <w:t>The fusion of technology and criminal responsibility provides a complex and ever-evolving problem for contemporary jurisprudence in an era marked by extraordinary technical innovation. As our world becomes more and more digital, people and societies must negotiate the treacherous terrain of the digital frontier, where the distinctions between traditional crimes and cybercrimes become increasingly hazy, raising important issues regarding responsibility, jurisdiction, and the sufficiency of current legal frameworks.</w:t>
      </w:r>
      <w:r>
        <w:t xml:space="preserve"> </w:t>
      </w:r>
      <w:r w:rsidRPr="001A16A4">
        <w:t>In addition to revolutionising the way we live and communicate, the fast spread of technology—from the internet and smartphones to artificial intelligence and blockchain—has also given rise to new opportunities for criminal activity. Hacking, identity theft, online fraud, and cyberbullying are just a few of the many cybercrimes that have spread beyond national boundaries and put the ability of legal systems to respond effectively to them to the test.</w:t>
      </w:r>
    </w:p>
    <w:p w:rsidR="001A16A4" w:rsidRPr="001A16A4" w:rsidRDefault="001A16A4" w:rsidP="001A16A4">
      <w:pPr>
        <w:spacing w:line="360" w:lineRule="auto"/>
        <w:jc w:val="both"/>
      </w:pPr>
    </w:p>
    <w:p w:rsidR="001A16A4" w:rsidRPr="001A16A4" w:rsidRDefault="001A16A4" w:rsidP="001A16A4">
      <w:pPr>
        <w:spacing w:line="360" w:lineRule="auto"/>
        <w:jc w:val="both"/>
      </w:pPr>
      <w:r w:rsidRPr="001A16A4">
        <w:t xml:space="preserve">This </w:t>
      </w:r>
      <w:r w:rsidR="002135FF">
        <w:t>article</w:t>
      </w:r>
      <w:r w:rsidRPr="001A16A4">
        <w:t xml:space="preserve"> sets out to investigate the complex nexus between technology and criminal responsibility. It explores the difficulties brought on by new technology, the legal rules that govern determining guilt or innocence, and the global scope of cybercrimes in a linked society.</w:t>
      </w:r>
    </w:p>
    <w:p w:rsidR="001A16A4" w:rsidRPr="001A16A4" w:rsidRDefault="001A16A4" w:rsidP="001A16A4">
      <w:pPr>
        <w:spacing w:line="360" w:lineRule="auto"/>
        <w:jc w:val="both"/>
      </w:pPr>
      <w:r w:rsidRPr="001A16A4">
        <w:t>Determining the limits of criminal responsibility is one of the key conundrums in this digital age. To address crimes committed in virtual settings, sometimes by evasive offenders, traditional legal principles must be modified and reinterpreted. Criminal activity that moves from the physical to the digital sphere raises difficult issues regarding attribution, purpose, and the extent of injury.</w:t>
      </w:r>
    </w:p>
    <w:p w:rsidR="001A16A4" w:rsidRDefault="001A16A4" w:rsidP="001A16A4">
      <w:pPr>
        <w:spacing w:line="360" w:lineRule="auto"/>
        <w:jc w:val="both"/>
      </w:pPr>
      <w:r w:rsidRPr="001A16A4">
        <w:t>Additionally, international collaboration and the harmonisation of legislative frameworks are necessary to overcome the jurisdictional obstacles that cybercrimes present. Criminals can operate from any location in the world, taking advantage of judicial imbalances to escape punishment. As a result, this paper explores the efforts being made globally to develop coherent strategies for prosecuting cybercriminals as well as the difficulties in striking a balance between national sovereignty and the necessity for international cooperation.</w:t>
      </w:r>
      <w:r>
        <w:t xml:space="preserve"> </w:t>
      </w:r>
      <w:r w:rsidRPr="001A16A4">
        <w:t xml:space="preserve">This investigation of the relationship between technology and criminal responsibility serves as a crucial basis for understanding the shifting jurisprudential landscape as technology continues to advance at an exponential rate. The digital frontier offers chances for innovation and advancement, but it also raises important societal, legal, and ethical issues. We hope to further knowledge of how </w:t>
      </w:r>
      <w:r w:rsidRPr="001A16A4">
        <w:lastRenderedPageBreak/>
        <w:t>contemporary legal systems must change to provide justice and security in a society where the physical and digital worlds are intricately entwined by addressing these topics.</w:t>
      </w:r>
    </w:p>
    <w:p w:rsidR="00704EDD" w:rsidRPr="00B83B5D" w:rsidRDefault="00704EDD" w:rsidP="00704EDD">
      <w:pPr>
        <w:spacing w:line="360" w:lineRule="auto"/>
        <w:jc w:val="both"/>
      </w:pPr>
      <w:r w:rsidRPr="00B83B5D">
        <w:t>In the modern landscape of criminal law and technology, the rapid integration of public relations with the expanding influence of Artificial Intelligence (AI) accentuates a nexus with intricate criminological implications</w:t>
      </w:r>
      <w:r w:rsidRPr="00892F13">
        <w:rPr>
          <w:b/>
          <w:bCs/>
          <w:i/>
          <w:iCs/>
        </w:rPr>
        <w:t xml:space="preserve">. </w:t>
      </w:r>
      <w:r w:rsidRPr="00704EDD">
        <w:rPr>
          <w:b/>
          <w:bCs/>
        </w:rPr>
        <w:t>Access to information within immense information and telecommunications networks coexists</w:t>
      </w:r>
      <w:r w:rsidRPr="00892F13">
        <w:rPr>
          <w:b/>
          <w:bCs/>
          <w:i/>
          <w:iCs/>
        </w:rPr>
        <w:t xml:space="preserve"> </w:t>
      </w:r>
      <w:r w:rsidRPr="00892F13">
        <w:t>with a growing AI-driven</w:t>
      </w:r>
      <w:r w:rsidRPr="00B83B5D">
        <w:t xml:space="preserve"> threat of unwarranted manipulation in this complex environment. This vulnerability is particularly pronounced in the domain of critical information infrastructure, where the inherent physical characteristics of digital data make it uniquely susceptible to the potential influence of AI and its cybernetic counterparts. This prevalent vulnerability necessitates the development of legally informed architectures to mitigate potential criminal liabilities deriving from AI-driven cybernetic infractions.</w:t>
      </w:r>
      <w:r>
        <w:t xml:space="preserve"> </w:t>
      </w:r>
      <w:r w:rsidRPr="00B83B5D">
        <w:t>As India enters the digital age, the</w:t>
      </w:r>
      <w:r w:rsidRPr="00892F13">
        <w:rPr>
          <w:b/>
          <w:bCs/>
          <w:i/>
          <w:iCs/>
        </w:rPr>
        <w:t xml:space="preserve"> intersection of criminal law and emergent technological paradigms</w:t>
      </w:r>
      <w:r w:rsidRPr="00B83B5D">
        <w:t xml:space="preserve"> is of the utmost importance. The potential impact of these technological advances on the very foundation of the criminal justice system merits a thorough investigation.  The </w:t>
      </w:r>
      <w:r w:rsidRPr="00892F13">
        <w:rPr>
          <w:b/>
          <w:bCs/>
          <w:i/>
          <w:iCs/>
        </w:rPr>
        <w:t>technological renaissance of the 21st century</w:t>
      </w:r>
      <w:r w:rsidRPr="00B83B5D">
        <w:t xml:space="preserve"> has ushered in an era of unprecedented digital proliferation, bringing computers and information technology to the fingertips of every person.</w:t>
      </w:r>
    </w:p>
    <w:p w:rsidR="00704EDD" w:rsidRPr="00B83B5D" w:rsidRDefault="00704EDD" w:rsidP="00704EDD">
      <w:pPr>
        <w:spacing w:line="360" w:lineRule="auto"/>
        <w:jc w:val="both"/>
      </w:pPr>
    </w:p>
    <w:p w:rsidR="00704EDD" w:rsidRPr="00B83B5D" w:rsidRDefault="00704EDD" w:rsidP="00704EDD">
      <w:pPr>
        <w:spacing w:line="360" w:lineRule="auto"/>
        <w:jc w:val="both"/>
      </w:pPr>
      <w:r w:rsidRPr="00B83B5D">
        <w:t xml:space="preserve"> The </w:t>
      </w:r>
      <w:r w:rsidRPr="00892F13">
        <w:rPr>
          <w:b/>
          <w:bCs/>
        </w:rPr>
        <w:t>Information Technology Act of 2000</w:t>
      </w:r>
      <w:r>
        <w:rPr>
          <w:rStyle w:val="FootnoteReference"/>
        </w:rPr>
        <w:footnoteReference w:id="2"/>
      </w:r>
      <w:r w:rsidRPr="00B83B5D">
        <w:t xml:space="preserve"> and its subsequent amendments serve as a cornerstone by coordinating legislative provisions to accommodate digital evidence within the criminal paradigm. Together with amendments to venerable statutes such as the </w:t>
      </w:r>
      <w:r w:rsidRPr="00892F13">
        <w:rPr>
          <w:b/>
          <w:bCs/>
        </w:rPr>
        <w:t>Indian Evidence Act</w:t>
      </w:r>
      <w:r w:rsidRPr="00892F13">
        <w:rPr>
          <w:rStyle w:val="FootnoteReference"/>
          <w:b/>
          <w:bCs/>
        </w:rPr>
        <w:footnoteReference w:id="3"/>
      </w:r>
      <w:r w:rsidRPr="00892F13">
        <w:rPr>
          <w:b/>
          <w:bCs/>
        </w:rPr>
        <w:t>, Indian Penal Code</w:t>
      </w:r>
      <w:r w:rsidRPr="00892F13">
        <w:rPr>
          <w:rStyle w:val="FootnoteReference"/>
          <w:b/>
          <w:bCs/>
        </w:rPr>
        <w:footnoteReference w:id="4"/>
      </w:r>
      <w:r w:rsidRPr="00892F13">
        <w:rPr>
          <w:b/>
          <w:bCs/>
        </w:rPr>
        <w:t>, and the Banker's Book Evidence Act</w:t>
      </w:r>
      <w:r>
        <w:rPr>
          <w:rStyle w:val="FootnoteReference"/>
        </w:rPr>
        <w:footnoteReference w:id="5"/>
      </w:r>
      <w:r w:rsidRPr="00B83B5D">
        <w:t>, this creates the jurisprudential framework for navigating the complexities of this new digital domain.</w:t>
      </w:r>
    </w:p>
    <w:p w:rsidR="00704EDD" w:rsidRPr="00B83B5D" w:rsidRDefault="00704EDD" w:rsidP="00704EDD">
      <w:pPr>
        <w:spacing w:line="360" w:lineRule="auto"/>
        <w:jc w:val="both"/>
      </w:pPr>
    </w:p>
    <w:p w:rsidR="00704EDD" w:rsidRDefault="00704EDD" w:rsidP="00704EDD">
      <w:pPr>
        <w:spacing w:line="360" w:lineRule="auto"/>
        <w:jc w:val="both"/>
      </w:pPr>
      <w:r>
        <w:t>N</w:t>
      </w:r>
      <w:r w:rsidRPr="00B83B5D">
        <w:t xml:space="preserve">otably, as the evolution of technology continues to reshape criminal investigations, the ascendance of AI renders the concept of digital evidence multidimensional. Due to its malleability, mobility, and sensitivity, </w:t>
      </w:r>
      <w:r w:rsidRPr="00892F13">
        <w:rPr>
          <w:b/>
          <w:bCs/>
          <w:i/>
          <w:iCs/>
        </w:rPr>
        <w:t>legal and investigative procedures must be readjusted</w:t>
      </w:r>
      <w:r w:rsidRPr="00B83B5D">
        <w:t xml:space="preserve">. As law and technology intertwine, the concept of criminal liability undergoes a paradigm shift, </w:t>
      </w:r>
      <w:r w:rsidRPr="00B83B5D">
        <w:lastRenderedPageBreak/>
        <w:t>necessitating a profound comprehension of the potential criminal liability incurred by AI-driven infractions</w:t>
      </w:r>
      <w:r>
        <w:t xml:space="preserve"> </w:t>
      </w:r>
      <w:r>
        <w:rPr>
          <w:rStyle w:val="FootnoteReference"/>
        </w:rPr>
        <w:footnoteReference w:id="6"/>
      </w:r>
      <w:r w:rsidRPr="00B83B5D">
        <w:t>.</w:t>
      </w:r>
    </w:p>
    <w:p w:rsidR="002135FF" w:rsidRDefault="002135FF" w:rsidP="00704EDD">
      <w:pPr>
        <w:spacing w:line="360" w:lineRule="auto"/>
        <w:jc w:val="both"/>
      </w:pPr>
    </w:p>
    <w:p w:rsidR="002135FF" w:rsidRDefault="002135FF" w:rsidP="00704EDD">
      <w:pPr>
        <w:spacing w:line="360" w:lineRule="auto"/>
        <w:jc w:val="both"/>
        <w:rPr>
          <w:b/>
          <w:bCs/>
        </w:rPr>
      </w:pPr>
      <w:r w:rsidRPr="002135FF">
        <w:rPr>
          <w:b/>
          <w:bCs/>
        </w:rPr>
        <w:t>INTERNATIONAL PERSPECTIVE</w:t>
      </w:r>
    </w:p>
    <w:p w:rsidR="002135FF" w:rsidRDefault="002135FF" w:rsidP="00704EDD">
      <w:pPr>
        <w:spacing w:line="360" w:lineRule="auto"/>
        <w:jc w:val="both"/>
        <w:rPr>
          <w:b/>
          <w:bCs/>
        </w:rPr>
      </w:pPr>
    </w:p>
    <w:p w:rsidR="002135FF" w:rsidRDefault="002135FF" w:rsidP="00704EDD">
      <w:pPr>
        <w:spacing w:line="360" w:lineRule="auto"/>
        <w:jc w:val="both"/>
      </w:pPr>
      <w:r w:rsidRPr="002135FF">
        <w:t>It is essential to have an international viewpoint when negotiating the digital frontier in contemporary jurisprudence since the problems raised by the junction of technology and criminal responsibility cut across national boundaries. Understanding how different nations approach these issues is crucial for fostering cooperation, harmonising legal frameworks, and addressing the changing landscape of cybercrime in an interconnected world where digital technologies enable instantaneous communication and globalised cybercrimes.</w:t>
      </w:r>
      <w:r w:rsidRPr="002135FF">
        <w:t xml:space="preserve"> </w:t>
      </w:r>
      <w:r w:rsidRPr="002135FF">
        <w:t>The nature of criminal behaviour has fundamentally changed as a result of technology, and geographical boundaries no longer apply to cybercrimes. As a result, jurisdiction, extradition, and legal harmonisation concerns are being addressed by legal systems around the world. In this global viewpoint, we explore some significant facets of the confluence of technology and criminal liability</w:t>
      </w:r>
      <w:r>
        <w:t>:</w:t>
      </w:r>
    </w:p>
    <w:p w:rsidR="002135FF" w:rsidRDefault="002135FF" w:rsidP="002135FF">
      <w:pPr>
        <w:spacing w:line="360" w:lineRule="auto"/>
        <w:jc w:val="both"/>
      </w:pPr>
      <w:r>
        <w:t>Harmonisation of Cybercrime Laws: To legislate and regulate Cybercrimes, several nations have taken various strategies. While some have complete legal systems, others are behind. Examining initiatives like the Budapest Convention on Cybercrime, which tries to harmonise cybercrime legislation and improve international collaboration in detecting and prosecuting cybercrimes, is possible from a global viewpoint.</w:t>
      </w:r>
    </w:p>
    <w:p w:rsidR="002135FF" w:rsidRDefault="002135FF" w:rsidP="002135FF">
      <w:pPr>
        <w:spacing w:line="360" w:lineRule="auto"/>
        <w:jc w:val="both"/>
      </w:pPr>
      <w:r>
        <w:t>Jurisdictional Issues: Because cybercrimes frequently cross international borders, it can be challenging to determine which state has the right to bring cases against criminals. In order to solve these jurisdictional problems, international cooperation agreements and mutual legal aid treaties are crucial.</w:t>
      </w:r>
    </w:p>
    <w:p w:rsidR="002135FF" w:rsidRDefault="002135FF" w:rsidP="002135FF">
      <w:pPr>
        <w:spacing w:line="360" w:lineRule="auto"/>
        <w:jc w:val="both"/>
      </w:pPr>
      <w:r>
        <w:t xml:space="preserve">Extradition and Transnational Prosecution: As cybercriminals use the internet's worldwide nature to conduct crimes from different locations, extradition and transnational prosecution procedures are becoming more difficult to manage. </w:t>
      </w:r>
      <w:r>
        <w:t>A</w:t>
      </w:r>
      <w:r>
        <w:t xml:space="preserve"> worldwide viewpoint enables us to comprehend how various nations handle extradition requests and get over legal obstacles to prosecute hackers.</w:t>
      </w:r>
    </w:p>
    <w:p w:rsidR="002135FF" w:rsidRDefault="002135FF" w:rsidP="002135FF">
      <w:pPr>
        <w:spacing w:line="360" w:lineRule="auto"/>
        <w:jc w:val="both"/>
      </w:pPr>
      <w:r>
        <w:lastRenderedPageBreak/>
        <w:t>Data Privacy and Cross-Border Information Sharing: It might be difficult to strike the right balance between data privacy and the requirement for cross-border information sharing in criminal investigations. Different approaches to data security and sharing exist among nations, which can affect how well international collaboration works to combat cybercrime.</w:t>
      </w:r>
    </w:p>
    <w:p w:rsidR="002135FF" w:rsidRDefault="002135FF" w:rsidP="00704EDD">
      <w:pPr>
        <w:spacing w:line="360" w:lineRule="auto"/>
        <w:jc w:val="both"/>
      </w:pPr>
    </w:p>
    <w:p w:rsidR="002135FF" w:rsidRDefault="002135FF" w:rsidP="00704EDD">
      <w:pPr>
        <w:spacing w:line="360" w:lineRule="auto"/>
        <w:jc w:val="both"/>
      </w:pPr>
      <w:r w:rsidRPr="002135FF">
        <w:t>The global perspective on the interaction of technology and criminal culpability in this period of explosive technological innovation provides important insights into the difficulties of contemporary jurisprudence. To effectively tackle cybercrimes, safeguard people's rights, and preserve the integrity of global digital systems, cooperation between states is necessary. We may better appreciate the difficulties and opportunities involved in crossing the digital frontier in a world that is continuously changing by looking at how various nations tackle these concerns.</w:t>
      </w:r>
    </w:p>
    <w:p w:rsidR="002135FF" w:rsidRPr="002135FF" w:rsidRDefault="002135FF" w:rsidP="00704EDD">
      <w:pPr>
        <w:spacing w:line="360" w:lineRule="auto"/>
        <w:jc w:val="both"/>
      </w:pPr>
    </w:p>
    <w:p w:rsidR="00704EDD" w:rsidRDefault="00704EDD" w:rsidP="002135FF">
      <w:pPr>
        <w:rPr>
          <w:rFonts w:eastAsia="Calibri"/>
          <w:b/>
          <w:bCs/>
        </w:rPr>
      </w:pPr>
      <w:r w:rsidRPr="00704EDD">
        <w:rPr>
          <w:rFonts w:eastAsia="Calibri"/>
          <w:b/>
          <w:bCs/>
        </w:rPr>
        <w:t>CRITICAL ANALYSIS</w:t>
      </w:r>
      <w:r w:rsidR="001A16A4">
        <w:rPr>
          <w:rFonts w:eastAsia="Calibri"/>
          <w:b/>
          <w:bCs/>
        </w:rPr>
        <w:t xml:space="preserve"> </w:t>
      </w:r>
    </w:p>
    <w:p w:rsidR="00704EDD" w:rsidRDefault="00704EDD" w:rsidP="00704EDD">
      <w:pPr>
        <w:jc w:val="center"/>
        <w:rPr>
          <w:rFonts w:eastAsia="Calibri"/>
          <w:b/>
          <w:bCs/>
        </w:rPr>
      </w:pPr>
    </w:p>
    <w:p w:rsidR="00704EDD" w:rsidRPr="001A16A4" w:rsidRDefault="00704EDD" w:rsidP="001A16A4">
      <w:pPr>
        <w:spacing w:line="360" w:lineRule="auto"/>
        <w:jc w:val="both"/>
        <w:rPr>
          <w:bCs/>
        </w:rPr>
      </w:pPr>
      <w:r w:rsidRPr="001A16A4">
        <w:rPr>
          <w:bCs/>
        </w:rPr>
        <w:t>In the context of emerging technologies, notably Artificial Intelligence (AI), legislative variations, including criminalization regulations must anticipate developments in the terrain of public interactions. Utilizing solidly established theoretical advancements in the field of AI to develop persuasive legal frameworks that correlate with the evolving nature of these interactions</w:t>
      </w:r>
      <w:r w:rsidRPr="001A16A4">
        <w:rPr>
          <w:b/>
          <w:i/>
          <w:iCs/>
        </w:rPr>
        <w:t>, rapid and effective legislative responses are essential</w:t>
      </w:r>
      <w:r w:rsidRPr="001A16A4">
        <w:rPr>
          <w:bCs/>
        </w:rPr>
        <w:t>.</w:t>
      </w:r>
      <w:r w:rsidRPr="00B83B5D">
        <w:rPr>
          <w:rStyle w:val="FootnoteReference"/>
          <w:bCs/>
        </w:rPr>
        <w:footnoteReference w:id="7"/>
      </w:r>
    </w:p>
    <w:p w:rsidR="00704EDD" w:rsidRDefault="00704EDD" w:rsidP="00704EDD">
      <w:pPr>
        <w:pStyle w:val="ListParagraph"/>
        <w:spacing w:line="360" w:lineRule="auto"/>
        <w:ind w:left="360"/>
        <w:jc w:val="both"/>
        <w:rPr>
          <w:bCs/>
        </w:rPr>
      </w:pPr>
    </w:p>
    <w:p w:rsidR="00704EDD" w:rsidRPr="001A16A4" w:rsidRDefault="00704EDD" w:rsidP="001A16A4">
      <w:pPr>
        <w:spacing w:line="360" w:lineRule="auto"/>
        <w:jc w:val="both"/>
        <w:rPr>
          <w:bCs/>
        </w:rPr>
      </w:pPr>
      <w:r w:rsidRPr="001A16A4">
        <w:rPr>
          <w:bCs/>
        </w:rPr>
        <w:t xml:space="preserve">Regarding admissibility of evidence, the integration of AI into the criminal justice system presents significant challenges and opportunities. The Indian Evidence Act of 1872 governs the admissibility of evidence, requiring that it be relevant, material, and legal. </w:t>
      </w:r>
      <w:r w:rsidRPr="001A16A4">
        <w:rPr>
          <w:b/>
        </w:rPr>
        <w:t>Anvar P.V. v. P.K. Basheer</w:t>
      </w:r>
      <w:r w:rsidRPr="00892F13">
        <w:rPr>
          <w:rStyle w:val="FootnoteReference"/>
          <w:b/>
        </w:rPr>
        <w:footnoteReference w:id="8"/>
      </w:r>
      <w:r w:rsidRPr="001A16A4">
        <w:rPr>
          <w:b/>
        </w:rPr>
        <w:t xml:space="preserve"> and State of Maharashtra v. Pramod Desai</w:t>
      </w:r>
      <w:r>
        <w:rPr>
          <w:rStyle w:val="FootnoteReference"/>
          <w:bCs/>
        </w:rPr>
        <w:footnoteReference w:id="9"/>
      </w:r>
      <w:r w:rsidRPr="001A16A4">
        <w:rPr>
          <w:bCs/>
        </w:rPr>
        <w:t xml:space="preserve"> are cases that establish criteria for the admissibility of electronic and scientific evidence, respectively.</w:t>
      </w:r>
    </w:p>
    <w:p w:rsidR="00704EDD" w:rsidRPr="000671E9" w:rsidRDefault="00704EDD" w:rsidP="00704EDD">
      <w:pPr>
        <w:pStyle w:val="ListParagraph"/>
        <w:spacing w:line="360" w:lineRule="auto"/>
        <w:ind w:left="360"/>
        <w:jc w:val="both"/>
        <w:rPr>
          <w:bCs/>
        </w:rPr>
      </w:pPr>
    </w:p>
    <w:p w:rsidR="00704EDD" w:rsidRPr="001A16A4" w:rsidRDefault="00704EDD" w:rsidP="001A16A4">
      <w:pPr>
        <w:spacing w:line="360" w:lineRule="auto"/>
        <w:jc w:val="both"/>
        <w:rPr>
          <w:bCs/>
        </w:rPr>
      </w:pPr>
      <w:r w:rsidRPr="001A16A4">
        <w:rPr>
          <w:bCs/>
        </w:rPr>
        <w:t xml:space="preserve">The </w:t>
      </w:r>
      <w:r w:rsidRPr="001A16A4">
        <w:rPr>
          <w:b/>
          <w:i/>
          <w:iCs/>
        </w:rPr>
        <w:t>admissibility of AI-generated evidence is contingent on a number of factors</w:t>
      </w:r>
      <w:r w:rsidRPr="001A16A4">
        <w:rPr>
          <w:bCs/>
        </w:rPr>
        <w:t xml:space="preserve">. Firstly, it must be pertinent to the case. Second, the employed technology must be scientifically acknowledged and reliable. Additionally, its acquisition </w:t>
      </w:r>
      <w:r w:rsidRPr="001A16A4">
        <w:rPr>
          <w:b/>
          <w:i/>
          <w:iCs/>
        </w:rPr>
        <w:t>must adhere to constitutional and legal rights</w:t>
      </w:r>
      <w:r w:rsidRPr="001A16A4">
        <w:rPr>
          <w:bCs/>
        </w:rPr>
        <w:t xml:space="preserve">, averting violations of privacy. To prevent discrimination, it is crucial to train AI </w:t>
      </w:r>
      <w:r w:rsidRPr="001A16A4">
        <w:rPr>
          <w:bCs/>
        </w:rPr>
        <w:lastRenderedPageBreak/>
        <w:t xml:space="preserve">with objective, representative data. However, the implementation of AI may also pose a threat to fundamental rights, </w:t>
      </w:r>
      <w:r w:rsidRPr="001A16A4">
        <w:rPr>
          <w:b/>
          <w:i/>
          <w:iCs/>
        </w:rPr>
        <w:t>such as the right to privacy and the right to a fair trial</w:t>
      </w:r>
      <w:r w:rsidRPr="001A16A4">
        <w:rPr>
          <w:bCs/>
        </w:rPr>
        <w:t>, particularly if it influences pre-trial detention or sentencing decisions.</w:t>
      </w:r>
    </w:p>
    <w:p w:rsidR="00704EDD" w:rsidRPr="000671E9" w:rsidRDefault="00704EDD" w:rsidP="00704EDD">
      <w:pPr>
        <w:pStyle w:val="ListParagraph"/>
        <w:spacing w:line="360" w:lineRule="auto"/>
        <w:ind w:left="360"/>
        <w:jc w:val="both"/>
        <w:rPr>
          <w:bCs/>
        </w:rPr>
      </w:pPr>
    </w:p>
    <w:p w:rsidR="00704EDD" w:rsidRPr="001A16A4" w:rsidRDefault="00704EDD" w:rsidP="001A16A4">
      <w:pPr>
        <w:spacing w:line="360" w:lineRule="auto"/>
        <w:jc w:val="both"/>
        <w:rPr>
          <w:bCs/>
        </w:rPr>
      </w:pPr>
      <w:r w:rsidRPr="001A16A4">
        <w:rPr>
          <w:bCs/>
        </w:rPr>
        <w:t>To assure the ethical, legal, and fair integration of AI-generated evidence into the system, despite the fact that AI offers potential benefits in criminal justice, these obstacles must be addressed.</w:t>
      </w:r>
      <w:r w:rsidR="001A16A4">
        <w:rPr>
          <w:bCs/>
        </w:rPr>
        <w:t xml:space="preserve"> </w:t>
      </w:r>
      <w:r w:rsidRPr="001A16A4">
        <w:rPr>
          <w:bCs/>
        </w:rPr>
        <w:t xml:space="preserve">It is extraordinary how Indian legal proceedings have evolved to accommodate electronic evidence. </w:t>
      </w:r>
      <w:r w:rsidRPr="001A16A4">
        <w:rPr>
          <w:b/>
          <w:i/>
          <w:iCs/>
        </w:rPr>
        <w:t>Judges have exhibited intelligence in perceiving the intrinsic electronic nature of evidence</w:t>
      </w:r>
      <w:r w:rsidRPr="001A16A4">
        <w:rPr>
          <w:bCs/>
        </w:rPr>
        <w:t>, resulting in insights regarding admissibility and interpretation of how electronic evidence can be presented in court.</w:t>
      </w:r>
    </w:p>
    <w:p w:rsidR="00704EDD" w:rsidRPr="000671E9" w:rsidRDefault="00704EDD" w:rsidP="00704EDD">
      <w:pPr>
        <w:pStyle w:val="ListParagraph"/>
        <w:spacing w:line="360" w:lineRule="auto"/>
        <w:ind w:left="360"/>
        <w:jc w:val="both"/>
        <w:rPr>
          <w:bCs/>
        </w:rPr>
      </w:pPr>
    </w:p>
    <w:p w:rsidR="00704EDD" w:rsidRPr="001A16A4" w:rsidRDefault="00704EDD" w:rsidP="001A16A4">
      <w:pPr>
        <w:spacing w:line="360" w:lineRule="auto"/>
        <w:jc w:val="both"/>
        <w:rPr>
          <w:bCs/>
        </w:rPr>
      </w:pPr>
      <w:r w:rsidRPr="001A16A4">
        <w:rPr>
          <w:bCs/>
        </w:rPr>
        <w:t xml:space="preserve">Amendments to the </w:t>
      </w:r>
      <w:r w:rsidRPr="001A16A4">
        <w:rPr>
          <w:b/>
        </w:rPr>
        <w:t>Indian Penal Code (IPC) and the First Schedule of the Information Technology Act (IT Act)</w:t>
      </w:r>
      <w:r w:rsidRPr="001A16A4">
        <w:rPr>
          <w:bCs/>
        </w:rPr>
        <w:t xml:space="preserve"> have instituted several offenses involving electronic records. These crimes involve the production, prevention, and fabrication of electronic documents. Notably, cases such as </w:t>
      </w:r>
      <w:r w:rsidRPr="001A16A4">
        <w:rPr>
          <w:b/>
        </w:rPr>
        <w:t>Som Prakash v. State of Delhi</w:t>
      </w:r>
      <w:r>
        <w:rPr>
          <w:rStyle w:val="FootnoteReference"/>
          <w:bCs/>
        </w:rPr>
        <w:footnoteReference w:id="10"/>
      </w:r>
      <w:r w:rsidRPr="001A16A4">
        <w:rPr>
          <w:bCs/>
        </w:rPr>
        <w:t xml:space="preserve"> demonstrate the importance of adopting technological advances to improve forensic efficacy.</w:t>
      </w:r>
    </w:p>
    <w:p w:rsidR="00704EDD" w:rsidRPr="000671E9" w:rsidRDefault="00704EDD" w:rsidP="00704EDD">
      <w:pPr>
        <w:pStyle w:val="ListParagraph"/>
        <w:spacing w:line="360" w:lineRule="auto"/>
        <w:ind w:left="360"/>
        <w:jc w:val="both"/>
        <w:rPr>
          <w:bCs/>
        </w:rPr>
      </w:pPr>
    </w:p>
    <w:p w:rsidR="00704EDD" w:rsidRPr="001A16A4" w:rsidRDefault="00704EDD" w:rsidP="001A16A4">
      <w:pPr>
        <w:spacing w:line="360" w:lineRule="auto"/>
        <w:jc w:val="both"/>
        <w:rPr>
          <w:bCs/>
        </w:rPr>
      </w:pPr>
      <w:r w:rsidRPr="001A16A4">
        <w:rPr>
          <w:bCs/>
        </w:rPr>
        <w:t xml:space="preserve">In </w:t>
      </w:r>
      <w:r w:rsidRPr="001A16A4">
        <w:rPr>
          <w:b/>
        </w:rPr>
        <w:t>SIL Import, USA v. Exim Aides Exporters, Bangalore</w:t>
      </w:r>
      <w:r>
        <w:rPr>
          <w:rStyle w:val="FootnoteReference"/>
          <w:bCs/>
        </w:rPr>
        <w:footnoteReference w:id="11"/>
      </w:r>
      <w:r w:rsidRPr="001A16A4">
        <w:rPr>
          <w:bCs/>
        </w:rPr>
        <w:t>, the Supreme Court emphasized that Parliament was cognizant of technological advancement during discussions on legislative amendments, recognizing the significance of modern devices such as the fax, Internet, and email.</w:t>
      </w:r>
    </w:p>
    <w:p w:rsidR="00704EDD" w:rsidRPr="000671E9" w:rsidRDefault="00704EDD" w:rsidP="00704EDD">
      <w:pPr>
        <w:pStyle w:val="ListParagraph"/>
        <w:spacing w:line="360" w:lineRule="auto"/>
        <w:ind w:left="360"/>
        <w:jc w:val="both"/>
        <w:rPr>
          <w:bCs/>
        </w:rPr>
      </w:pPr>
    </w:p>
    <w:p w:rsidR="00704EDD" w:rsidRPr="001A16A4" w:rsidRDefault="00704EDD" w:rsidP="001A16A4">
      <w:pPr>
        <w:spacing w:line="360" w:lineRule="auto"/>
        <w:jc w:val="both"/>
        <w:rPr>
          <w:bCs/>
        </w:rPr>
      </w:pPr>
      <w:r w:rsidRPr="001A16A4">
        <w:rPr>
          <w:b/>
        </w:rPr>
        <w:t>State v. Mohd. Afzal &amp; Others</w:t>
      </w:r>
      <w:r>
        <w:rPr>
          <w:rStyle w:val="FootnoteReference"/>
          <w:bCs/>
        </w:rPr>
        <w:footnoteReference w:id="12"/>
      </w:r>
      <w:r w:rsidRPr="001A16A4">
        <w:rPr>
          <w:bCs/>
        </w:rPr>
        <w:t xml:space="preserve"> upheld the admissibility of computer-generated electronic documents </w:t>
      </w:r>
      <w:r w:rsidRPr="001A16A4">
        <w:rPr>
          <w:b/>
        </w:rPr>
        <w:t>pursuant to Evidence Act section 65B</w:t>
      </w:r>
      <w:r>
        <w:rPr>
          <w:rStyle w:val="FootnoteReference"/>
          <w:bCs/>
        </w:rPr>
        <w:footnoteReference w:id="13"/>
      </w:r>
      <w:r w:rsidRPr="001A16A4">
        <w:rPr>
          <w:bCs/>
        </w:rPr>
        <w:t xml:space="preserve">. </w:t>
      </w:r>
      <w:r w:rsidRPr="001A16A4">
        <w:rPr>
          <w:b/>
        </w:rPr>
        <w:t xml:space="preserve">In State v. </w:t>
      </w:r>
      <w:proofErr w:type="spellStart"/>
      <w:r w:rsidRPr="001A16A4">
        <w:rPr>
          <w:b/>
        </w:rPr>
        <w:t>Navjiot</w:t>
      </w:r>
      <w:proofErr w:type="spellEnd"/>
      <w:r w:rsidRPr="001A16A4">
        <w:rPr>
          <w:b/>
        </w:rPr>
        <w:t xml:space="preserve"> Sandhu</w:t>
      </w:r>
      <w:r>
        <w:rPr>
          <w:rStyle w:val="FootnoteReference"/>
          <w:bCs/>
        </w:rPr>
        <w:footnoteReference w:id="14"/>
      </w:r>
      <w:r w:rsidRPr="001A16A4">
        <w:rPr>
          <w:bCs/>
        </w:rPr>
        <w:t>, the court deliberated on the admissibility of secondary evidence even in the absence of a certificate under Section 65</w:t>
      </w:r>
      <w:r w:rsidR="001A16A4" w:rsidRPr="001A16A4">
        <w:rPr>
          <w:bCs/>
        </w:rPr>
        <w:t>B (</w:t>
      </w:r>
      <w:r w:rsidRPr="001A16A4">
        <w:rPr>
          <w:bCs/>
        </w:rPr>
        <w:t>4), raising concerns about the integrity of evidence in sensitive cases in particular.</w:t>
      </w:r>
    </w:p>
    <w:p w:rsidR="00704EDD" w:rsidRPr="000671E9" w:rsidRDefault="00704EDD" w:rsidP="00704EDD">
      <w:pPr>
        <w:pStyle w:val="ListParagraph"/>
        <w:spacing w:line="360" w:lineRule="auto"/>
        <w:ind w:left="360"/>
        <w:jc w:val="both"/>
        <w:rPr>
          <w:bCs/>
        </w:rPr>
      </w:pPr>
    </w:p>
    <w:p w:rsidR="00704EDD" w:rsidRPr="001A16A4" w:rsidRDefault="00704EDD" w:rsidP="001A16A4">
      <w:pPr>
        <w:spacing w:line="360" w:lineRule="auto"/>
        <w:jc w:val="both"/>
        <w:rPr>
          <w:bCs/>
        </w:rPr>
      </w:pPr>
      <w:r w:rsidRPr="001A16A4">
        <w:rPr>
          <w:bCs/>
        </w:rPr>
        <w:t xml:space="preserve">Accepting electronic evidence has benefits, but its </w:t>
      </w:r>
      <w:r w:rsidRPr="001A16A4">
        <w:rPr>
          <w:b/>
          <w:i/>
          <w:iCs/>
        </w:rPr>
        <w:t>complexity cannot be ignored</w:t>
      </w:r>
      <w:r w:rsidRPr="001A16A4">
        <w:rPr>
          <w:bCs/>
        </w:rPr>
        <w:t xml:space="preserve">. Courts are responsible for ensuring that such evidence satisfies the requirements of authenticity, dependability, and integrity. In navigating this paradigm, the courts play a pivotal role in </w:t>
      </w:r>
      <w:r w:rsidRPr="001A16A4">
        <w:rPr>
          <w:bCs/>
        </w:rPr>
        <w:lastRenderedPageBreak/>
        <w:t>determining whether electronic evidence satisfies these essential legal criteria, while continuing to address technological challenges.</w:t>
      </w:r>
    </w:p>
    <w:p w:rsidR="00704EDD" w:rsidRPr="001A16A4" w:rsidRDefault="00704EDD" w:rsidP="001A16A4">
      <w:pPr>
        <w:spacing w:line="360" w:lineRule="auto"/>
        <w:jc w:val="both"/>
        <w:rPr>
          <w:bCs/>
        </w:rPr>
      </w:pPr>
      <w:r w:rsidRPr="001A16A4">
        <w:rPr>
          <w:bCs/>
        </w:rPr>
        <w:t xml:space="preserve">The </w:t>
      </w:r>
      <w:r w:rsidRPr="001A16A4">
        <w:rPr>
          <w:b/>
          <w:i/>
          <w:iCs/>
        </w:rPr>
        <w:t>efficacy of the current cybercrime provisions in the Indian Penal Code</w:t>
      </w:r>
      <w:r w:rsidRPr="001A16A4">
        <w:rPr>
          <w:bCs/>
        </w:rPr>
        <w:t xml:space="preserve"> (IPC)</w:t>
      </w:r>
      <w:r>
        <w:rPr>
          <w:rStyle w:val="FootnoteReference"/>
          <w:bCs/>
        </w:rPr>
        <w:footnoteReference w:id="15"/>
      </w:r>
      <w:r w:rsidRPr="001A16A4">
        <w:rPr>
          <w:bCs/>
        </w:rPr>
        <w:t xml:space="preserve"> and the incorporation of technological advances to encompass criminal liability in the digital domain are deserving of in-depth study. The IPC has sections such as 292(obscene content)</w:t>
      </w:r>
      <w:r>
        <w:rPr>
          <w:rStyle w:val="FootnoteReference"/>
          <w:bCs/>
        </w:rPr>
        <w:footnoteReference w:id="16"/>
      </w:r>
      <w:r w:rsidRPr="001A16A4">
        <w:rPr>
          <w:bCs/>
        </w:rPr>
        <w:t>, 354</w:t>
      </w:r>
      <w:proofErr w:type="gramStart"/>
      <w:r w:rsidRPr="001A16A4">
        <w:rPr>
          <w:bCs/>
        </w:rPr>
        <w:t>C(</w:t>
      </w:r>
      <w:proofErr w:type="gramEnd"/>
      <w:r w:rsidRPr="001A16A4">
        <w:rPr>
          <w:bCs/>
        </w:rPr>
        <w:t>image sharing)</w:t>
      </w:r>
      <w:r>
        <w:rPr>
          <w:rStyle w:val="FootnoteReference"/>
          <w:bCs/>
        </w:rPr>
        <w:footnoteReference w:id="17"/>
      </w:r>
      <w:r w:rsidRPr="001A16A4">
        <w:rPr>
          <w:bCs/>
        </w:rPr>
        <w:t>, 354D(cyber stalking)</w:t>
      </w:r>
      <w:r>
        <w:rPr>
          <w:rStyle w:val="FootnoteReference"/>
          <w:bCs/>
        </w:rPr>
        <w:footnoteReference w:id="18"/>
      </w:r>
      <w:r w:rsidRPr="001A16A4">
        <w:rPr>
          <w:bCs/>
        </w:rPr>
        <w:t>, 379(theft)</w:t>
      </w:r>
      <w:r>
        <w:rPr>
          <w:rStyle w:val="FootnoteReference"/>
          <w:bCs/>
        </w:rPr>
        <w:footnoteReference w:id="19"/>
      </w:r>
      <w:r w:rsidRPr="001A16A4">
        <w:rPr>
          <w:bCs/>
        </w:rPr>
        <w:t>, 420(cheating)</w:t>
      </w:r>
      <w:r>
        <w:rPr>
          <w:rStyle w:val="FootnoteReference"/>
          <w:bCs/>
        </w:rPr>
        <w:footnoteReference w:id="20"/>
      </w:r>
      <w:r w:rsidRPr="001A16A4">
        <w:rPr>
          <w:bCs/>
        </w:rPr>
        <w:t>, 463(forgery)</w:t>
      </w:r>
      <w:r>
        <w:rPr>
          <w:rStyle w:val="FootnoteReference"/>
          <w:bCs/>
        </w:rPr>
        <w:footnoteReference w:id="21"/>
      </w:r>
      <w:r w:rsidRPr="001A16A4">
        <w:rPr>
          <w:bCs/>
        </w:rPr>
        <w:t>, 465(false documents)</w:t>
      </w:r>
      <w:r>
        <w:rPr>
          <w:rStyle w:val="FootnoteReference"/>
          <w:bCs/>
        </w:rPr>
        <w:footnoteReference w:id="22"/>
      </w:r>
      <w:r w:rsidRPr="001A16A4">
        <w:rPr>
          <w:bCs/>
        </w:rPr>
        <w:t>, and 468(forged documents)</w:t>
      </w:r>
      <w:r>
        <w:rPr>
          <w:rStyle w:val="FootnoteReference"/>
          <w:bCs/>
        </w:rPr>
        <w:footnoteReference w:id="23"/>
      </w:r>
      <w:r w:rsidRPr="001A16A4">
        <w:rPr>
          <w:bCs/>
        </w:rPr>
        <w:t>, among others, that cover various forms of cybercrime in response to technological challenges. For instance, Section 292 now encompasses the digital dissemination of explicit content in addition to profane material. Section 379 of the Indian Penal Code addresses larceny, which includes stolen data, electronic devices, and common cybercrime technologies.</w:t>
      </w:r>
    </w:p>
    <w:p w:rsidR="00704EDD" w:rsidRPr="00B83B5D" w:rsidRDefault="00704EDD" w:rsidP="00704EDD">
      <w:pPr>
        <w:pStyle w:val="ListParagraph"/>
        <w:spacing w:line="360" w:lineRule="auto"/>
        <w:ind w:left="360"/>
        <w:jc w:val="both"/>
        <w:rPr>
          <w:bCs/>
        </w:rPr>
      </w:pPr>
    </w:p>
    <w:p w:rsidR="00704EDD" w:rsidRPr="001A16A4" w:rsidRDefault="00704EDD" w:rsidP="001A16A4">
      <w:pPr>
        <w:spacing w:line="360" w:lineRule="auto"/>
        <w:jc w:val="both"/>
        <w:rPr>
          <w:bCs/>
        </w:rPr>
      </w:pPr>
      <w:r w:rsidRPr="001A16A4">
        <w:rPr>
          <w:bCs/>
        </w:rPr>
        <w:t>In defiance of these provisions</w:t>
      </w:r>
      <w:r w:rsidRPr="001A16A4">
        <w:rPr>
          <w:b/>
          <w:i/>
          <w:iCs/>
        </w:rPr>
        <w:t>, the predicted 12% increase in cybercrime rates in India in 2023 indicates a deficiency in the effectiveness of current legal measures</w:t>
      </w:r>
      <w:r w:rsidRPr="001A16A4">
        <w:rPr>
          <w:bCs/>
        </w:rPr>
        <w:t>. This phenomenon can be attributed to a number of factors, including underreporting due to the intricacies of cybercrimes, jurisdictional uncertainties in the digital landscape, insufficient public understanding of these offenses, and the rising costs of investigations resulting from the evolution of technologies.</w:t>
      </w:r>
    </w:p>
    <w:p w:rsidR="00704EDD" w:rsidRPr="00B83B5D" w:rsidRDefault="00704EDD" w:rsidP="00704EDD">
      <w:pPr>
        <w:pStyle w:val="ListParagraph"/>
        <w:spacing w:line="360" w:lineRule="auto"/>
        <w:ind w:left="360"/>
        <w:jc w:val="both"/>
        <w:rPr>
          <w:bCs/>
        </w:rPr>
      </w:pPr>
    </w:p>
    <w:p w:rsidR="00704EDD" w:rsidRPr="001A16A4" w:rsidRDefault="00704EDD" w:rsidP="001A16A4">
      <w:pPr>
        <w:spacing w:line="360" w:lineRule="auto"/>
        <w:jc w:val="both"/>
        <w:rPr>
          <w:bCs/>
        </w:rPr>
      </w:pPr>
      <w:r w:rsidRPr="001A16A4">
        <w:rPr>
          <w:bCs/>
        </w:rPr>
        <w:t xml:space="preserve">In addition, the complex interaction between the IPC and the Information Technology Act (IT Act) creates disparities in the </w:t>
      </w:r>
      <w:proofErr w:type="spellStart"/>
      <w:r w:rsidRPr="001A16A4">
        <w:rPr>
          <w:b/>
          <w:i/>
          <w:iCs/>
        </w:rPr>
        <w:t>bailability</w:t>
      </w:r>
      <w:proofErr w:type="spellEnd"/>
      <w:r w:rsidRPr="001A16A4">
        <w:rPr>
          <w:b/>
          <w:i/>
          <w:iCs/>
        </w:rPr>
        <w:t xml:space="preserve"> and </w:t>
      </w:r>
      <w:proofErr w:type="spellStart"/>
      <w:r w:rsidRPr="001A16A4">
        <w:rPr>
          <w:b/>
          <w:i/>
          <w:iCs/>
        </w:rPr>
        <w:t>compoundability</w:t>
      </w:r>
      <w:proofErr w:type="spellEnd"/>
      <w:r w:rsidRPr="001A16A4">
        <w:rPr>
          <w:bCs/>
        </w:rPr>
        <w:t xml:space="preserve"> of similar offenses. In the case of offenses involving hacking or data theft, for instance, Section 43 of the IT Act</w:t>
      </w:r>
      <w:r>
        <w:rPr>
          <w:rStyle w:val="FootnoteReference"/>
          <w:bCs/>
        </w:rPr>
        <w:footnoteReference w:id="24"/>
      </w:r>
      <w:r w:rsidRPr="001A16A4">
        <w:rPr>
          <w:bCs/>
        </w:rPr>
        <w:t xml:space="preserve"> and Section 378 of the IPC</w:t>
      </w:r>
      <w:r>
        <w:rPr>
          <w:rStyle w:val="FootnoteReference"/>
          <w:bCs/>
        </w:rPr>
        <w:footnoteReference w:id="25"/>
      </w:r>
      <w:r w:rsidRPr="001A16A4">
        <w:rPr>
          <w:bCs/>
        </w:rPr>
        <w:t xml:space="preserve"> may have divergent </w:t>
      </w:r>
      <w:r w:rsidR="001A16A4" w:rsidRPr="001A16A4">
        <w:rPr>
          <w:bCs/>
        </w:rPr>
        <w:t>bail ability</w:t>
      </w:r>
      <w:r w:rsidRPr="001A16A4">
        <w:rPr>
          <w:bCs/>
        </w:rPr>
        <w:t xml:space="preserve"> provisions.</w:t>
      </w:r>
    </w:p>
    <w:p w:rsidR="00704EDD" w:rsidRPr="00B83B5D" w:rsidRDefault="00704EDD" w:rsidP="00704EDD">
      <w:pPr>
        <w:pStyle w:val="ListParagraph"/>
        <w:spacing w:line="360" w:lineRule="auto"/>
        <w:ind w:left="360"/>
        <w:jc w:val="both"/>
        <w:rPr>
          <w:bCs/>
        </w:rPr>
      </w:pPr>
    </w:p>
    <w:p w:rsidR="00704EDD" w:rsidRPr="001A16A4" w:rsidRDefault="00704EDD" w:rsidP="001A16A4">
      <w:pPr>
        <w:spacing w:line="360" w:lineRule="auto"/>
        <w:jc w:val="both"/>
        <w:rPr>
          <w:bCs/>
        </w:rPr>
      </w:pPr>
      <w:r w:rsidRPr="001A16A4">
        <w:rPr>
          <w:bCs/>
        </w:rPr>
        <w:lastRenderedPageBreak/>
        <w:t xml:space="preserve">The case of </w:t>
      </w:r>
      <w:r w:rsidRPr="001A16A4">
        <w:rPr>
          <w:b/>
        </w:rPr>
        <w:t>Gagan Harsh Sharma v. The State of Maharashtra</w:t>
      </w:r>
      <w:r>
        <w:rPr>
          <w:rStyle w:val="FootnoteReference"/>
          <w:bCs/>
        </w:rPr>
        <w:footnoteReference w:id="26"/>
      </w:r>
      <w:r w:rsidRPr="001A16A4">
        <w:rPr>
          <w:bCs/>
        </w:rPr>
        <w:t xml:space="preserve"> exemplified the disparity between non-bailable and non-compoundable offenses under the Indian Penal Code and bailable and compoundable offenses under the Information Technology Act. This inconsistency </w:t>
      </w:r>
      <w:r w:rsidRPr="001A16A4">
        <w:rPr>
          <w:b/>
          <w:i/>
          <w:iCs/>
        </w:rPr>
        <w:t>emphasizes the need for a unified and harmonized legal framework</w:t>
      </w:r>
      <w:r w:rsidRPr="001A16A4">
        <w:rPr>
          <w:bCs/>
        </w:rPr>
        <w:t xml:space="preserve"> to address cybercrimes uniformly and ensure complete criminal liability.</w:t>
      </w:r>
    </w:p>
    <w:p w:rsidR="00704EDD" w:rsidRDefault="00704EDD" w:rsidP="00704EDD">
      <w:pPr>
        <w:pStyle w:val="ListParagraph"/>
        <w:spacing w:line="360" w:lineRule="auto"/>
        <w:ind w:left="360"/>
        <w:jc w:val="both"/>
        <w:rPr>
          <w:bCs/>
        </w:rPr>
      </w:pPr>
    </w:p>
    <w:p w:rsidR="00704EDD" w:rsidRPr="00704EDD" w:rsidRDefault="00704EDD" w:rsidP="00704EDD">
      <w:pPr>
        <w:jc w:val="center"/>
        <w:rPr>
          <w:rFonts w:eastAsia="Calibri"/>
          <w:b/>
          <w:bCs/>
        </w:rPr>
      </w:pPr>
      <w:r w:rsidRPr="00704EDD">
        <w:rPr>
          <w:rFonts w:eastAsia="Calibri"/>
          <w:b/>
          <w:bCs/>
        </w:rPr>
        <w:t>CONCLUSION AND RECOMMENDATIONS</w:t>
      </w:r>
    </w:p>
    <w:p w:rsidR="0050664E" w:rsidRDefault="0050664E" w:rsidP="0050664E">
      <w:pPr>
        <w:spacing w:line="360" w:lineRule="auto"/>
        <w:jc w:val="both"/>
      </w:pPr>
      <w:r>
        <w:t>In conclusion, the area of law where technology and criminal responsibility interact today is complicated and changing. Our digital frontier is growing, and with it come new legal issues. Technology's quick development has opened up several chances for crime, from cyberattacks to online fraud, and it has also presented the legal system with new problems to solve.</w:t>
      </w:r>
      <w:r>
        <w:t xml:space="preserve"> </w:t>
      </w:r>
      <w:r>
        <w:t>The urgent requirement for legal frameworks to adjust and stay up with technological changes is one important lesson to be drawn from this confluence. Emerging digital hazards and challenges may be difficult for traditional laws and legal concepts to appropriately handle. Therefore, it is imperative that policymakers, academics, and practitioners work together to create comprehensive, flexible legal frameworks that can successfully meet contemporary technology concerns.</w:t>
      </w:r>
      <w:r w:rsidRPr="0050664E">
        <w:t xml:space="preserve"> </w:t>
      </w:r>
      <w:r>
        <w:t>Furthermore, it is essential that individuals, groups, and governments give cybersecurity and digital literacy first priority. To avoid criminal culpability, one must be aware of the potential legal repercussions of their online behaviour. Campaigns for education and awareness can be quite effective in this area, assisting people in making wise decisions as they navigate the digital frontier.</w:t>
      </w:r>
      <w:r>
        <w:t xml:space="preserve"> </w:t>
      </w:r>
      <w:r>
        <w:t>Additionally, in order to solve challenges related to global cybercrime, international cooperation is crucial. Criminal activity frequently crosses international borders, necessitating international cooperation to successfully tackle cyberthreats. Priority should be given to creating international agreements and norms for cybersecurity and criminal responsibility in the digital era.</w:t>
      </w:r>
      <w:r w:rsidRPr="0050664E">
        <w:t xml:space="preserve"> </w:t>
      </w:r>
      <w:r w:rsidRPr="0050664E">
        <w:t xml:space="preserve">In conclusion, a proactive and cooperative approach is necessary to address the junction of technology and criminal culpability in contemporary law. To successfully navigate the difficulties posed by the ever-expanding digital frontier, it is essential to adapt legislative frameworks, promote digital literacy, and create international cooperation. Failure to do so would expose society to legal issues and increasingly sophisticated </w:t>
      </w:r>
      <w:r w:rsidRPr="0050664E">
        <w:t>cyber-attacks</w:t>
      </w:r>
      <w:r w:rsidRPr="0050664E">
        <w:t>.</w:t>
      </w:r>
    </w:p>
    <w:p w:rsidR="0050664E" w:rsidRDefault="0050664E" w:rsidP="0050664E">
      <w:pPr>
        <w:spacing w:line="360" w:lineRule="auto"/>
        <w:jc w:val="both"/>
      </w:pPr>
    </w:p>
    <w:p w:rsidR="00704EDD" w:rsidRPr="00B83B5D" w:rsidRDefault="00704EDD" w:rsidP="00704EDD">
      <w:pPr>
        <w:spacing w:line="360" w:lineRule="auto"/>
        <w:jc w:val="both"/>
      </w:pPr>
    </w:p>
    <w:p w:rsidR="00704EDD" w:rsidRPr="0050664E" w:rsidRDefault="00704EDD" w:rsidP="00704EDD">
      <w:pPr>
        <w:spacing w:line="360" w:lineRule="auto"/>
        <w:jc w:val="both"/>
        <w:rPr>
          <w:bCs/>
        </w:rPr>
      </w:pPr>
      <w:r w:rsidRPr="0050664E">
        <w:rPr>
          <w:bCs/>
        </w:rPr>
        <w:lastRenderedPageBreak/>
        <w:t xml:space="preserve">The proliferation of digital evidence has revolutionary effects on modern criminal investigations. The evolving understanding of electronic evidence by Indian courts is encouraging, but maintaining its </w:t>
      </w:r>
      <w:r w:rsidRPr="0050664E">
        <w:rPr>
          <w:bCs/>
          <w:i/>
          <w:iCs/>
        </w:rPr>
        <w:t>authenticity, reliability, and integrity remains crucial</w:t>
      </w:r>
      <w:r w:rsidRPr="0050664E">
        <w:rPr>
          <w:bCs/>
        </w:rPr>
        <w:t>. The convergence of the Information Technology Act and the Indian Penal Code will result in a unified response to the growing cyber threats.</w:t>
      </w:r>
      <w:r w:rsidR="0050664E">
        <w:rPr>
          <w:bCs/>
        </w:rPr>
        <w:t xml:space="preserve"> </w:t>
      </w:r>
      <w:r w:rsidRPr="0050664E">
        <w:rPr>
          <w:bCs/>
        </w:rPr>
        <w:t xml:space="preserve">As cybercrimes continue to escalate, however, </w:t>
      </w:r>
      <w:r w:rsidRPr="0050664E">
        <w:rPr>
          <w:bCs/>
          <w:i/>
          <w:iCs/>
        </w:rPr>
        <w:t>the effectiveness of existing cybercrime provisions in the Indian Penal Code confronts obstacles</w:t>
      </w:r>
      <w:r w:rsidRPr="0050664E">
        <w:rPr>
          <w:bCs/>
        </w:rPr>
        <w:t>. A comprehensive strategy requires enhanced reporting mechanisms, increased public awareness, and innovative investigative techniques. Bridging the divide between legal provisions and the rapid evolution of technology is necessary for comprehensive criminal liability in the digital age.</w:t>
      </w:r>
      <w:r w:rsidR="001A16A4" w:rsidRPr="0050664E">
        <w:rPr>
          <w:bCs/>
        </w:rPr>
        <w:t xml:space="preserve"> </w:t>
      </w:r>
      <w:r w:rsidRPr="0050664E">
        <w:rPr>
          <w:bCs/>
        </w:rPr>
        <w:t xml:space="preserve">Understanding the protocols and obstacles of law enforcement in handling electronic evidence is crucial. Officers frequently struggle with digital search complexities, resulting in crucial omissions and acquittals that undermine justice. Standardization can be expedited by anticipatory identification and early communication of sector-specific concerns. Diverse digital crime sites necessitate the application of innovative forensic principles. </w:t>
      </w:r>
      <w:r w:rsidRPr="0050664E">
        <w:rPr>
          <w:bCs/>
          <w:i/>
          <w:iCs/>
        </w:rPr>
        <w:t>Standard Operating Procedures (SOPs) are essential for preserving the integrity and consistency of evidence,</w:t>
      </w:r>
      <w:r w:rsidRPr="0050664E">
        <w:rPr>
          <w:bCs/>
        </w:rPr>
        <w:t xml:space="preserve"> preventing inadmissibility, and ensuring examiner consensus.</w:t>
      </w:r>
    </w:p>
    <w:p w:rsidR="00704EDD" w:rsidRPr="0050664E" w:rsidRDefault="00704EDD" w:rsidP="00704EDD">
      <w:pPr>
        <w:spacing w:line="360" w:lineRule="auto"/>
        <w:jc w:val="both"/>
        <w:rPr>
          <w:bCs/>
        </w:rPr>
      </w:pPr>
      <w:r w:rsidRPr="0050664E">
        <w:rPr>
          <w:bCs/>
        </w:rPr>
        <w:t xml:space="preserve">In the future, </w:t>
      </w:r>
      <w:r w:rsidRPr="0050664E">
        <w:rPr>
          <w:bCs/>
          <w:i/>
          <w:iCs/>
        </w:rPr>
        <w:t>synergy between legal experts, tech professionals, and law enforcement agencies</w:t>
      </w:r>
      <w:r w:rsidRPr="0050664E">
        <w:rPr>
          <w:bCs/>
        </w:rPr>
        <w:t xml:space="preserve"> is essential. This alliance should hone legal provisions, bolster investigative capacities, and strike a balance between technological progress and legal parameters. In an era where technology and the law are becoming increasingly intertwined, </w:t>
      </w:r>
      <w:r w:rsidRPr="0050664E">
        <w:rPr>
          <w:bCs/>
          <w:i/>
          <w:iCs/>
        </w:rPr>
        <w:t>India can nurture a secure digital sphere</w:t>
      </w:r>
      <w:r w:rsidRPr="0050664E">
        <w:rPr>
          <w:bCs/>
        </w:rPr>
        <w:t>, protect individual rights, and uphold justice by achieving this balance</w:t>
      </w:r>
    </w:p>
    <w:p w:rsidR="00704EDD" w:rsidRDefault="00704EDD" w:rsidP="00704EDD">
      <w:pPr>
        <w:spacing w:line="276" w:lineRule="auto"/>
        <w:rPr>
          <w:bCs/>
        </w:rPr>
      </w:pPr>
    </w:p>
    <w:p w:rsidR="00704EDD" w:rsidRDefault="00704EDD" w:rsidP="00704EDD">
      <w:pPr>
        <w:spacing w:line="276" w:lineRule="auto"/>
        <w:rPr>
          <w:bCs/>
        </w:rPr>
      </w:pPr>
    </w:p>
    <w:p w:rsidR="00704EDD" w:rsidRDefault="001A16A4" w:rsidP="00704EDD">
      <w:pPr>
        <w:spacing w:line="276" w:lineRule="auto"/>
        <w:rPr>
          <w:b/>
        </w:rPr>
      </w:pPr>
      <w:r>
        <w:rPr>
          <w:b/>
        </w:rPr>
        <w:t>REFERENCES</w:t>
      </w:r>
    </w:p>
    <w:p w:rsidR="001A16A4" w:rsidRPr="00704EDD" w:rsidRDefault="001A16A4" w:rsidP="00704EDD">
      <w:pPr>
        <w:spacing w:line="276" w:lineRule="auto"/>
        <w:rPr>
          <w:b/>
        </w:rPr>
      </w:pPr>
    </w:p>
    <w:p w:rsidR="00704EDD" w:rsidRPr="001A16A4" w:rsidRDefault="00704EDD" w:rsidP="001A16A4">
      <w:pPr>
        <w:spacing w:line="276" w:lineRule="auto"/>
        <w:jc w:val="both"/>
        <w:rPr>
          <w:bCs/>
        </w:rPr>
      </w:pPr>
    </w:p>
    <w:p w:rsidR="00704EDD" w:rsidRPr="001A16A4" w:rsidRDefault="00704EDD" w:rsidP="001A16A4">
      <w:pPr>
        <w:pStyle w:val="ListParagraph"/>
        <w:numPr>
          <w:ilvl w:val="0"/>
          <w:numId w:val="2"/>
        </w:numPr>
        <w:spacing w:line="360" w:lineRule="auto"/>
        <w:jc w:val="both"/>
        <w:rPr>
          <w:bCs/>
          <w:lang w:val="en-GB"/>
        </w:rPr>
      </w:pPr>
      <w:r w:rsidRPr="001A16A4">
        <w:rPr>
          <w:bCs/>
          <w:lang w:val="en-GB"/>
        </w:rPr>
        <w:t xml:space="preserve">Andre A. </w:t>
      </w:r>
      <w:proofErr w:type="spellStart"/>
      <w:r w:rsidRPr="001A16A4">
        <w:rPr>
          <w:bCs/>
          <w:lang w:val="en-GB"/>
        </w:rPr>
        <w:t>Moenssens</w:t>
      </w:r>
      <w:proofErr w:type="spellEnd"/>
      <w:r w:rsidRPr="001A16A4">
        <w:rPr>
          <w:bCs/>
          <w:lang w:val="en-GB"/>
        </w:rPr>
        <w:t>, Admissibility of Scientific Evidence--An Alternative to the Frye Rule, 25 WM. &amp; MARY L. REV. 545 (1984)</w:t>
      </w:r>
    </w:p>
    <w:p w:rsidR="00704EDD" w:rsidRPr="001A16A4" w:rsidRDefault="00704EDD" w:rsidP="001A16A4">
      <w:pPr>
        <w:pStyle w:val="ListParagraph"/>
        <w:numPr>
          <w:ilvl w:val="0"/>
          <w:numId w:val="2"/>
        </w:numPr>
        <w:spacing w:line="360" w:lineRule="auto"/>
        <w:jc w:val="both"/>
        <w:rPr>
          <w:bCs/>
          <w:lang w:val="en-GB"/>
        </w:rPr>
      </w:pPr>
      <w:r w:rsidRPr="001A16A4">
        <w:rPr>
          <w:bCs/>
          <w:lang w:val="en-GB"/>
        </w:rPr>
        <w:t xml:space="preserve">Danila </w:t>
      </w:r>
      <w:proofErr w:type="spellStart"/>
      <w:r w:rsidRPr="001A16A4">
        <w:rPr>
          <w:bCs/>
          <w:lang w:val="en-GB"/>
        </w:rPr>
        <w:t>Kirpichnikov</w:t>
      </w:r>
      <w:proofErr w:type="spellEnd"/>
      <w:r w:rsidRPr="001A16A4">
        <w:rPr>
          <w:bCs/>
          <w:lang w:val="en-GB"/>
        </w:rPr>
        <w:t xml:space="preserve">, Albert Pavlyuk, Yulia Grebneva, Hilary </w:t>
      </w:r>
      <w:proofErr w:type="spellStart"/>
      <w:r w:rsidRPr="001A16A4">
        <w:rPr>
          <w:bCs/>
          <w:lang w:val="en-GB"/>
        </w:rPr>
        <w:t>Okagbue</w:t>
      </w:r>
      <w:proofErr w:type="spellEnd"/>
      <w:r w:rsidRPr="001A16A4">
        <w:rPr>
          <w:bCs/>
          <w:lang w:val="en-GB"/>
        </w:rPr>
        <w:t>. Criminal Liability of the Artificial Intelligence. E3S Web Conf. Volume 159, (2020).</w:t>
      </w:r>
    </w:p>
    <w:p w:rsidR="00704EDD" w:rsidRPr="001A16A4" w:rsidRDefault="00704EDD" w:rsidP="001A16A4">
      <w:pPr>
        <w:pStyle w:val="ListParagraph"/>
        <w:numPr>
          <w:ilvl w:val="0"/>
          <w:numId w:val="2"/>
        </w:numPr>
        <w:spacing w:line="360" w:lineRule="auto"/>
        <w:jc w:val="both"/>
        <w:rPr>
          <w:bCs/>
          <w:lang w:val="en-GB"/>
        </w:rPr>
      </w:pPr>
      <w:r w:rsidRPr="001A16A4">
        <w:rPr>
          <w:bCs/>
          <w:lang w:val="en-GB"/>
        </w:rPr>
        <w:t xml:space="preserve">Katyal, N. K. (2001). Criminal Law in Cyberspace. </w:t>
      </w:r>
      <w:r w:rsidRPr="001A16A4">
        <w:rPr>
          <w:bCs/>
          <w:i/>
          <w:iCs/>
          <w:lang w:val="en-GB"/>
        </w:rPr>
        <w:t>University of Pennsylvania Law Review</w:t>
      </w:r>
      <w:r w:rsidRPr="001A16A4">
        <w:rPr>
          <w:bCs/>
          <w:lang w:val="en-GB"/>
        </w:rPr>
        <w:t xml:space="preserve">, </w:t>
      </w:r>
      <w:r w:rsidRPr="001A16A4">
        <w:rPr>
          <w:bCs/>
          <w:i/>
          <w:iCs/>
          <w:lang w:val="en-GB"/>
        </w:rPr>
        <w:t>149</w:t>
      </w:r>
      <w:r w:rsidRPr="001A16A4">
        <w:rPr>
          <w:bCs/>
          <w:lang w:val="en-GB"/>
        </w:rPr>
        <w:t>(4), 1003–1114. https://doi.org/10.2307/3312990</w:t>
      </w:r>
    </w:p>
    <w:p w:rsidR="00704EDD" w:rsidRPr="001A16A4" w:rsidRDefault="00704EDD" w:rsidP="001A16A4">
      <w:pPr>
        <w:pStyle w:val="ListParagraph"/>
        <w:numPr>
          <w:ilvl w:val="0"/>
          <w:numId w:val="2"/>
        </w:numPr>
        <w:spacing w:line="360" w:lineRule="auto"/>
        <w:jc w:val="both"/>
        <w:rPr>
          <w:bCs/>
          <w:lang w:val="en-GB"/>
        </w:rPr>
      </w:pPr>
      <w:r w:rsidRPr="001A16A4">
        <w:rPr>
          <w:bCs/>
          <w:lang w:val="en-GB"/>
        </w:rPr>
        <w:t xml:space="preserve">Howard T. Markey, Jurisprudence or </w:t>
      </w:r>
      <w:r w:rsidR="001A16A4" w:rsidRPr="001A16A4">
        <w:rPr>
          <w:bCs/>
          <w:lang w:val="en-GB"/>
        </w:rPr>
        <w:t>Ur-science</w:t>
      </w:r>
      <w:r w:rsidRPr="001A16A4">
        <w:rPr>
          <w:bCs/>
          <w:lang w:val="en-GB"/>
        </w:rPr>
        <w:t xml:space="preserve">, 25 WM. &amp; MARY L. REV. 525 (1984). </w:t>
      </w:r>
    </w:p>
    <w:p w:rsidR="00704EDD" w:rsidRPr="001A16A4" w:rsidRDefault="00704EDD" w:rsidP="001A16A4">
      <w:pPr>
        <w:pStyle w:val="ListParagraph"/>
        <w:numPr>
          <w:ilvl w:val="0"/>
          <w:numId w:val="2"/>
        </w:numPr>
        <w:spacing w:line="360" w:lineRule="auto"/>
        <w:jc w:val="both"/>
        <w:rPr>
          <w:bCs/>
          <w:lang w:val="en-GB"/>
        </w:rPr>
      </w:pPr>
      <w:r w:rsidRPr="001A16A4">
        <w:rPr>
          <w:bCs/>
          <w:lang w:val="en-GB"/>
        </w:rPr>
        <w:lastRenderedPageBreak/>
        <w:t xml:space="preserve">Goodison, Sean E., et al. </w:t>
      </w:r>
      <w:r w:rsidRPr="001A16A4">
        <w:rPr>
          <w:bCs/>
          <w:i/>
          <w:iCs/>
          <w:lang w:val="en-GB"/>
        </w:rPr>
        <w:t>Digital Evidence and the U.S. Criminal Justice System: Identifying Technology and Other Needs to More Effectively Acquire and Utilize Digital Evidence</w:t>
      </w:r>
      <w:r w:rsidRPr="001A16A4">
        <w:rPr>
          <w:bCs/>
          <w:lang w:val="en-GB"/>
        </w:rPr>
        <w:t xml:space="preserve">. RAND Corporation, 2015. </w:t>
      </w:r>
      <w:r w:rsidRPr="001A16A4">
        <w:rPr>
          <w:bCs/>
          <w:i/>
          <w:iCs/>
          <w:lang w:val="en-GB"/>
        </w:rPr>
        <w:t>JSTOR</w:t>
      </w:r>
      <w:r w:rsidRPr="001A16A4">
        <w:rPr>
          <w:bCs/>
          <w:lang w:val="en-GB"/>
        </w:rPr>
        <w:t xml:space="preserve">, http://www.jstor.org/stable/10.7249/j.ctt15sk8v3. </w:t>
      </w:r>
    </w:p>
    <w:p w:rsidR="00704EDD" w:rsidRPr="001A16A4" w:rsidRDefault="00704EDD" w:rsidP="001A16A4">
      <w:pPr>
        <w:pStyle w:val="ListParagraph"/>
        <w:numPr>
          <w:ilvl w:val="0"/>
          <w:numId w:val="2"/>
        </w:numPr>
        <w:spacing w:line="360" w:lineRule="auto"/>
        <w:jc w:val="both"/>
        <w:rPr>
          <w:bCs/>
          <w:lang w:val="en-GB"/>
        </w:rPr>
      </w:pPr>
      <w:r w:rsidRPr="001A16A4">
        <w:rPr>
          <w:bCs/>
          <w:lang w:val="en-GB"/>
        </w:rPr>
        <w:t xml:space="preserve">K.P.S. </w:t>
      </w:r>
      <w:proofErr w:type="spellStart"/>
      <w:r w:rsidRPr="001A16A4">
        <w:rPr>
          <w:bCs/>
          <w:lang w:val="en-GB"/>
        </w:rPr>
        <w:t>Mahalwar</w:t>
      </w:r>
      <w:proofErr w:type="spellEnd"/>
      <w:r w:rsidRPr="001A16A4">
        <w:rPr>
          <w:bCs/>
          <w:lang w:val="en-GB"/>
        </w:rPr>
        <w:t>, Praveen Kumar and Varun Kumar. “Cyber Crimes and the Law: Evaluation of the Information Technology Act, 2000”</w:t>
      </w:r>
    </w:p>
    <w:p w:rsidR="00704EDD" w:rsidRPr="001A16A4" w:rsidRDefault="00704EDD" w:rsidP="001A16A4">
      <w:pPr>
        <w:pStyle w:val="ListParagraph"/>
        <w:numPr>
          <w:ilvl w:val="0"/>
          <w:numId w:val="2"/>
        </w:numPr>
        <w:spacing w:line="360" w:lineRule="auto"/>
        <w:jc w:val="both"/>
        <w:rPr>
          <w:bCs/>
          <w:lang w:val="en-GB"/>
        </w:rPr>
      </w:pPr>
      <w:r w:rsidRPr="001A16A4">
        <w:rPr>
          <w:bCs/>
          <w:lang w:val="en-GB"/>
        </w:rPr>
        <w:t xml:space="preserve">E. N. </w:t>
      </w:r>
      <w:proofErr w:type="spellStart"/>
      <w:r w:rsidRPr="001A16A4">
        <w:rPr>
          <w:bCs/>
          <w:lang w:val="en-GB"/>
        </w:rPr>
        <w:t>Barkhatova</w:t>
      </w:r>
      <w:proofErr w:type="spellEnd"/>
      <w:r w:rsidRPr="001A16A4">
        <w:rPr>
          <w:bCs/>
          <w:lang w:val="en-GB"/>
        </w:rPr>
        <w:t>. Doctrinal issues of criminal responsibility in Russian criminal law. Actual problems of Russian law, 8, 128-135. (2019)</w:t>
      </w:r>
    </w:p>
    <w:p w:rsidR="00704EDD" w:rsidRPr="00C16487" w:rsidRDefault="00704EDD" w:rsidP="00704EDD">
      <w:pPr>
        <w:spacing w:line="276" w:lineRule="auto"/>
        <w:rPr>
          <w:b/>
          <w:bCs/>
          <w:smallCaps/>
          <w:sz w:val="28"/>
          <w:szCs w:val="28"/>
        </w:rPr>
      </w:pPr>
    </w:p>
    <w:sectPr w:rsidR="00704EDD" w:rsidRPr="00C164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4269B" w:rsidRDefault="0004269B" w:rsidP="00704EDD">
      <w:r>
        <w:separator/>
      </w:r>
    </w:p>
  </w:endnote>
  <w:endnote w:type="continuationSeparator" w:id="0">
    <w:p w:rsidR="0004269B" w:rsidRDefault="0004269B" w:rsidP="00704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4269B" w:rsidRDefault="0004269B" w:rsidP="00704EDD">
      <w:r>
        <w:separator/>
      </w:r>
    </w:p>
  </w:footnote>
  <w:footnote w:type="continuationSeparator" w:id="0">
    <w:p w:rsidR="0004269B" w:rsidRDefault="0004269B" w:rsidP="00704EDD">
      <w:r>
        <w:continuationSeparator/>
      </w:r>
    </w:p>
  </w:footnote>
  <w:footnote w:id="1">
    <w:p w:rsidR="001A16A4" w:rsidRPr="001A16A4" w:rsidRDefault="001A16A4">
      <w:pPr>
        <w:pStyle w:val="FootnoteText"/>
        <w:rPr>
          <w:lang w:val="en-US"/>
        </w:rPr>
      </w:pPr>
      <w:r>
        <w:rPr>
          <w:rStyle w:val="FootnoteReference"/>
        </w:rPr>
        <w:footnoteRef/>
      </w:r>
      <w:r>
        <w:t xml:space="preserve"> </w:t>
      </w:r>
      <w:r>
        <w:rPr>
          <w:color w:val="000000"/>
          <w:shd w:val="clear" w:color="auto" w:fill="FFFFFF"/>
        </w:rPr>
        <w:t>Doctoral Research Scholar</w:t>
      </w:r>
      <w:r>
        <w:rPr>
          <w:b/>
          <w:bCs/>
          <w:color w:val="000000"/>
          <w:shd w:val="clear" w:color="auto" w:fill="FFFFFF"/>
        </w:rPr>
        <w:t>,</w:t>
      </w:r>
      <w:r>
        <w:rPr>
          <w:color w:val="222222"/>
          <w:spacing w:val="-3"/>
          <w:shd w:val="clear" w:color="auto" w:fill="FFFFFF"/>
        </w:rPr>
        <w:t> </w:t>
      </w:r>
      <w:r>
        <w:rPr>
          <w:color w:val="222222"/>
          <w:shd w:val="clear" w:color="auto" w:fill="FFFFFF"/>
        </w:rPr>
        <w:t>Department of law</w:t>
      </w:r>
      <w:r>
        <w:rPr>
          <w:color w:val="222222"/>
          <w:shd w:val="clear" w:color="auto" w:fill="FFFFFF"/>
        </w:rPr>
        <w:t xml:space="preserve"> and</w:t>
      </w:r>
      <w:r>
        <w:rPr>
          <w:color w:val="222222"/>
          <w:shd w:val="clear" w:color="auto" w:fill="FFFFFF"/>
        </w:rPr>
        <w:t xml:space="preserve"> Governance,</w:t>
      </w:r>
      <w:r>
        <w:rPr>
          <w:color w:val="222222"/>
          <w:spacing w:val="1"/>
          <w:shd w:val="clear" w:color="auto" w:fill="FFFFFF"/>
        </w:rPr>
        <w:t> Central University of South Bihar</w:t>
      </w:r>
      <w:r>
        <w:rPr>
          <w:color w:val="222222"/>
          <w:shd w:val="clear" w:color="auto" w:fill="FFFFFF"/>
        </w:rPr>
        <w:t>,</w:t>
      </w:r>
      <w:r>
        <w:rPr>
          <w:color w:val="222222"/>
          <w:spacing w:val="-3"/>
          <w:shd w:val="clear" w:color="auto" w:fill="FFFFFF"/>
        </w:rPr>
        <w:t> India</w:t>
      </w:r>
      <w:r>
        <w:rPr>
          <w:color w:val="222222"/>
          <w:shd w:val="clear" w:color="auto" w:fill="FFFFFF"/>
        </w:rPr>
        <w:t>, NAAC Accredited A++ Grade University,</w:t>
      </w:r>
      <w:r>
        <w:rPr>
          <w:color w:val="222222"/>
          <w:spacing w:val="1"/>
          <w:shd w:val="clear" w:color="auto" w:fill="FFFFFF"/>
        </w:rPr>
        <w:t> </w:t>
      </w:r>
      <w:r>
        <w:rPr>
          <w:color w:val="222222"/>
          <w:shd w:val="clear" w:color="auto" w:fill="FFFFFF"/>
        </w:rPr>
        <w:t>Email</w:t>
      </w:r>
      <w:r>
        <w:rPr>
          <w:color w:val="222222"/>
          <w:spacing w:val="-2"/>
          <w:shd w:val="clear" w:color="auto" w:fill="FFFFFF"/>
        </w:rPr>
        <w:t> </w:t>
      </w:r>
      <w:r>
        <w:rPr>
          <w:color w:val="222222"/>
          <w:shd w:val="clear" w:color="auto" w:fill="FFFFFF"/>
        </w:rPr>
        <w:t>ID</w:t>
      </w:r>
      <w:r>
        <w:rPr>
          <w:color w:val="222222"/>
          <w:spacing w:val="2"/>
          <w:shd w:val="clear" w:color="auto" w:fill="FFFFFF"/>
        </w:rPr>
        <w:t> </w:t>
      </w:r>
      <w:r>
        <w:rPr>
          <w:color w:val="222222"/>
          <w:shd w:val="clear" w:color="auto" w:fill="FFFFFF"/>
        </w:rPr>
        <w:t>–</w:t>
      </w:r>
      <w:r>
        <w:rPr>
          <w:color w:val="222222"/>
          <w:spacing w:val="1"/>
          <w:shd w:val="clear" w:color="auto" w:fill="FFFFFF"/>
        </w:rPr>
        <w:t> </w:t>
      </w:r>
      <w:hyperlink r:id="rId1" w:tgtFrame="_blank" w:history="1">
        <w:r>
          <w:rPr>
            <w:rStyle w:val="Hyperlink"/>
            <w:color w:val="0563C1"/>
            <w:shd w:val="clear" w:color="auto" w:fill="FFFFFF"/>
          </w:rPr>
          <w:t>murarieflu@gmail.com,</w:t>
        </w:r>
        <w:r>
          <w:rPr>
            <w:rStyle w:val="Hyperlink"/>
            <w:color w:val="0563C1"/>
            <w:spacing w:val="2"/>
            <w:shd w:val="clear" w:color="auto" w:fill="FFFFFF"/>
          </w:rPr>
          <w:t> </w:t>
        </w:r>
      </w:hyperlink>
      <w:r>
        <w:rPr>
          <w:color w:val="222222"/>
          <w:shd w:val="clear" w:color="auto" w:fill="FFFFFF"/>
        </w:rPr>
        <w:t>Contact No +917004700381</w:t>
      </w:r>
    </w:p>
  </w:footnote>
  <w:footnote w:id="2">
    <w:p w:rsidR="00704EDD" w:rsidRPr="00B83B5D" w:rsidRDefault="00704EDD" w:rsidP="00704EDD">
      <w:pPr>
        <w:pStyle w:val="FootnoteText"/>
        <w:rPr>
          <w:lang w:val="en-US"/>
        </w:rPr>
      </w:pPr>
      <w:r>
        <w:rPr>
          <w:rStyle w:val="FootnoteReference"/>
        </w:rPr>
        <w:footnoteRef/>
      </w:r>
      <w:r>
        <w:t xml:space="preserve"> </w:t>
      </w:r>
      <w:r w:rsidRPr="00B83B5D">
        <w:t>The Information Technology Act</w:t>
      </w:r>
      <w:r>
        <w:t>,</w:t>
      </w:r>
      <w:r w:rsidRPr="00B83B5D">
        <w:t xml:space="preserve"> 2000</w:t>
      </w:r>
      <w:r>
        <w:t xml:space="preserve">, No. 21, Acts of Parliament, 2000 (India). </w:t>
      </w:r>
    </w:p>
  </w:footnote>
  <w:footnote w:id="3">
    <w:p w:rsidR="00704EDD" w:rsidRPr="00B83B5D" w:rsidRDefault="00704EDD" w:rsidP="00704EDD">
      <w:pPr>
        <w:pStyle w:val="FootnoteText"/>
        <w:rPr>
          <w:lang w:val="en-US"/>
        </w:rPr>
      </w:pPr>
      <w:r>
        <w:rPr>
          <w:rStyle w:val="FootnoteReference"/>
        </w:rPr>
        <w:footnoteRef/>
      </w:r>
      <w:r>
        <w:t xml:space="preserve"> The Indian Evidence Act, 1872, No. 1, Acts of Parliament, 1872 (India).</w:t>
      </w:r>
    </w:p>
  </w:footnote>
  <w:footnote w:id="4">
    <w:p w:rsidR="00704EDD" w:rsidRPr="00B83B5D" w:rsidRDefault="00704EDD" w:rsidP="00704EDD">
      <w:pPr>
        <w:pStyle w:val="FootnoteText"/>
      </w:pPr>
      <w:r>
        <w:rPr>
          <w:rStyle w:val="FootnoteReference"/>
        </w:rPr>
        <w:footnoteRef/>
      </w:r>
      <w:r>
        <w:t xml:space="preserve"> The Indian Penal Code, 1860, No. 45, Acts of Parliament, 1860 (India). </w:t>
      </w:r>
    </w:p>
  </w:footnote>
  <w:footnote w:id="5">
    <w:p w:rsidR="00704EDD" w:rsidRPr="00B83B5D" w:rsidRDefault="00704EDD" w:rsidP="00704EDD">
      <w:pPr>
        <w:pStyle w:val="FootnoteText"/>
        <w:rPr>
          <w:lang w:val="en-US"/>
        </w:rPr>
      </w:pPr>
      <w:r>
        <w:rPr>
          <w:rStyle w:val="FootnoteReference"/>
        </w:rPr>
        <w:footnoteRef/>
      </w:r>
      <w:r>
        <w:t xml:space="preserve"> </w:t>
      </w:r>
      <w:r w:rsidRPr="00B83B5D">
        <w:t>The Bankers' Books Evidence Act,</w:t>
      </w:r>
      <w:r>
        <w:t xml:space="preserve"> 1891, No. 18, Acts of Parliament, 1891 (India).</w:t>
      </w:r>
    </w:p>
  </w:footnote>
  <w:footnote w:id="6">
    <w:p w:rsidR="00704EDD" w:rsidRPr="00B83B5D" w:rsidRDefault="00704EDD" w:rsidP="00704EDD">
      <w:pPr>
        <w:pStyle w:val="FootnoteText"/>
        <w:rPr>
          <w:lang w:val="en-US"/>
        </w:rPr>
      </w:pPr>
      <w:r>
        <w:rPr>
          <w:rStyle w:val="FootnoteReference"/>
        </w:rPr>
        <w:footnoteRef/>
      </w:r>
      <w:r>
        <w:t xml:space="preserve"> Andre A. </w:t>
      </w:r>
      <w:proofErr w:type="spellStart"/>
      <w:r>
        <w:t>Moenssens</w:t>
      </w:r>
      <w:proofErr w:type="spellEnd"/>
      <w:r>
        <w:t>, Admissibility of Scientific Evidence--An Alternative to the Frye Rule, 25 WM. &amp; MARY L. REV. 545 (1984)</w:t>
      </w:r>
    </w:p>
  </w:footnote>
  <w:footnote w:id="7">
    <w:p w:rsidR="00704EDD" w:rsidRPr="00B83B5D" w:rsidRDefault="00704EDD" w:rsidP="00704EDD">
      <w:pPr>
        <w:pStyle w:val="FootnoteText"/>
        <w:rPr>
          <w:lang w:val="en-US"/>
        </w:rPr>
      </w:pPr>
      <w:r>
        <w:rPr>
          <w:rStyle w:val="FootnoteReference"/>
        </w:rPr>
        <w:footnoteRef/>
      </w:r>
      <w:r>
        <w:t xml:space="preserve"> </w:t>
      </w:r>
      <w:r w:rsidRPr="00B83B5D">
        <w:t xml:space="preserve">E. N. </w:t>
      </w:r>
      <w:proofErr w:type="spellStart"/>
      <w:r w:rsidRPr="00B83B5D">
        <w:t>Barkhatova</w:t>
      </w:r>
      <w:proofErr w:type="spellEnd"/>
      <w:r w:rsidRPr="00B83B5D">
        <w:t>. Doctrinal issues of criminal responsibility in Russian criminal law. Actual problems of Russian law, 8, 128-135. (2019)</w:t>
      </w:r>
    </w:p>
  </w:footnote>
  <w:footnote w:id="8">
    <w:p w:rsidR="00704EDD" w:rsidRPr="000671E9" w:rsidRDefault="00704EDD" w:rsidP="00704EDD">
      <w:pPr>
        <w:pStyle w:val="FootnoteText"/>
        <w:rPr>
          <w:lang w:val="en-US"/>
        </w:rPr>
      </w:pPr>
      <w:r>
        <w:rPr>
          <w:rStyle w:val="FootnoteReference"/>
        </w:rPr>
        <w:footnoteRef/>
      </w:r>
      <w:r>
        <w:t xml:space="preserve"> </w:t>
      </w:r>
      <w:r w:rsidRPr="000671E9">
        <w:rPr>
          <w:bCs/>
        </w:rPr>
        <w:t>Anvar P.V. v. P.K. Basheer</w:t>
      </w:r>
      <w:r>
        <w:rPr>
          <w:bCs/>
        </w:rPr>
        <w:t xml:space="preserve">, </w:t>
      </w:r>
      <w:r w:rsidRPr="000671E9">
        <w:rPr>
          <w:bCs/>
        </w:rPr>
        <w:t>(2014 10 SCC 473)</w:t>
      </w:r>
    </w:p>
  </w:footnote>
  <w:footnote w:id="9">
    <w:p w:rsidR="00704EDD" w:rsidRPr="000671E9" w:rsidRDefault="00704EDD" w:rsidP="00704EDD">
      <w:pPr>
        <w:pStyle w:val="FootnoteText"/>
        <w:rPr>
          <w:lang w:val="en-US"/>
        </w:rPr>
      </w:pPr>
      <w:r>
        <w:rPr>
          <w:rStyle w:val="FootnoteReference"/>
        </w:rPr>
        <w:footnoteRef/>
      </w:r>
      <w:r>
        <w:t xml:space="preserve"> </w:t>
      </w:r>
      <w:r w:rsidRPr="000671E9">
        <w:rPr>
          <w:bCs/>
        </w:rPr>
        <w:t>State of Maharashtra v. Pramod Desai</w:t>
      </w:r>
      <w:r>
        <w:rPr>
          <w:bCs/>
        </w:rPr>
        <w:t xml:space="preserve">, </w:t>
      </w:r>
      <w:r w:rsidRPr="000671E9">
        <w:rPr>
          <w:bCs/>
        </w:rPr>
        <w:t>(2019) 9 SCC 608</w:t>
      </w:r>
    </w:p>
  </w:footnote>
  <w:footnote w:id="10">
    <w:p w:rsidR="00704EDD" w:rsidRPr="000671E9" w:rsidRDefault="00704EDD" w:rsidP="00704EDD">
      <w:pPr>
        <w:pStyle w:val="FootnoteText"/>
      </w:pPr>
      <w:r>
        <w:rPr>
          <w:rStyle w:val="FootnoteReference"/>
        </w:rPr>
        <w:footnoteRef/>
      </w:r>
      <w:r>
        <w:t xml:space="preserve"> S</w:t>
      </w:r>
      <w:r w:rsidRPr="000671E9">
        <w:t xml:space="preserve">om Prakash vs. State </w:t>
      </w:r>
      <w:proofErr w:type="gramStart"/>
      <w:r w:rsidRPr="000671E9">
        <w:t>Of</w:t>
      </w:r>
      <w:proofErr w:type="gramEnd"/>
      <w:r w:rsidRPr="000671E9">
        <w:t xml:space="preserve"> Delhi AIR 1974 SC 989 </w:t>
      </w:r>
    </w:p>
  </w:footnote>
  <w:footnote w:id="11">
    <w:p w:rsidR="00704EDD" w:rsidRPr="000671E9" w:rsidRDefault="00704EDD" w:rsidP="00704EDD">
      <w:pPr>
        <w:pStyle w:val="NormalWeb"/>
        <w:spacing w:before="0" w:beforeAutospacing="0" w:after="0" w:afterAutospacing="0"/>
      </w:pPr>
      <w:r>
        <w:rPr>
          <w:rStyle w:val="FootnoteReference"/>
        </w:rPr>
        <w:footnoteRef/>
      </w:r>
      <w:r>
        <w:t xml:space="preserve"> </w:t>
      </w:r>
      <w:r w:rsidRPr="000671E9">
        <w:rPr>
          <w:rFonts w:ascii="TimesNewRomanPSMT" w:hAnsi="TimesNewRomanPSMT"/>
          <w:sz w:val="20"/>
          <w:szCs w:val="20"/>
        </w:rPr>
        <w:t>SIL Import, USA v vs. Exim Aides Exporters, Bangalore MANU/ SC/0312/1999.</w:t>
      </w:r>
    </w:p>
  </w:footnote>
  <w:footnote w:id="12">
    <w:p w:rsidR="00704EDD" w:rsidRPr="000671E9" w:rsidRDefault="00704EDD" w:rsidP="00704EDD">
      <w:pPr>
        <w:pStyle w:val="FootnoteText"/>
      </w:pPr>
      <w:r>
        <w:rPr>
          <w:rStyle w:val="FootnoteReference"/>
        </w:rPr>
        <w:footnoteRef/>
      </w:r>
      <w:r>
        <w:t xml:space="preserve"> </w:t>
      </w:r>
      <w:r w:rsidRPr="000671E9">
        <w:t>State vs. Mohd. Afzal And Ors (2003) DLT 385, 2003(</w:t>
      </w:r>
      <w:r w:rsidR="001A16A4" w:rsidRPr="000671E9">
        <w:t>71) DRJ</w:t>
      </w:r>
      <w:r w:rsidRPr="000671E9">
        <w:t xml:space="preserve"> 17. </w:t>
      </w:r>
    </w:p>
  </w:footnote>
  <w:footnote w:id="13">
    <w:p w:rsidR="00704EDD" w:rsidRPr="000671E9" w:rsidRDefault="00704EDD" w:rsidP="00704EDD">
      <w:pPr>
        <w:pStyle w:val="FootnoteText"/>
        <w:rPr>
          <w:lang w:val="en-US"/>
        </w:rPr>
      </w:pPr>
      <w:r>
        <w:rPr>
          <w:rStyle w:val="FootnoteReference"/>
        </w:rPr>
        <w:footnoteRef/>
      </w:r>
      <w:r>
        <w:t xml:space="preserve"> </w:t>
      </w:r>
      <w:r>
        <w:rPr>
          <w:rStyle w:val="FootnoteReference"/>
        </w:rPr>
        <w:footnoteRef/>
      </w:r>
      <w:r>
        <w:t xml:space="preserve"> The Indian Evidence Act, 1872, </w:t>
      </w:r>
      <w:r w:rsidRPr="000671E9">
        <w:rPr>
          <w:rFonts w:ascii="TimesNewRomanPSMT" w:hAnsi="TimesNewRomanPSMT"/>
        </w:rPr>
        <w:t>§</w:t>
      </w:r>
      <w:r>
        <w:rPr>
          <w:rFonts w:ascii="TimesNewRomanPSMT" w:hAnsi="TimesNewRomanPSMT"/>
        </w:rPr>
        <w:t xml:space="preserve">65 B, </w:t>
      </w:r>
      <w:r>
        <w:t>No. 1, Acts of Parliament, 1872 (India).</w:t>
      </w:r>
    </w:p>
  </w:footnote>
  <w:footnote w:id="14">
    <w:p w:rsidR="00704EDD" w:rsidRPr="000671E9" w:rsidRDefault="00704EDD" w:rsidP="00704EDD">
      <w:pPr>
        <w:pStyle w:val="FootnoteText"/>
      </w:pPr>
      <w:r>
        <w:rPr>
          <w:rStyle w:val="FootnoteReference"/>
        </w:rPr>
        <w:footnoteRef/>
      </w:r>
      <w:r>
        <w:t xml:space="preserve"> </w:t>
      </w:r>
      <w:r w:rsidRPr="000671E9">
        <w:t xml:space="preserve">State vs. </w:t>
      </w:r>
      <w:r w:rsidR="001A16A4" w:rsidRPr="000671E9">
        <w:t>Navjot</w:t>
      </w:r>
      <w:r w:rsidRPr="000671E9">
        <w:t xml:space="preserve"> Sandhu AIR 2005 SC 3820.</w:t>
      </w:r>
    </w:p>
  </w:footnote>
  <w:footnote w:id="15">
    <w:p w:rsidR="00704EDD" w:rsidRPr="000671E9" w:rsidRDefault="00704EDD" w:rsidP="00704EDD">
      <w:pPr>
        <w:pStyle w:val="FootnoteText"/>
        <w:rPr>
          <w:lang w:val="en-US"/>
        </w:rPr>
      </w:pPr>
      <w:r>
        <w:rPr>
          <w:rStyle w:val="FootnoteReference"/>
        </w:rPr>
        <w:footnoteRef/>
      </w:r>
      <w:r>
        <w:t xml:space="preserve"> </w:t>
      </w:r>
      <w:r>
        <w:rPr>
          <w:rFonts w:ascii="TimesNewRomanPSMT" w:hAnsi="TimesNewRomanPSMT"/>
        </w:rPr>
        <w:t xml:space="preserve">Supra 3 </w:t>
      </w:r>
    </w:p>
  </w:footnote>
  <w:footnote w:id="16">
    <w:p w:rsidR="00704EDD" w:rsidRPr="000671E9" w:rsidRDefault="00704EDD" w:rsidP="00704EDD">
      <w:pPr>
        <w:pStyle w:val="NormalWeb"/>
        <w:spacing w:after="0" w:afterAutospacing="0"/>
        <w:rPr>
          <w:sz w:val="20"/>
          <w:szCs w:val="20"/>
        </w:rPr>
      </w:pPr>
      <w:r>
        <w:rPr>
          <w:rStyle w:val="FootnoteReference"/>
        </w:rPr>
        <w:footnoteRef/>
      </w:r>
      <w:r>
        <w:t xml:space="preserve"> </w:t>
      </w:r>
      <w:r w:rsidRPr="000671E9">
        <w:rPr>
          <w:sz w:val="20"/>
          <w:szCs w:val="20"/>
        </w:rPr>
        <w:t xml:space="preserve">The Indian Penal Code, </w:t>
      </w:r>
      <w:r w:rsidR="001A16A4" w:rsidRPr="000671E9">
        <w:rPr>
          <w:sz w:val="20"/>
          <w:szCs w:val="20"/>
        </w:rPr>
        <w:t>1860,</w:t>
      </w:r>
      <w:r w:rsidR="001A16A4" w:rsidRPr="000671E9">
        <w:rPr>
          <w:rFonts w:ascii="TimesNewRomanPSMT" w:hAnsi="TimesNewRomanPSMT"/>
          <w:sz w:val="20"/>
          <w:szCs w:val="20"/>
        </w:rPr>
        <w:t xml:space="preserve"> </w:t>
      </w:r>
      <w:r w:rsidR="001A16A4" w:rsidRPr="000671E9">
        <w:rPr>
          <w:rFonts w:ascii="TimesNewRomanPSMT" w:hAnsi="TimesNewRomanPSMT" w:hint="eastAsia"/>
          <w:sz w:val="20"/>
          <w:szCs w:val="20"/>
        </w:rPr>
        <w:t>§</w:t>
      </w:r>
      <w:r>
        <w:rPr>
          <w:rFonts w:ascii="TimesNewRomanPSMT" w:hAnsi="TimesNewRomanPSMT"/>
          <w:sz w:val="20"/>
          <w:szCs w:val="20"/>
        </w:rPr>
        <w:t xml:space="preserve"> </w:t>
      </w:r>
      <w:r w:rsidR="001A16A4">
        <w:rPr>
          <w:rFonts w:ascii="TimesNewRomanPSMT" w:hAnsi="TimesNewRomanPSMT"/>
          <w:sz w:val="20"/>
          <w:szCs w:val="20"/>
        </w:rPr>
        <w:t xml:space="preserve">292, </w:t>
      </w:r>
      <w:r w:rsidR="001A16A4" w:rsidRPr="000671E9">
        <w:rPr>
          <w:rFonts w:ascii="TimesNewRomanPSMT" w:hAnsi="TimesNewRomanPSMT"/>
          <w:sz w:val="20"/>
          <w:szCs w:val="20"/>
        </w:rPr>
        <w:t>No.</w:t>
      </w:r>
      <w:r w:rsidRPr="000671E9">
        <w:rPr>
          <w:sz w:val="20"/>
          <w:szCs w:val="20"/>
        </w:rPr>
        <w:t xml:space="preserve"> 45, Acts of Parliament, 1860 (India). </w:t>
      </w:r>
    </w:p>
  </w:footnote>
  <w:footnote w:id="17">
    <w:p w:rsidR="00704EDD" w:rsidRPr="00B83B5D" w:rsidRDefault="00704EDD" w:rsidP="00704EDD">
      <w:pPr>
        <w:pStyle w:val="FootnoteText"/>
        <w:rPr>
          <w:lang w:val="en-US"/>
        </w:rPr>
      </w:pPr>
      <w:r>
        <w:rPr>
          <w:rStyle w:val="FootnoteReference"/>
        </w:rPr>
        <w:footnoteRef/>
      </w:r>
      <w:r>
        <w:t xml:space="preserve"> The Indian Penal Code, 1860, </w:t>
      </w:r>
      <w:r w:rsidRPr="000671E9">
        <w:rPr>
          <w:rFonts w:ascii="TimesNewRomanPSMT" w:hAnsi="TimesNewRomanPSMT"/>
        </w:rPr>
        <w:t>§</w:t>
      </w:r>
      <w:r>
        <w:rPr>
          <w:rFonts w:ascii="TimesNewRomanPSMT" w:hAnsi="TimesNewRomanPSMT"/>
        </w:rPr>
        <w:t xml:space="preserve"> 354(C),</w:t>
      </w:r>
      <w:r w:rsidRPr="000671E9">
        <w:rPr>
          <w:rFonts w:ascii="TimesNewRomanPSMT" w:hAnsi="TimesNewRomanPSMT"/>
        </w:rPr>
        <w:t xml:space="preserve"> </w:t>
      </w:r>
      <w:r>
        <w:t>No. 45, Acts of Parliament, 1860 (India).</w:t>
      </w:r>
    </w:p>
  </w:footnote>
  <w:footnote w:id="18">
    <w:p w:rsidR="00704EDD" w:rsidRPr="00B83B5D" w:rsidRDefault="00704EDD" w:rsidP="00704EDD">
      <w:pPr>
        <w:pStyle w:val="FootnoteText"/>
        <w:rPr>
          <w:lang w:val="en-US"/>
        </w:rPr>
      </w:pPr>
      <w:r>
        <w:rPr>
          <w:rStyle w:val="FootnoteReference"/>
        </w:rPr>
        <w:footnoteRef/>
      </w:r>
      <w:r>
        <w:t xml:space="preserve"> The Indian Penal Code, 1860, </w:t>
      </w:r>
      <w:r w:rsidRPr="000671E9">
        <w:rPr>
          <w:rFonts w:ascii="TimesNewRomanPSMT" w:hAnsi="TimesNewRomanPSMT"/>
        </w:rPr>
        <w:t>§</w:t>
      </w:r>
      <w:r>
        <w:rPr>
          <w:rFonts w:ascii="TimesNewRomanPSMT" w:hAnsi="TimesNewRomanPSMT"/>
        </w:rPr>
        <w:t xml:space="preserve"> 354(D), </w:t>
      </w:r>
      <w:r>
        <w:t>No. 45, Acts of Parliament, 1860 (India).</w:t>
      </w:r>
    </w:p>
  </w:footnote>
  <w:footnote w:id="19">
    <w:p w:rsidR="00704EDD" w:rsidRPr="00B83B5D" w:rsidRDefault="00704EDD" w:rsidP="00704EDD">
      <w:pPr>
        <w:pStyle w:val="FootnoteText"/>
        <w:rPr>
          <w:lang w:val="en-US"/>
        </w:rPr>
      </w:pPr>
      <w:r>
        <w:rPr>
          <w:rStyle w:val="FootnoteReference"/>
        </w:rPr>
        <w:footnoteRef/>
      </w:r>
      <w:r>
        <w:t xml:space="preserve"> The Indian Penal Code, 1860, </w:t>
      </w:r>
      <w:r w:rsidRPr="000671E9">
        <w:rPr>
          <w:rFonts w:ascii="TimesNewRomanPSMT" w:hAnsi="TimesNewRomanPSMT"/>
        </w:rPr>
        <w:t>§</w:t>
      </w:r>
      <w:r>
        <w:rPr>
          <w:rFonts w:ascii="TimesNewRomanPSMT" w:hAnsi="TimesNewRomanPSMT"/>
        </w:rPr>
        <w:t xml:space="preserve"> </w:t>
      </w:r>
      <w:r w:rsidR="001A16A4">
        <w:rPr>
          <w:rFonts w:ascii="TimesNewRomanPSMT" w:hAnsi="TimesNewRomanPSMT"/>
        </w:rPr>
        <w:t xml:space="preserve">379, </w:t>
      </w:r>
      <w:r w:rsidR="001A16A4">
        <w:t>No.</w:t>
      </w:r>
      <w:r>
        <w:t xml:space="preserve"> 45, Acts of Parliament, 1860 (India).</w:t>
      </w:r>
    </w:p>
  </w:footnote>
  <w:footnote w:id="20">
    <w:p w:rsidR="00704EDD" w:rsidRPr="00B83B5D" w:rsidRDefault="00704EDD" w:rsidP="00704EDD">
      <w:pPr>
        <w:pStyle w:val="FootnoteText"/>
        <w:rPr>
          <w:lang w:val="en-US"/>
        </w:rPr>
      </w:pPr>
      <w:r>
        <w:rPr>
          <w:rStyle w:val="FootnoteReference"/>
        </w:rPr>
        <w:footnoteRef/>
      </w:r>
      <w:r>
        <w:t xml:space="preserve"> The Indian Penal Code, 1860, </w:t>
      </w:r>
      <w:r w:rsidRPr="000671E9">
        <w:rPr>
          <w:rFonts w:ascii="TimesNewRomanPSMT" w:hAnsi="TimesNewRomanPSMT"/>
        </w:rPr>
        <w:t>§</w:t>
      </w:r>
      <w:r>
        <w:rPr>
          <w:rFonts w:ascii="TimesNewRomanPSMT" w:hAnsi="TimesNewRomanPSMT"/>
        </w:rPr>
        <w:t xml:space="preserve"> 420, </w:t>
      </w:r>
      <w:r>
        <w:t>No. 45, Acts of Parliament, 1860 (India).</w:t>
      </w:r>
    </w:p>
  </w:footnote>
  <w:footnote w:id="21">
    <w:p w:rsidR="00704EDD" w:rsidRPr="00B83B5D" w:rsidRDefault="00704EDD" w:rsidP="00704EDD">
      <w:pPr>
        <w:pStyle w:val="FootnoteText"/>
        <w:rPr>
          <w:lang w:val="en-US"/>
        </w:rPr>
      </w:pPr>
      <w:r>
        <w:rPr>
          <w:rStyle w:val="FootnoteReference"/>
        </w:rPr>
        <w:footnoteRef/>
      </w:r>
      <w:r>
        <w:t xml:space="preserve"> The Indian Penal Code, 1860, </w:t>
      </w:r>
      <w:r w:rsidRPr="000671E9">
        <w:rPr>
          <w:rFonts w:ascii="TimesNewRomanPSMT" w:hAnsi="TimesNewRomanPSMT"/>
        </w:rPr>
        <w:t>§</w:t>
      </w:r>
      <w:r>
        <w:rPr>
          <w:rFonts w:ascii="TimesNewRomanPSMT" w:hAnsi="TimesNewRomanPSMT"/>
        </w:rPr>
        <w:t xml:space="preserve"> 463, </w:t>
      </w:r>
      <w:r>
        <w:t>No. 45, Acts of Parliament, 1860 (India).</w:t>
      </w:r>
    </w:p>
  </w:footnote>
  <w:footnote w:id="22">
    <w:p w:rsidR="00704EDD" w:rsidRPr="00B83B5D" w:rsidRDefault="00704EDD" w:rsidP="00704EDD">
      <w:pPr>
        <w:pStyle w:val="FootnoteText"/>
        <w:rPr>
          <w:lang w:val="en-US"/>
        </w:rPr>
      </w:pPr>
      <w:r>
        <w:rPr>
          <w:rStyle w:val="FootnoteReference"/>
        </w:rPr>
        <w:footnoteRef/>
      </w:r>
      <w:r>
        <w:t xml:space="preserve"> The Indian Penal Code, 1860,</w:t>
      </w:r>
      <w:r w:rsidRPr="000671E9">
        <w:rPr>
          <w:rFonts w:ascii="TimesNewRomanPSMT" w:hAnsi="TimesNewRomanPSMT"/>
        </w:rPr>
        <w:t xml:space="preserve"> §</w:t>
      </w:r>
      <w:r>
        <w:rPr>
          <w:rFonts w:ascii="TimesNewRomanPSMT" w:hAnsi="TimesNewRomanPSMT"/>
        </w:rPr>
        <w:t xml:space="preserve"> 465,</w:t>
      </w:r>
      <w:r>
        <w:t xml:space="preserve"> No. 45, Acts of Parliament, 1860 (India).</w:t>
      </w:r>
    </w:p>
  </w:footnote>
  <w:footnote w:id="23">
    <w:p w:rsidR="00704EDD" w:rsidRPr="00B83B5D" w:rsidRDefault="00704EDD" w:rsidP="00704EDD">
      <w:pPr>
        <w:pStyle w:val="FootnoteText"/>
        <w:rPr>
          <w:lang w:val="en-US"/>
        </w:rPr>
      </w:pPr>
      <w:r>
        <w:rPr>
          <w:rStyle w:val="FootnoteReference"/>
        </w:rPr>
        <w:footnoteRef/>
      </w:r>
      <w:r>
        <w:t xml:space="preserve"> The Indian Penal Code, 1860, </w:t>
      </w:r>
      <w:r w:rsidRPr="000671E9">
        <w:rPr>
          <w:rFonts w:ascii="TimesNewRomanPSMT" w:hAnsi="TimesNewRomanPSMT"/>
        </w:rPr>
        <w:t>§</w:t>
      </w:r>
      <w:r>
        <w:rPr>
          <w:rFonts w:ascii="TimesNewRomanPSMT" w:hAnsi="TimesNewRomanPSMT"/>
        </w:rPr>
        <w:t xml:space="preserve"> 468, </w:t>
      </w:r>
      <w:r>
        <w:t>No. 45, Acts of Parliament, 1860 (India).</w:t>
      </w:r>
    </w:p>
  </w:footnote>
  <w:footnote w:id="24">
    <w:p w:rsidR="00704EDD" w:rsidRPr="000671E9" w:rsidRDefault="00704EDD" w:rsidP="00704EDD">
      <w:pPr>
        <w:pStyle w:val="FootnoteText"/>
        <w:rPr>
          <w:lang w:val="en-US"/>
        </w:rPr>
      </w:pPr>
      <w:r>
        <w:rPr>
          <w:rStyle w:val="FootnoteReference"/>
        </w:rPr>
        <w:footnoteRef/>
      </w:r>
      <w:r>
        <w:t xml:space="preserve"> </w:t>
      </w:r>
      <w:r w:rsidRPr="00B83B5D">
        <w:t>The Information Technology Act</w:t>
      </w:r>
      <w:r>
        <w:t>,</w:t>
      </w:r>
      <w:r w:rsidRPr="00B83B5D">
        <w:t xml:space="preserve"> 2000</w:t>
      </w:r>
      <w:r>
        <w:t xml:space="preserve">, </w:t>
      </w:r>
      <w:r w:rsidRPr="000671E9">
        <w:rPr>
          <w:rFonts w:ascii="TimesNewRomanPSMT" w:hAnsi="TimesNewRomanPSMT"/>
        </w:rPr>
        <w:t>§</w:t>
      </w:r>
      <w:r>
        <w:rPr>
          <w:rFonts w:ascii="TimesNewRomanPSMT" w:hAnsi="TimesNewRomanPSMT"/>
        </w:rPr>
        <w:t xml:space="preserve"> 43, </w:t>
      </w:r>
      <w:r>
        <w:t>No. 21, Acts of Parliament, 2000 (India).</w:t>
      </w:r>
    </w:p>
  </w:footnote>
  <w:footnote w:id="25">
    <w:p w:rsidR="00704EDD" w:rsidRPr="000671E9" w:rsidRDefault="00704EDD" w:rsidP="00704EDD">
      <w:pPr>
        <w:pStyle w:val="FootnoteText"/>
        <w:rPr>
          <w:lang w:val="en-US"/>
        </w:rPr>
      </w:pPr>
      <w:r>
        <w:rPr>
          <w:rStyle w:val="FootnoteReference"/>
        </w:rPr>
        <w:footnoteRef/>
      </w:r>
      <w:r>
        <w:t xml:space="preserve"> The Indian Penal Code, 1860, </w:t>
      </w:r>
      <w:r w:rsidRPr="000671E9">
        <w:rPr>
          <w:rFonts w:ascii="TimesNewRomanPSMT" w:hAnsi="TimesNewRomanPSMT"/>
        </w:rPr>
        <w:t>§</w:t>
      </w:r>
      <w:r>
        <w:rPr>
          <w:rFonts w:ascii="TimesNewRomanPSMT" w:hAnsi="TimesNewRomanPSMT"/>
        </w:rPr>
        <w:t xml:space="preserve"> 378, </w:t>
      </w:r>
      <w:r>
        <w:t>No. 45, Acts of Parliament, 1860 (India).</w:t>
      </w:r>
    </w:p>
  </w:footnote>
  <w:footnote w:id="26">
    <w:p w:rsidR="00704EDD" w:rsidRPr="000671E9" w:rsidRDefault="00704EDD" w:rsidP="00704EDD">
      <w:pPr>
        <w:pStyle w:val="FootnoteText"/>
        <w:rPr>
          <w:lang w:val="en-US"/>
        </w:rPr>
      </w:pPr>
      <w:r>
        <w:rPr>
          <w:rStyle w:val="FootnoteReference"/>
        </w:rPr>
        <w:footnoteRef/>
      </w:r>
      <w:r>
        <w:t xml:space="preserve"> </w:t>
      </w:r>
      <w:r w:rsidRPr="00B83B5D">
        <w:rPr>
          <w:bCs/>
        </w:rPr>
        <w:t>Gagan Harsh Sharma v. The State of Maharashtra</w:t>
      </w:r>
      <w:r>
        <w:rPr>
          <w:bCs/>
        </w:rPr>
        <w:t xml:space="preserve">, </w:t>
      </w:r>
      <w:r w:rsidRPr="000671E9">
        <w:rPr>
          <w:bCs/>
        </w:rPr>
        <w:t xml:space="preserve">2019 </w:t>
      </w:r>
      <w:proofErr w:type="spellStart"/>
      <w:r w:rsidRPr="000671E9">
        <w:rPr>
          <w:bCs/>
        </w:rPr>
        <w:t>CriLJ</w:t>
      </w:r>
      <w:proofErr w:type="spellEnd"/>
      <w:r w:rsidRPr="000671E9">
        <w:rPr>
          <w:bCs/>
        </w:rPr>
        <w:t xml:space="preserve"> 1398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20D70"/>
    <w:multiLevelType w:val="hybridMultilevel"/>
    <w:tmpl w:val="4DAE5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B03B3C"/>
    <w:multiLevelType w:val="hybridMultilevel"/>
    <w:tmpl w:val="AEC429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3F021F3"/>
    <w:multiLevelType w:val="hybridMultilevel"/>
    <w:tmpl w:val="388CA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24135024">
    <w:abstractNumId w:val="1"/>
  </w:num>
  <w:num w:numId="2" w16cid:durableId="778261392">
    <w:abstractNumId w:val="2"/>
  </w:num>
  <w:num w:numId="3" w16cid:durableId="13962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87"/>
    <w:rsid w:val="0004269B"/>
    <w:rsid w:val="001A16A4"/>
    <w:rsid w:val="002135FF"/>
    <w:rsid w:val="003475CE"/>
    <w:rsid w:val="0050664E"/>
    <w:rsid w:val="00704EDD"/>
    <w:rsid w:val="00C164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6DD60"/>
  <w15:chartTrackingRefBased/>
  <w15:docId w15:val="{29515C9C-7703-4286-8496-87E696353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48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704EDD"/>
    <w:rPr>
      <w:sz w:val="20"/>
      <w:szCs w:val="20"/>
    </w:rPr>
  </w:style>
  <w:style w:type="character" w:customStyle="1" w:styleId="FootnoteTextChar">
    <w:name w:val="Footnote Text Char"/>
    <w:basedOn w:val="DefaultParagraphFont"/>
    <w:link w:val="FootnoteText"/>
    <w:uiPriority w:val="99"/>
    <w:semiHidden/>
    <w:rsid w:val="00704EDD"/>
    <w:rPr>
      <w:rFonts w:ascii="Times New Roman" w:eastAsia="Times New Roman" w:hAnsi="Times New Roman" w:cs="Times New Roman"/>
      <w:kern w:val="0"/>
      <w:sz w:val="20"/>
      <w:szCs w:val="20"/>
      <w:lang w:eastAsia="en-GB"/>
      <w14:ligatures w14:val="none"/>
    </w:rPr>
  </w:style>
  <w:style w:type="character" w:styleId="FootnoteReference">
    <w:name w:val="footnote reference"/>
    <w:basedOn w:val="DefaultParagraphFont"/>
    <w:uiPriority w:val="99"/>
    <w:semiHidden/>
    <w:unhideWhenUsed/>
    <w:rsid w:val="00704EDD"/>
    <w:rPr>
      <w:vertAlign w:val="superscript"/>
    </w:rPr>
  </w:style>
  <w:style w:type="paragraph" w:styleId="ListParagraph">
    <w:name w:val="List Paragraph"/>
    <w:basedOn w:val="Normal"/>
    <w:uiPriority w:val="34"/>
    <w:qFormat/>
    <w:rsid w:val="00704EDD"/>
    <w:pPr>
      <w:ind w:left="720"/>
      <w:contextualSpacing/>
    </w:pPr>
  </w:style>
  <w:style w:type="paragraph" w:styleId="NormalWeb">
    <w:name w:val="Normal (Web)"/>
    <w:basedOn w:val="Normal"/>
    <w:uiPriority w:val="99"/>
    <w:unhideWhenUsed/>
    <w:rsid w:val="00704EDD"/>
    <w:pPr>
      <w:spacing w:before="100" w:beforeAutospacing="1" w:after="100" w:afterAutospacing="1"/>
    </w:pPr>
  </w:style>
  <w:style w:type="character" w:styleId="Hyperlink">
    <w:name w:val="Hyperlink"/>
    <w:basedOn w:val="DefaultParagraphFont"/>
    <w:uiPriority w:val="99"/>
    <w:semiHidden/>
    <w:unhideWhenUsed/>
    <w:rsid w:val="001A16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murarieflu@gmail.com,%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3102</Words>
  <Characters>17686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RANJAN</dc:creator>
  <cp:keywords/>
  <dc:description/>
  <cp:lastModifiedBy>R RANJAN</cp:lastModifiedBy>
  <cp:revision>2</cp:revision>
  <dcterms:created xsi:type="dcterms:W3CDTF">2023-09-13T17:42:00Z</dcterms:created>
  <dcterms:modified xsi:type="dcterms:W3CDTF">2023-09-13T18:16:00Z</dcterms:modified>
</cp:coreProperties>
</file>