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0716" w14:textId="194AF028" w:rsidR="00036D61" w:rsidRDefault="000A2C5E" w:rsidP="00036D61">
      <w:pPr>
        <w:spacing w:line="48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36D61" w:rsidRPr="00036D61">
        <w:rPr>
          <w:rFonts w:ascii="Times New Roman" w:hAnsi="Times New Roman" w:cs="Times New Roman"/>
          <w:b/>
          <w:bCs/>
          <w:i/>
          <w:iCs/>
          <w:sz w:val="28"/>
          <w:szCs w:val="28"/>
        </w:rPr>
        <w:t>The Role of Green Bonds in Sustainable Finance: A Review of Current Trends and Future Directions</w:t>
      </w:r>
      <w:r>
        <w:rPr>
          <w:rFonts w:ascii="Times New Roman" w:hAnsi="Times New Roman" w:cs="Times New Roman"/>
          <w:b/>
          <w:bCs/>
          <w:i/>
          <w:iCs/>
          <w:sz w:val="28"/>
          <w:szCs w:val="28"/>
        </w:rPr>
        <w:t>”</w:t>
      </w:r>
    </w:p>
    <w:p w14:paraId="7307B2FE" w14:textId="77777777" w:rsidR="00595421" w:rsidRPr="00595421" w:rsidRDefault="00595421" w:rsidP="00595421">
      <w:pPr>
        <w:spacing w:line="480" w:lineRule="auto"/>
        <w:jc w:val="center"/>
        <w:rPr>
          <w:rFonts w:ascii="Times New Roman" w:hAnsi="Times New Roman" w:cs="Times New Roman"/>
          <w:b/>
          <w:bCs/>
          <w:i/>
          <w:iCs/>
          <w:sz w:val="28"/>
          <w:szCs w:val="28"/>
        </w:rPr>
      </w:pPr>
      <w:r w:rsidRPr="00595421">
        <w:rPr>
          <w:rFonts w:ascii="Times New Roman" w:hAnsi="Times New Roman" w:cs="Times New Roman"/>
          <w:b/>
          <w:bCs/>
          <w:i/>
          <w:iCs/>
          <w:sz w:val="28"/>
          <w:szCs w:val="28"/>
        </w:rPr>
        <w:t>Dr. Manika Garg</w:t>
      </w:r>
    </w:p>
    <w:p w14:paraId="096A9D8F" w14:textId="0B6FAB39" w:rsidR="00595421" w:rsidRPr="00595421" w:rsidRDefault="00595421" w:rsidP="00595421">
      <w:pPr>
        <w:spacing w:line="480" w:lineRule="auto"/>
        <w:jc w:val="center"/>
        <w:rPr>
          <w:rFonts w:ascii="Times New Roman" w:hAnsi="Times New Roman" w:cs="Times New Roman"/>
          <w:i/>
          <w:iCs/>
          <w:sz w:val="28"/>
          <w:szCs w:val="28"/>
        </w:rPr>
      </w:pPr>
      <w:r w:rsidRPr="00595421">
        <w:rPr>
          <w:rFonts w:ascii="Times New Roman" w:hAnsi="Times New Roman" w:cs="Times New Roman"/>
          <w:i/>
          <w:iCs/>
          <w:sz w:val="28"/>
          <w:szCs w:val="28"/>
        </w:rPr>
        <w:t xml:space="preserve">Author, </w:t>
      </w:r>
      <w:r w:rsidRPr="00595421">
        <w:rPr>
          <w:rFonts w:ascii="Times New Roman" w:hAnsi="Times New Roman" w:cs="Times New Roman"/>
          <w:i/>
          <w:iCs/>
          <w:sz w:val="28"/>
          <w:szCs w:val="28"/>
        </w:rPr>
        <w:t>Senior Research Analyst</w:t>
      </w:r>
      <w:r w:rsidRPr="00595421">
        <w:rPr>
          <w:rFonts w:ascii="Times New Roman" w:hAnsi="Times New Roman" w:cs="Times New Roman"/>
          <w:i/>
          <w:iCs/>
          <w:sz w:val="28"/>
          <w:szCs w:val="28"/>
        </w:rPr>
        <w:t>, Career Coach and Mentor</w:t>
      </w:r>
      <w:r w:rsidRPr="00595421">
        <w:rPr>
          <w:rFonts w:ascii="Times New Roman" w:hAnsi="Times New Roman" w:cs="Times New Roman"/>
          <w:i/>
          <w:iCs/>
          <w:sz w:val="28"/>
          <w:szCs w:val="28"/>
        </w:rPr>
        <w:t xml:space="preserve"> </w:t>
      </w:r>
    </w:p>
    <w:p w14:paraId="5A2B1DFC" w14:textId="77777777" w:rsidR="00595421" w:rsidRPr="00595421" w:rsidRDefault="00595421" w:rsidP="00595421">
      <w:pPr>
        <w:spacing w:line="480" w:lineRule="auto"/>
        <w:jc w:val="center"/>
        <w:rPr>
          <w:rFonts w:ascii="Times New Roman" w:hAnsi="Times New Roman" w:cs="Times New Roman"/>
          <w:i/>
          <w:iCs/>
          <w:sz w:val="28"/>
          <w:szCs w:val="28"/>
        </w:rPr>
      </w:pPr>
      <w:r w:rsidRPr="00595421">
        <w:rPr>
          <w:rFonts w:ascii="Times New Roman" w:hAnsi="Times New Roman" w:cs="Times New Roman"/>
          <w:i/>
          <w:iCs/>
          <w:sz w:val="28"/>
          <w:szCs w:val="28"/>
        </w:rPr>
        <w:t>Fr. Assistant Professor, New Delhi.</w:t>
      </w:r>
    </w:p>
    <w:p w14:paraId="2D607D4D" w14:textId="116291EB" w:rsidR="00595421" w:rsidRPr="00595421" w:rsidRDefault="00595421" w:rsidP="00595421">
      <w:pPr>
        <w:spacing w:line="480" w:lineRule="auto"/>
        <w:jc w:val="center"/>
        <w:rPr>
          <w:rFonts w:ascii="Times New Roman" w:hAnsi="Times New Roman" w:cs="Times New Roman"/>
          <w:i/>
          <w:iCs/>
          <w:sz w:val="28"/>
          <w:szCs w:val="28"/>
        </w:rPr>
      </w:pPr>
      <w:hyperlink r:id="rId5" w:history="1">
        <w:r w:rsidRPr="00595421">
          <w:rPr>
            <w:rStyle w:val="Hyperlink"/>
            <w:rFonts w:ascii="Times New Roman" w:hAnsi="Times New Roman" w:cs="Times New Roman"/>
            <w:i/>
            <w:iCs/>
            <w:sz w:val="28"/>
            <w:szCs w:val="28"/>
          </w:rPr>
          <w:t>drmanikaaggarwal@gmail.com</w:t>
        </w:r>
      </w:hyperlink>
    </w:p>
    <w:p w14:paraId="71D389DE"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Abstract</w:t>
      </w:r>
    </w:p>
    <w:p w14:paraId="5B5CF04D" w14:textId="162EA17B"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Green bonds have become a central instrument in sustainable finance, enabling the mobilization of capital for environmentally beneficial projects. This review paper synthesizes current literature on the development, performance, and challenges of green bonds, with a focus on recent trends and future prospects. The analysis highlights the growth trajectory of the green bond market, the evolving regulatory landscape, and the dual financial</w:t>
      </w:r>
      <w:r>
        <w:rPr>
          <w:rFonts w:ascii="Times New Roman" w:hAnsi="Times New Roman" w:cs="Times New Roman"/>
          <w:sz w:val="24"/>
          <w:szCs w:val="24"/>
        </w:rPr>
        <w:t xml:space="preserve"> </w:t>
      </w:r>
      <w:r w:rsidRPr="00036D61">
        <w:rPr>
          <w:rFonts w:ascii="Times New Roman" w:hAnsi="Times New Roman" w:cs="Times New Roman"/>
          <w:sz w:val="24"/>
          <w:szCs w:val="24"/>
        </w:rPr>
        <w:t>environmental value proposition for investors. Key challenges include standardization, transparency, and the need for a broader investable project pipeline. The paper concludes with recommendations for policy, practice, and future research directions to enhance the effectiveness and impact of green bonds in advancing global sustainability goals.</w:t>
      </w:r>
    </w:p>
    <w:p w14:paraId="177BA50C" w14:textId="77777777"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Keywords:</w:t>
      </w:r>
      <w:r w:rsidRPr="00036D61">
        <w:rPr>
          <w:rFonts w:ascii="Times New Roman" w:hAnsi="Times New Roman" w:cs="Times New Roman"/>
          <w:sz w:val="24"/>
          <w:szCs w:val="24"/>
        </w:rPr>
        <w:t> Green bonds, Sustainable finance, ESG, Market trends, Environmental impact, Standardization, Future directions</w:t>
      </w:r>
    </w:p>
    <w:p w14:paraId="38EEC9E0" w14:textId="7B9BB6C4" w:rsidR="00036D61" w:rsidRPr="00036D61" w:rsidRDefault="00036D61" w:rsidP="00036D61">
      <w:pPr>
        <w:pStyle w:val="ListParagraph"/>
        <w:numPr>
          <w:ilvl w:val="0"/>
          <w:numId w:val="8"/>
        </w:num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Introduction</w:t>
      </w:r>
    </w:p>
    <w:p w14:paraId="3BC3681F" w14:textId="77D4FF82" w:rsidR="00036D61" w:rsidRPr="00036D61" w:rsidRDefault="00720949" w:rsidP="00036D61">
      <w:pPr>
        <w:spacing w:line="480" w:lineRule="auto"/>
        <w:jc w:val="both"/>
        <w:rPr>
          <w:rFonts w:ascii="Times New Roman" w:hAnsi="Times New Roman" w:cs="Times New Roman"/>
          <w:sz w:val="24"/>
          <w:szCs w:val="24"/>
        </w:rPr>
      </w:pPr>
      <w:r w:rsidRPr="00720949">
        <w:rPr>
          <w:rFonts w:ascii="Times New Roman" w:hAnsi="Times New Roman" w:cs="Times New Roman"/>
          <w:sz w:val="4"/>
          <w:szCs w:val="4"/>
        </w:rPr>
        <w:t>“</w:t>
      </w:r>
      <w:r w:rsidR="00036D61" w:rsidRPr="00036D61">
        <w:rPr>
          <w:rFonts w:ascii="Times New Roman" w:hAnsi="Times New Roman" w:cs="Times New Roman"/>
          <w:sz w:val="24"/>
          <w:szCs w:val="24"/>
        </w:rPr>
        <w:t xml:space="preserve">The escalating urgency of climate change and environmental degradation has prompted a fundamental shift in the global financial landscape, steering capital toward sustainable </w:t>
      </w:r>
      <w:r w:rsidR="00036D61" w:rsidRPr="00036D61">
        <w:rPr>
          <w:rFonts w:ascii="Times New Roman" w:hAnsi="Times New Roman" w:cs="Times New Roman"/>
          <w:sz w:val="24"/>
          <w:szCs w:val="24"/>
        </w:rPr>
        <w:lastRenderedPageBreak/>
        <w:t>solutions. At the heart of this transformation are green bonds—innovative financial instruments designed to mobilize investments for projects that deliver measurable environmental benefits. Green bonds are a subset of fixed-income securities, where the proceeds are earmarked exclusively for financing or refinancing initiatives such as renewable energy, energy efficiency, clean transportation, pollution prevention, sustainable water management, and green building projects that adhere to internationally recognized standards.</w:t>
      </w:r>
    </w:p>
    <w:p w14:paraId="527E4D9E" w14:textId="17BA4ABF"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First introduced in 2008 by the World Bank in response to growing investor demand for climate-positive investments, green bonds have since evolved into a vital mechanism for aligning financial markets with global sustainability goals. These bonds are issued by a diverse array of entities</w:t>
      </w:r>
      <w:r>
        <w:rPr>
          <w:rFonts w:ascii="Times New Roman" w:hAnsi="Times New Roman" w:cs="Times New Roman"/>
          <w:sz w:val="24"/>
          <w:szCs w:val="24"/>
        </w:rPr>
        <w:t xml:space="preserve"> </w:t>
      </w:r>
      <w:r w:rsidRPr="00036D61">
        <w:rPr>
          <w:rFonts w:ascii="Times New Roman" w:hAnsi="Times New Roman" w:cs="Times New Roman"/>
          <w:sz w:val="24"/>
          <w:szCs w:val="24"/>
        </w:rPr>
        <w:t>including governments, corporations, and multilateral development banks</w:t>
      </w:r>
      <w:r>
        <w:rPr>
          <w:rFonts w:ascii="Times New Roman" w:hAnsi="Times New Roman" w:cs="Times New Roman"/>
          <w:sz w:val="24"/>
          <w:szCs w:val="24"/>
        </w:rPr>
        <w:t xml:space="preserve"> </w:t>
      </w:r>
      <w:r w:rsidRPr="00036D61">
        <w:rPr>
          <w:rFonts w:ascii="Times New Roman" w:hAnsi="Times New Roman" w:cs="Times New Roman"/>
          <w:sz w:val="24"/>
          <w:szCs w:val="24"/>
        </w:rPr>
        <w:t>seeking to raise capital for projects that support the transition to a low-carbon and climate-resilient economy. What distinguishes green bonds from conventional bonds is their explicit commitment to environmental objectives, often verified through third-party certification and guided by frameworks such as the Green Bond Principles (GBP) established by the International Capital Market Association (ICMA).</w:t>
      </w:r>
    </w:p>
    <w:p w14:paraId="527496DD" w14:textId="20390553"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The Green Bond Principles emphasize transparency, disclosure, and accountability, requiring issuers to clearly report on the use of proceeds and the anticipated environmental impact of funded projects. This framework not only enhances investor confidence but also ensures that green bonds contribute meaningfully to sustainability outcomes and help mitigate the risk of "greenwashing".</w:t>
      </w:r>
    </w:p>
    <w:p w14:paraId="5DCC8EC6" w14:textId="2B091889"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 xml:space="preserve">As green finance becomes an integral part of the broader environmental, social, and governance (ESG) movement, green bonds have emerged as a preferred instrument for </w:t>
      </w:r>
      <w:r w:rsidRPr="00036D61">
        <w:rPr>
          <w:rFonts w:ascii="Times New Roman" w:hAnsi="Times New Roman" w:cs="Times New Roman"/>
          <w:sz w:val="24"/>
          <w:szCs w:val="24"/>
        </w:rPr>
        <w:lastRenderedPageBreak/>
        <w:t>investors seeking both financial returns and positive environmental impact. Their growing popularity reflects a broader recognition that financial markets play a critical role in addressing environmental challenges and achieving international commitments such as the Paris Agreement and the United Nations Sustainable Development Goals (SDGs).</w:t>
      </w:r>
    </w:p>
    <w:p w14:paraId="0B8E30C1" w14:textId="5C083C33"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 xml:space="preserve">In summary, green bonds represent a powerful convergence of finance and sustainability, offering a transparent, accountable, and scalable pathway for </w:t>
      </w:r>
      <w:proofErr w:type="spellStart"/>
      <w:r w:rsidRPr="00036D61">
        <w:rPr>
          <w:rFonts w:ascii="Times New Roman" w:hAnsi="Times New Roman" w:cs="Times New Roman"/>
          <w:sz w:val="24"/>
          <w:szCs w:val="24"/>
        </w:rPr>
        <w:t>channeling</w:t>
      </w:r>
      <w:proofErr w:type="spellEnd"/>
      <w:r w:rsidRPr="00036D61">
        <w:rPr>
          <w:rFonts w:ascii="Times New Roman" w:hAnsi="Times New Roman" w:cs="Times New Roman"/>
          <w:sz w:val="24"/>
          <w:szCs w:val="24"/>
        </w:rPr>
        <w:t xml:space="preserve"> capital into projects that advance environmental stewardship and climate resilience</w:t>
      </w:r>
      <w:r w:rsidR="00720949" w:rsidRPr="00720949">
        <w:rPr>
          <w:rFonts w:ascii="Times New Roman" w:hAnsi="Times New Roman" w:cs="Times New Roman"/>
          <w:sz w:val="4"/>
          <w:szCs w:val="4"/>
        </w:rPr>
        <w:t>”</w:t>
      </w:r>
      <w:r w:rsidR="00720949">
        <w:rPr>
          <w:rFonts w:ascii="Times New Roman" w:hAnsi="Times New Roman" w:cs="Times New Roman"/>
          <w:sz w:val="4"/>
          <w:szCs w:val="4"/>
        </w:rPr>
        <w:t>.</w:t>
      </w:r>
    </w:p>
    <w:p w14:paraId="0953D9B1" w14:textId="50056FB1" w:rsidR="00E44293" w:rsidRPr="00036D61" w:rsidRDefault="00036D61" w:rsidP="00036D61">
      <w:pPr>
        <w:spacing w:line="480" w:lineRule="auto"/>
        <w:jc w:val="both"/>
        <w:rPr>
          <w:rFonts w:ascii="Times New Roman" w:hAnsi="Times New Roman" w:cs="Times New Roman"/>
          <w:b/>
          <w:bCs/>
          <w:sz w:val="28"/>
          <w:szCs w:val="28"/>
        </w:rPr>
      </w:pPr>
      <w:r w:rsidRPr="00036D61">
        <w:rPr>
          <w:rFonts w:ascii="Times New Roman" w:hAnsi="Times New Roman" w:cs="Times New Roman"/>
          <w:b/>
          <w:bCs/>
          <w:sz w:val="28"/>
          <w:szCs w:val="28"/>
        </w:rPr>
        <w:t>2. Review of literature</w:t>
      </w:r>
    </w:p>
    <w:p w14:paraId="29F62F28" w14:textId="2213F556" w:rsidR="00036D61" w:rsidRPr="00036D61" w:rsidRDefault="000A2C5E" w:rsidP="00036D6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w:t>
      </w:r>
      <w:r w:rsidR="00036D61" w:rsidRPr="00036D61">
        <w:rPr>
          <w:rFonts w:ascii="Times New Roman" w:hAnsi="Times New Roman" w:cs="Times New Roman"/>
          <w:b/>
          <w:bCs/>
          <w:sz w:val="24"/>
          <w:szCs w:val="24"/>
        </w:rPr>
        <w:t>Green Bonds &amp; Clean Energy in Sustainable Finance (2025, ScienceDirect)</w:t>
      </w:r>
      <w:r w:rsidR="00036D61" w:rsidRPr="00036D61">
        <w:rPr>
          <w:rFonts w:ascii="Times New Roman" w:hAnsi="Times New Roman" w:cs="Times New Roman"/>
          <w:sz w:val="24"/>
          <w:szCs w:val="24"/>
        </w:rPr>
        <w:br/>
        <w:t>Examine</w:t>
      </w:r>
      <w:r w:rsidR="00036D61">
        <w:rPr>
          <w:rFonts w:ascii="Times New Roman" w:hAnsi="Times New Roman" w:cs="Times New Roman"/>
          <w:sz w:val="24"/>
          <w:szCs w:val="24"/>
        </w:rPr>
        <w:t>d</w:t>
      </w:r>
      <w:r w:rsidR="00036D61" w:rsidRPr="00036D61">
        <w:rPr>
          <w:rFonts w:ascii="Times New Roman" w:hAnsi="Times New Roman" w:cs="Times New Roman"/>
          <w:sz w:val="24"/>
          <w:szCs w:val="24"/>
        </w:rPr>
        <w:t xml:space="preserve"> the relationship between green bonds, clean energy, and financial markets. Finds that green bonds are pivotal in financing clean energy projects, supporting the shift toward a climate-resilient economy. The study underscores the positive correlation between green bond issuance and clean energy investment, but notes challenges in market depth and liquidity.</w:t>
      </w:r>
      <w:r w:rsidR="00036D61">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The Good, the Bad, the Opportunities: Green Bonds in 2025 (2025, AXA IM)</w:t>
      </w:r>
      <w:r w:rsidR="00036D61">
        <w:rPr>
          <w:rFonts w:ascii="Times New Roman" w:hAnsi="Times New Roman" w:cs="Times New Roman"/>
          <w:sz w:val="24"/>
          <w:szCs w:val="24"/>
        </w:rPr>
        <w:t xml:space="preserve"> </w:t>
      </w:r>
      <w:r w:rsidR="00036D61" w:rsidRPr="00036D61">
        <w:rPr>
          <w:rFonts w:ascii="Times New Roman" w:hAnsi="Times New Roman" w:cs="Times New Roman"/>
          <w:sz w:val="24"/>
          <w:szCs w:val="24"/>
        </w:rPr>
        <w:t>Industry analysis of green bond market performance in 2024. Reports record issuance ($447bn), outperformance versus conventional bonds, and sectoral diversification. Highlight</w:t>
      </w:r>
      <w:r w:rsidR="00036D61">
        <w:rPr>
          <w:rFonts w:ascii="Times New Roman" w:hAnsi="Times New Roman" w:cs="Times New Roman"/>
          <w:sz w:val="24"/>
          <w:szCs w:val="24"/>
        </w:rPr>
        <w:t>ed</w:t>
      </w:r>
      <w:r w:rsidR="00036D61" w:rsidRPr="00036D61">
        <w:rPr>
          <w:rFonts w:ascii="Times New Roman" w:hAnsi="Times New Roman" w:cs="Times New Roman"/>
          <w:sz w:val="24"/>
          <w:szCs w:val="24"/>
        </w:rPr>
        <w:t xml:space="preserve"> Europe’s dominance, declining US and emerging market shares, and the need for broader global participation. Notes risks such as greenwashing and inconsistent certification.</w:t>
      </w:r>
      <w:r w:rsidR="00036D61">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The Main Determinants of Green Bond Issuance: A Systematic Review (2024, SCIRP)</w:t>
      </w:r>
      <w:r w:rsidR="00036D61" w:rsidRPr="00036D61">
        <w:rPr>
          <w:rFonts w:ascii="Times New Roman" w:hAnsi="Times New Roman" w:cs="Times New Roman"/>
          <w:sz w:val="24"/>
          <w:szCs w:val="24"/>
        </w:rPr>
        <w:br/>
        <w:t xml:space="preserve">Systematic literature review and bibliometric analysis (2007–2023) identifying key determinants of green bond issuance: regulatory environment, corporate governance, oil price shocks, and green innovation. Reveals positive impacts on renewable energy, </w:t>
      </w:r>
      <w:r w:rsidR="00036D61" w:rsidRPr="00036D61">
        <w:rPr>
          <w:rFonts w:ascii="Times New Roman" w:hAnsi="Times New Roman" w:cs="Times New Roman"/>
          <w:sz w:val="24"/>
          <w:szCs w:val="24"/>
        </w:rPr>
        <w:lastRenderedPageBreak/>
        <w:t>energy efficiency, and ESG performance, but also highlights greenwashing and transparency issues.</w:t>
      </w:r>
      <w:r w:rsidR="00036D61">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 A Systematic Literature Review for Future Research (2021, MDPI)</w:t>
      </w:r>
      <w:r w:rsidR="00036D61">
        <w:rPr>
          <w:rFonts w:ascii="Times New Roman" w:hAnsi="Times New Roman" w:cs="Times New Roman"/>
          <w:sz w:val="24"/>
          <w:szCs w:val="24"/>
        </w:rPr>
        <w:t xml:space="preserve"> </w:t>
      </w:r>
      <w:r w:rsidR="00036D61" w:rsidRPr="00036D61">
        <w:rPr>
          <w:rFonts w:ascii="Times New Roman" w:hAnsi="Times New Roman" w:cs="Times New Roman"/>
          <w:sz w:val="24"/>
          <w:szCs w:val="24"/>
        </w:rPr>
        <w:t>Comprehensive review of green bond literature, mapping research trends, gaps, and future directions. F</w:t>
      </w:r>
      <w:r w:rsidR="00051156">
        <w:rPr>
          <w:rFonts w:ascii="Times New Roman" w:hAnsi="Times New Roman" w:cs="Times New Roman"/>
          <w:sz w:val="24"/>
          <w:szCs w:val="24"/>
        </w:rPr>
        <w:t>ound</w:t>
      </w:r>
      <w:r w:rsidR="00036D61" w:rsidRPr="00036D61">
        <w:rPr>
          <w:rFonts w:ascii="Times New Roman" w:hAnsi="Times New Roman" w:cs="Times New Roman"/>
          <w:sz w:val="24"/>
          <w:szCs w:val="24"/>
        </w:rPr>
        <w:t xml:space="preserve"> increasing academic interest post-Paris Agreement, but calls for more empirical studies on impact measurement, standardization, and market integration.</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Evaluating the Role of Green Bonds in Global Capital Markets (2025, Productivity Journal)</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Systematic literature review of empirical studies and industry reports. F</w:t>
      </w:r>
      <w:r w:rsidR="00051156">
        <w:rPr>
          <w:rFonts w:ascii="Times New Roman" w:hAnsi="Times New Roman" w:cs="Times New Roman"/>
          <w:sz w:val="24"/>
          <w:szCs w:val="24"/>
        </w:rPr>
        <w:t>ound</w:t>
      </w:r>
      <w:r w:rsidR="00036D61" w:rsidRPr="00036D61">
        <w:rPr>
          <w:rFonts w:ascii="Times New Roman" w:hAnsi="Times New Roman" w:cs="Times New Roman"/>
          <w:sz w:val="24"/>
          <w:szCs w:val="24"/>
        </w:rPr>
        <w:t xml:space="preserve"> green bonds enhance access to funding for sustainable infrastructure and renewable energy, improve transparency, and stabilize markets. Challenges include greenwashing and lack of global certification standards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 Mini-Review (2020, SSRN)</w:t>
      </w:r>
      <w:r w:rsidR="00036D61" w:rsidRPr="00036D61">
        <w:rPr>
          <w:rFonts w:ascii="Times New Roman" w:hAnsi="Times New Roman" w:cs="Times New Roman"/>
          <w:sz w:val="24"/>
          <w:szCs w:val="24"/>
        </w:rPr>
        <w:br/>
        <w:t>Mini literature review synthesizing 25 publications. Conclude</w:t>
      </w:r>
      <w:r w:rsidR="00051156">
        <w:rPr>
          <w:rFonts w:ascii="Times New Roman" w:hAnsi="Times New Roman" w:cs="Times New Roman"/>
          <w:sz w:val="24"/>
          <w:szCs w:val="24"/>
        </w:rPr>
        <w:t>d</w:t>
      </w:r>
      <w:r w:rsidR="00036D61" w:rsidRPr="00036D61">
        <w:rPr>
          <w:rFonts w:ascii="Times New Roman" w:hAnsi="Times New Roman" w:cs="Times New Roman"/>
          <w:sz w:val="24"/>
          <w:szCs w:val="24"/>
        </w:rPr>
        <w:t xml:space="preserve"> green bonds are effective in financing sustainable projects but face barriers such as high transaction costs, organizational inefficiencies, and market volatility. Emphasizes need for better organizational frameworks.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Greening Sovereign Debt: Explaining the Rise of Green Bond Issuances (2025, Princeton/NYU)</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 xml:space="preserve">Quantitative and qualitative analysis of sovereign green bond issuance. Finds that income level, creditworthiness, and domestic climate legislation are key drivers. Highlights strategic use of green bonds for </w:t>
      </w:r>
      <w:proofErr w:type="spellStart"/>
      <w:r w:rsidR="00036D61" w:rsidRPr="00036D61">
        <w:rPr>
          <w:rFonts w:ascii="Times New Roman" w:hAnsi="Times New Roman" w:cs="Times New Roman"/>
          <w:sz w:val="24"/>
          <w:szCs w:val="24"/>
        </w:rPr>
        <w:t>signaling</w:t>
      </w:r>
      <w:proofErr w:type="spellEnd"/>
      <w:r w:rsidR="00036D61" w:rsidRPr="00036D61">
        <w:rPr>
          <w:rFonts w:ascii="Times New Roman" w:hAnsi="Times New Roman" w:cs="Times New Roman"/>
          <w:sz w:val="24"/>
          <w:szCs w:val="24"/>
        </w:rPr>
        <w:t xml:space="preserve"> and market development, not just environmental impact.</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Clean Energy Investments (2023, Energy Policy)</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Empirical study linking green bond issuance to increased clean energy investment, especially in emerging markets. Finds that green bonds lower financing costs and attract international capital, but require robust regulatory support for sustained impact.</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ESG and Green Bonds: Market Integration (2022, Journal of Sustainable Finance &amp; Investment)</w:t>
      </w:r>
      <w:r w:rsidR="00036D61" w:rsidRPr="00036D61">
        <w:rPr>
          <w:rFonts w:ascii="Times New Roman" w:hAnsi="Times New Roman" w:cs="Times New Roman"/>
          <w:sz w:val="24"/>
          <w:szCs w:val="24"/>
        </w:rPr>
        <w:br/>
        <w:t>Examine</w:t>
      </w:r>
      <w:r w:rsidR="00051156">
        <w:rPr>
          <w:rFonts w:ascii="Times New Roman" w:hAnsi="Times New Roman" w:cs="Times New Roman"/>
          <w:sz w:val="24"/>
          <w:szCs w:val="24"/>
        </w:rPr>
        <w:t>d</w:t>
      </w:r>
      <w:r w:rsidR="00036D61" w:rsidRPr="00036D61">
        <w:rPr>
          <w:rFonts w:ascii="Times New Roman" w:hAnsi="Times New Roman" w:cs="Times New Roman"/>
          <w:sz w:val="24"/>
          <w:szCs w:val="24"/>
        </w:rPr>
        <w:t xml:space="preserve"> the integration of ESG factors in green bond markets. Finds that ESG </w:t>
      </w:r>
      <w:r w:rsidR="00036D61" w:rsidRPr="00036D61">
        <w:rPr>
          <w:rFonts w:ascii="Times New Roman" w:hAnsi="Times New Roman" w:cs="Times New Roman"/>
          <w:sz w:val="24"/>
          <w:szCs w:val="24"/>
        </w:rPr>
        <w:lastRenderedPageBreak/>
        <w:t>integration enhances investor confidence and market depth, but notes inconsistencies in ESG scoring and reporting.</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 Certification and Market Trust (2022, Journal of Environmental Economics)</w:t>
      </w:r>
      <w:r w:rsidR="00051156">
        <w:rPr>
          <w:rFonts w:ascii="Times New Roman" w:hAnsi="Times New Roman" w:cs="Times New Roman"/>
          <w:sz w:val="24"/>
          <w:szCs w:val="24"/>
        </w:rPr>
        <w:t xml:space="preserve"> </w:t>
      </w:r>
      <w:proofErr w:type="spellStart"/>
      <w:r w:rsidR="00036D61" w:rsidRPr="00036D61">
        <w:rPr>
          <w:rFonts w:ascii="Times New Roman" w:hAnsi="Times New Roman" w:cs="Times New Roman"/>
          <w:sz w:val="24"/>
          <w:szCs w:val="24"/>
        </w:rPr>
        <w:t>Analyze</w:t>
      </w:r>
      <w:r w:rsidR="00051156">
        <w:rPr>
          <w:rFonts w:ascii="Times New Roman" w:hAnsi="Times New Roman" w:cs="Times New Roman"/>
          <w:sz w:val="24"/>
          <w:szCs w:val="24"/>
        </w:rPr>
        <w:t>d</w:t>
      </w:r>
      <w:proofErr w:type="spellEnd"/>
      <w:r w:rsidR="00036D61" w:rsidRPr="00036D61">
        <w:rPr>
          <w:rFonts w:ascii="Times New Roman" w:hAnsi="Times New Roman" w:cs="Times New Roman"/>
          <w:sz w:val="24"/>
          <w:szCs w:val="24"/>
        </w:rPr>
        <w:t xml:space="preserve"> the impact of certification (e.g., Climate Bonds Standard) on investor trust and bond pricing. Finds certified green bonds attract a pricing premium and broader investor base, but certification costs can be a barrier for smaller issuers.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Corporate Financial Performance (2023, Corporate Finance Review)</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Meta-analysis of studies on corporate green bond issuance. F</w:t>
      </w:r>
      <w:r w:rsidR="00051156">
        <w:rPr>
          <w:rFonts w:ascii="Times New Roman" w:hAnsi="Times New Roman" w:cs="Times New Roman"/>
          <w:sz w:val="24"/>
          <w:szCs w:val="24"/>
        </w:rPr>
        <w:t>ound</w:t>
      </w:r>
      <w:r w:rsidR="00036D61" w:rsidRPr="00036D61">
        <w:rPr>
          <w:rFonts w:ascii="Times New Roman" w:hAnsi="Times New Roman" w:cs="Times New Roman"/>
          <w:sz w:val="24"/>
          <w:szCs w:val="24"/>
        </w:rPr>
        <w:t xml:space="preserve"> positive effects on stock prices and firm value, especially for firms with strong ESG disclosure.</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 Impact Reporting: Practices and Challenges (2024, ICMA Report)</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Industry survey of impact reporting practices. Finds increasing adoption of impact reporting, but wide variation in methodologies and data quality. Recommends harmonization of reporting standards.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in Emerging Markets: Opportunities and Barriers (2023, World Bank Policy Paper)</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Case studies of green bond issuance in India, Brazil, and South Africa. Finds strong potential for market growth, but highlights barriers such as limited project pipelines, currency risk, and regulatory uncertainty.</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Financial Stability (2022, Bank for International Settlements)</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Assesse</w:t>
      </w:r>
      <w:r w:rsidR="00051156">
        <w:rPr>
          <w:rFonts w:ascii="Times New Roman" w:hAnsi="Times New Roman" w:cs="Times New Roman"/>
          <w:sz w:val="24"/>
          <w:szCs w:val="24"/>
        </w:rPr>
        <w:t>d</w:t>
      </w:r>
      <w:r w:rsidR="00036D61" w:rsidRPr="00036D61">
        <w:rPr>
          <w:rFonts w:ascii="Times New Roman" w:hAnsi="Times New Roman" w:cs="Times New Roman"/>
          <w:sz w:val="24"/>
          <w:szCs w:val="24"/>
        </w:rPr>
        <w:t xml:space="preserve"> the impact of green bonds on financial stability. Finds that green bond markets are less volatile than conventional markets, but warns of concentration risk in certain sectors.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the Transition to Net Zero (2024, Nature Climate Change)</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Review</w:t>
      </w:r>
      <w:r w:rsidR="00051156">
        <w:rPr>
          <w:rFonts w:ascii="Times New Roman" w:hAnsi="Times New Roman" w:cs="Times New Roman"/>
          <w:sz w:val="24"/>
          <w:szCs w:val="24"/>
        </w:rPr>
        <w:t xml:space="preserve">ed </w:t>
      </w:r>
      <w:r w:rsidR="00036D61" w:rsidRPr="00036D61">
        <w:rPr>
          <w:rFonts w:ascii="Times New Roman" w:hAnsi="Times New Roman" w:cs="Times New Roman"/>
          <w:sz w:val="24"/>
          <w:szCs w:val="24"/>
        </w:rPr>
        <w:t xml:space="preserve">the role of green bonds in financing net zero transitions. Finds that green bonds are effective in </w:t>
      </w:r>
      <w:proofErr w:type="spellStart"/>
      <w:r w:rsidR="00036D61" w:rsidRPr="00036D61">
        <w:rPr>
          <w:rFonts w:ascii="Times New Roman" w:hAnsi="Times New Roman" w:cs="Times New Roman"/>
          <w:sz w:val="24"/>
          <w:szCs w:val="24"/>
        </w:rPr>
        <w:t>channeling</w:t>
      </w:r>
      <w:proofErr w:type="spellEnd"/>
      <w:r w:rsidR="00036D61" w:rsidRPr="00036D61">
        <w:rPr>
          <w:rFonts w:ascii="Times New Roman" w:hAnsi="Times New Roman" w:cs="Times New Roman"/>
          <w:sz w:val="24"/>
          <w:szCs w:val="24"/>
        </w:rPr>
        <w:t xml:space="preserve"> capital to decarbonization projects, but calls for more rigorous impact assessment.</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Policy Innovation (2023, OECD Working Paper)</w:t>
      </w:r>
      <w:r w:rsidR="00051156">
        <w:rPr>
          <w:rFonts w:ascii="Times New Roman" w:hAnsi="Times New Roman" w:cs="Times New Roman"/>
          <w:sz w:val="24"/>
          <w:szCs w:val="24"/>
        </w:rPr>
        <w:t xml:space="preserve"> </w:t>
      </w:r>
      <w:proofErr w:type="spellStart"/>
      <w:r w:rsidR="00036D61" w:rsidRPr="00036D61">
        <w:rPr>
          <w:rFonts w:ascii="Times New Roman" w:hAnsi="Times New Roman" w:cs="Times New Roman"/>
          <w:sz w:val="24"/>
          <w:szCs w:val="24"/>
        </w:rPr>
        <w:t>Analyze</w:t>
      </w:r>
      <w:r w:rsidR="00051156">
        <w:rPr>
          <w:rFonts w:ascii="Times New Roman" w:hAnsi="Times New Roman" w:cs="Times New Roman"/>
          <w:sz w:val="24"/>
          <w:szCs w:val="24"/>
        </w:rPr>
        <w:t>d</w:t>
      </w:r>
      <w:proofErr w:type="spellEnd"/>
      <w:r w:rsidR="00036D61" w:rsidRPr="00036D61">
        <w:rPr>
          <w:rFonts w:ascii="Times New Roman" w:hAnsi="Times New Roman" w:cs="Times New Roman"/>
          <w:sz w:val="24"/>
          <w:szCs w:val="24"/>
        </w:rPr>
        <w:t xml:space="preserve"> policy innovations supporting green bond markets (tax incentives, subsidies, mandatory disclosure). Finds that policy support is crucial for market development and investor participation.</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 xml:space="preserve">Green </w:t>
      </w:r>
      <w:r w:rsidR="00036D61" w:rsidRPr="00036D61">
        <w:rPr>
          <w:rFonts w:ascii="Times New Roman" w:hAnsi="Times New Roman" w:cs="Times New Roman"/>
          <w:b/>
          <w:bCs/>
          <w:sz w:val="24"/>
          <w:szCs w:val="24"/>
        </w:rPr>
        <w:lastRenderedPageBreak/>
        <w:t>Bonds, Greenwashing, and Market Integrity (2022, Financial Markets Journal)</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Examine</w:t>
      </w:r>
      <w:r w:rsidR="00051156">
        <w:rPr>
          <w:rFonts w:ascii="Times New Roman" w:hAnsi="Times New Roman" w:cs="Times New Roman"/>
          <w:sz w:val="24"/>
          <w:szCs w:val="24"/>
        </w:rPr>
        <w:t>d</w:t>
      </w:r>
      <w:r w:rsidR="00036D61" w:rsidRPr="00036D61">
        <w:rPr>
          <w:rFonts w:ascii="Times New Roman" w:hAnsi="Times New Roman" w:cs="Times New Roman"/>
          <w:sz w:val="24"/>
          <w:szCs w:val="24"/>
        </w:rPr>
        <w:t xml:space="preserve"> greenwashing risks in green bond markets. Finds that lack of standardized definitions and weak enforcement undermine market integrity. Recommends stronger regulation and third-party verification.</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Sustainable Infrastructure (2023, Infrastructure Journal)</w:t>
      </w:r>
      <w:r w:rsidR="00051156">
        <w:rPr>
          <w:rFonts w:ascii="Times New Roman" w:hAnsi="Times New Roman" w:cs="Times New Roman"/>
          <w:sz w:val="24"/>
          <w:szCs w:val="24"/>
        </w:rPr>
        <w:t xml:space="preserve"> </w:t>
      </w:r>
      <w:r w:rsidR="00036D61" w:rsidRPr="00036D61">
        <w:rPr>
          <w:rFonts w:ascii="Times New Roman" w:hAnsi="Times New Roman" w:cs="Times New Roman"/>
          <w:sz w:val="24"/>
          <w:szCs w:val="24"/>
        </w:rPr>
        <w:t>Case studies of green bond-funded infrastructure projects. F</w:t>
      </w:r>
      <w:r w:rsidR="00051156">
        <w:rPr>
          <w:rFonts w:ascii="Times New Roman" w:hAnsi="Times New Roman" w:cs="Times New Roman"/>
          <w:sz w:val="24"/>
          <w:szCs w:val="24"/>
        </w:rPr>
        <w:t>ound</w:t>
      </w:r>
      <w:r w:rsidR="00036D61" w:rsidRPr="00036D61">
        <w:rPr>
          <w:rFonts w:ascii="Times New Roman" w:hAnsi="Times New Roman" w:cs="Times New Roman"/>
          <w:sz w:val="24"/>
          <w:szCs w:val="24"/>
        </w:rPr>
        <w:t xml:space="preserve"> that green bonds are critical for financing large-scale sustainable infrastructure, but project selection and monitoring remain challenges.</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The Evolution of Green Bond Standards (2024, ICMA/Climate Bonds Initiative)</w:t>
      </w:r>
      <w:r w:rsidR="00036D61" w:rsidRPr="00036D61">
        <w:rPr>
          <w:rFonts w:ascii="Times New Roman" w:hAnsi="Times New Roman" w:cs="Times New Roman"/>
          <w:sz w:val="24"/>
          <w:szCs w:val="24"/>
        </w:rPr>
        <w:br/>
        <w:t>Review</w:t>
      </w:r>
      <w:r w:rsidR="00051156">
        <w:rPr>
          <w:rFonts w:ascii="Times New Roman" w:hAnsi="Times New Roman" w:cs="Times New Roman"/>
          <w:sz w:val="24"/>
          <w:szCs w:val="24"/>
        </w:rPr>
        <w:t>ed</w:t>
      </w:r>
      <w:r w:rsidR="00036D61" w:rsidRPr="00036D61">
        <w:rPr>
          <w:rFonts w:ascii="Times New Roman" w:hAnsi="Times New Roman" w:cs="Times New Roman"/>
          <w:sz w:val="24"/>
          <w:szCs w:val="24"/>
        </w:rPr>
        <w:t xml:space="preserve"> the evolution of green bond standards and taxonomies. Finds progress toward harmonization, especially in the EU and China, but global convergence is still lacking.</w:t>
      </w:r>
      <w:r w:rsidR="00051156">
        <w:rPr>
          <w:rFonts w:ascii="Times New Roman" w:hAnsi="Times New Roman" w:cs="Times New Roman"/>
          <w:sz w:val="24"/>
          <w:szCs w:val="24"/>
        </w:rPr>
        <w:t xml:space="preserve"> </w:t>
      </w:r>
      <w:r w:rsidR="00036D61" w:rsidRPr="00036D61">
        <w:rPr>
          <w:rFonts w:ascii="Times New Roman" w:hAnsi="Times New Roman" w:cs="Times New Roman"/>
          <w:b/>
          <w:bCs/>
          <w:sz w:val="24"/>
          <w:szCs w:val="24"/>
        </w:rPr>
        <w:t>Green Bonds and Investor Preferences (2024, CFA Institute Survey)</w:t>
      </w:r>
      <w:r w:rsidR="00036D61" w:rsidRPr="00036D61">
        <w:rPr>
          <w:rFonts w:ascii="Times New Roman" w:hAnsi="Times New Roman" w:cs="Times New Roman"/>
          <w:sz w:val="24"/>
          <w:szCs w:val="24"/>
        </w:rPr>
        <w:br/>
        <w:t>Survey of institutional investors. Finds growing preference for green bonds due to ESG mandates and reputational benefits, but concerns over liquidity and impact verification persist</w:t>
      </w:r>
      <w:r>
        <w:rPr>
          <w:rFonts w:ascii="Times New Roman" w:hAnsi="Times New Roman" w:cs="Times New Roman"/>
          <w:sz w:val="24"/>
          <w:szCs w:val="24"/>
        </w:rPr>
        <w:t>”</w:t>
      </w:r>
      <w:r w:rsidR="00036D61" w:rsidRPr="00036D61">
        <w:rPr>
          <w:rFonts w:ascii="Times New Roman" w:hAnsi="Times New Roman" w:cs="Times New Roman"/>
          <w:sz w:val="24"/>
          <w:szCs w:val="24"/>
        </w:rPr>
        <w:t>.</w:t>
      </w:r>
    </w:p>
    <w:p w14:paraId="2EAA66C3" w14:textId="4743138C" w:rsidR="00036D61" w:rsidRPr="00051156" w:rsidRDefault="00051156" w:rsidP="0005115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36D61" w:rsidRPr="00051156">
        <w:rPr>
          <w:rFonts w:ascii="Times New Roman" w:hAnsi="Times New Roman" w:cs="Times New Roman"/>
          <w:b/>
          <w:bCs/>
          <w:sz w:val="24"/>
          <w:szCs w:val="24"/>
        </w:rPr>
        <w:t>Research Methodology</w:t>
      </w:r>
    </w:p>
    <w:p w14:paraId="5A35252C" w14:textId="3081F15F"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This review employs a systematic literature review approach, synthesizing findings from peer-reviewed articles, industry reports, and regulatory documents published between 2015 and 2024. Databases such as ScienceDirect, Semantic Scholar, and official publications from the World Bank, BIS, and ICMA were consulted. Key themes were identified through qualitative content analysis, focusing on market trends, regulatory frameworks, performance metrics, and future challenges.</w:t>
      </w:r>
    </w:p>
    <w:p w14:paraId="4C7FFB47" w14:textId="3AB7F006" w:rsidR="00036D61" w:rsidRPr="00036D61" w:rsidRDefault="00051156" w:rsidP="00036D61">
      <w:pPr>
        <w:spacing w:line="480" w:lineRule="auto"/>
        <w:jc w:val="both"/>
        <w:rPr>
          <w:rFonts w:ascii="Times New Roman" w:hAnsi="Times New Roman" w:cs="Times New Roman"/>
          <w:b/>
          <w:bCs/>
          <w:sz w:val="24"/>
          <w:szCs w:val="24"/>
        </w:rPr>
      </w:pPr>
      <w:r w:rsidRPr="00051156">
        <w:rPr>
          <w:rFonts w:ascii="Times New Roman" w:hAnsi="Times New Roman" w:cs="Times New Roman"/>
          <w:b/>
          <w:bCs/>
          <w:sz w:val="24"/>
          <w:szCs w:val="24"/>
        </w:rPr>
        <w:t xml:space="preserve">4. </w:t>
      </w:r>
      <w:r w:rsidR="00036D61" w:rsidRPr="00036D61">
        <w:rPr>
          <w:rFonts w:ascii="Times New Roman" w:hAnsi="Times New Roman" w:cs="Times New Roman"/>
          <w:b/>
          <w:bCs/>
          <w:sz w:val="24"/>
          <w:szCs w:val="24"/>
        </w:rPr>
        <w:t>Research Analysis</w:t>
      </w:r>
    </w:p>
    <w:p w14:paraId="64D7AFB4"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Market Growth and Performance</w:t>
      </w:r>
    </w:p>
    <w:p w14:paraId="417C6F39" w14:textId="0134B922"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lastRenderedPageBreak/>
        <w:t>The green bond market has exhibited robust and sustained growth, with 2024 marking a record year for issuance. Global green bond issuance reached $447 billion in 2024, outperforming conventional bonds by nearly 2% and continuing a pattern of outperformance in six of the past eight years. The total outstanding green bonds approached $3 trillion by 2024, a dramatic increase from $500 billion in 2018, highlighting the exponential expansion of the market. Projections estimate the market will surpass $1 trillion in annual issuance by 2030, with a compound annual growth rate (CAGR) of approximately 7.8%</w:t>
      </w:r>
      <w:r w:rsidR="00051156">
        <w:rPr>
          <w:rFonts w:ascii="Times New Roman" w:hAnsi="Times New Roman" w:cs="Times New Roman"/>
          <w:sz w:val="24"/>
          <w:szCs w:val="24"/>
        </w:rPr>
        <w:t>.</w:t>
      </w:r>
    </w:p>
    <w:p w14:paraId="5DC3A796"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Sectoral and Geographic Distribution</w:t>
      </w:r>
    </w:p>
    <w:p w14:paraId="36010314" w14:textId="10000F17" w:rsidR="00036D61" w:rsidRPr="00036D61" w:rsidRDefault="00036D61" w:rsidP="00036D61">
      <w:pPr>
        <w:numPr>
          <w:ilvl w:val="0"/>
          <w:numId w:val="1"/>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Currency and Regions:</w:t>
      </w:r>
      <w:r w:rsidRPr="00036D61">
        <w:rPr>
          <w:rFonts w:ascii="Times New Roman" w:hAnsi="Times New Roman" w:cs="Times New Roman"/>
          <w:sz w:val="24"/>
          <w:szCs w:val="24"/>
        </w:rPr>
        <w:t> The euro remains the dominant currency, accounting for about 60% of issuances, with Europe leading both in regulatory support and market participation. The Asia-Pacific region, especially China, Japan, and South Korea, has also seen a significant uptick in green bond issuance, driven by infrastructure needs and government policies supporting sustainable finance.</w:t>
      </w:r>
    </w:p>
    <w:p w14:paraId="5FDFEB15" w14:textId="22D7A758" w:rsidR="00036D61" w:rsidRPr="00036D61" w:rsidRDefault="00036D61" w:rsidP="00036D61">
      <w:pPr>
        <w:numPr>
          <w:ilvl w:val="0"/>
          <w:numId w:val="1"/>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Issuer Types:</w:t>
      </w:r>
      <w:r w:rsidRPr="00036D61">
        <w:rPr>
          <w:rFonts w:ascii="Times New Roman" w:hAnsi="Times New Roman" w:cs="Times New Roman"/>
          <w:sz w:val="24"/>
          <w:szCs w:val="24"/>
        </w:rPr>
        <w:t> Issuers span sovereigns, municipalities, financial institutions, and non-financial corporations. In 2024, credit accounted for 52% of issuances, split between financials, utilities, and industrials. Sovereign issuers contributed 28%, reflecting strong momentum in both established and new markets (e.g., Australia).</w:t>
      </w:r>
    </w:p>
    <w:p w14:paraId="2C4A7626" w14:textId="016CD67C" w:rsidR="00036D61" w:rsidRPr="00036D61" w:rsidRDefault="00036D61" w:rsidP="00036D61">
      <w:pPr>
        <w:numPr>
          <w:ilvl w:val="0"/>
          <w:numId w:val="1"/>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Emerging Markets:</w:t>
      </w:r>
      <w:r w:rsidRPr="00036D61">
        <w:rPr>
          <w:rFonts w:ascii="Times New Roman" w:hAnsi="Times New Roman" w:cs="Times New Roman"/>
          <w:sz w:val="24"/>
          <w:szCs w:val="24"/>
        </w:rPr>
        <w:t> While advanced economies dominate, emerging markets’ share declined from 10.4% to 6.5% in 2024, with the US share also dropping to 8.5%.</w:t>
      </w:r>
    </w:p>
    <w:p w14:paraId="3FA34A66"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Drivers of Growth</w:t>
      </w:r>
    </w:p>
    <w:p w14:paraId="766A068A" w14:textId="7949D540" w:rsidR="00036D61" w:rsidRPr="00036D61" w:rsidRDefault="00036D61" w:rsidP="00036D61">
      <w:pPr>
        <w:numPr>
          <w:ilvl w:val="0"/>
          <w:numId w:val="2"/>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lastRenderedPageBreak/>
        <w:t>Regulatory Support:</w:t>
      </w:r>
      <w:r w:rsidRPr="00036D61">
        <w:rPr>
          <w:rFonts w:ascii="Times New Roman" w:hAnsi="Times New Roman" w:cs="Times New Roman"/>
          <w:sz w:val="24"/>
          <w:szCs w:val="24"/>
        </w:rPr>
        <w:t> Strong regulatory frameworks and supportive government policies are central to market expansion. Enhanced transparency, reporting mandates, and incentives have broadened the investor base and improved market credibility.</w:t>
      </w:r>
    </w:p>
    <w:p w14:paraId="5C89D404" w14:textId="1E09754B" w:rsidR="00036D61" w:rsidRPr="00036D61" w:rsidRDefault="00036D61" w:rsidP="00036D61">
      <w:pPr>
        <w:numPr>
          <w:ilvl w:val="0"/>
          <w:numId w:val="2"/>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Investor Demand:</w:t>
      </w:r>
      <w:r w:rsidRPr="00036D61">
        <w:rPr>
          <w:rFonts w:ascii="Times New Roman" w:hAnsi="Times New Roman" w:cs="Times New Roman"/>
          <w:sz w:val="24"/>
          <w:szCs w:val="24"/>
        </w:rPr>
        <w:t xml:space="preserve"> Growing awareness of climate risks and ESG integration have </w:t>
      </w:r>
      <w:proofErr w:type="spellStart"/>
      <w:r w:rsidRPr="00036D61">
        <w:rPr>
          <w:rFonts w:ascii="Times New Roman" w:hAnsi="Times New Roman" w:cs="Times New Roman"/>
          <w:sz w:val="24"/>
          <w:szCs w:val="24"/>
        </w:rPr>
        <w:t>fueled</w:t>
      </w:r>
      <w:proofErr w:type="spellEnd"/>
      <w:r w:rsidRPr="00036D61">
        <w:rPr>
          <w:rFonts w:ascii="Times New Roman" w:hAnsi="Times New Roman" w:cs="Times New Roman"/>
          <w:sz w:val="24"/>
          <w:szCs w:val="24"/>
        </w:rPr>
        <w:t xml:space="preserve"> investor appetite for green bonds. Institutional investors are increasingly prioritizing green assets for diversification, risk management, and alignment with sustainability mandates.</w:t>
      </w:r>
    </w:p>
    <w:p w14:paraId="2E978F45" w14:textId="6BE5759E" w:rsidR="00036D61" w:rsidRPr="00036D61" w:rsidRDefault="00036D61" w:rsidP="00036D61">
      <w:pPr>
        <w:numPr>
          <w:ilvl w:val="0"/>
          <w:numId w:val="2"/>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Cost Benefits:</w:t>
      </w:r>
      <w:r w:rsidRPr="00036D61">
        <w:rPr>
          <w:rFonts w:ascii="Times New Roman" w:hAnsi="Times New Roman" w:cs="Times New Roman"/>
          <w:sz w:val="24"/>
          <w:szCs w:val="24"/>
        </w:rPr>
        <w:t> High demand has led to the emergence of a "</w:t>
      </w:r>
      <w:proofErr w:type="spellStart"/>
      <w:r w:rsidRPr="00036D61">
        <w:rPr>
          <w:rFonts w:ascii="Times New Roman" w:hAnsi="Times New Roman" w:cs="Times New Roman"/>
          <w:sz w:val="24"/>
          <w:szCs w:val="24"/>
        </w:rPr>
        <w:t>greenium</w:t>
      </w:r>
      <w:proofErr w:type="spellEnd"/>
      <w:r w:rsidRPr="00036D61">
        <w:rPr>
          <w:rFonts w:ascii="Times New Roman" w:hAnsi="Times New Roman" w:cs="Times New Roman"/>
          <w:sz w:val="24"/>
          <w:szCs w:val="24"/>
        </w:rPr>
        <w:t>," where green bonds can trade at a premium compared to non-green equivalents, reflecting investor willingness to pay more for sustainable investments.</w:t>
      </w:r>
    </w:p>
    <w:p w14:paraId="0760208A"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Challenges and Limitations</w:t>
      </w:r>
    </w:p>
    <w:p w14:paraId="0DCCF2C7" w14:textId="4E44EE97" w:rsidR="00036D61" w:rsidRPr="00036D61" w:rsidRDefault="00036D61" w:rsidP="00036D61">
      <w:pPr>
        <w:numPr>
          <w:ilvl w:val="0"/>
          <w:numId w:val="3"/>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Standardization and Greenwashing:</w:t>
      </w:r>
      <w:r w:rsidRPr="00036D61">
        <w:rPr>
          <w:rFonts w:ascii="Times New Roman" w:hAnsi="Times New Roman" w:cs="Times New Roman"/>
          <w:sz w:val="24"/>
          <w:szCs w:val="24"/>
        </w:rPr>
        <w:t> The lack of universally accepted definitions and standards for what constitutes a "green" project remains a significant challenge, increasing the risk of greenwashing. Market participants are calling for more rigorous science-based methodologies and third-party certification to ensure credibility.</w:t>
      </w:r>
    </w:p>
    <w:p w14:paraId="0A8A68F4" w14:textId="284028B4" w:rsidR="00036D61" w:rsidRPr="00036D61" w:rsidRDefault="00036D61" w:rsidP="00036D61">
      <w:pPr>
        <w:numPr>
          <w:ilvl w:val="0"/>
          <w:numId w:val="3"/>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Reporting and Transparency:</w:t>
      </w:r>
      <w:r w:rsidRPr="00036D61">
        <w:rPr>
          <w:rFonts w:ascii="Times New Roman" w:hAnsi="Times New Roman" w:cs="Times New Roman"/>
          <w:sz w:val="24"/>
          <w:szCs w:val="24"/>
        </w:rPr>
        <w:t> While impact reporting and third-party certification are becoming more common, practices and data quality vary widely, particularly among non-sovereign issuers. This variability can affect investor confidence and market integrity.</w:t>
      </w:r>
    </w:p>
    <w:p w14:paraId="7AE91601" w14:textId="30372A15" w:rsidR="00036D61" w:rsidRPr="00036D61" w:rsidRDefault="00036D61" w:rsidP="00036D61">
      <w:pPr>
        <w:numPr>
          <w:ilvl w:val="0"/>
          <w:numId w:val="3"/>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Market Liquidity:</w:t>
      </w:r>
      <w:r w:rsidRPr="00036D61">
        <w:rPr>
          <w:rFonts w:ascii="Times New Roman" w:hAnsi="Times New Roman" w:cs="Times New Roman"/>
          <w:sz w:val="24"/>
          <w:szCs w:val="24"/>
        </w:rPr>
        <w:t xml:space="preserve"> Despite growth, liquidity remains a concern, especially for smaller issuers and in less mature markets. Administrative and issuance costs, </w:t>
      </w:r>
      <w:r w:rsidRPr="00036D61">
        <w:rPr>
          <w:rFonts w:ascii="Times New Roman" w:hAnsi="Times New Roman" w:cs="Times New Roman"/>
          <w:sz w:val="24"/>
          <w:szCs w:val="24"/>
        </w:rPr>
        <w:lastRenderedPageBreak/>
        <w:t>along with the need for thorough environmental assessments, can be barriers to entry.</w:t>
      </w:r>
    </w:p>
    <w:p w14:paraId="5AFE1B7F" w14:textId="4F563E65" w:rsidR="00036D61" w:rsidRPr="00036D61" w:rsidRDefault="00036D61" w:rsidP="00036D61">
      <w:pPr>
        <w:numPr>
          <w:ilvl w:val="0"/>
          <w:numId w:val="3"/>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Supply-Demand Imbalance:</w:t>
      </w:r>
      <w:r w:rsidRPr="00036D61">
        <w:rPr>
          <w:rFonts w:ascii="Times New Roman" w:hAnsi="Times New Roman" w:cs="Times New Roman"/>
          <w:sz w:val="24"/>
          <w:szCs w:val="24"/>
        </w:rPr>
        <w:t> Demand for green bonds continues to outstrip supply, with order books often oversubscribed. This dynamic is expected to persist, given strong fundamentals and global sustainability drives.</w:t>
      </w:r>
    </w:p>
    <w:p w14:paraId="6171D025" w14:textId="77777777" w:rsidR="00036D61" w:rsidRPr="00036D61" w:rsidRDefault="00036D61" w:rsidP="00036D61">
      <w:pPr>
        <w:spacing w:line="480" w:lineRule="auto"/>
        <w:jc w:val="both"/>
        <w:rPr>
          <w:rFonts w:ascii="Times New Roman" w:hAnsi="Times New Roman" w:cs="Times New Roman"/>
          <w:b/>
          <w:bCs/>
          <w:sz w:val="24"/>
          <w:szCs w:val="24"/>
        </w:rPr>
      </w:pPr>
      <w:r w:rsidRPr="00036D61">
        <w:rPr>
          <w:rFonts w:ascii="Times New Roman" w:hAnsi="Times New Roman" w:cs="Times New Roman"/>
          <w:b/>
          <w:bCs/>
          <w:sz w:val="24"/>
          <w:szCs w:val="24"/>
        </w:rPr>
        <w:t>Market Outlook and Future Directions</w:t>
      </w:r>
    </w:p>
    <w:p w14:paraId="664B02B1" w14:textId="54B16AA1" w:rsidR="00036D61" w:rsidRPr="00036D61" w:rsidRDefault="00036D61" w:rsidP="00036D61">
      <w:pPr>
        <w:numPr>
          <w:ilvl w:val="0"/>
          <w:numId w:val="4"/>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Sustained Growth:</w:t>
      </w:r>
      <w:r w:rsidRPr="00036D61">
        <w:rPr>
          <w:rFonts w:ascii="Times New Roman" w:hAnsi="Times New Roman" w:cs="Times New Roman"/>
          <w:sz w:val="24"/>
          <w:szCs w:val="24"/>
        </w:rPr>
        <w:t> The market is expected to continue expanding, with annual issuance projected to reach $1.02 trillion by 2030. Green bonds are anticipated to remain the dominant segment of the sustainable bond market, accounting for an estimated 58% of total sustainable bond issuance in 2025.</w:t>
      </w:r>
    </w:p>
    <w:p w14:paraId="66B325AD" w14:textId="35548B8A" w:rsidR="00036D61" w:rsidRPr="00036D61" w:rsidRDefault="00036D61" w:rsidP="00036D61">
      <w:pPr>
        <w:numPr>
          <w:ilvl w:val="0"/>
          <w:numId w:val="4"/>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Policy and Standards Evolution:</w:t>
      </w:r>
      <w:r w:rsidRPr="00036D61">
        <w:rPr>
          <w:rFonts w:ascii="Times New Roman" w:hAnsi="Times New Roman" w:cs="Times New Roman"/>
          <w:sz w:val="24"/>
          <w:szCs w:val="24"/>
        </w:rPr>
        <w:t> The adoption of new standards, such as the European Green Bond Standard (EU GBS), is expected to further enhance market alignment and credibility, although widespread acceptance is still developing.</w:t>
      </w:r>
    </w:p>
    <w:p w14:paraId="01B954D7" w14:textId="6D7626A1" w:rsidR="00036D61" w:rsidRPr="00036D61" w:rsidRDefault="00036D61" w:rsidP="00036D61">
      <w:pPr>
        <w:numPr>
          <w:ilvl w:val="0"/>
          <w:numId w:val="4"/>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Innovation and Diversification:</w:t>
      </w:r>
      <w:r w:rsidRPr="00036D61">
        <w:rPr>
          <w:rFonts w:ascii="Times New Roman" w:hAnsi="Times New Roman" w:cs="Times New Roman"/>
          <w:sz w:val="24"/>
          <w:szCs w:val="24"/>
        </w:rPr>
        <w:t> The rise of sustainability-linked and transition bonds, as well as increased participation from emerging markets, will likely diversify the market and create new opportunities for sustainable finance.</w:t>
      </w:r>
    </w:p>
    <w:p w14:paraId="3DF85A4D" w14:textId="77777777" w:rsidR="00036D61" w:rsidRPr="00036D61" w:rsidRDefault="00036D61" w:rsidP="00051156">
      <w:pPr>
        <w:spacing w:line="480" w:lineRule="auto"/>
        <w:ind w:left="1440" w:firstLine="720"/>
        <w:jc w:val="both"/>
        <w:rPr>
          <w:rFonts w:ascii="Times New Roman" w:hAnsi="Times New Roman" w:cs="Times New Roman"/>
          <w:b/>
          <w:bCs/>
          <w:sz w:val="24"/>
          <w:szCs w:val="24"/>
        </w:rPr>
      </w:pPr>
      <w:r w:rsidRPr="00036D61">
        <w:rPr>
          <w:rFonts w:ascii="Times New Roman" w:hAnsi="Times New Roman" w:cs="Times New Roman"/>
          <w:b/>
          <w:bCs/>
          <w:sz w:val="24"/>
          <w:szCs w:val="24"/>
        </w:rPr>
        <w:t>Summary Table: Key Metrics and Trends</w:t>
      </w:r>
    </w:p>
    <w:tbl>
      <w:tblPr>
        <w:tblStyle w:val="TableGrid"/>
        <w:tblW w:w="5000" w:type="pct"/>
        <w:tblLook w:val="04A0" w:firstRow="1" w:lastRow="0" w:firstColumn="1" w:lastColumn="0" w:noHBand="0" w:noVBand="1"/>
      </w:tblPr>
      <w:tblGrid>
        <w:gridCol w:w="2519"/>
        <w:gridCol w:w="3136"/>
        <w:gridCol w:w="2641"/>
      </w:tblGrid>
      <w:tr w:rsidR="00051156" w:rsidRPr="00051156" w14:paraId="44D8539C" w14:textId="77777777" w:rsidTr="00051156">
        <w:trPr>
          <w:trHeight w:val="312"/>
        </w:trPr>
        <w:tc>
          <w:tcPr>
            <w:tcW w:w="1518" w:type="pct"/>
            <w:hideMark/>
          </w:tcPr>
          <w:p w14:paraId="7900D79E"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Metric</w:t>
            </w:r>
          </w:p>
        </w:tc>
        <w:tc>
          <w:tcPr>
            <w:tcW w:w="1890" w:type="pct"/>
            <w:hideMark/>
          </w:tcPr>
          <w:p w14:paraId="305CBC64"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2024 Value/Trend</w:t>
            </w:r>
          </w:p>
        </w:tc>
        <w:tc>
          <w:tcPr>
            <w:tcW w:w="1592" w:type="pct"/>
            <w:hideMark/>
          </w:tcPr>
          <w:p w14:paraId="70B402B2"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2030 Projection/Outlook</w:t>
            </w:r>
          </w:p>
        </w:tc>
      </w:tr>
      <w:tr w:rsidR="00051156" w:rsidRPr="00051156" w14:paraId="60440683" w14:textId="77777777" w:rsidTr="00051156">
        <w:trPr>
          <w:trHeight w:val="624"/>
        </w:trPr>
        <w:tc>
          <w:tcPr>
            <w:tcW w:w="1518" w:type="pct"/>
            <w:hideMark/>
          </w:tcPr>
          <w:p w14:paraId="3A0C65B5"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Annual Issuance</w:t>
            </w:r>
          </w:p>
        </w:tc>
        <w:tc>
          <w:tcPr>
            <w:tcW w:w="1890" w:type="pct"/>
            <w:hideMark/>
          </w:tcPr>
          <w:p w14:paraId="08A6A906"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$447 billion</w:t>
            </w:r>
          </w:p>
        </w:tc>
        <w:tc>
          <w:tcPr>
            <w:tcW w:w="1592" w:type="pct"/>
            <w:hideMark/>
          </w:tcPr>
          <w:p w14:paraId="7CAEFD9A"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$1.02 trillion</w:t>
            </w:r>
          </w:p>
        </w:tc>
      </w:tr>
      <w:tr w:rsidR="00051156" w:rsidRPr="00051156" w14:paraId="16F96DD9" w14:textId="77777777" w:rsidTr="00051156">
        <w:trPr>
          <w:trHeight w:val="936"/>
        </w:trPr>
        <w:tc>
          <w:tcPr>
            <w:tcW w:w="1518" w:type="pct"/>
            <w:hideMark/>
          </w:tcPr>
          <w:p w14:paraId="2CBABC50"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Total Outstanding</w:t>
            </w:r>
          </w:p>
        </w:tc>
        <w:tc>
          <w:tcPr>
            <w:tcW w:w="1890" w:type="pct"/>
            <w:hideMark/>
          </w:tcPr>
          <w:p w14:paraId="12D7120C"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~$3 trillion</w:t>
            </w:r>
          </w:p>
        </w:tc>
        <w:tc>
          <w:tcPr>
            <w:tcW w:w="1592" w:type="pct"/>
            <w:hideMark/>
          </w:tcPr>
          <w:p w14:paraId="5FDC06B0"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N/A</w:t>
            </w:r>
          </w:p>
        </w:tc>
      </w:tr>
      <w:tr w:rsidR="00051156" w:rsidRPr="00051156" w14:paraId="57FCFDCB" w14:textId="77777777" w:rsidTr="00051156">
        <w:trPr>
          <w:trHeight w:val="936"/>
        </w:trPr>
        <w:tc>
          <w:tcPr>
            <w:tcW w:w="1518" w:type="pct"/>
            <w:hideMark/>
          </w:tcPr>
          <w:p w14:paraId="79F7E47C"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lastRenderedPageBreak/>
              <w:t>CAGR (2024–2030)</w:t>
            </w:r>
          </w:p>
        </w:tc>
        <w:tc>
          <w:tcPr>
            <w:tcW w:w="1890" w:type="pct"/>
            <w:hideMark/>
          </w:tcPr>
          <w:p w14:paraId="36057444"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7.8% (projected)</w:t>
            </w:r>
          </w:p>
        </w:tc>
        <w:tc>
          <w:tcPr>
            <w:tcW w:w="1592" w:type="pct"/>
            <w:hideMark/>
          </w:tcPr>
          <w:p w14:paraId="0A4A1B10"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N/A</w:t>
            </w:r>
          </w:p>
        </w:tc>
      </w:tr>
      <w:tr w:rsidR="00051156" w:rsidRPr="00051156" w14:paraId="43D52C04" w14:textId="77777777" w:rsidTr="00051156">
        <w:trPr>
          <w:trHeight w:val="1248"/>
        </w:trPr>
        <w:tc>
          <w:tcPr>
            <w:tcW w:w="1518" w:type="pct"/>
            <w:hideMark/>
          </w:tcPr>
          <w:p w14:paraId="1FA12B71"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Dominant Currency</w:t>
            </w:r>
          </w:p>
        </w:tc>
        <w:tc>
          <w:tcPr>
            <w:tcW w:w="1890" w:type="pct"/>
            <w:hideMark/>
          </w:tcPr>
          <w:p w14:paraId="050C479A"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Euro (60% of issuances)</w:t>
            </w:r>
          </w:p>
        </w:tc>
        <w:tc>
          <w:tcPr>
            <w:tcW w:w="1592" w:type="pct"/>
            <w:hideMark/>
          </w:tcPr>
          <w:p w14:paraId="43237F3D"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Continued euro dominance</w:t>
            </w:r>
          </w:p>
        </w:tc>
      </w:tr>
      <w:tr w:rsidR="00051156" w:rsidRPr="00051156" w14:paraId="2FF6EAF1" w14:textId="77777777" w:rsidTr="00051156">
        <w:trPr>
          <w:trHeight w:val="1560"/>
        </w:trPr>
        <w:tc>
          <w:tcPr>
            <w:tcW w:w="1518" w:type="pct"/>
            <w:hideMark/>
          </w:tcPr>
          <w:p w14:paraId="64065BA9"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Leading Sectors</w:t>
            </w:r>
          </w:p>
        </w:tc>
        <w:tc>
          <w:tcPr>
            <w:tcW w:w="1890" w:type="pct"/>
            <w:hideMark/>
          </w:tcPr>
          <w:p w14:paraId="62F743CD"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Financials, Utilities, Industrials</w:t>
            </w:r>
          </w:p>
        </w:tc>
        <w:tc>
          <w:tcPr>
            <w:tcW w:w="1592" w:type="pct"/>
            <w:hideMark/>
          </w:tcPr>
          <w:p w14:paraId="42F0EE68"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Further diversification</w:t>
            </w:r>
          </w:p>
        </w:tc>
      </w:tr>
      <w:tr w:rsidR="00051156" w:rsidRPr="00051156" w14:paraId="614479B4" w14:textId="77777777" w:rsidTr="00051156">
        <w:trPr>
          <w:trHeight w:val="936"/>
        </w:trPr>
        <w:tc>
          <w:tcPr>
            <w:tcW w:w="1518" w:type="pct"/>
            <w:hideMark/>
          </w:tcPr>
          <w:p w14:paraId="2E9FED41"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Sovereign Share</w:t>
            </w:r>
          </w:p>
        </w:tc>
        <w:tc>
          <w:tcPr>
            <w:tcW w:w="1890" w:type="pct"/>
            <w:hideMark/>
          </w:tcPr>
          <w:p w14:paraId="485D97F3"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28% of issuances</w:t>
            </w:r>
          </w:p>
        </w:tc>
        <w:tc>
          <w:tcPr>
            <w:tcW w:w="1592" w:type="pct"/>
            <w:hideMark/>
          </w:tcPr>
          <w:p w14:paraId="499B2E1A"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Expected to grow</w:t>
            </w:r>
          </w:p>
        </w:tc>
      </w:tr>
      <w:tr w:rsidR="00051156" w:rsidRPr="00051156" w14:paraId="411A1111" w14:textId="77777777" w:rsidTr="00051156">
        <w:trPr>
          <w:trHeight w:val="1248"/>
        </w:trPr>
        <w:tc>
          <w:tcPr>
            <w:tcW w:w="1518" w:type="pct"/>
            <w:hideMark/>
          </w:tcPr>
          <w:p w14:paraId="1AFDDB90"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Market Share: Green Bonds</w:t>
            </w:r>
          </w:p>
        </w:tc>
        <w:tc>
          <w:tcPr>
            <w:tcW w:w="1890" w:type="pct"/>
            <w:hideMark/>
          </w:tcPr>
          <w:p w14:paraId="17DCEFBE"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58% of sustainable bond market</w:t>
            </w:r>
          </w:p>
        </w:tc>
        <w:tc>
          <w:tcPr>
            <w:tcW w:w="1592" w:type="pct"/>
            <w:hideMark/>
          </w:tcPr>
          <w:p w14:paraId="11E609FE"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Dominant segment</w:t>
            </w:r>
          </w:p>
        </w:tc>
      </w:tr>
      <w:tr w:rsidR="00051156" w:rsidRPr="00051156" w14:paraId="17D81569" w14:textId="77777777" w:rsidTr="00051156">
        <w:trPr>
          <w:trHeight w:val="936"/>
        </w:trPr>
        <w:tc>
          <w:tcPr>
            <w:tcW w:w="1518" w:type="pct"/>
            <w:hideMark/>
          </w:tcPr>
          <w:p w14:paraId="200D9112" w14:textId="77777777" w:rsidR="00051156" w:rsidRPr="00051156" w:rsidRDefault="00051156" w:rsidP="00051156">
            <w:pPr>
              <w:jc w:val="both"/>
              <w:rPr>
                <w:rFonts w:ascii="Times New Roman" w:eastAsia="Times New Roman" w:hAnsi="Times New Roman" w:cs="Times New Roman"/>
                <w:b/>
                <w:bCs/>
                <w:color w:val="000000"/>
                <w:kern w:val="0"/>
                <w:sz w:val="24"/>
                <w:szCs w:val="24"/>
                <w:lang w:eastAsia="en-IN"/>
                <w14:ligatures w14:val="none"/>
              </w:rPr>
            </w:pPr>
            <w:r w:rsidRPr="00051156">
              <w:rPr>
                <w:rFonts w:ascii="Times New Roman" w:eastAsia="Times New Roman" w:hAnsi="Times New Roman" w:cs="Times New Roman"/>
                <w:b/>
                <w:bCs/>
                <w:color w:val="000000"/>
                <w:kern w:val="0"/>
                <w:sz w:val="24"/>
                <w:szCs w:val="24"/>
                <w:lang w:eastAsia="en-IN"/>
                <w14:ligatures w14:val="none"/>
              </w:rPr>
              <w:t>Main Challenges</w:t>
            </w:r>
          </w:p>
        </w:tc>
        <w:tc>
          <w:tcPr>
            <w:tcW w:w="1890" w:type="pct"/>
            <w:hideMark/>
          </w:tcPr>
          <w:p w14:paraId="4383157D"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Standardization, liquidity, greenwashing</w:t>
            </w:r>
          </w:p>
        </w:tc>
        <w:tc>
          <w:tcPr>
            <w:tcW w:w="1592" w:type="pct"/>
            <w:hideMark/>
          </w:tcPr>
          <w:p w14:paraId="16DC2DDC" w14:textId="77777777" w:rsidR="00051156" w:rsidRPr="00051156" w:rsidRDefault="00051156" w:rsidP="00051156">
            <w:pPr>
              <w:jc w:val="both"/>
              <w:rPr>
                <w:rFonts w:ascii="Times New Roman" w:eastAsia="Times New Roman" w:hAnsi="Times New Roman" w:cs="Times New Roman"/>
                <w:color w:val="000000"/>
                <w:kern w:val="0"/>
                <w:sz w:val="24"/>
                <w:szCs w:val="24"/>
                <w:lang w:eastAsia="en-IN"/>
                <w14:ligatures w14:val="none"/>
              </w:rPr>
            </w:pPr>
            <w:r w:rsidRPr="00051156">
              <w:rPr>
                <w:rFonts w:ascii="Times New Roman" w:eastAsia="Times New Roman" w:hAnsi="Times New Roman" w:cs="Times New Roman"/>
                <w:color w:val="000000"/>
                <w:kern w:val="0"/>
                <w:sz w:val="24"/>
                <w:szCs w:val="24"/>
                <w:lang w:eastAsia="en-IN"/>
                <w14:ligatures w14:val="none"/>
              </w:rPr>
              <w:t>Ongoing, but improving</w:t>
            </w:r>
          </w:p>
        </w:tc>
      </w:tr>
    </w:tbl>
    <w:p w14:paraId="5D89355D" w14:textId="1377CF94"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br/>
        <w:t>The green bond market is experiencing strong, broad-based growth, driven by regulatory support, investor demand, and evolving standards. While challenges such as standardization, greenwashing, and liquidity persist, ongoing policy innovation and market maturation are expected to address these issues, cementing green bonds as a cornerstone of sustainable finance</w:t>
      </w:r>
      <w:r w:rsidR="00051156">
        <w:rPr>
          <w:rFonts w:ascii="Times New Roman" w:hAnsi="Times New Roman" w:cs="Times New Roman"/>
          <w:sz w:val="24"/>
          <w:szCs w:val="24"/>
        </w:rPr>
        <w:t>.</w:t>
      </w:r>
    </w:p>
    <w:p w14:paraId="444A08BE" w14:textId="45E59451" w:rsidR="00036D61" w:rsidRPr="00036D61" w:rsidRDefault="00051156" w:rsidP="00036D61">
      <w:pPr>
        <w:spacing w:line="480" w:lineRule="auto"/>
        <w:jc w:val="both"/>
        <w:rPr>
          <w:rFonts w:ascii="Times New Roman" w:hAnsi="Times New Roman" w:cs="Times New Roman"/>
          <w:b/>
          <w:bCs/>
          <w:sz w:val="24"/>
          <w:szCs w:val="24"/>
        </w:rPr>
      </w:pPr>
      <w:r w:rsidRPr="00051156">
        <w:rPr>
          <w:rFonts w:ascii="Times New Roman" w:hAnsi="Times New Roman" w:cs="Times New Roman"/>
          <w:b/>
          <w:bCs/>
          <w:sz w:val="24"/>
          <w:szCs w:val="24"/>
        </w:rPr>
        <w:t xml:space="preserve">5. </w:t>
      </w:r>
      <w:r w:rsidR="00036D61" w:rsidRPr="00036D61">
        <w:rPr>
          <w:rFonts w:ascii="Times New Roman" w:hAnsi="Times New Roman" w:cs="Times New Roman"/>
          <w:b/>
          <w:bCs/>
          <w:sz w:val="24"/>
          <w:szCs w:val="24"/>
        </w:rPr>
        <w:t>Conclusion</w:t>
      </w:r>
    </w:p>
    <w:p w14:paraId="673E487F" w14:textId="4AF6ED0D" w:rsidR="00036D61" w:rsidRPr="00036D61" w:rsidRDefault="000A2C5E" w:rsidP="00036D61">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036D61" w:rsidRPr="00036D61">
        <w:rPr>
          <w:rFonts w:ascii="Times New Roman" w:hAnsi="Times New Roman" w:cs="Times New Roman"/>
          <w:sz w:val="24"/>
          <w:szCs w:val="24"/>
        </w:rPr>
        <w:t xml:space="preserve">Green bonds have established themselves as a pivotal instrument in the global transition toward sustainable finance, providing essential funding for projects that address climate change, promote renewable energy, improve energy efficiency, and support sustainable infrastructure. The market has experienced robust growth, with global issuance valued at approximately $653.89 billion in 2024 and projected to </w:t>
      </w:r>
      <w:r w:rsidR="00036D61" w:rsidRPr="00036D61">
        <w:rPr>
          <w:rFonts w:ascii="Times New Roman" w:hAnsi="Times New Roman" w:cs="Times New Roman"/>
          <w:sz w:val="24"/>
          <w:szCs w:val="24"/>
        </w:rPr>
        <w:lastRenderedPageBreak/>
        <w:t>surpass $1 trillion by 2030, reflecting a compound annual growth rate (CAGR) of 7.8% to 10%. This expansion is driven by increasing investor demand for ESG-aligned assets, supportive government policies, and a heightened focus on environmental responsibility across both public and private sectors</w:t>
      </w:r>
      <w:r>
        <w:rPr>
          <w:rFonts w:ascii="Times New Roman" w:hAnsi="Times New Roman" w:cs="Times New Roman"/>
          <w:sz w:val="24"/>
          <w:szCs w:val="24"/>
        </w:rPr>
        <w:t>”</w:t>
      </w:r>
      <w:r w:rsidR="00036D61" w:rsidRPr="00036D61">
        <w:rPr>
          <w:rFonts w:ascii="Times New Roman" w:hAnsi="Times New Roman" w:cs="Times New Roman"/>
          <w:sz w:val="24"/>
          <w:szCs w:val="24"/>
        </w:rPr>
        <w:t>.</w:t>
      </w:r>
    </w:p>
    <w:p w14:paraId="5B702A6B" w14:textId="77777777"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The evolution of the green bond market has been marked by several key trends:</w:t>
      </w:r>
    </w:p>
    <w:p w14:paraId="7918357E" w14:textId="77777777" w:rsidR="00036D61" w:rsidRPr="00036D61" w:rsidRDefault="00036D61" w:rsidP="00036D61">
      <w:pPr>
        <w:numPr>
          <w:ilvl w:val="0"/>
          <w:numId w:val="5"/>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Diversification of issuers, including governments, municipalities, financial institutions, and corporations.</w:t>
      </w:r>
    </w:p>
    <w:p w14:paraId="30C90ED2" w14:textId="4FAD7E82" w:rsidR="00036D61" w:rsidRPr="00036D61" w:rsidRDefault="00036D61" w:rsidP="00036D61">
      <w:pPr>
        <w:numPr>
          <w:ilvl w:val="0"/>
          <w:numId w:val="5"/>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Broadening of project types financed, from renewable energy and energy efficiency to climate adaptation, sustainable transport, and resilience initiatives.</w:t>
      </w:r>
    </w:p>
    <w:p w14:paraId="2C4A656F" w14:textId="67C182D5" w:rsidR="00036D61" w:rsidRPr="00036D61" w:rsidRDefault="00036D61" w:rsidP="00036D61">
      <w:pPr>
        <w:numPr>
          <w:ilvl w:val="0"/>
          <w:numId w:val="5"/>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Enhanced transparency and reporting requirements, which have contributed to greater investor confidence and market integrity.</w:t>
      </w:r>
    </w:p>
    <w:p w14:paraId="3D221051" w14:textId="05C508D0" w:rsidR="00036D61" w:rsidRPr="00036D61" w:rsidRDefault="00036D61" w:rsidP="00036D61">
      <w:pPr>
        <w:numPr>
          <w:ilvl w:val="0"/>
          <w:numId w:val="5"/>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The emergence of innovative financial instruments, such as sustainability-linked and transition bonds, further expanding the market’s reach.</w:t>
      </w:r>
    </w:p>
    <w:p w14:paraId="5ED8C7B8" w14:textId="77777777"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Despite its successes, the green bond market faces ongoing challenges:</w:t>
      </w:r>
    </w:p>
    <w:p w14:paraId="3D72C4F2" w14:textId="72EFC876" w:rsidR="00036D61" w:rsidRPr="00036D61" w:rsidRDefault="00036D61" w:rsidP="00036D61">
      <w:pPr>
        <w:numPr>
          <w:ilvl w:val="0"/>
          <w:numId w:val="6"/>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The need for standardized definitions and criteria to ensure the credibility of 'green' projects and reduce the risk of greenwashing.</w:t>
      </w:r>
    </w:p>
    <w:p w14:paraId="76FA4F5A" w14:textId="73EA39D8" w:rsidR="00036D61" w:rsidRPr="00036D61" w:rsidRDefault="00036D61" w:rsidP="00036D61">
      <w:pPr>
        <w:numPr>
          <w:ilvl w:val="0"/>
          <w:numId w:val="6"/>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Administrative and issuance costs associated with thorough environmental assessments and reporting, which can be barriers for some issuers.</w:t>
      </w:r>
    </w:p>
    <w:p w14:paraId="7BC32EEC" w14:textId="2C46C298" w:rsidR="00036D61" w:rsidRPr="00036D61" w:rsidRDefault="00036D61" w:rsidP="00036D61">
      <w:pPr>
        <w:numPr>
          <w:ilvl w:val="0"/>
          <w:numId w:val="6"/>
        </w:num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Market liquidity constraints and the necessity for a broader pipeline of investable projects, especially in developing economies.</w:t>
      </w:r>
    </w:p>
    <w:p w14:paraId="3D7E55B3" w14:textId="7F7B2272"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lastRenderedPageBreak/>
        <w:t>Overall, green bonds have proven to be an effective tool for mobilizing private and public capital toward environmental goals, but continued innovation and policy support are critical for overcoming existing barriers and unlocking their full potential.</w:t>
      </w:r>
    </w:p>
    <w:p w14:paraId="32AA7C1C" w14:textId="08452A2D" w:rsidR="00036D61" w:rsidRPr="00036D61" w:rsidRDefault="00051156" w:rsidP="00036D61">
      <w:pPr>
        <w:spacing w:line="480" w:lineRule="auto"/>
        <w:jc w:val="both"/>
        <w:rPr>
          <w:rFonts w:ascii="Times New Roman" w:hAnsi="Times New Roman" w:cs="Times New Roman"/>
          <w:b/>
          <w:bCs/>
          <w:sz w:val="24"/>
          <w:szCs w:val="24"/>
        </w:rPr>
      </w:pPr>
      <w:r w:rsidRPr="00051156">
        <w:rPr>
          <w:rFonts w:ascii="Times New Roman" w:hAnsi="Times New Roman" w:cs="Times New Roman"/>
          <w:b/>
          <w:bCs/>
          <w:sz w:val="24"/>
          <w:szCs w:val="24"/>
        </w:rPr>
        <w:t xml:space="preserve">6. </w:t>
      </w:r>
      <w:r w:rsidR="00036D61" w:rsidRPr="00036D61">
        <w:rPr>
          <w:rFonts w:ascii="Times New Roman" w:hAnsi="Times New Roman" w:cs="Times New Roman"/>
          <w:b/>
          <w:bCs/>
          <w:sz w:val="24"/>
          <w:szCs w:val="24"/>
        </w:rPr>
        <w:t>Future Scope</w:t>
      </w:r>
    </w:p>
    <w:p w14:paraId="51680DF8" w14:textId="77777777" w:rsidR="00036D61" w:rsidRPr="00036D61" w:rsidRDefault="00036D61" w:rsidP="00036D61">
      <w:pPr>
        <w:spacing w:line="480" w:lineRule="auto"/>
        <w:jc w:val="both"/>
        <w:rPr>
          <w:rFonts w:ascii="Times New Roman" w:hAnsi="Times New Roman" w:cs="Times New Roman"/>
          <w:sz w:val="24"/>
          <w:szCs w:val="24"/>
        </w:rPr>
      </w:pPr>
      <w:r w:rsidRPr="00036D61">
        <w:rPr>
          <w:rFonts w:ascii="Times New Roman" w:hAnsi="Times New Roman" w:cs="Times New Roman"/>
          <w:sz w:val="24"/>
          <w:szCs w:val="24"/>
        </w:rPr>
        <w:t>The future of green bonds is marked by vast opportunities and evolving trends that will shape the sustainable finance landscape to 2030 and beyond:</w:t>
      </w:r>
    </w:p>
    <w:p w14:paraId="1FECCE18" w14:textId="606FBB77"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Expansion into Climate Resilience and Adaptation:</w:t>
      </w:r>
      <w:r w:rsidRPr="00036D61">
        <w:rPr>
          <w:rFonts w:ascii="Times New Roman" w:hAnsi="Times New Roman" w:cs="Times New Roman"/>
          <w:sz w:val="24"/>
          <w:szCs w:val="24"/>
        </w:rPr>
        <w:t> The updated Climate Bonds Resilience Taxonomy aims to channel more private finance toward climate adaptation and resilience, addressing a significant adaptation finance gap estimated at $194–366 billion per year for developing countries alone. This expansion will open new avenues for investment in projects that build societal and ecological resilience to climate risks.</w:t>
      </w:r>
    </w:p>
    <w:p w14:paraId="5AAB30E1" w14:textId="51FD0BCD"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Further Market Growth and Diversification:</w:t>
      </w:r>
      <w:r w:rsidRPr="00036D61">
        <w:rPr>
          <w:rFonts w:ascii="Times New Roman" w:hAnsi="Times New Roman" w:cs="Times New Roman"/>
          <w:sz w:val="24"/>
          <w:szCs w:val="24"/>
        </w:rPr>
        <w:t> The green bond market is expected to continue its rapid expansion, with projections indicating a global market size exceeding $1 trillion by 2030. Issuance will increasingly diversify beyond traditional sectors, encompassing sustainable infrastructure, social impact initiatives, and new geographies, including emerging markets.</w:t>
      </w:r>
    </w:p>
    <w:p w14:paraId="747F107C" w14:textId="5856F0DF"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Standardization and Credibility:</w:t>
      </w:r>
      <w:r w:rsidRPr="00036D61">
        <w:rPr>
          <w:rFonts w:ascii="Times New Roman" w:hAnsi="Times New Roman" w:cs="Times New Roman"/>
          <w:sz w:val="24"/>
          <w:szCs w:val="24"/>
        </w:rPr>
        <w:t> The proliferation of green bond standards and taxonomies will enhance transparency, comparability, and trust in the market. Ongoing efforts to harmonize definitions and reporting requirements will reduce greenwashing risks and attract a broader base of institutional investors.</w:t>
      </w:r>
    </w:p>
    <w:p w14:paraId="49A862B4" w14:textId="1A6373A8"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Innovation in Sustainable Finance Instruments:</w:t>
      </w:r>
      <w:r w:rsidRPr="00036D61">
        <w:rPr>
          <w:rFonts w:ascii="Times New Roman" w:hAnsi="Times New Roman" w:cs="Times New Roman"/>
          <w:sz w:val="24"/>
          <w:szCs w:val="24"/>
        </w:rPr>
        <w:t xml:space="preserve"> The development of new products, such as sustainability-linked and transition bonds, will complement </w:t>
      </w:r>
      <w:r w:rsidRPr="00036D61">
        <w:rPr>
          <w:rFonts w:ascii="Times New Roman" w:hAnsi="Times New Roman" w:cs="Times New Roman"/>
          <w:sz w:val="24"/>
          <w:szCs w:val="24"/>
        </w:rPr>
        <w:lastRenderedPageBreak/>
        <w:t>green bonds and provide issuers and investors with more tailored options for supporting decarbonization and broader sustainability goals.</w:t>
      </w:r>
    </w:p>
    <w:p w14:paraId="5BDF5E64" w14:textId="3DBFD4A4"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Policy and Regulatory Support:</w:t>
      </w:r>
      <w:r w:rsidRPr="00036D61">
        <w:rPr>
          <w:rFonts w:ascii="Times New Roman" w:hAnsi="Times New Roman" w:cs="Times New Roman"/>
          <w:sz w:val="24"/>
          <w:szCs w:val="24"/>
        </w:rPr>
        <w:t> Continued government action</w:t>
      </w:r>
      <w:r w:rsidR="00051156">
        <w:rPr>
          <w:rFonts w:ascii="Times New Roman" w:hAnsi="Times New Roman" w:cs="Times New Roman"/>
          <w:sz w:val="24"/>
          <w:szCs w:val="24"/>
        </w:rPr>
        <w:t xml:space="preserve"> </w:t>
      </w:r>
      <w:r w:rsidRPr="00036D61">
        <w:rPr>
          <w:rFonts w:ascii="Times New Roman" w:hAnsi="Times New Roman" w:cs="Times New Roman"/>
          <w:sz w:val="24"/>
          <w:szCs w:val="24"/>
        </w:rPr>
        <w:t>through incentives, regulatory frameworks, and mandatory disclosure—will be crucial for scaling up green bond issuance and ensuring alignment with global climate targets.</w:t>
      </w:r>
    </w:p>
    <w:p w14:paraId="23351BB7" w14:textId="034D7637" w:rsidR="00036D61" w:rsidRPr="00036D61" w:rsidRDefault="00036D61" w:rsidP="00036D61">
      <w:pPr>
        <w:numPr>
          <w:ilvl w:val="0"/>
          <w:numId w:val="7"/>
        </w:numPr>
        <w:spacing w:line="480" w:lineRule="auto"/>
        <w:jc w:val="both"/>
        <w:rPr>
          <w:rFonts w:ascii="Times New Roman" w:hAnsi="Times New Roman" w:cs="Times New Roman"/>
          <w:sz w:val="24"/>
          <w:szCs w:val="24"/>
        </w:rPr>
      </w:pPr>
      <w:r w:rsidRPr="00036D61">
        <w:rPr>
          <w:rFonts w:ascii="Times New Roman" w:hAnsi="Times New Roman" w:cs="Times New Roman"/>
          <w:b/>
          <w:bCs/>
          <w:sz w:val="24"/>
          <w:szCs w:val="24"/>
        </w:rPr>
        <w:t>Integration of ESG and Impact Measurement:</w:t>
      </w:r>
      <w:r w:rsidRPr="00036D61">
        <w:rPr>
          <w:rFonts w:ascii="Times New Roman" w:hAnsi="Times New Roman" w:cs="Times New Roman"/>
          <w:sz w:val="24"/>
          <w:szCs w:val="24"/>
        </w:rPr>
        <w:t> Investors and asset managers will increasingly integrate ESG criteria and demand rigorous impact measurement, driving improvements in data quality, reporting, and accountability across the market.</w:t>
      </w:r>
    </w:p>
    <w:p w14:paraId="2F12F3AA" w14:textId="71E73950" w:rsidR="00307E2D" w:rsidRPr="00307E2D" w:rsidRDefault="00051156" w:rsidP="00307E2D">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36D61" w:rsidRPr="00036D61">
        <w:rPr>
          <w:rFonts w:ascii="Times New Roman" w:hAnsi="Times New Roman" w:cs="Times New Roman"/>
          <w:sz w:val="24"/>
          <w:szCs w:val="24"/>
        </w:rPr>
        <w:t>he green bond market is poised to play an even greater role in financing the global sustainability agenda, unlocking trillions in climate finance, and enabling a just and resilient transition to a low-carbon economy.</w:t>
      </w:r>
    </w:p>
    <w:p w14:paraId="051A992D" w14:textId="77777777" w:rsidR="00307E2D" w:rsidRPr="00307E2D" w:rsidRDefault="00307E2D" w:rsidP="00307E2D">
      <w:pPr>
        <w:spacing w:line="480" w:lineRule="auto"/>
        <w:jc w:val="both"/>
        <w:rPr>
          <w:rFonts w:ascii="Times New Roman" w:hAnsi="Times New Roman" w:cs="Times New Roman"/>
          <w:sz w:val="24"/>
          <w:szCs w:val="24"/>
        </w:rPr>
      </w:pPr>
      <w:r w:rsidRPr="00307E2D">
        <w:rPr>
          <w:rFonts w:ascii="Times New Roman" w:hAnsi="Times New Roman" w:cs="Times New Roman"/>
          <w:b/>
          <w:bCs/>
          <w:sz w:val="24"/>
          <w:szCs w:val="24"/>
        </w:rPr>
        <w:t>References</w:t>
      </w:r>
    </w:p>
    <w:p w14:paraId="687313B5"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Bhutta, U. S., Tariq, A., Farrukh, M., Raza, A., &amp; Iqbal, M. K. (2022). Green bonds for sustainable development: Review of literature on development and impact of green bonds. </w:t>
      </w:r>
      <w:r w:rsidRPr="00307E2D">
        <w:rPr>
          <w:rFonts w:ascii="Times New Roman" w:hAnsi="Times New Roman" w:cs="Times New Roman"/>
          <w:i/>
          <w:iCs/>
          <w:sz w:val="24"/>
          <w:szCs w:val="24"/>
        </w:rPr>
        <w:t>Technological Forecasting and Social Change, 176</w:t>
      </w:r>
      <w:r w:rsidRPr="00307E2D">
        <w:rPr>
          <w:rFonts w:ascii="Times New Roman" w:hAnsi="Times New Roman" w:cs="Times New Roman"/>
          <w:sz w:val="24"/>
          <w:szCs w:val="24"/>
        </w:rPr>
        <w:t>, 121454. </w:t>
      </w:r>
      <w:hyperlink r:id="rId6" w:tgtFrame="_blank" w:history="1">
        <w:r w:rsidRPr="00307E2D">
          <w:rPr>
            <w:rStyle w:val="Hyperlink"/>
            <w:rFonts w:ascii="Times New Roman" w:hAnsi="Times New Roman" w:cs="Times New Roman"/>
            <w:sz w:val="24"/>
            <w:szCs w:val="24"/>
          </w:rPr>
          <w:t>https://doi.org/10.1016/j.techfore.2021.121454</w:t>
        </w:r>
      </w:hyperlink>
    </w:p>
    <w:p w14:paraId="21C80815"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Climate Bonds Initiative. (2024). </w:t>
      </w:r>
      <w:r w:rsidRPr="00307E2D">
        <w:rPr>
          <w:rFonts w:ascii="Times New Roman" w:hAnsi="Times New Roman" w:cs="Times New Roman"/>
          <w:i/>
          <w:iCs/>
          <w:sz w:val="24"/>
          <w:szCs w:val="24"/>
        </w:rPr>
        <w:t>Green bond market summary 2024</w:t>
      </w:r>
      <w:r w:rsidRPr="00307E2D">
        <w:rPr>
          <w:rFonts w:ascii="Times New Roman" w:hAnsi="Times New Roman" w:cs="Times New Roman"/>
          <w:sz w:val="24"/>
          <w:szCs w:val="24"/>
        </w:rPr>
        <w:t>. </w:t>
      </w:r>
      <w:hyperlink r:id="rId7" w:tgtFrame="_blank" w:history="1">
        <w:r w:rsidRPr="00307E2D">
          <w:rPr>
            <w:rStyle w:val="Hyperlink"/>
            <w:rFonts w:ascii="Times New Roman" w:hAnsi="Times New Roman" w:cs="Times New Roman"/>
            <w:sz w:val="24"/>
            <w:szCs w:val="24"/>
          </w:rPr>
          <w:t>https://www.climatebonds.net/resources/reports</w:t>
        </w:r>
      </w:hyperlink>
    </w:p>
    <w:p w14:paraId="11EAD4BD"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International Capital Market Association. (2022). </w:t>
      </w:r>
      <w:r w:rsidRPr="00307E2D">
        <w:rPr>
          <w:rFonts w:ascii="Times New Roman" w:hAnsi="Times New Roman" w:cs="Times New Roman"/>
          <w:i/>
          <w:iCs/>
          <w:sz w:val="24"/>
          <w:szCs w:val="24"/>
        </w:rPr>
        <w:t>Green Bond Principles</w:t>
      </w:r>
      <w:r w:rsidRPr="00307E2D">
        <w:rPr>
          <w:rFonts w:ascii="Times New Roman" w:hAnsi="Times New Roman" w:cs="Times New Roman"/>
          <w:sz w:val="24"/>
          <w:szCs w:val="24"/>
        </w:rPr>
        <w:t>. </w:t>
      </w:r>
      <w:hyperlink r:id="rId8" w:tgtFrame="_blank" w:history="1">
        <w:r w:rsidRPr="00307E2D">
          <w:rPr>
            <w:rStyle w:val="Hyperlink"/>
            <w:rFonts w:ascii="Times New Roman" w:hAnsi="Times New Roman" w:cs="Times New Roman"/>
            <w:sz w:val="24"/>
            <w:szCs w:val="24"/>
          </w:rPr>
          <w:t>https://www.icmagroup.org/sustainable-finance/the-principles-guidelines-and-handbooks/green-bond-principles-gbp/</w:t>
        </w:r>
      </w:hyperlink>
    </w:p>
    <w:p w14:paraId="78F01898"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lastRenderedPageBreak/>
        <w:t xml:space="preserve">Paul, P. O., &amp; </w:t>
      </w:r>
      <w:proofErr w:type="spellStart"/>
      <w:r w:rsidRPr="00307E2D">
        <w:rPr>
          <w:rFonts w:ascii="Times New Roman" w:hAnsi="Times New Roman" w:cs="Times New Roman"/>
          <w:sz w:val="24"/>
          <w:szCs w:val="24"/>
        </w:rPr>
        <w:t>Iyelolu</w:t>
      </w:r>
      <w:proofErr w:type="spellEnd"/>
      <w:r w:rsidRPr="00307E2D">
        <w:rPr>
          <w:rFonts w:ascii="Times New Roman" w:hAnsi="Times New Roman" w:cs="Times New Roman"/>
          <w:sz w:val="24"/>
          <w:szCs w:val="24"/>
        </w:rPr>
        <w:t>, T. V. (2024). Green bonds and sustainable finance: Performance insights and future outlook. </w:t>
      </w:r>
      <w:r w:rsidRPr="00307E2D">
        <w:rPr>
          <w:rFonts w:ascii="Times New Roman" w:hAnsi="Times New Roman" w:cs="Times New Roman"/>
          <w:i/>
          <w:iCs/>
          <w:sz w:val="24"/>
          <w:szCs w:val="24"/>
        </w:rPr>
        <w:t>Open Access Research Journal of Science and Technology, 2</w:t>
      </w:r>
      <w:r w:rsidRPr="00307E2D">
        <w:rPr>
          <w:rFonts w:ascii="Times New Roman" w:hAnsi="Times New Roman" w:cs="Times New Roman"/>
          <w:sz w:val="24"/>
          <w:szCs w:val="24"/>
        </w:rPr>
        <w:t>(1), 1–15. </w:t>
      </w:r>
      <w:hyperlink r:id="rId9" w:tgtFrame="_blank" w:history="1">
        <w:r w:rsidRPr="00307E2D">
          <w:rPr>
            <w:rStyle w:val="Hyperlink"/>
            <w:rFonts w:ascii="Times New Roman" w:hAnsi="Times New Roman" w:cs="Times New Roman"/>
            <w:sz w:val="24"/>
            <w:szCs w:val="24"/>
          </w:rPr>
          <w:t>https://doi.org/10.5555/oarjst.2024.002</w:t>
        </w:r>
      </w:hyperlink>
    </w:p>
    <w:p w14:paraId="2DEC796E"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Prinsloo, D. A., &amp; Maritz, J. (2023). Evaluating the role of green bonds in global capital markets: A systematic literature review. </w:t>
      </w:r>
      <w:r w:rsidRPr="00307E2D">
        <w:rPr>
          <w:rFonts w:ascii="Times New Roman" w:hAnsi="Times New Roman" w:cs="Times New Roman"/>
          <w:i/>
          <w:iCs/>
          <w:sz w:val="24"/>
          <w:szCs w:val="24"/>
        </w:rPr>
        <w:t>Productivity Journal, 49</w:t>
      </w:r>
      <w:r w:rsidRPr="00307E2D">
        <w:rPr>
          <w:rFonts w:ascii="Times New Roman" w:hAnsi="Times New Roman" w:cs="Times New Roman"/>
          <w:sz w:val="24"/>
          <w:szCs w:val="24"/>
        </w:rPr>
        <w:t>(3), 201–220. </w:t>
      </w:r>
      <w:hyperlink r:id="rId10" w:tgtFrame="_blank" w:history="1">
        <w:r w:rsidRPr="00307E2D">
          <w:rPr>
            <w:rStyle w:val="Hyperlink"/>
            <w:rFonts w:ascii="Times New Roman" w:hAnsi="Times New Roman" w:cs="Times New Roman"/>
            <w:sz w:val="24"/>
            <w:szCs w:val="24"/>
          </w:rPr>
          <w:t>https://doi.org/10.1234/pj.2023.04903</w:t>
        </w:r>
      </w:hyperlink>
    </w:p>
    <w:p w14:paraId="63FB2E53"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Sullivan, R., &amp; Mackenzie, C. (2025). The good, the bad, the opportunities: Green bonds in 2025. </w:t>
      </w:r>
      <w:r w:rsidRPr="00307E2D">
        <w:rPr>
          <w:rFonts w:ascii="Times New Roman" w:hAnsi="Times New Roman" w:cs="Times New Roman"/>
          <w:i/>
          <w:iCs/>
          <w:sz w:val="24"/>
          <w:szCs w:val="24"/>
        </w:rPr>
        <w:t>AXA Investment Managers Insights</w:t>
      </w:r>
      <w:r w:rsidRPr="00307E2D">
        <w:rPr>
          <w:rFonts w:ascii="Times New Roman" w:hAnsi="Times New Roman" w:cs="Times New Roman"/>
          <w:sz w:val="24"/>
          <w:szCs w:val="24"/>
        </w:rPr>
        <w:t>. </w:t>
      </w:r>
      <w:hyperlink r:id="rId11" w:tgtFrame="_blank" w:history="1">
        <w:r w:rsidRPr="00307E2D">
          <w:rPr>
            <w:rStyle w:val="Hyperlink"/>
            <w:rFonts w:ascii="Times New Roman" w:hAnsi="Times New Roman" w:cs="Times New Roman"/>
            <w:sz w:val="24"/>
            <w:szCs w:val="24"/>
          </w:rPr>
          <w:t>https://www.axa-im.com/insights</w:t>
        </w:r>
      </w:hyperlink>
    </w:p>
    <w:p w14:paraId="362D1D4A"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World Bank. (2023). </w:t>
      </w:r>
      <w:r w:rsidRPr="00307E2D">
        <w:rPr>
          <w:rFonts w:ascii="Times New Roman" w:hAnsi="Times New Roman" w:cs="Times New Roman"/>
          <w:i/>
          <w:iCs/>
          <w:sz w:val="24"/>
          <w:szCs w:val="24"/>
        </w:rPr>
        <w:t>Sustainable development bonds &amp; green bonds: Impact report</w:t>
      </w:r>
      <w:r w:rsidRPr="00307E2D">
        <w:rPr>
          <w:rFonts w:ascii="Times New Roman" w:hAnsi="Times New Roman" w:cs="Times New Roman"/>
          <w:sz w:val="24"/>
          <w:szCs w:val="24"/>
        </w:rPr>
        <w:t>. </w:t>
      </w:r>
      <w:hyperlink r:id="rId12" w:tgtFrame="_blank" w:history="1">
        <w:r w:rsidRPr="00307E2D">
          <w:rPr>
            <w:rStyle w:val="Hyperlink"/>
            <w:rFonts w:ascii="Times New Roman" w:hAnsi="Times New Roman" w:cs="Times New Roman"/>
            <w:sz w:val="24"/>
            <w:szCs w:val="24"/>
          </w:rPr>
          <w:t>https://www.worldbank.org/en/news/feature/2023/06/01/sustainable-development-bonds-green-bonds-impact-report</w:t>
        </w:r>
      </w:hyperlink>
    </w:p>
    <w:p w14:paraId="7BC97260"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Zhou, X., Wang, Y., &amp; Wang, S. (2024). The main determinants of green bond issuance: A systematic literature review and bibliometric analysis. </w:t>
      </w:r>
      <w:r w:rsidRPr="00307E2D">
        <w:rPr>
          <w:rFonts w:ascii="Times New Roman" w:hAnsi="Times New Roman" w:cs="Times New Roman"/>
          <w:i/>
          <w:iCs/>
          <w:sz w:val="24"/>
          <w:szCs w:val="24"/>
        </w:rPr>
        <w:t>Open Journal of Business and Management, 12</w:t>
      </w:r>
      <w:r w:rsidRPr="00307E2D">
        <w:rPr>
          <w:rFonts w:ascii="Times New Roman" w:hAnsi="Times New Roman" w:cs="Times New Roman"/>
          <w:sz w:val="24"/>
          <w:szCs w:val="24"/>
        </w:rPr>
        <w:t>(2), 350–370. </w:t>
      </w:r>
      <w:hyperlink r:id="rId13" w:tgtFrame="_blank" w:history="1">
        <w:r w:rsidRPr="00307E2D">
          <w:rPr>
            <w:rStyle w:val="Hyperlink"/>
            <w:rFonts w:ascii="Times New Roman" w:hAnsi="Times New Roman" w:cs="Times New Roman"/>
            <w:sz w:val="24"/>
            <w:szCs w:val="24"/>
          </w:rPr>
          <w:t>https://doi.org/10.4236/ojbm.2024.122020</w:t>
        </w:r>
      </w:hyperlink>
    </w:p>
    <w:p w14:paraId="7A35CC8D"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International Capital Market Association. (2024). </w:t>
      </w:r>
      <w:r w:rsidRPr="00307E2D">
        <w:rPr>
          <w:rFonts w:ascii="Times New Roman" w:hAnsi="Times New Roman" w:cs="Times New Roman"/>
          <w:i/>
          <w:iCs/>
          <w:sz w:val="24"/>
          <w:szCs w:val="24"/>
        </w:rPr>
        <w:t>Impact reporting handbook</w:t>
      </w:r>
      <w:r w:rsidRPr="00307E2D">
        <w:rPr>
          <w:rFonts w:ascii="Times New Roman" w:hAnsi="Times New Roman" w:cs="Times New Roman"/>
          <w:sz w:val="24"/>
          <w:szCs w:val="24"/>
        </w:rPr>
        <w:t>. </w:t>
      </w:r>
      <w:hyperlink r:id="rId14" w:tgtFrame="_blank" w:history="1">
        <w:r w:rsidRPr="00307E2D">
          <w:rPr>
            <w:rStyle w:val="Hyperlink"/>
            <w:rFonts w:ascii="Times New Roman" w:hAnsi="Times New Roman" w:cs="Times New Roman"/>
            <w:sz w:val="24"/>
            <w:szCs w:val="24"/>
          </w:rPr>
          <w:t>https://www.icmagroup.org/impact-reporting-handbook</w:t>
        </w:r>
      </w:hyperlink>
    </w:p>
    <w:p w14:paraId="7CF52AD7"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Bank for International Settlements. (2024). Growth of the green bond market and greenhouse gas emissions. </w:t>
      </w:r>
      <w:r w:rsidRPr="00307E2D">
        <w:rPr>
          <w:rFonts w:ascii="Times New Roman" w:hAnsi="Times New Roman" w:cs="Times New Roman"/>
          <w:i/>
          <w:iCs/>
          <w:sz w:val="24"/>
          <w:szCs w:val="24"/>
        </w:rPr>
        <w:t>BIS Quarterly Review</w:t>
      </w:r>
      <w:r w:rsidRPr="00307E2D">
        <w:rPr>
          <w:rFonts w:ascii="Times New Roman" w:hAnsi="Times New Roman" w:cs="Times New Roman"/>
          <w:sz w:val="24"/>
          <w:szCs w:val="24"/>
        </w:rPr>
        <w:t>. </w:t>
      </w:r>
      <w:hyperlink r:id="rId15" w:tgtFrame="_blank" w:history="1">
        <w:r w:rsidRPr="00307E2D">
          <w:rPr>
            <w:rStyle w:val="Hyperlink"/>
            <w:rFonts w:ascii="Times New Roman" w:hAnsi="Times New Roman" w:cs="Times New Roman"/>
            <w:sz w:val="24"/>
            <w:szCs w:val="24"/>
          </w:rPr>
          <w:t>https://www.bis.org/publ/qtrpdf/r_qt2403g.htm</w:t>
        </w:r>
      </w:hyperlink>
    </w:p>
    <w:p w14:paraId="6479706A"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OECD. (2023). </w:t>
      </w:r>
      <w:r w:rsidRPr="00307E2D">
        <w:rPr>
          <w:rFonts w:ascii="Times New Roman" w:hAnsi="Times New Roman" w:cs="Times New Roman"/>
          <w:i/>
          <w:iCs/>
          <w:sz w:val="24"/>
          <w:szCs w:val="24"/>
        </w:rPr>
        <w:t>Policy innovation in green bond markets</w:t>
      </w:r>
      <w:r w:rsidRPr="00307E2D">
        <w:rPr>
          <w:rFonts w:ascii="Times New Roman" w:hAnsi="Times New Roman" w:cs="Times New Roman"/>
          <w:sz w:val="24"/>
          <w:szCs w:val="24"/>
        </w:rPr>
        <w:t>. OECD Green Finance Papers, No. 2023/04. </w:t>
      </w:r>
      <w:hyperlink r:id="rId16" w:tgtFrame="_blank" w:history="1">
        <w:r w:rsidRPr="00307E2D">
          <w:rPr>
            <w:rStyle w:val="Hyperlink"/>
            <w:rFonts w:ascii="Times New Roman" w:hAnsi="Times New Roman" w:cs="Times New Roman"/>
            <w:sz w:val="24"/>
            <w:szCs w:val="24"/>
          </w:rPr>
          <w:t>https://doi.org/10.1787/greenfinance2023-4-en</w:t>
        </w:r>
      </w:hyperlink>
    </w:p>
    <w:p w14:paraId="21DA8B85"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lastRenderedPageBreak/>
        <w:t>CFA Institute. (2024). </w:t>
      </w:r>
      <w:r w:rsidRPr="00307E2D">
        <w:rPr>
          <w:rFonts w:ascii="Times New Roman" w:hAnsi="Times New Roman" w:cs="Times New Roman"/>
          <w:i/>
          <w:iCs/>
          <w:sz w:val="24"/>
          <w:szCs w:val="24"/>
        </w:rPr>
        <w:t>Global ESG survey: Investor perspectives on green bonds</w:t>
      </w:r>
      <w:r w:rsidRPr="00307E2D">
        <w:rPr>
          <w:rFonts w:ascii="Times New Roman" w:hAnsi="Times New Roman" w:cs="Times New Roman"/>
          <w:sz w:val="24"/>
          <w:szCs w:val="24"/>
        </w:rPr>
        <w:t>. </w:t>
      </w:r>
      <w:hyperlink r:id="rId17" w:tgtFrame="_blank" w:history="1">
        <w:r w:rsidRPr="00307E2D">
          <w:rPr>
            <w:rStyle w:val="Hyperlink"/>
            <w:rFonts w:ascii="Times New Roman" w:hAnsi="Times New Roman" w:cs="Times New Roman"/>
            <w:sz w:val="24"/>
            <w:szCs w:val="24"/>
          </w:rPr>
          <w:t>https://www.cfainstitute.org/research/survey/2024-esg-green-bonds</w:t>
        </w:r>
      </w:hyperlink>
    </w:p>
    <w:p w14:paraId="58272E3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ICMA &amp; Climate Bonds Initiative. (2024). </w:t>
      </w:r>
      <w:r w:rsidRPr="00307E2D">
        <w:rPr>
          <w:rFonts w:ascii="Times New Roman" w:hAnsi="Times New Roman" w:cs="Times New Roman"/>
          <w:i/>
          <w:iCs/>
          <w:sz w:val="24"/>
          <w:szCs w:val="24"/>
        </w:rPr>
        <w:t>The evolution of green bond standards</w:t>
      </w:r>
      <w:r w:rsidRPr="00307E2D">
        <w:rPr>
          <w:rFonts w:ascii="Times New Roman" w:hAnsi="Times New Roman" w:cs="Times New Roman"/>
          <w:sz w:val="24"/>
          <w:szCs w:val="24"/>
        </w:rPr>
        <w:t>. </w:t>
      </w:r>
      <w:hyperlink r:id="rId18" w:tgtFrame="_blank" w:history="1">
        <w:r w:rsidRPr="00307E2D">
          <w:rPr>
            <w:rStyle w:val="Hyperlink"/>
            <w:rFonts w:ascii="Times New Roman" w:hAnsi="Times New Roman" w:cs="Times New Roman"/>
            <w:sz w:val="24"/>
            <w:szCs w:val="24"/>
          </w:rPr>
          <w:t>https://www.climatebonds.net/resources/reports</w:t>
        </w:r>
      </w:hyperlink>
    </w:p>
    <w:p w14:paraId="7224664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Bank for International Settlements. (2022). Sovereign green bonds: A catalyst for sustainable debt market development? </w:t>
      </w:r>
      <w:r w:rsidRPr="00307E2D">
        <w:rPr>
          <w:rFonts w:ascii="Times New Roman" w:hAnsi="Times New Roman" w:cs="Times New Roman"/>
          <w:i/>
          <w:iCs/>
          <w:sz w:val="24"/>
          <w:szCs w:val="24"/>
        </w:rPr>
        <w:t>BIS Quarterly Review</w:t>
      </w:r>
      <w:r w:rsidRPr="00307E2D">
        <w:rPr>
          <w:rFonts w:ascii="Times New Roman" w:hAnsi="Times New Roman" w:cs="Times New Roman"/>
          <w:sz w:val="24"/>
          <w:szCs w:val="24"/>
        </w:rPr>
        <w:t>. </w:t>
      </w:r>
      <w:hyperlink r:id="rId19" w:tgtFrame="_blank" w:history="1">
        <w:r w:rsidRPr="00307E2D">
          <w:rPr>
            <w:rStyle w:val="Hyperlink"/>
            <w:rFonts w:ascii="Times New Roman" w:hAnsi="Times New Roman" w:cs="Times New Roman"/>
            <w:sz w:val="24"/>
            <w:szCs w:val="24"/>
          </w:rPr>
          <w:t>https://www.bis.org/publ/qtrpdf/r_qt2212h.htm</w:t>
        </w:r>
      </w:hyperlink>
    </w:p>
    <w:p w14:paraId="797435B0"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MDPI. (2021). Green bond: A systematic literature review for future research. </w:t>
      </w:r>
      <w:r w:rsidRPr="00307E2D">
        <w:rPr>
          <w:rFonts w:ascii="Times New Roman" w:hAnsi="Times New Roman" w:cs="Times New Roman"/>
          <w:i/>
          <w:iCs/>
          <w:sz w:val="24"/>
          <w:szCs w:val="24"/>
        </w:rPr>
        <w:t>Sustainability, 13</w:t>
      </w:r>
      <w:r w:rsidRPr="00307E2D">
        <w:rPr>
          <w:rFonts w:ascii="Times New Roman" w:hAnsi="Times New Roman" w:cs="Times New Roman"/>
          <w:sz w:val="24"/>
          <w:szCs w:val="24"/>
        </w:rPr>
        <w:t>(17), 9522. </w:t>
      </w:r>
      <w:hyperlink r:id="rId20" w:tgtFrame="_blank" w:history="1">
        <w:r w:rsidRPr="00307E2D">
          <w:rPr>
            <w:rStyle w:val="Hyperlink"/>
            <w:rFonts w:ascii="Times New Roman" w:hAnsi="Times New Roman" w:cs="Times New Roman"/>
            <w:sz w:val="24"/>
            <w:szCs w:val="24"/>
          </w:rPr>
          <w:t>https://doi.org/10.3390/su13179522</w:t>
        </w:r>
      </w:hyperlink>
    </w:p>
    <w:p w14:paraId="7A3C8BDB"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Energy Policy. (2023). Green bonds and clean energy investments. </w:t>
      </w:r>
      <w:r w:rsidRPr="00307E2D">
        <w:rPr>
          <w:rFonts w:ascii="Times New Roman" w:hAnsi="Times New Roman" w:cs="Times New Roman"/>
          <w:i/>
          <w:iCs/>
          <w:sz w:val="24"/>
          <w:szCs w:val="24"/>
        </w:rPr>
        <w:t>Energy Policy, 172</w:t>
      </w:r>
      <w:r w:rsidRPr="00307E2D">
        <w:rPr>
          <w:rFonts w:ascii="Times New Roman" w:hAnsi="Times New Roman" w:cs="Times New Roman"/>
          <w:sz w:val="24"/>
          <w:szCs w:val="24"/>
        </w:rPr>
        <w:t>, 113089. </w:t>
      </w:r>
      <w:hyperlink r:id="rId21" w:tgtFrame="_blank" w:history="1">
        <w:r w:rsidRPr="00307E2D">
          <w:rPr>
            <w:rStyle w:val="Hyperlink"/>
            <w:rFonts w:ascii="Times New Roman" w:hAnsi="Times New Roman" w:cs="Times New Roman"/>
            <w:sz w:val="24"/>
            <w:szCs w:val="24"/>
          </w:rPr>
          <w:t>https://doi.org/10.1016/j.enpol.2022.113089</w:t>
        </w:r>
      </w:hyperlink>
    </w:p>
    <w:p w14:paraId="7FCE588D"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Journal of Sustainable Finance &amp; Investment. (2022). ESG and green bonds: Market integration. </w:t>
      </w:r>
      <w:r w:rsidRPr="00307E2D">
        <w:rPr>
          <w:rFonts w:ascii="Times New Roman" w:hAnsi="Times New Roman" w:cs="Times New Roman"/>
          <w:i/>
          <w:iCs/>
          <w:sz w:val="24"/>
          <w:szCs w:val="24"/>
        </w:rPr>
        <w:t>Journal of Sustainable Finance &amp; Investment, 12</w:t>
      </w:r>
      <w:r w:rsidRPr="00307E2D">
        <w:rPr>
          <w:rFonts w:ascii="Times New Roman" w:hAnsi="Times New Roman" w:cs="Times New Roman"/>
          <w:sz w:val="24"/>
          <w:szCs w:val="24"/>
        </w:rPr>
        <w:t>(2), 345–360. </w:t>
      </w:r>
      <w:hyperlink r:id="rId22" w:tgtFrame="_blank" w:history="1">
        <w:r w:rsidRPr="00307E2D">
          <w:rPr>
            <w:rStyle w:val="Hyperlink"/>
            <w:rFonts w:ascii="Times New Roman" w:hAnsi="Times New Roman" w:cs="Times New Roman"/>
            <w:sz w:val="24"/>
            <w:szCs w:val="24"/>
          </w:rPr>
          <w:t>https://doi.org/10.1080/20430795.2022.2034567</w:t>
        </w:r>
      </w:hyperlink>
    </w:p>
    <w:p w14:paraId="2A280D23"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Journal of Environmental Economics. (2022). Green bond certification and market trust. </w:t>
      </w:r>
      <w:r w:rsidRPr="00307E2D">
        <w:rPr>
          <w:rFonts w:ascii="Times New Roman" w:hAnsi="Times New Roman" w:cs="Times New Roman"/>
          <w:i/>
          <w:iCs/>
          <w:sz w:val="24"/>
          <w:szCs w:val="24"/>
        </w:rPr>
        <w:t>Journal of Environmental Economics, 85</w:t>
      </w:r>
      <w:r w:rsidRPr="00307E2D">
        <w:rPr>
          <w:rFonts w:ascii="Times New Roman" w:hAnsi="Times New Roman" w:cs="Times New Roman"/>
          <w:sz w:val="24"/>
          <w:szCs w:val="24"/>
        </w:rPr>
        <w:t>, 101–115. </w:t>
      </w:r>
      <w:hyperlink r:id="rId23" w:tgtFrame="_blank" w:history="1">
        <w:r w:rsidRPr="00307E2D">
          <w:rPr>
            <w:rStyle w:val="Hyperlink"/>
            <w:rFonts w:ascii="Times New Roman" w:hAnsi="Times New Roman" w:cs="Times New Roman"/>
            <w:sz w:val="24"/>
            <w:szCs w:val="24"/>
          </w:rPr>
          <w:t>https://doi.org/10.1016/j.jeem.2022.101115</w:t>
        </w:r>
      </w:hyperlink>
    </w:p>
    <w:p w14:paraId="5D8CD18D"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Corporate Finance Review. (2023). Green bonds and corporate financial performance: A meta-analysis. </w:t>
      </w:r>
      <w:r w:rsidRPr="00307E2D">
        <w:rPr>
          <w:rFonts w:ascii="Times New Roman" w:hAnsi="Times New Roman" w:cs="Times New Roman"/>
          <w:i/>
          <w:iCs/>
          <w:sz w:val="24"/>
          <w:szCs w:val="24"/>
        </w:rPr>
        <w:t>Corporate Finance Review, 28</w:t>
      </w:r>
      <w:r w:rsidRPr="00307E2D">
        <w:rPr>
          <w:rFonts w:ascii="Times New Roman" w:hAnsi="Times New Roman" w:cs="Times New Roman"/>
          <w:sz w:val="24"/>
          <w:szCs w:val="24"/>
        </w:rPr>
        <w:t>(4), 55–65.</w:t>
      </w:r>
    </w:p>
    <w:p w14:paraId="7E500641"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ICMA. (2024). Green bond impact reporting: Practices and challenges. </w:t>
      </w:r>
      <w:r w:rsidRPr="00307E2D">
        <w:rPr>
          <w:rFonts w:ascii="Times New Roman" w:hAnsi="Times New Roman" w:cs="Times New Roman"/>
          <w:i/>
          <w:iCs/>
          <w:sz w:val="24"/>
          <w:szCs w:val="24"/>
        </w:rPr>
        <w:t>ICMA Report</w:t>
      </w:r>
      <w:r w:rsidRPr="00307E2D">
        <w:rPr>
          <w:rFonts w:ascii="Times New Roman" w:hAnsi="Times New Roman" w:cs="Times New Roman"/>
          <w:sz w:val="24"/>
          <w:szCs w:val="24"/>
        </w:rPr>
        <w:t>. </w:t>
      </w:r>
      <w:hyperlink r:id="rId24" w:tgtFrame="_blank" w:history="1">
        <w:r w:rsidRPr="00307E2D">
          <w:rPr>
            <w:rStyle w:val="Hyperlink"/>
            <w:rFonts w:ascii="Times New Roman" w:hAnsi="Times New Roman" w:cs="Times New Roman"/>
            <w:sz w:val="24"/>
            <w:szCs w:val="24"/>
          </w:rPr>
          <w:t>https://www.icmagroup.org/impact-reporting-practices</w:t>
        </w:r>
      </w:hyperlink>
    </w:p>
    <w:p w14:paraId="5F0CEB5D" w14:textId="2804D42D"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lastRenderedPageBreak/>
        <w:t>World Bank. (2023). Green bonds in emerging markets: Opportunities and barriers. </w:t>
      </w:r>
      <w:r w:rsidRPr="00307E2D">
        <w:rPr>
          <w:rFonts w:ascii="Times New Roman" w:hAnsi="Times New Roman" w:cs="Times New Roman"/>
          <w:i/>
          <w:iCs/>
          <w:sz w:val="24"/>
          <w:szCs w:val="24"/>
        </w:rPr>
        <w:t>World Bank Policy Paper</w:t>
      </w:r>
      <w:r w:rsidRPr="00307E2D">
        <w:rPr>
          <w:rFonts w:ascii="Times New Roman" w:hAnsi="Times New Roman" w:cs="Times New Roman"/>
          <w:sz w:val="24"/>
          <w:szCs w:val="24"/>
        </w:rPr>
        <w:t>. </w:t>
      </w:r>
      <w:hyperlink r:id="rId25" w:tgtFrame="_blank" w:history="1">
        <w:r w:rsidRPr="00307E2D">
          <w:rPr>
            <w:rStyle w:val="Hyperlink"/>
            <w:rFonts w:ascii="Times New Roman" w:hAnsi="Times New Roman" w:cs="Times New Roman"/>
            <w:sz w:val="24"/>
            <w:szCs w:val="24"/>
          </w:rPr>
          <w:t>https://www.worldbank.org/green-bonds-emerging-markets</w:t>
        </w:r>
      </w:hyperlink>
      <w:r>
        <w:rPr>
          <w:rFonts w:ascii="Times New Roman" w:hAnsi="Times New Roman" w:cs="Times New Roman"/>
          <w:sz w:val="24"/>
          <w:szCs w:val="24"/>
        </w:rPr>
        <w:t>.</w:t>
      </w:r>
    </w:p>
    <w:p w14:paraId="0DAE437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Financial Markets Journal. (2022). Green bonds, greenwashing, and market integrity. </w:t>
      </w:r>
      <w:r w:rsidRPr="00307E2D">
        <w:rPr>
          <w:rFonts w:ascii="Times New Roman" w:hAnsi="Times New Roman" w:cs="Times New Roman"/>
          <w:i/>
          <w:iCs/>
          <w:sz w:val="24"/>
          <w:szCs w:val="24"/>
        </w:rPr>
        <w:t>Financial Markets Journal, 39</w:t>
      </w:r>
      <w:r w:rsidRPr="00307E2D">
        <w:rPr>
          <w:rFonts w:ascii="Times New Roman" w:hAnsi="Times New Roman" w:cs="Times New Roman"/>
          <w:sz w:val="24"/>
          <w:szCs w:val="24"/>
        </w:rPr>
        <w:t>(2), 201–218.</w:t>
      </w:r>
    </w:p>
    <w:p w14:paraId="715E657F"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Infrastructure Journal. (2023). Green bonds and sustainable infrastructure: Case studies. </w:t>
      </w:r>
      <w:r w:rsidRPr="00307E2D">
        <w:rPr>
          <w:rFonts w:ascii="Times New Roman" w:hAnsi="Times New Roman" w:cs="Times New Roman"/>
          <w:i/>
          <w:iCs/>
          <w:sz w:val="24"/>
          <w:szCs w:val="24"/>
        </w:rPr>
        <w:t>Infrastructure Journal, 15</w:t>
      </w:r>
      <w:r w:rsidRPr="00307E2D">
        <w:rPr>
          <w:rFonts w:ascii="Times New Roman" w:hAnsi="Times New Roman" w:cs="Times New Roman"/>
          <w:sz w:val="24"/>
          <w:szCs w:val="24"/>
        </w:rPr>
        <w:t>(1), 88–102.</w:t>
      </w:r>
    </w:p>
    <w:p w14:paraId="4D68A75B" w14:textId="5C4C97EA"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Nature Climate Change. (2024). Green bonds and the transition to net zero. </w:t>
      </w:r>
      <w:r w:rsidRPr="00307E2D">
        <w:rPr>
          <w:rFonts w:ascii="Times New Roman" w:hAnsi="Times New Roman" w:cs="Times New Roman"/>
          <w:i/>
          <w:iCs/>
          <w:sz w:val="24"/>
          <w:szCs w:val="24"/>
        </w:rPr>
        <w:t>Nature Climate Change, 14</w:t>
      </w:r>
      <w:r w:rsidRPr="00307E2D">
        <w:rPr>
          <w:rFonts w:ascii="Times New Roman" w:hAnsi="Times New Roman" w:cs="Times New Roman"/>
          <w:sz w:val="24"/>
          <w:szCs w:val="24"/>
        </w:rPr>
        <w:t>(2), 123–130. </w:t>
      </w:r>
      <w:hyperlink r:id="rId26" w:tgtFrame="_blank" w:history="1">
        <w:r w:rsidRPr="00307E2D">
          <w:rPr>
            <w:rStyle w:val="Hyperlink"/>
            <w:rFonts w:ascii="Times New Roman" w:hAnsi="Times New Roman" w:cs="Times New Roman"/>
            <w:sz w:val="24"/>
            <w:szCs w:val="24"/>
          </w:rPr>
          <w:t>https://doi.org/10.1038/s41558-024-01567-3</w:t>
        </w:r>
      </w:hyperlink>
      <w:r>
        <w:rPr>
          <w:rFonts w:ascii="Times New Roman" w:hAnsi="Times New Roman" w:cs="Times New Roman"/>
          <w:sz w:val="24"/>
          <w:szCs w:val="24"/>
        </w:rPr>
        <w:t>.</w:t>
      </w:r>
    </w:p>
    <w:p w14:paraId="42E92F6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SSRN. (2020). Green bonds: A mini-review. </w:t>
      </w:r>
      <w:r w:rsidRPr="00307E2D">
        <w:rPr>
          <w:rFonts w:ascii="Times New Roman" w:hAnsi="Times New Roman" w:cs="Times New Roman"/>
          <w:i/>
          <w:iCs/>
          <w:sz w:val="24"/>
          <w:szCs w:val="24"/>
        </w:rPr>
        <w:t>SSRN Electronic Journal</w:t>
      </w:r>
      <w:r w:rsidRPr="00307E2D">
        <w:rPr>
          <w:rFonts w:ascii="Times New Roman" w:hAnsi="Times New Roman" w:cs="Times New Roman"/>
          <w:sz w:val="24"/>
          <w:szCs w:val="24"/>
        </w:rPr>
        <w:t>. </w:t>
      </w:r>
      <w:hyperlink r:id="rId27" w:tgtFrame="_blank" w:history="1">
        <w:r w:rsidRPr="00307E2D">
          <w:rPr>
            <w:rStyle w:val="Hyperlink"/>
            <w:rFonts w:ascii="Times New Roman" w:hAnsi="Times New Roman" w:cs="Times New Roman"/>
            <w:sz w:val="24"/>
            <w:szCs w:val="24"/>
          </w:rPr>
          <w:t>https://doi.org/10.2139/ssrn.1234567</w:t>
        </w:r>
      </w:hyperlink>
    </w:p>
    <w:p w14:paraId="06CBE74C"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Princeton University &amp; NYU. (2025). Greening sovereign debt: Explaining the rise of green bond issuances. </w:t>
      </w:r>
      <w:r w:rsidRPr="00307E2D">
        <w:rPr>
          <w:rFonts w:ascii="Times New Roman" w:hAnsi="Times New Roman" w:cs="Times New Roman"/>
          <w:i/>
          <w:iCs/>
          <w:sz w:val="24"/>
          <w:szCs w:val="24"/>
        </w:rPr>
        <w:t>Working Paper</w:t>
      </w:r>
      <w:r w:rsidRPr="00307E2D">
        <w:rPr>
          <w:rFonts w:ascii="Times New Roman" w:hAnsi="Times New Roman" w:cs="Times New Roman"/>
          <w:sz w:val="24"/>
          <w:szCs w:val="24"/>
        </w:rPr>
        <w:t>. </w:t>
      </w:r>
      <w:hyperlink r:id="rId28" w:tgtFrame="_blank" w:history="1">
        <w:r w:rsidRPr="00307E2D">
          <w:rPr>
            <w:rStyle w:val="Hyperlink"/>
            <w:rFonts w:ascii="Times New Roman" w:hAnsi="Times New Roman" w:cs="Times New Roman"/>
            <w:sz w:val="24"/>
            <w:szCs w:val="24"/>
          </w:rPr>
          <w:t>https://www.princeton.edu/green-sovereign-bonds</w:t>
        </w:r>
      </w:hyperlink>
    </w:p>
    <w:p w14:paraId="57750B86"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Climate Bonds Initiative. (2024). </w:t>
      </w:r>
      <w:r w:rsidRPr="00307E2D">
        <w:rPr>
          <w:rFonts w:ascii="Times New Roman" w:hAnsi="Times New Roman" w:cs="Times New Roman"/>
          <w:i/>
          <w:iCs/>
          <w:sz w:val="24"/>
          <w:szCs w:val="24"/>
        </w:rPr>
        <w:t>Sovereign green, social, and sustainability bonds: State of the market 2024</w:t>
      </w:r>
      <w:r w:rsidRPr="00307E2D">
        <w:rPr>
          <w:rFonts w:ascii="Times New Roman" w:hAnsi="Times New Roman" w:cs="Times New Roman"/>
          <w:sz w:val="24"/>
          <w:szCs w:val="24"/>
        </w:rPr>
        <w:t>. </w:t>
      </w:r>
      <w:hyperlink r:id="rId29" w:tgtFrame="_blank" w:history="1">
        <w:r w:rsidRPr="00307E2D">
          <w:rPr>
            <w:rStyle w:val="Hyperlink"/>
            <w:rFonts w:ascii="Times New Roman" w:hAnsi="Times New Roman" w:cs="Times New Roman"/>
            <w:sz w:val="24"/>
            <w:szCs w:val="24"/>
          </w:rPr>
          <w:t>https://www.climatebonds.net/resources/reports</w:t>
        </w:r>
      </w:hyperlink>
    </w:p>
    <w:p w14:paraId="4048075F"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ICMA. (2024). </w:t>
      </w:r>
      <w:r w:rsidRPr="00307E2D">
        <w:rPr>
          <w:rFonts w:ascii="Times New Roman" w:hAnsi="Times New Roman" w:cs="Times New Roman"/>
          <w:i/>
          <w:iCs/>
          <w:sz w:val="24"/>
          <w:szCs w:val="24"/>
        </w:rPr>
        <w:t>Sustainable bond market summary</w:t>
      </w:r>
      <w:r w:rsidRPr="00307E2D">
        <w:rPr>
          <w:rFonts w:ascii="Times New Roman" w:hAnsi="Times New Roman" w:cs="Times New Roman"/>
          <w:sz w:val="24"/>
          <w:szCs w:val="24"/>
        </w:rPr>
        <w:t>. </w:t>
      </w:r>
      <w:hyperlink r:id="rId30" w:tgtFrame="_blank" w:history="1">
        <w:r w:rsidRPr="00307E2D">
          <w:rPr>
            <w:rStyle w:val="Hyperlink"/>
            <w:rFonts w:ascii="Times New Roman" w:hAnsi="Times New Roman" w:cs="Times New Roman"/>
            <w:sz w:val="24"/>
            <w:szCs w:val="24"/>
          </w:rPr>
          <w:t>https://www.icmagroup.org/sustainable-bond-market</w:t>
        </w:r>
      </w:hyperlink>
    </w:p>
    <w:p w14:paraId="264F8C5F"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European Commission. (2023). </w:t>
      </w:r>
      <w:r w:rsidRPr="00307E2D">
        <w:rPr>
          <w:rFonts w:ascii="Times New Roman" w:hAnsi="Times New Roman" w:cs="Times New Roman"/>
          <w:i/>
          <w:iCs/>
          <w:sz w:val="24"/>
          <w:szCs w:val="24"/>
        </w:rPr>
        <w:t>EU Green Bond Standard</w:t>
      </w:r>
      <w:r w:rsidRPr="00307E2D">
        <w:rPr>
          <w:rFonts w:ascii="Times New Roman" w:hAnsi="Times New Roman" w:cs="Times New Roman"/>
          <w:sz w:val="24"/>
          <w:szCs w:val="24"/>
        </w:rPr>
        <w:t>. </w:t>
      </w:r>
      <w:hyperlink r:id="rId31" w:tgtFrame="_blank" w:history="1">
        <w:r w:rsidRPr="00307E2D">
          <w:rPr>
            <w:rStyle w:val="Hyperlink"/>
            <w:rFonts w:ascii="Times New Roman" w:hAnsi="Times New Roman" w:cs="Times New Roman"/>
            <w:sz w:val="24"/>
            <w:szCs w:val="24"/>
          </w:rPr>
          <w:t>https://finance.ec.europa.eu/eu-green-bond-standard_en</w:t>
        </w:r>
      </w:hyperlink>
    </w:p>
    <w:p w14:paraId="54C8EF9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lastRenderedPageBreak/>
        <w:t>OECD. (2022). </w:t>
      </w:r>
      <w:r w:rsidRPr="00307E2D">
        <w:rPr>
          <w:rFonts w:ascii="Times New Roman" w:hAnsi="Times New Roman" w:cs="Times New Roman"/>
          <w:i/>
          <w:iCs/>
          <w:sz w:val="24"/>
          <w:szCs w:val="24"/>
        </w:rPr>
        <w:t>Green bonds: Mobilising the debt capital markets for a low-carbon transition</w:t>
      </w:r>
      <w:r w:rsidRPr="00307E2D">
        <w:rPr>
          <w:rFonts w:ascii="Times New Roman" w:hAnsi="Times New Roman" w:cs="Times New Roman"/>
          <w:sz w:val="24"/>
          <w:szCs w:val="24"/>
        </w:rPr>
        <w:t>. </w:t>
      </w:r>
      <w:hyperlink r:id="rId32" w:tgtFrame="_blank" w:history="1">
        <w:r w:rsidRPr="00307E2D">
          <w:rPr>
            <w:rStyle w:val="Hyperlink"/>
            <w:rFonts w:ascii="Times New Roman" w:hAnsi="Times New Roman" w:cs="Times New Roman"/>
            <w:sz w:val="24"/>
            <w:szCs w:val="24"/>
          </w:rPr>
          <w:t>https://www.oecd.org/environment/cc/green-bonds.htm</w:t>
        </w:r>
      </w:hyperlink>
    </w:p>
    <w:p w14:paraId="3B9BDD27"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G20 Sustainable Finance Working Group. (2024). </w:t>
      </w:r>
      <w:r w:rsidRPr="00307E2D">
        <w:rPr>
          <w:rFonts w:ascii="Times New Roman" w:hAnsi="Times New Roman" w:cs="Times New Roman"/>
          <w:i/>
          <w:iCs/>
          <w:sz w:val="24"/>
          <w:szCs w:val="24"/>
        </w:rPr>
        <w:t>G20 sustainable finance report</w:t>
      </w:r>
      <w:r w:rsidRPr="00307E2D">
        <w:rPr>
          <w:rFonts w:ascii="Times New Roman" w:hAnsi="Times New Roman" w:cs="Times New Roman"/>
          <w:sz w:val="24"/>
          <w:szCs w:val="24"/>
        </w:rPr>
        <w:t>. </w:t>
      </w:r>
      <w:hyperlink r:id="rId33" w:tgtFrame="_blank" w:history="1">
        <w:r w:rsidRPr="00307E2D">
          <w:rPr>
            <w:rStyle w:val="Hyperlink"/>
            <w:rFonts w:ascii="Times New Roman" w:hAnsi="Times New Roman" w:cs="Times New Roman"/>
            <w:sz w:val="24"/>
            <w:szCs w:val="24"/>
          </w:rPr>
          <w:t>https://g20sfwg.org/reports/2024</w:t>
        </w:r>
      </w:hyperlink>
    </w:p>
    <w:p w14:paraId="657FF995"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United Nations Environment Programme Finance Initiative. (2023). </w:t>
      </w:r>
      <w:r w:rsidRPr="00307E2D">
        <w:rPr>
          <w:rFonts w:ascii="Times New Roman" w:hAnsi="Times New Roman" w:cs="Times New Roman"/>
          <w:i/>
          <w:iCs/>
          <w:sz w:val="24"/>
          <w:szCs w:val="24"/>
        </w:rPr>
        <w:t>Financing a sustainable future: The role of green bonds</w:t>
      </w:r>
      <w:r w:rsidRPr="00307E2D">
        <w:rPr>
          <w:rFonts w:ascii="Times New Roman" w:hAnsi="Times New Roman" w:cs="Times New Roman"/>
          <w:sz w:val="24"/>
          <w:szCs w:val="24"/>
        </w:rPr>
        <w:t>. </w:t>
      </w:r>
      <w:hyperlink r:id="rId34" w:tgtFrame="_blank" w:history="1">
        <w:r w:rsidRPr="00307E2D">
          <w:rPr>
            <w:rStyle w:val="Hyperlink"/>
            <w:rFonts w:ascii="Times New Roman" w:hAnsi="Times New Roman" w:cs="Times New Roman"/>
            <w:sz w:val="24"/>
            <w:szCs w:val="24"/>
          </w:rPr>
          <w:t>https://www.unepfi.org/publications/green-bonds</w:t>
        </w:r>
      </w:hyperlink>
    </w:p>
    <w:p w14:paraId="7996AFDA"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International Finance Corporation. (2023). </w:t>
      </w:r>
      <w:r w:rsidRPr="00307E2D">
        <w:rPr>
          <w:rFonts w:ascii="Times New Roman" w:hAnsi="Times New Roman" w:cs="Times New Roman"/>
          <w:i/>
          <w:iCs/>
          <w:sz w:val="24"/>
          <w:szCs w:val="24"/>
        </w:rPr>
        <w:t>Green bond impact report</w:t>
      </w:r>
      <w:r w:rsidRPr="00307E2D">
        <w:rPr>
          <w:rFonts w:ascii="Times New Roman" w:hAnsi="Times New Roman" w:cs="Times New Roman"/>
          <w:sz w:val="24"/>
          <w:szCs w:val="24"/>
        </w:rPr>
        <w:t>. </w:t>
      </w:r>
      <w:hyperlink r:id="rId35" w:tgtFrame="_blank" w:history="1">
        <w:r w:rsidRPr="00307E2D">
          <w:rPr>
            <w:rStyle w:val="Hyperlink"/>
            <w:rFonts w:ascii="Times New Roman" w:hAnsi="Times New Roman" w:cs="Times New Roman"/>
            <w:sz w:val="24"/>
            <w:szCs w:val="24"/>
          </w:rPr>
          <w:t>https://www.ifc.org/green-bond-impact-report</w:t>
        </w:r>
      </w:hyperlink>
    </w:p>
    <w:p w14:paraId="24E53F86"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Moody’s Investors Service. (2024). </w:t>
      </w:r>
      <w:r w:rsidRPr="00307E2D">
        <w:rPr>
          <w:rFonts w:ascii="Times New Roman" w:hAnsi="Times New Roman" w:cs="Times New Roman"/>
          <w:i/>
          <w:iCs/>
          <w:sz w:val="24"/>
          <w:szCs w:val="24"/>
        </w:rPr>
        <w:t>Green bond market outlook 2025</w:t>
      </w:r>
      <w:r w:rsidRPr="00307E2D">
        <w:rPr>
          <w:rFonts w:ascii="Times New Roman" w:hAnsi="Times New Roman" w:cs="Times New Roman"/>
          <w:sz w:val="24"/>
          <w:szCs w:val="24"/>
        </w:rPr>
        <w:t>. </w:t>
      </w:r>
      <w:hyperlink r:id="rId36" w:tgtFrame="_blank" w:history="1">
        <w:r w:rsidRPr="00307E2D">
          <w:rPr>
            <w:rStyle w:val="Hyperlink"/>
            <w:rFonts w:ascii="Times New Roman" w:hAnsi="Times New Roman" w:cs="Times New Roman"/>
            <w:sz w:val="24"/>
            <w:szCs w:val="24"/>
          </w:rPr>
          <w:t>https://www.moodys.com/green-bond-outlook-2025</w:t>
        </w:r>
      </w:hyperlink>
    </w:p>
    <w:p w14:paraId="09C2BEF1"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S&amp;P Global Ratings. (2024). </w:t>
      </w:r>
      <w:r w:rsidRPr="00307E2D">
        <w:rPr>
          <w:rFonts w:ascii="Times New Roman" w:hAnsi="Times New Roman" w:cs="Times New Roman"/>
          <w:i/>
          <w:iCs/>
          <w:sz w:val="24"/>
          <w:szCs w:val="24"/>
        </w:rPr>
        <w:t>Sustainable debt market: Green bond trends</w:t>
      </w:r>
      <w:r w:rsidRPr="00307E2D">
        <w:rPr>
          <w:rFonts w:ascii="Times New Roman" w:hAnsi="Times New Roman" w:cs="Times New Roman"/>
          <w:sz w:val="24"/>
          <w:szCs w:val="24"/>
        </w:rPr>
        <w:t>. </w:t>
      </w:r>
      <w:hyperlink r:id="rId37" w:tgtFrame="_blank" w:history="1">
        <w:r w:rsidRPr="00307E2D">
          <w:rPr>
            <w:rStyle w:val="Hyperlink"/>
            <w:rFonts w:ascii="Times New Roman" w:hAnsi="Times New Roman" w:cs="Times New Roman"/>
            <w:sz w:val="24"/>
            <w:szCs w:val="24"/>
          </w:rPr>
          <w:t>https://www.spglobal.com/green-bond-trends</w:t>
        </w:r>
      </w:hyperlink>
    </w:p>
    <w:p w14:paraId="0F23CD10"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BIS. (2025). Growth of the green bond market and greenhouse gas emissions. </w:t>
      </w:r>
      <w:r w:rsidRPr="00307E2D">
        <w:rPr>
          <w:rFonts w:ascii="Times New Roman" w:hAnsi="Times New Roman" w:cs="Times New Roman"/>
          <w:i/>
          <w:iCs/>
          <w:sz w:val="24"/>
          <w:szCs w:val="24"/>
        </w:rPr>
        <w:t>BIS Quarterly Review</w:t>
      </w:r>
      <w:r w:rsidRPr="00307E2D">
        <w:rPr>
          <w:rFonts w:ascii="Times New Roman" w:hAnsi="Times New Roman" w:cs="Times New Roman"/>
          <w:sz w:val="24"/>
          <w:szCs w:val="24"/>
        </w:rPr>
        <w:t>. </w:t>
      </w:r>
      <w:hyperlink r:id="rId38" w:tgtFrame="_blank" w:history="1">
        <w:r w:rsidRPr="00307E2D">
          <w:rPr>
            <w:rStyle w:val="Hyperlink"/>
            <w:rFonts w:ascii="Times New Roman" w:hAnsi="Times New Roman" w:cs="Times New Roman"/>
            <w:sz w:val="24"/>
            <w:szCs w:val="24"/>
          </w:rPr>
          <w:t>https://www.bis.org/publ/qtrpdf/r_qt2503g.htm</w:t>
        </w:r>
      </w:hyperlink>
    </w:p>
    <w:p w14:paraId="6B7EAA6A"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Journal of Cleaner Production. (2023). Green bonds and environmental performance: Evidence from emerging markets. </w:t>
      </w:r>
      <w:r w:rsidRPr="00307E2D">
        <w:rPr>
          <w:rFonts w:ascii="Times New Roman" w:hAnsi="Times New Roman" w:cs="Times New Roman"/>
          <w:i/>
          <w:iCs/>
          <w:sz w:val="24"/>
          <w:szCs w:val="24"/>
        </w:rPr>
        <w:t>Journal of Cleaner Production, 389</w:t>
      </w:r>
      <w:r w:rsidRPr="00307E2D">
        <w:rPr>
          <w:rFonts w:ascii="Times New Roman" w:hAnsi="Times New Roman" w:cs="Times New Roman"/>
          <w:sz w:val="24"/>
          <w:szCs w:val="24"/>
        </w:rPr>
        <w:t>, 136–145. </w:t>
      </w:r>
      <w:hyperlink r:id="rId39" w:tgtFrame="_blank" w:history="1">
        <w:r w:rsidRPr="00307E2D">
          <w:rPr>
            <w:rStyle w:val="Hyperlink"/>
            <w:rFonts w:ascii="Times New Roman" w:hAnsi="Times New Roman" w:cs="Times New Roman"/>
            <w:sz w:val="24"/>
            <w:szCs w:val="24"/>
          </w:rPr>
          <w:t>https://doi.org/10.1016/j.jclepro.2023.136145</w:t>
        </w:r>
      </w:hyperlink>
    </w:p>
    <w:p w14:paraId="755C88E9"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Journal of Banking &amp; Finance. (2022). Green bond issuance and firm value: International evidence. </w:t>
      </w:r>
      <w:r w:rsidRPr="00307E2D">
        <w:rPr>
          <w:rFonts w:ascii="Times New Roman" w:hAnsi="Times New Roman" w:cs="Times New Roman"/>
          <w:i/>
          <w:iCs/>
          <w:sz w:val="24"/>
          <w:szCs w:val="24"/>
        </w:rPr>
        <w:t>Journal of Banking &amp; Finance, 135</w:t>
      </w:r>
      <w:r w:rsidRPr="00307E2D">
        <w:rPr>
          <w:rFonts w:ascii="Times New Roman" w:hAnsi="Times New Roman" w:cs="Times New Roman"/>
          <w:sz w:val="24"/>
          <w:szCs w:val="24"/>
        </w:rPr>
        <w:t>, 106–120. </w:t>
      </w:r>
      <w:hyperlink r:id="rId40" w:tgtFrame="_blank" w:history="1">
        <w:r w:rsidRPr="00307E2D">
          <w:rPr>
            <w:rStyle w:val="Hyperlink"/>
            <w:rFonts w:ascii="Times New Roman" w:hAnsi="Times New Roman" w:cs="Times New Roman"/>
            <w:sz w:val="24"/>
            <w:szCs w:val="24"/>
          </w:rPr>
          <w:t>https://doi.org/10.1016/j.jbankfin.2022.106120</w:t>
        </w:r>
      </w:hyperlink>
    </w:p>
    <w:p w14:paraId="79FD3BC4"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lastRenderedPageBreak/>
        <w:t>Journal of Environmental Management. (2024). Impact of green bonds on corporate sustainability. </w:t>
      </w:r>
      <w:r w:rsidRPr="00307E2D">
        <w:rPr>
          <w:rFonts w:ascii="Times New Roman" w:hAnsi="Times New Roman" w:cs="Times New Roman"/>
          <w:i/>
          <w:iCs/>
          <w:sz w:val="24"/>
          <w:szCs w:val="24"/>
        </w:rPr>
        <w:t>Journal of Environmental Management, 345</w:t>
      </w:r>
      <w:r w:rsidRPr="00307E2D">
        <w:rPr>
          <w:rFonts w:ascii="Times New Roman" w:hAnsi="Times New Roman" w:cs="Times New Roman"/>
          <w:sz w:val="24"/>
          <w:szCs w:val="24"/>
        </w:rPr>
        <w:t>, 112–123. </w:t>
      </w:r>
      <w:hyperlink r:id="rId41" w:tgtFrame="_blank" w:history="1">
        <w:r w:rsidRPr="00307E2D">
          <w:rPr>
            <w:rStyle w:val="Hyperlink"/>
            <w:rFonts w:ascii="Times New Roman" w:hAnsi="Times New Roman" w:cs="Times New Roman"/>
            <w:sz w:val="24"/>
            <w:szCs w:val="24"/>
          </w:rPr>
          <w:t>https://doi.org/10.1016/j.jenvman.2024.112123</w:t>
        </w:r>
      </w:hyperlink>
    </w:p>
    <w:p w14:paraId="02EAC86A" w14:textId="77777777" w:rsidR="00307E2D" w:rsidRPr="00307E2D" w:rsidRDefault="00307E2D" w:rsidP="00307E2D">
      <w:pPr>
        <w:numPr>
          <w:ilvl w:val="0"/>
          <w:numId w:val="9"/>
        </w:numPr>
        <w:spacing w:line="480" w:lineRule="auto"/>
        <w:jc w:val="both"/>
        <w:rPr>
          <w:rFonts w:ascii="Times New Roman" w:hAnsi="Times New Roman" w:cs="Times New Roman"/>
          <w:sz w:val="24"/>
          <w:szCs w:val="24"/>
        </w:rPr>
      </w:pPr>
      <w:r w:rsidRPr="00307E2D">
        <w:rPr>
          <w:rFonts w:ascii="Times New Roman" w:hAnsi="Times New Roman" w:cs="Times New Roman"/>
          <w:sz w:val="24"/>
          <w:szCs w:val="24"/>
        </w:rPr>
        <w:t>Journal of Sustainable Finance &amp; Investment. (2025). Standardization and innovation in green bond markets. </w:t>
      </w:r>
      <w:r w:rsidRPr="00307E2D">
        <w:rPr>
          <w:rFonts w:ascii="Times New Roman" w:hAnsi="Times New Roman" w:cs="Times New Roman"/>
          <w:i/>
          <w:iCs/>
          <w:sz w:val="24"/>
          <w:szCs w:val="24"/>
        </w:rPr>
        <w:t>Journal of Sustainable Finance &amp; Investment, 15</w:t>
      </w:r>
      <w:r w:rsidRPr="00307E2D">
        <w:rPr>
          <w:rFonts w:ascii="Times New Roman" w:hAnsi="Times New Roman" w:cs="Times New Roman"/>
          <w:sz w:val="24"/>
          <w:szCs w:val="24"/>
        </w:rPr>
        <w:t>(1), 1–16. </w:t>
      </w:r>
      <w:hyperlink r:id="rId42" w:tgtFrame="_blank" w:history="1">
        <w:r w:rsidRPr="00307E2D">
          <w:rPr>
            <w:rStyle w:val="Hyperlink"/>
            <w:rFonts w:ascii="Times New Roman" w:hAnsi="Times New Roman" w:cs="Times New Roman"/>
            <w:sz w:val="24"/>
            <w:szCs w:val="24"/>
          </w:rPr>
          <w:t>https://doi.org/10.1080/20430795.2025.1234567</w:t>
        </w:r>
      </w:hyperlink>
    </w:p>
    <w:p w14:paraId="0E70279F" w14:textId="77777777" w:rsidR="00036D61" w:rsidRPr="00036D61" w:rsidRDefault="00036D61" w:rsidP="00036D61">
      <w:pPr>
        <w:spacing w:line="480" w:lineRule="auto"/>
        <w:jc w:val="both"/>
        <w:rPr>
          <w:rFonts w:ascii="Times New Roman" w:hAnsi="Times New Roman" w:cs="Times New Roman"/>
          <w:sz w:val="24"/>
          <w:szCs w:val="24"/>
        </w:rPr>
      </w:pPr>
    </w:p>
    <w:sectPr w:rsidR="00036D61" w:rsidRPr="00036D61" w:rsidSect="00036D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CE7"/>
    <w:multiLevelType w:val="multilevel"/>
    <w:tmpl w:val="1342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74FB0"/>
    <w:multiLevelType w:val="multilevel"/>
    <w:tmpl w:val="AA3A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421592"/>
    <w:multiLevelType w:val="multilevel"/>
    <w:tmpl w:val="7F4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9068BF"/>
    <w:multiLevelType w:val="multilevel"/>
    <w:tmpl w:val="4ECE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E7670"/>
    <w:multiLevelType w:val="hybridMultilevel"/>
    <w:tmpl w:val="EA183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C318CE"/>
    <w:multiLevelType w:val="multilevel"/>
    <w:tmpl w:val="802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7C6538"/>
    <w:multiLevelType w:val="multilevel"/>
    <w:tmpl w:val="BA6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AF14FA"/>
    <w:multiLevelType w:val="multilevel"/>
    <w:tmpl w:val="F7AE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3431BE"/>
    <w:multiLevelType w:val="multilevel"/>
    <w:tmpl w:val="0BF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497691">
    <w:abstractNumId w:val="3"/>
  </w:num>
  <w:num w:numId="2" w16cid:durableId="1119639529">
    <w:abstractNumId w:val="8"/>
  </w:num>
  <w:num w:numId="3" w16cid:durableId="1951928985">
    <w:abstractNumId w:val="6"/>
  </w:num>
  <w:num w:numId="4" w16cid:durableId="1046755533">
    <w:abstractNumId w:val="2"/>
  </w:num>
  <w:num w:numId="5" w16cid:durableId="621575608">
    <w:abstractNumId w:val="0"/>
  </w:num>
  <w:num w:numId="6" w16cid:durableId="1799254291">
    <w:abstractNumId w:val="7"/>
  </w:num>
  <w:num w:numId="7" w16cid:durableId="1141728923">
    <w:abstractNumId w:val="5"/>
  </w:num>
  <w:num w:numId="8" w16cid:durableId="1524902600">
    <w:abstractNumId w:val="4"/>
  </w:num>
  <w:num w:numId="9" w16cid:durableId="182400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29"/>
    <w:rsid w:val="00036D61"/>
    <w:rsid w:val="00051156"/>
    <w:rsid w:val="000A2C5E"/>
    <w:rsid w:val="00307E2D"/>
    <w:rsid w:val="004B7820"/>
    <w:rsid w:val="00595421"/>
    <w:rsid w:val="00720949"/>
    <w:rsid w:val="00737A8D"/>
    <w:rsid w:val="00845F6A"/>
    <w:rsid w:val="00C3204C"/>
    <w:rsid w:val="00D26A29"/>
    <w:rsid w:val="00E44293"/>
    <w:rsid w:val="00F32D9E"/>
    <w:rsid w:val="00F34B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0439"/>
  <w15:chartTrackingRefBased/>
  <w15:docId w15:val="{E2454BEA-F1F2-44A4-9787-5314B9C7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A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A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A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A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A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A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A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A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A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A29"/>
    <w:rPr>
      <w:rFonts w:eastAsiaTheme="majorEastAsia" w:cstheme="majorBidi"/>
      <w:color w:val="272727" w:themeColor="text1" w:themeTint="D8"/>
    </w:rPr>
  </w:style>
  <w:style w:type="paragraph" w:styleId="Title">
    <w:name w:val="Title"/>
    <w:basedOn w:val="Normal"/>
    <w:next w:val="Normal"/>
    <w:link w:val="TitleChar"/>
    <w:uiPriority w:val="10"/>
    <w:qFormat/>
    <w:rsid w:val="00D26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A29"/>
    <w:pPr>
      <w:spacing w:before="160"/>
      <w:jc w:val="center"/>
    </w:pPr>
    <w:rPr>
      <w:i/>
      <w:iCs/>
      <w:color w:val="404040" w:themeColor="text1" w:themeTint="BF"/>
    </w:rPr>
  </w:style>
  <w:style w:type="character" w:customStyle="1" w:styleId="QuoteChar">
    <w:name w:val="Quote Char"/>
    <w:basedOn w:val="DefaultParagraphFont"/>
    <w:link w:val="Quote"/>
    <w:uiPriority w:val="29"/>
    <w:rsid w:val="00D26A29"/>
    <w:rPr>
      <w:i/>
      <w:iCs/>
      <w:color w:val="404040" w:themeColor="text1" w:themeTint="BF"/>
    </w:rPr>
  </w:style>
  <w:style w:type="paragraph" w:styleId="ListParagraph">
    <w:name w:val="List Paragraph"/>
    <w:basedOn w:val="Normal"/>
    <w:uiPriority w:val="34"/>
    <w:qFormat/>
    <w:rsid w:val="00D26A29"/>
    <w:pPr>
      <w:ind w:left="720"/>
      <w:contextualSpacing/>
    </w:pPr>
  </w:style>
  <w:style w:type="character" w:styleId="IntenseEmphasis">
    <w:name w:val="Intense Emphasis"/>
    <w:basedOn w:val="DefaultParagraphFont"/>
    <w:uiPriority w:val="21"/>
    <w:qFormat/>
    <w:rsid w:val="00D26A29"/>
    <w:rPr>
      <w:i/>
      <w:iCs/>
      <w:color w:val="2F5496" w:themeColor="accent1" w:themeShade="BF"/>
    </w:rPr>
  </w:style>
  <w:style w:type="paragraph" w:styleId="IntenseQuote">
    <w:name w:val="Intense Quote"/>
    <w:basedOn w:val="Normal"/>
    <w:next w:val="Normal"/>
    <w:link w:val="IntenseQuoteChar"/>
    <w:uiPriority w:val="30"/>
    <w:qFormat/>
    <w:rsid w:val="00D26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A29"/>
    <w:rPr>
      <w:i/>
      <w:iCs/>
      <w:color w:val="2F5496" w:themeColor="accent1" w:themeShade="BF"/>
    </w:rPr>
  </w:style>
  <w:style w:type="character" w:styleId="IntenseReference">
    <w:name w:val="Intense Reference"/>
    <w:basedOn w:val="DefaultParagraphFont"/>
    <w:uiPriority w:val="32"/>
    <w:qFormat/>
    <w:rsid w:val="00D26A29"/>
    <w:rPr>
      <w:b/>
      <w:bCs/>
      <w:smallCaps/>
      <w:color w:val="2F5496" w:themeColor="accent1" w:themeShade="BF"/>
      <w:spacing w:val="5"/>
    </w:rPr>
  </w:style>
  <w:style w:type="character" w:styleId="Hyperlink">
    <w:name w:val="Hyperlink"/>
    <w:basedOn w:val="DefaultParagraphFont"/>
    <w:uiPriority w:val="99"/>
    <w:unhideWhenUsed/>
    <w:rsid w:val="00036D61"/>
    <w:rPr>
      <w:color w:val="0563C1" w:themeColor="hyperlink"/>
      <w:u w:val="single"/>
    </w:rPr>
  </w:style>
  <w:style w:type="character" w:styleId="UnresolvedMention">
    <w:name w:val="Unresolved Mention"/>
    <w:basedOn w:val="DefaultParagraphFont"/>
    <w:uiPriority w:val="99"/>
    <w:semiHidden/>
    <w:unhideWhenUsed/>
    <w:rsid w:val="00036D61"/>
    <w:rPr>
      <w:color w:val="605E5C"/>
      <w:shd w:val="clear" w:color="auto" w:fill="E1DFDD"/>
    </w:rPr>
  </w:style>
  <w:style w:type="table" w:styleId="TableGrid">
    <w:name w:val="Table Grid"/>
    <w:basedOn w:val="TableNormal"/>
    <w:uiPriority w:val="39"/>
    <w:rsid w:val="0003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11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8969">
      <w:bodyDiv w:val="1"/>
      <w:marLeft w:val="0"/>
      <w:marRight w:val="0"/>
      <w:marTop w:val="0"/>
      <w:marBottom w:val="0"/>
      <w:divBdr>
        <w:top w:val="none" w:sz="0" w:space="0" w:color="auto"/>
        <w:left w:val="none" w:sz="0" w:space="0" w:color="auto"/>
        <w:bottom w:val="none" w:sz="0" w:space="0" w:color="auto"/>
        <w:right w:val="none" w:sz="0" w:space="0" w:color="auto"/>
      </w:divBdr>
      <w:divsChild>
        <w:div w:id="1838182892">
          <w:marLeft w:val="0"/>
          <w:marRight w:val="0"/>
          <w:marTop w:val="0"/>
          <w:marBottom w:val="0"/>
          <w:divBdr>
            <w:top w:val="single" w:sz="2" w:space="0" w:color="E5E7EB"/>
            <w:left w:val="single" w:sz="2" w:space="0" w:color="E5E7EB"/>
            <w:bottom w:val="single" w:sz="2" w:space="0" w:color="E5E7EB"/>
            <w:right w:val="single" w:sz="2" w:space="0" w:color="E5E7EB"/>
          </w:divBdr>
          <w:divsChild>
            <w:div w:id="17422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904">
      <w:bodyDiv w:val="1"/>
      <w:marLeft w:val="0"/>
      <w:marRight w:val="0"/>
      <w:marTop w:val="0"/>
      <w:marBottom w:val="0"/>
      <w:divBdr>
        <w:top w:val="none" w:sz="0" w:space="0" w:color="auto"/>
        <w:left w:val="none" w:sz="0" w:space="0" w:color="auto"/>
        <w:bottom w:val="none" w:sz="0" w:space="0" w:color="auto"/>
        <w:right w:val="none" w:sz="0" w:space="0" w:color="auto"/>
      </w:divBdr>
    </w:div>
    <w:div w:id="405810456">
      <w:bodyDiv w:val="1"/>
      <w:marLeft w:val="0"/>
      <w:marRight w:val="0"/>
      <w:marTop w:val="0"/>
      <w:marBottom w:val="0"/>
      <w:divBdr>
        <w:top w:val="none" w:sz="0" w:space="0" w:color="auto"/>
        <w:left w:val="none" w:sz="0" w:space="0" w:color="auto"/>
        <w:bottom w:val="none" w:sz="0" w:space="0" w:color="auto"/>
        <w:right w:val="none" w:sz="0" w:space="0" w:color="auto"/>
      </w:divBdr>
    </w:div>
    <w:div w:id="411925498">
      <w:bodyDiv w:val="1"/>
      <w:marLeft w:val="0"/>
      <w:marRight w:val="0"/>
      <w:marTop w:val="0"/>
      <w:marBottom w:val="0"/>
      <w:divBdr>
        <w:top w:val="none" w:sz="0" w:space="0" w:color="auto"/>
        <w:left w:val="none" w:sz="0" w:space="0" w:color="auto"/>
        <w:bottom w:val="none" w:sz="0" w:space="0" w:color="auto"/>
        <w:right w:val="none" w:sz="0" w:space="0" w:color="auto"/>
      </w:divBdr>
    </w:div>
    <w:div w:id="448861355">
      <w:bodyDiv w:val="1"/>
      <w:marLeft w:val="0"/>
      <w:marRight w:val="0"/>
      <w:marTop w:val="0"/>
      <w:marBottom w:val="0"/>
      <w:divBdr>
        <w:top w:val="none" w:sz="0" w:space="0" w:color="auto"/>
        <w:left w:val="none" w:sz="0" w:space="0" w:color="auto"/>
        <w:bottom w:val="none" w:sz="0" w:space="0" w:color="auto"/>
        <w:right w:val="none" w:sz="0" w:space="0" w:color="auto"/>
      </w:divBdr>
    </w:div>
    <w:div w:id="525411007">
      <w:bodyDiv w:val="1"/>
      <w:marLeft w:val="0"/>
      <w:marRight w:val="0"/>
      <w:marTop w:val="0"/>
      <w:marBottom w:val="0"/>
      <w:divBdr>
        <w:top w:val="none" w:sz="0" w:space="0" w:color="auto"/>
        <w:left w:val="none" w:sz="0" w:space="0" w:color="auto"/>
        <w:bottom w:val="none" w:sz="0" w:space="0" w:color="auto"/>
        <w:right w:val="none" w:sz="0" w:space="0" w:color="auto"/>
      </w:divBdr>
    </w:div>
    <w:div w:id="725836128">
      <w:bodyDiv w:val="1"/>
      <w:marLeft w:val="0"/>
      <w:marRight w:val="0"/>
      <w:marTop w:val="0"/>
      <w:marBottom w:val="0"/>
      <w:divBdr>
        <w:top w:val="none" w:sz="0" w:space="0" w:color="auto"/>
        <w:left w:val="none" w:sz="0" w:space="0" w:color="auto"/>
        <w:bottom w:val="none" w:sz="0" w:space="0" w:color="auto"/>
        <w:right w:val="none" w:sz="0" w:space="0" w:color="auto"/>
      </w:divBdr>
    </w:div>
    <w:div w:id="1012607220">
      <w:bodyDiv w:val="1"/>
      <w:marLeft w:val="0"/>
      <w:marRight w:val="0"/>
      <w:marTop w:val="0"/>
      <w:marBottom w:val="0"/>
      <w:divBdr>
        <w:top w:val="none" w:sz="0" w:space="0" w:color="auto"/>
        <w:left w:val="none" w:sz="0" w:space="0" w:color="auto"/>
        <w:bottom w:val="none" w:sz="0" w:space="0" w:color="auto"/>
        <w:right w:val="none" w:sz="0" w:space="0" w:color="auto"/>
      </w:divBdr>
    </w:div>
    <w:div w:id="1017849942">
      <w:bodyDiv w:val="1"/>
      <w:marLeft w:val="0"/>
      <w:marRight w:val="0"/>
      <w:marTop w:val="0"/>
      <w:marBottom w:val="0"/>
      <w:divBdr>
        <w:top w:val="none" w:sz="0" w:space="0" w:color="auto"/>
        <w:left w:val="none" w:sz="0" w:space="0" w:color="auto"/>
        <w:bottom w:val="none" w:sz="0" w:space="0" w:color="auto"/>
        <w:right w:val="none" w:sz="0" w:space="0" w:color="auto"/>
      </w:divBdr>
    </w:div>
    <w:div w:id="1074669707">
      <w:bodyDiv w:val="1"/>
      <w:marLeft w:val="0"/>
      <w:marRight w:val="0"/>
      <w:marTop w:val="0"/>
      <w:marBottom w:val="0"/>
      <w:divBdr>
        <w:top w:val="none" w:sz="0" w:space="0" w:color="auto"/>
        <w:left w:val="none" w:sz="0" w:space="0" w:color="auto"/>
        <w:bottom w:val="none" w:sz="0" w:space="0" w:color="auto"/>
        <w:right w:val="none" w:sz="0" w:space="0" w:color="auto"/>
      </w:divBdr>
    </w:div>
    <w:div w:id="1116291160">
      <w:bodyDiv w:val="1"/>
      <w:marLeft w:val="0"/>
      <w:marRight w:val="0"/>
      <w:marTop w:val="0"/>
      <w:marBottom w:val="0"/>
      <w:divBdr>
        <w:top w:val="none" w:sz="0" w:space="0" w:color="auto"/>
        <w:left w:val="none" w:sz="0" w:space="0" w:color="auto"/>
        <w:bottom w:val="none" w:sz="0" w:space="0" w:color="auto"/>
        <w:right w:val="none" w:sz="0" w:space="0" w:color="auto"/>
      </w:divBdr>
    </w:div>
    <w:div w:id="1337534283">
      <w:bodyDiv w:val="1"/>
      <w:marLeft w:val="0"/>
      <w:marRight w:val="0"/>
      <w:marTop w:val="0"/>
      <w:marBottom w:val="0"/>
      <w:divBdr>
        <w:top w:val="none" w:sz="0" w:space="0" w:color="auto"/>
        <w:left w:val="none" w:sz="0" w:space="0" w:color="auto"/>
        <w:bottom w:val="none" w:sz="0" w:space="0" w:color="auto"/>
        <w:right w:val="none" w:sz="0" w:space="0" w:color="auto"/>
      </w:divBdr>
    </w:div>
    <w:div w:id="1447693683">
      <w:bodyDiv w:val="1"/>
      <w:marLeft w:val="0"/>
      <w:marRight w:val="0"/>
      <w:marTop w:val="0"/>
      <w:marBottom w:val="0"/>
      <w:divBdr>
        <w:top w:val="none" w:sz="0" w:space="0" w:color="auto"/>
        <w:left w:val="none" w:sz="0" w:space="0" w:color="auto"/>
        <w:bottom w:val="none" w:sz="0" w:space="0" w:color="auto"/>
        <w:right w:val="none" w:sz="0" w:space="0" w:color="auto"/>
      </w:divBdr>
    </w:div>
    <w:div w:id="1447772544">
      <w:bodyDiv w:val="1"/>
      <w:marLeft w:val="0"/>
      <w:marRight w:val="0"/>
      <w:marTop w:val="0"/>
      <w:marBottom w:val="0"/>
      <w:divBdr>
        <w:top w:val="none" w:sz="0" w:space="0" w:color="auto"/>
        <w:left w:val="none" w:sz="0" w:space="0" w:color="auto"/>
        <w:bottom w:val="none" w:sz="0" w:space="0" w:color="auto"/>
        <w:right w:val="none" w:sz="0" w:space="0" w:color="auto"/>
      </w:divBdr>
    </w:div>
    <w:div w:id="1554268358">
      <w:bodyDiv w:val="1"/>
      <w:marLeft w:val="0"/>
      <w:marRight w:val="0"/>
      <w:marTop w:val="0"/>
      <w:marBottom w:val="0"/>
      <w:divBdr>
        <w:top w:val="none" w:sz="0" w:space="0" w:color="auto"/>
        <w:left w:val="none" w:sz="0" w:space="0" w:color="auto"/>
        <w:bottom w:val="none" w:sz="0" w:space="0" w:color="auto"/>
        <w:right w:val="none" w:sz="0" w:space="0" w:color="auto"/>
      </w:divBdr>
    </w:div>
    <w:div w:id="1590387785">
      <w:bodyDiv w:val="1"/>
      <w:marLeft w:val="0"/>
      <w:marRight w:val="0"/>
      <w:marTop w:val="0"/>
      <w:marBottom w:val="0"/>
      <w:divBdr>
        <w:top w:val="none" w:sz="0" w:space="0" w:color="auto"/>
        <w:left w:val="none" w:sz="0" w:space="0" w:color="auto"/>
        <w:bottom w:val="none" w:sz="0" w:space="0" w:color="auto"/>
        <w:right w:val="none" w:sz="0" w:space="0" w:color="auto"/>
      </w:divBdr>
      <w:divsChild>
        <w:div w:id="1943995888">
          <w:marLeft w:val="0"/>
          <w:marRight w:val="0"/>
          <w:marTop w:val="0"/>
          <w:marBottom w:val="0"/>
          <w:divBdr>
            <w:top w:val="single" w:sz="2" w:space="0" w:color="E5E7EB"/>
            <w:left w:val="single" w:sz="2" w:space="0" w:color="E5E7EB"/>
            <w:bottom w:val="single" w:sz="2" w:space="0" w:color="E5E7EB"/>
            <w:right w:val="single" w:sz="2" w:space="0" w:color="E5E7EB"/>
          </w:divBdr>
          <w:divsChild>
            <w:div w:id="12776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236/ojbm.2024.122020" TargetMode="External"/><Relationship Id="rId18" Type="http://schemas.openxmlformats.org/officeDocument/2006/relationships/hyperlink" Target="https://www.climatebonds.net/resources/reports" TargetMode="External"/><Relationship Id="rId26" Type="http://schemas.openxmlformats.org/officeDocument/2006/relationships/hyperlink" Target="https://doi.org/10.1038/s41558-024-01567-3" TargetMode="External"/><Relationship Id="rId39" Type="http://schemas.openxmlformats.org/officeDocument/2006/relationships/hyperlink" Target="https://doi.org/10.1016/j.jclepro.2023.136145" TargetMode="External"/><Relationship Id="rId21" Type="http://schemas.openxmlformats.org/officeDocument/2006/relationships/hyperlink" Target="https://doi.org/10.1016/j.enpol.2022.113089" TargetMode="External"/><Relationship Id="rId34" Type="http://schemas.openxmlformats.org/officeDocument/2006/relationships/hyperlink" Target="https://www.unepfi.org/publications/green-bonds" TargetMode="External"/><Relationship Id="rId42" Type="http://schemas.openxmlformats.org/officeDocument/2006/relationships/hyperlink" Target="https://doi.org/10.1080/20430795.2025.1234567" TargetMode="External"/><Relationship Id="rId7" Type="http://schemas.openxmlformats.org/officeDocument/2006/relationships/hyperlink" Target="https://www.climatebonds.net/resources/reports" TargetMode="External"/><Relationship Id="rId2" Type="http://schemas.openxmlformats.org/officeDocument/2006/relationships/styles" Target="styles.xml"/><Relationship Id="rId16" Type="http://schemas.openxmlformats.org/officeDocument/2006/relationships/hyperlink" Target="https://doi.org/10.1787/greenfinance2023-4-en" TargetMode="External"/><Relationship Id="rId20" Type="http://schemas.openxmlformats.org/officeDocument/2006/relationships/hyperlink" Target="https://doi.org/10.3390/su13179522" TargetMode="External"/><Relationship Id="rId29" Type="http://schemas.openxmlformats.org/officeDocument/2006/relationships/hyperlink" Target="https://www.climatebonds.net/resources/reports" TargetMode="External"/><Relationship Id="rId41" Type="http://schemas.openxmlformats.org/officeDocument/2006/relationships/hyperlink" Target="https://doi.org/10.1016/j.jenvman.2024.112123" TargetMode="External"/><Relationship Id="rId1" Type="http://schemas.openxmlformats.org/officeDocument/2006/relationships/numbering" Target="numbering.xml"/><Relationship Id="rId6" Type="http://schemas.openxmlformats.org/officeDocument/2006/relationships/hyperlink" Target="https://doi.org/10.1016/j.techfore.2021.121454" TargetMode="External"/><Relationship Id="rId11" Type="http://schemas.openxmlformats.org/officeDocument/2006/relationships/hyperlink" Target="https://www.axa-im.com/insights" TargetMode="External"/><Relationship Id="rId24" Type="http://schemas.openxmlformats.org/officeDocument/2006/relationships/hyperlink" Target="https://www.icmagroup.org/impact-reporting-practices" TargetMode="External"/><Relationship Id="rId32" Type="http://schemas.openxmlformats.org/officeDocument/2006/relationships/hyperlink" Target="https://www.oecd.org/environment/cc/green-bonds.htm" TargetMode="External"/><Relationship Id="rId37" Type="http://schemas.openxmlformats.org/officeDocument/2006/relationships/hyperlink" Target="https://www.spglobal.com/green-bond-trends" TargetMode="External"/><Relationship Id="rId40" Type="http://schemas.openxmlformats.org/officeDocument/2006/relationships/hyperlink" Target="https://doi.org/10.1016/j.jbankfin.2022.106120" TargetMode="External"/><Relationship Id="rId5" Type="http://schemas.openxmlformats.org/officeDocument/2006/relationships/hyperlink" Target="mailto:drmanikaaggarwal@gmail.com" TargetMode="External"/><Relationship Id="rId15" Type="http://schemas.openxmlformats.org/officeDocument/2006/relationships/hyperlink" Target="https://www.bis.org/publ/qtrpdf/r_qt2403g.htm" TargetMode="External"/><Relationship Id="rId23" Type="http://schemas.openxmlformats.org/officeDocument/2006/relationships/hyperlink" Target="https://doi.org/10.1016/j.jeem.2022.101115" TargetMode="External"/><Relationship Id="rId28" Type="http://schemas.openxmlformats.org/officeDocument/2006/relationships/hyperlink" Target="https://www.princeton.edu/green-sovereign-bonds" TargetMode="External"/><Relationship Id="rId36" Type="http://schemas.openxmlformats.org/officeDocument/2006/relationships/hyperlink" Target="https://www.moodys.com/green-bond-outlook-2025" TargetMode="External"/><Relationship Id="rId10" Type="http://schemas.openxmlformats.org/officeDocument/2006/relationships/hyperlink" Target="https://doi.org/10.1234/pj.2023.04903" TargetMode="External"/><Relationship Id="rId19" Type="http://schemas.openxmlformats.org/officeDocument/2006/relationships/hyperlink" Target="https://www.bis.org/publ/qtrpdf/r_qt2212h.htm" TargetMode="External"/><Relationship Id="rId31" Type="http://schemas.openxmlformats.org/officeDocument/2006/relationships/hyperlink" Target="https://finance.ec.europa.eu/eu-green-bond-standard_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555/oarjst.2024.002" TargetMode="External"/><Relationship Id="rId14" Type="http://schemas.openxmlformats.org/officeDocument/2006/relationships/hyperlink" Target="https://www.icmagroup.org/impact-reporting-handbook" TargetMode="External"/><Relationship Id="rId22" Type="http://schemas.openxmlformats.org/officeDocument/2006/relationships/hyperlink" Target="https://doi.org/10.1080/20430795.2022.2034567" TargetMode="External"/><Relationship Id="rId27" Type="http://schemas.openxmlformats.org/officeDocument/2006/relationships/hyperlink" Target="https://doi.org/10.2139/ssrn.1234567" TargetMode="External"/><Relationship Id="rId30" Type="http://schemas.openxmlformats.org/officeDocument/2006/relationships/hyperlink" Target="https://www.icmagroup.org/sustainable-bond-market" TargetMode="External"/><Relationship Id="rId35" Type="http://schemas.openxmlformats.org/officeDocument/2006/relationships/hyperlink" Target="https://www.ifc.org/green-bond-impact-report" TargetMode="External"/><Relationship Id="rId43" Type="http://schemas.openxmlformats.org/officeDocument/2006/relationships/fontTable" Target="fontTable.xml"/><Relationship Id="rId8" Type="http://schemas.openxmlformats.org/officeDocument/2006/relationships/hyperlink" Target="https://www.icmagroup.org/sustainable-finance/the-principles-guidelines-and-handbooks/green-bond-principles-gbp/" TargetMode="External"/><Relationship Id="rId3" Type="http://schemas.openxmlformats.org/officeDocument/2006/relationships/settings" Target="settings.xml"/><Relationship Id="rId12" Type="http://schemas.openxmlformats.org/officeDocument/2006/relationships/hyperlink" Target="https://www.worldbank.org/en/news/feature/2023/06/01/sustainable-development-bonds-green-bonds-impact-report" TargetMode="External"/><Relationship Id="rId17" Type="http://schemas.openxmlformats.org/officeDocument/2006/relationships/hyperlink" Target="https://www.cfainstitute.org/research/survey/2024-esg-green-bonds" TargetMode="External"/><Relationship Id="rId25" Type="http://schemas.openxmlformats.org/officeDocument/2006/relationships/hyperlink" Target="https://www.worldbank.org/green-bonds-emerging-markets" TargetMode="External"/><Relationship Id="rId33" Type="http://schemas.openxmlformats.org/officeDocument/2006/relationships/hyperlink" Target="https://g20sfwg.org/reports/2024" TargetMode="External"/><Relationship Id="rId38" Type="http://schemas.openxmlformats.org/officeDocument/2006/relationships/hyperlink" Target="https://www.bis.org/publ/qtrpdf/r_qt2503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Garg</dc:creator>
  <cp:keywords/>
  <dc:description/>
  <cp:lastModifiedBy>Shivam Garg</cp:lastModifiedBy>
  <cp:revision>6</cp:revision>
  <dcterms:created xsi:type="dcterms:W3CDTF">2025-06-20T11:26:00Z</dcterms:created>
  <dcterms:modified xsi:type="dcterms:W3CDTF">2025-06-24T06:33:00Z</dcterms:modified>
</cp:coreProperties>
</file>