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PEDAGOGICAL APPROACHES TO INTEGRATING INDIAN KNOWLEDGE SYSTEM IN LEGAL EDUCATION</w:t>
      </w:r>
    </w:p>
    <w:p w:rsidR="00000000" w:rsidDel="00000000" w:rsidP="00000000" w:rsidRDefault="00000000" w:rsidRPr="00000000" w14:paraId="0000000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indigenous jurisprudence and contemporary legal paradigms based critical pedagogical framework is required for integration of the Indian knowledge system into legal education. India’s legal traditions of Manusmriti, Arthashastra, Dharmashastra and principles of jurisprudence from the Nyaya and Mimamsa schools continue to remain out of the mainstream legal education model prevalent in India, which is Eurocentric. This paper critically analyzes pedagogical approaches for the systematically quantified use of Indian Knowledge System (IKS) into legal curricula which are academic rigorous and constitutional. The afore mentioned drawing on constructivist and experimental methodologies as well as interdisciplinary methodologies. This research attempts to understand how legal education can work with IKS through a Case Based learning, narrative jurisprudence and comparative legal analysis. In addition, it explores how digital tools, research programs, and community-based learning can help close the epistemic gap between indigenous legal traditions and contemporary legal frameworks and in doing so it will prove that the hybridity of the indigenous legal thought has emerged even with only fragmented remote web-based interactions. The research addresses potential challenges, language barriers, institutional resistance and tensions between modern constitutionalism and customary legal regime. This research argues that it is necessitated to take a nuanced, critically oriented approach to prevent the romanticizing of IKS while at the same time acknowledging its valuable jurisprudential contribution. This research argues that while advocating for IKS integration in the context of a decolonized, relevant to the context legal pedagogy, it is not an act of cultural revivalism, but part of the endeavor towards Epistemic Pluralism in legal education.</w:t>
      </w:r>
    </w:p>
    <w:p w:rsidR="00000000" w:rsidDel="00000000" w:rsidP="00000000" w:rsidRDefault="00000000" w:rsidRPr="00000000" w14:paraId="0000000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Keywords: Indian Knowledge System, Legal Education, Jurisprudence, Dharma, Nyaya, Arthashastra, Legal Pedagogy</w:t>
      </w:r>
    </w:p>
    <w:p w:rsidR="00000000" w:rsidDel="00000000" w:rsidP="00000000" w:rsidRDefault="00000000" w:rsidRPr="00000000" w14:paraId="00000007">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Vast and intricate intellectual tradition, that is IKS, has been accrued over millennia in the Indian subcontinent, that also encompasses law, ethics, governance, philosophy and a system of dispute resolution. It provides what is, at least for the time being, a different, but deep, civilizational view of justice and jurisprudence that is in contrast to the predominant positivist legal traditions of the day. Unlike the Western legal order, which is largely codified, precedent-driven, and formalistic, Indian legal tradition, as it is embedded in IKS, is organic, principle driven, based on moral, social and spiritual considerations. It is not just about something that has to be enforced, it is also a complex moral, legal and governance tower where a pattern of law, justice and ethical governing is embedded into the metaphysical and social fabric (Findlay, 2021). </w:t>
      </w:r>
    </w:p>
    <w:p w:rsidR="00000000" w:rsidDel="00000000" w:rsidP="00000000" w:rsidRDefault="00000000" w:rsidRPr="00000000" w14:paraId="0000000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emphasis at the level of legal education is on the textual knowledge and statutory interpretation, IKS goes a lot further, and at the same time, beyond to encompass other domains like oral traditions, customary law practices, and indigenous providers of justice delivery. One is in this deep expansion of the comprehension of Dharma in which the narrow, often misinterpreted notion of Dharma as a religion is cast in an overarching, broader, more ethically and legally conscious understanding of Dharma in regard to behavior of the individual and community. The supreme regulative principle in the legal, ethical and sociological standards of conduct within society is Dharma, as enshrined in the ancient jurisprudent texts. The relationship of Ashtadhyayi is intricately linked to the principles of Nyaya (justice), Artha (statecraft and economic governance) and Danda (law enforcement and punitive Jurisprudence) in one together forming the foundation legal principles in ancient Indian Philosophy (Smylie et. al., 2004). </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Dharma can be considered as the ethical and jurisprudential foundation of IKS as it is at its core an ethical and moral order governing the development and application of legal principles. It is not so much a set of prescriptions but an overarching philosophical framework of inherently justified-ness, contextual adaptability and social responsiveness of law. All these texts contain extensive deliberations on issues like legal norms, duties of a society, and judicial processes in the Dharmashastra texts, particularly in the Manusmriti, Yajnavalkya Smriti and Narada Smriti. These texts show a special combination of moral reasoning and legal principles, which is a combination of justice as a separate construction, but as a function of ethical obligation, social harmony and fair resolution of disputes. In contrast to the more rigid formalism often found in modern legal orders, the Indian legal order stressed substantive justice, and it was one that was kept in constant synchrony with the changing demands of society so long as justice was upheld in general, so long as righteousness and fairness were maintained (Recht, 2009). </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the Nyaya school, a theoretical school focused on epistemological aspects of Justice, also emphasizes logical reasoning, dialectic inquiry and evidence while they are already a case study of philosophical underpinnings of justice in IKS. Analytical philosophy is deeply ingrained in the Nyaya tradition and this tradition prioritizes assessed truth through reasoned discourse, emphasizing the rational discourse in making legal decisions. Classical Indian legal theory, as shaped by Nyaya made the substantive rather than the formal the paramount consideration in the rules of law, foremost seeking to accomplish that in the mindless result of rules rather than the mechanical application of rules by the formalistic process. This goes against the stereotype of modern legal systems, where often bureaucratic nature of and procedural compliance become triumph more than justice in its ultimate essence.</w:t>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Arthashastra authored by Kautilya (Chanakya), is no less important in the realm of the corpus of IKS, for it has the ability to reveal significant insights about the art of governance, law, statecraft and so on. The Arthashastra is not just a administrative manual, but it has a superior understanding of the regulatory frameworks, economic laws, taxation policies and principles of governance, which are applicable even today in the legal and administrative discourse. The legal consciousness presented in the text’s discussions of corporate regulation, contract law, crime prevention, and espionage anticipate several major modern legal doctrines and regulatory mechanisms. As an example of a law that is both capable of responding to the exigencies of the state administration and committed to larger ideals of justice and public welfare, the Arthashastra anticipates, and makes, the need for a legal order (Agrawal, 2009). </w:t>
      </w:r>
    </w:p>
    <w:p w:rsidR="00000000" w:rsidDel="00000000" w:rsidP="00000000" w:rsidRDefault="00000000" w:rsidRPr="00000000" w14:paraId="0000000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 earliest recorded legal texts in human history include the Manusmriti and the Dharmashastra texts, more particularly within the context of IKS. While some parts of the Manusmriti have been interpreted and criticized in a contentious manner, it cannot be denied that significance of the Manusmriti as a legal codification. It exhaustively describes laws relating to family, inheritance, contractual obligations, criminal jurisprudence and social governance, which are many of the principles that have permeated personal laws in contemporary India. The Hindu jurisprudential foundations received from the Dharmashastra tradition contain, in general, the jurisprudential premises of Hindu law, which have an advanced legal consciousness when they merge moral philosophy with practical jurisprudence.</w:t>
      </w:r>
    </w:p>
    <w:p w:rsidR="00000000" w:rsidDel="00000000" w:rsidP="00000000" w:rsidRDefault="00000000" w:rsidRPr="00000000" w14:paraId="0000000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Indian legal traditions further show that participation and community driven nature is not confined to democracy and modern systems of dispute resolution, for the Indigenous systems of dispute resolution, the Nyaya Panchayats and other customary adjudicatory mechanisms represent the same. These institutions are deeply anchored in local governance structures and consider conciliatory and restorative justice instead of adversarial litigation which is close to the most recent principles of Alternative Dispute Resolution (ADR). Panchayat system, a decentralized and accessible forum for legal redress, is an example of an ancient commitment to using dissemination mechanisms to dispute resolution which is efficient, equitable and sensitive to social imperatives. Just as there is resurgence of ADR methodologies in modern legal systems, mediation and arbitration, the wisdom of these indigenous legal practices is still relevant in modern jurisprudence.</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Ancient Indian jurisprudence was and continues to be important because of the repository of legal thought that the epistemological foundations offer that is still immensely relevant to modern legal frameworks. It is in texts such as the Dharmashastra, Arthashastra, the focus on equity, conciliation and pragmatic governance present themselves as an alternative clever enough to challenge the rigid formalism of modern legal institutions. Furthermore, the decolonization of legal education necessitates an earnest recognition of IKS as an integral component of legal scholarship. However, invariably, indigenous legal traditions are continued to be marginalized within these curricula and likely all formal legal curricula, thereby creating what may be termed an epistemic lacuna that should either be corrected by reintegration of IKS into contemporary legal education (Das, 2019). </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Without paying attention to the Gurukul system of imparting legal, ethical and governance related knowledge, the historical trace of legal education in India cannot be fully understood. As opposed to the modern institutionalized system of education that takes an approach of rigid curricula and standardized tests, the Gurukul was an immersive and holistic way of education. The learning was based on mentorship, experiential involvement with legal principles, and a quest for jurisprudence with deep anchoring in ethics and philosophy. The Gurukul pedagogy was based on contextual learning, students going through rigorous debates, case-based analysis, interdisciplinary inquiry and drawing insights from Dharmashastra, Arthashastra, and Nyaya Sutras.</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Although such a Eurocentric legal curriculum, wittingly or unwittingly, colonially imposed to replace indigenous jurisprudential education, the Gurukul carries pedagogical weight in terms of traditions that include an apprenticeship type training, dialogical learning and ethically grounded legal instruction. In the context of modern legal education, the integration of IKS requires revitalization of these traditional methodologies to: (i) move beyond mere memorization of statutory provisions and case laws, to a more profound engagement with historical jurisprudence, ethical reasoning, and pluralistic legal traditions; and (ii) to (internalize): (i) methodology, (ii) beliefs, (iii) mental qualities, as well as, (iv) dispositions leading to historical reasoning of all mentioned legal materials. Implicit in NEP 2020’s advocacy for an inter-disciplinary and multi-disciplinary, a culturally grounded approach to legal education is recognition of the importance of IKS and the Gurukul tradition. On the one hand, this provides an opportunity for the legal institutions to go for a blended pedagogical model whereby the indigenous jurisprudential insight could be blended (mixed) with the current thought of the legalists resulting in a legal education system that is equally historical as it is globally relevant (P., 2022). </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THEORETICAL FOUNDATIONS OF PEDAGOGICAL APPROACHES</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education pedagogy has been awash in positivist theory for a long time now, statutory interpretation, legal formalism, judicial precedence, and so alternative pedagogical strategies have been trying to break in as diversifying force. Nevertheless, to integrate the IKS, the notion of a more pluralistic approach should be more than Eurocentric epistemology and embrace the perspective of indigenous legal traditions. For this integration, theoretical foundations in terms of pedagogy must go from being more juridic to being more constructivist, experiential, interdisciplinary and narrative based, consistent with the legacy of historical jurisprudence and modern critical legal studies. Rather than supplementing these legal curricula, these methodologies provide an entirely different basis for epistemology wherein law is posited within an ethically aligned, context and history grounded methodology.</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Constructivist Approach</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Education from the Constructivist Paradigm takes the position that knowledge is not a static thing they just transmit at the top and down and instead, it is actively created through the course of dealing with legal issues, dialectical reasoning and critical inquiry. Passive learning is challenged in that legal understanding is assumed to come out of interaction with texts, with cases, socio legal context. Any use of this pedagogical framework in IKS demands a deliberate handling of the ancient legal traditions, text-based hermeneutics and synthesis of jurisprudential principles. The constructivist method does not just treat traditional legal doctrines as historically significant artifacts to be included as such but integrates the doctrines into a living source of law and thus places the education of law within a wider epistemological and cultural problem. Thus, the students can perceive law as a flexible generalization, rather than a rigid, autonomous system, and law as a dynamic institution which is embedded in the historical, ethical and philosophical traditions of a society. While each facet of the law is different, the content of the law is governed by the rules and customs of the indigenous people and ethical precepts that are in fears throughout the jurisprudential reasoning (Capel, 2014). </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Case based learning is particularly effective constructivist method whereby the students are immersed in a comparative study of classical Indian legal texts such as Manusmriti, Arthashastra and Yajnavalkya Smriti and compare this with contemporary legal theories and principles. An example of this would be that Arthashastra’s understanding of state responsibility and penal sanctions may be examined with respect to Bentham’s utilitarian as well as Austin’s positivist theory of law. It differs from any comparative study not only because such a study takes indigenous jurisprudence to a deeper level of comprehension but also because like any comparative study it presses the students to question Western legal doctrines since it is presumed to be universal. Likewise, the constructivist paradigm provides the opportunity to study the basic foundations of Dharma and Nyaya in ancient Indian jurisprudence in a critical manner by discussing western theories that include Rawlsian justice or Hart’s legal positivism. These concepts are placed in the broader framework of philosophical discourses and encourage the students to break out of the Eurocentric narrative of the legal evolution logic and to understand the pluralistic base of legal thought (Nyaya, 1996). </w:t>
      </w:r>
    </w:p>
    <w:p w:rsidR="00000000" w:rsidDel="00000000" w:rsidP="00000000" w:rsidRDefault="00000000" w:rsidRPr="00000000" w14:paraId="0000001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avenue for experiential approaches lies beyond simulated legal argumentation, which entails an equally important approach of direct fieldwork within customary and indigenous legal institutions, where students could get a chance to observe the processes and procedure of Nyaya Panchayats, Lok Adalats, etc., which are non-formalized bodies. By engaging in such ways, the empirical understanding of oral jurisprudence, which is the process through which the parties appeal to the interpretative authority of the community elders and adjudicators to conclude the debate, becomes feasible. In these settings, brought into maturity by these arrangements, justice is more normally mediated through the negotiated settlements that are the publication of this jurisprudence’s ethic: its deference to reconciliation and social harmony or its inattention to punitive or retributive justice. It allows the students an opportunity to critically examine the interaction between customary legal frameworks and the state’s formal legal system in the framework of constitutional imperatives. Indigenous jurisprudence struggles, most profoundly so in regard to gender justice, the caste-based exclusions and the right to fundamental rights, need to be scrutinized through the lens of the legitimacy, the adaptability and the ethicality of customary law in the context of fast changing and developing legal landscape.</w:t>
      </w:r>
    </w:p>
    <w:p w:rsidR="00000000" w:rsidDel="00000000" w:rsidP="00000000" w:rsidRDefault="00000000" w:rsidRPr="00000000" w14:paraId="0000001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touching with these lived legal traditions, students get an acute understanding of the normative structures that provide the basis for indigenous jurisprudence and their modernity to ADR mechanisms. Gain from such experiential learning is not just to offer an academic enhancement; the lessons learnt from all such experiential learning equip future legal practitioners with tools of analysis to deal with complexities of legal pluralism in India. However, to critically evaluate and synthesize multiple legal traditions divergent from statutory enactments and constitutional mandates for a legal system where customary law meets statutory enactments and constitutional mandates is itself an exercise of intellect for the sake of pragmatic praxis (India, 2022). </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Experiential Learning</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Legal education cannot or does not have to be confined to the abstract theoretical discourse; it demands fluid and experiential immersion in jurisprudential evolution through centuries through the legal traditions. To get acquainted with the law as a lived reality, a simple textual analysis of statutes, precedents and doctrinal frameworks is not adequate. To be effective in connecting IKS with the field of legal pedagogy, there must be a deep penetration of IKS in customary state practices, especially the ones that still work within the parameters of contemporary village panchayats, informal arbitration councils and community-based dispute resolution forums. These mechanisms constitute different embodiment of indigenous jurisprudence that always parallel with the formal legal system and even act as a repository of legal pluralism that can serve the organic development of the dispute resolution that precede the codifying of the law.</w:t>
      </w:r>
    </w:p>
    <w:p w:rsidR="00000000" w:rsidDel="00000000" w:rsidP="00000000" w:rsidRDefault="00000000" w:rsidRPr="00000000" w14:paraId="0000001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case on point in facilitating this type of experiential learning is the use of moot courts based on historical legal cases. Unlike traditional moot exercises of contemporary judicial precepts, students in this approach must reconstruct and argue dissents from ancient Indian legal texts. Some examples of this include the way in which students might be asked to re conceptualize a complex property dispute based on the Manusmriti, wherein the hard jurisprudence of ancient Hindu law clashes with contemporary doctrines of modern property law. Quite importantly, this exercise encourages a principle of analytical engagement in legal reasoning, living at different times, and also permits a critical analysis of continuities and breaks in legal hermeneutics. Students are helped to develop an historically informed attitude towards law by making it possible to acknowledge the foundations in the legal continuum upon which more current debates in jurisprudence continue to rest (Gupta, 2013). </w:t>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However, as hands on experiential modality an equally important experiential modality occurs outside of the confines of simulated courtroom exercises, that is direct field work within customary and indigenous institutions. In other words, this calls for an immersion into Nyaya Panchayats, Lok Adalats, and other informal arbitration bodies through which students will come in contact with the procedural minutia and normative framework of non-formalized dispute resolution. Unlike state law, these customary forums are much more oral, communal, and consensus based in their adjudication, and are thus a different view on the administration of justice outside of the positivists. Through observations of the deliberative processes undertaken by community elders, the consideration held by those elders of moral and ethical considerations and the manner in which customary law and statutory mandates impact the adjudicatory outcomes, students gain critical insight in these processes. Additionally, such engagement allows students to dissect the difficult points of the intersection between customary legal practice and constitutional imperative, especially on the issues of gender justice, caste-based discrimination and equitable means of taking legal recourse. Consequently, an experiential aspect of legal education enables students to analyze the usefulness, legitimacy and the possible constitutional defects of indigenous adjudicatory mechanisms (Prabha, 2021). </w:t>
      </w:r>
    </w:p>
    <w:p w:rsidR="00000000" w:rsidDel="00000000" w:rsidP="00000000" w:rsidRDefault="00000000" w:rsidRPr="00000000" w14:paraId="00000021">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Interdisciplinary and Comparative Methods</w:t>
      </w:r>
    </w:p>
    <w:p w:rsidR="00000000" w:rsidDel="00000000" w:rsidP="00000000" w:rsidRDefault="00000000" w:rsidRPr="00000000" w14:paraId="0000002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responsibly integrate IKS into the systems of legal education, the integration must be broad and interdisciplinary depending on a range of toys including philosophy, history, ethics, anthropology, and political theory. There is no discipline of law in isolation of sociocultural and philosophical framework that informs its development and interpretation to law. Pertinent therefore is precisely that kind of tradition, legal traditions that stem from civilizations with long histories of juridical and normative structures, and jurisprudence itself has not been merely a tool of state control, but rather it has become something deeply structured as an epistemic, ethical, and hermeneutic enterprise. To interact meaningfully with IKS within legal education requires a methodological framework that escapes the positivist legal analysis to incorporate a more historic and philosophic analysis, so that indigenous philosophies of law do not end being reduced to mere cultural antique of legal thought, but not yet being relegated to the West centered legal thought traditions (Andrae, 2012). </w:t>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example, the Indian legal tradition is rich in repository of philosophical and jurisprudential thought which intersect with jurisprudentially, epistemologically and legally questions. The Nyaya school offers insights into evidentiary standards and inferential reasoning that parallel contemporary theories of adjudication and proof, and that the Nyaya school offers is in the form of rigorous logical methodologies. The jurisprudential approach of Mimamsa tradition with its sophisticated rules of textual interpretation can be looked at critically in the context of present hermeneutical theories with Ronald Dworkin’s idea of ‘law as integrity’ as an attempt to justify principles which are reflective of the accepted legal norms and values. Just as compelling is Buddhist legal tradition that focuses on ethical conduct, compassion, minimization of harm, then deontological legal theory of Kantian moral philosophy which is based on categorical imperatives as opposed to contextual ethical considerations. By conducting such comparative analyses, IKS internal coherence and philosophical depth is revealed as well as the challenge of presumption of universality of Western legal theories as alternative mode of jurisprudential reasoning and normative deliberation are highlighted.</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an interdisciplinary legal approach allows one to contribute to a critical historical and contemporary engagement with legal thought and the comparative examination of IKS with the dominant legal doctrines. Mentioning these somewhat obscure texts brings us to a for instance, Kautilya’s Arthashastra being a seminal treatise in statecraft, law and governance, which is itself a pragmatic model of legal administration and law enforcement that is not dissimilar to Max Weber’s theory of bureaucracy yet is critical of it. Weber, on the other hand, conceptualizes bureaucracy as the rational-legal authority structure based on formalized rules, hierarchic organization and impersonality, while Arthashastra imagines a more complex relationship between the fairness of law, play of realpolitik and moral-ethical consideration with respect to government. In a similar manner, the doctrine of Dharma, a basic feature in Indian jurisprudence, has given rise to questioning the suitability of current theories of natural law, especially in proclaiming that law is more than a set of externally imposed rules, and much more an inherent order that corresponds to the moral and cosmological character of the universe. It does so by questioning positivism claim of legal validity based on institutional enactment and according to classical natural law that legal validity should be moral and ethical (Kawagley, 2018). </w:t>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STRATEGIES FOR INTEGRATING IKS IN LEGAL CURRICULUM</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calls for a paradigm shift in structuring curricula to make possible seamless integration of indigenous jurisprudence with modern legal doctrines in the case of integration of IKS in legal education. Therefore, a complete reformation of legal studies is what is required, with the study of the ancient Indian legal thought, its genealogy, &amp; present-day importance of it at the forefront of academic discussion. The curriculum shall be an arduous task of bringing the students to read foundational texts, such as Manusmiriti, Arthshastra, and Mitakshara along with comparative legal analyses from all other jurisdictions with their legal analogies. The sector of comparative dimension is critical in creating an understanding for the basic function of indigenous legal frameworks in contemporary legal existence. Dedicated courses regarding the study of historical legal canons should not be limited to focusing on historical legal canons of study but extended to a critically oriented jurisprudential principles, ethical constructs, and the intersection of these with contemporary constitutionalism, human rights and rule of law. Elective courses of Dharmashastra, Rajadharma, &amp; traditional methods of resolving disputes such as Nyaya Panchayat must be structured to allow for analytical exercises as opposed to historical retrospection. Fuller philosophical, sociological and legal intakes of the philosophical, sociological and legal realities of ancient legal traditions are mandated with respect to their efficacy, their limitations, and their ability to be cognitively integrated into more contemporary governing and adjudicatory frameworks (Glazebrook, 2021). </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robust pedagogical framework for the integration of IKS in legal education necessitates a departure from passive didactic methods towards an interactive and experiential model of learning. Changing the way, we envision the traditional method of case law requires us to be able to work with case studies drawn from ancient legal sources in order for students to think critically about historical precedents. It would enable the analysis of legal disputes written about in texts such as Manusmriti and Arthashastra on the issues related to property rights, contractual obligations, criminal liability and governance, and with a high level of rigor. Such cases would enable a comparison of legal principles in the evolution and continuity of legal development against contemporary statutory and judicial frameworks. Pedagogy consisting of role-playing exercises should be used to involve students as disputing parties, village elders, and legal scholars of the time period with the assistance of reenacting historical legal disputes. These exercises were immersive in that students took on a learning experience of interacting and critically evaluating the efficacy and limitations of historical legal mechanisms in relation with the socio legal context that informed old jurisprudence (Harris, 1997).  </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incorporate an analytical engagement with the philosophical and ethical dimensions of IKS into interactive classroom discourse, the IKS must be taught in accordance with the philosophy of appropriateness. Dharma &amp; Niti are to be interrogated in terms of modern legal theories such as positivism, natural law and critical legal studies. This dialectical approach would hopefully spur the students to interrogate and reexamine the usefulness of the indigenous jurisprudential doctrines in the contemporary legal practice. Should this space be created, the codifying of IKS would be prompted to occur through structured debates and interdisciplinary discussions with students; to critically engage with normative claims of IKS, in keeping with the historical context of this codifying and looking ahead.</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Concentrated efforts need to be made to ground relationships to IKS within legal academia, as institutionalizing the study of IKS will be based off of rigorous research projects. The work of law schools should include investigation into the matter of indigenous legal traditions, and rather engaging in such work requires that law schools create specialized research centers, that carry out the study of indigenous legal traditions on an interdisciplinary basis, comprising legal scholars, historians and philologists. These have to carry out the systematic translation, annotation and critical analysis of all the ancient legal texts so that these texts become accessible to modern legal practitioners and academics. Thus, concrete research projects should be motivated, on the basis of which IKS is to be assessed for the practical consequences in the context of a modern legal system. Empirical studies of the use of traditional dispute resolution mechanisms for detecting backlog in judiciary would be of interest or studies on convergence of Rajadharma principles with the current administrative law would also throw light on the functional viability of indigenous legal structure.</w:t>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CHALLENGES AND SOLUTIONS IN IMPLEMENTING IKS IN LEGAL EDUCATION</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matter of institutional and policy barriers, the integration of IKS into law education is subject to the structures maintained by the current school of legal didactics. Modern Indian legal education system based on Western legal education structure is positivist, Eurocentric jurisprudence based, which keeps indigenous legal traditions in the margins. And this resistance multiplies with the rigid regulatory frameworks under institutions like the BCI &amp; UGC which have to do with a standardized curriculum in accordance with the common law tradition. The answer is in a gradual, systematic restructuring of legal curricula in which IKS appears as an elective or an additional subject, but essentially, it should become part and parcel of legal study in itself. This means that policy level interventions are needed that involve mandating IKS principles of subsistence, the formation of interdisciplinary legal research centers and integration of customary law mechanisms in legal training programs (Manyaka, 2006). </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linguistic and accessibility problems present in ancient legal texts written mostly in Sanskrit, Pali and Prakrit act as a major impediment in the assimilation of IKs in legal education. The precise legal interpretations of texts such as the Manusmriti, Arthashastra, and Dharmashastra demand not only linguistic expertise but also a deep understanding of contextual jurisprudence. At present, legal academia has too little scholarly resources available to transliterate these texts without deforming their essence. Moreover, the existing translations of these texts are largely led and influenced by colonial biases which are also wrongly misinterpreting the normative and jurisprudential aspects of the Indian legal traditions. Therefore, universities must commit to the funding of legal scholarship aimed at critical re-examination of these texts by linguistic, historical, and legal theorists work in collaboration between one another. Further exploiting the possibilities of digital initiatives based on AI driven translation tools, open access repository, and containing of such texts by annotated commentaries could avail these texts to contemporary legal scholars and students.</w:t>
      </w:r>
    </w:p>
    <w:p w:rsidR="00000000" w:rsidDel="00000000" w:rsidP="00000000" w:rsidRDefault="00000000" w:rsidRPr="00000000" w14:paraId="0000003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Balancing traditional Indian legal principles with modern legal frameworks presents another critical challenge, as the epistemological foundations of IKS differ significantly from the dominant Euro-American legal paradigms. The jurisprudence of ancient Indian legal texts is often rooted in communitarian ethics, restorative justice, and moral duty, whereas contemporary legal systems operate predominantly within the frameworks of individual rights, codified laws, and adversarial litigation. A key concern is ensuring that the integration of IKS does not conflict with constitutional and human rights principles, particularly regarding gender justice, caste discrimination, and secular governance. Some customary legal practices, historically entrenched in social hierarchies, may require reinterpretation to align with modern constitutional values. The solution lies in adopting a critical legal approach that selectively integrates IKS elements that are compatible with contemporary legal ethics, while also subjecting them to rigorous constitutional scrutiny. This can be achieved through comparative legal studies, which analyze how indigenous legal traditions can complement, rather than contradict, established human rights jurisprudence (Abdo, 2024). </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successful implementation of IKS in legal education necessitates a transformative pedagogical approach that harmonizes tradition with innovation. This requires a departure from rigid doctrinal teaching methods towards experiential and problem-based learning that contextualizes ancient legal principles within contemporary legal disputes. Incorporating IKS into moot court exercises, arbitration and mediation simulations, and legal ethics discussions can create a dynamic learning environment that fosters a deeper appreciation of indigenous legal wisdom. Additionally, fostering global collaborations with universities that specialize in indigenous legal traditions can provide comparative insights and best practices for integrating non-Western legal systems into mainstream education. A progressive and inclusive legal curriculum that bridges the gap between India’s rich legal heritage and modern jurisprudential developments is essential to creating a holistic and decolonized legal education system.</w:t>
      </w:r>
    </w:p>
    <w:p w:rsidR="00000000" w:rsidDel="00000000" w:rsidP="00000000" w:rsidRDefault="00000000" w:rsidRPr="00000000" w14:paraId="00000032">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3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integration of the IKS into legal education is not merely an academic exercise but a necessary intervention to decolonize legal pedagogy and create a jurisprudence that is contextually rooted in India’s civilizational ethos. The epistemological foundations of IKS, as reflected in texts like the </w:t>
      </w:r>
      <w:r w:rsidDel="00000000" w:rsidR="00000000" w:rsidRPr="00000000">
        <w:rPr>
          <w:rFonts w:ascii="Times New Roman" w:cs="Times New Roman" w:eastAsia="Times New Roman" w:hAnsi="Times New Roman"/>
          <w:i w:val="1"/>
          <w:rtl w:val="0"/>
        </w:rPr>
        <w:t xml:space="preserve">Arthashastra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Manusmriti</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i w:val="1"/>
          <w:rtl w:val="0"/>
        </w:rPr>
        <w:t xml:space="preserve">Dharmashastra</w:t>
      </w:r>
      <w:r w:rsidDel="00000000" w:rsidR="00000000" w:rsidRPr="00000000">
        <w:rPr>
          <w:rFonts w:ascii="Times New Roman" w:cs="Times New Roman" w:eastAsia="Times New Roman" w:hAnsi="Times New Roman"/>
          <w:rtl w:val="0"/>
        </w:rPr>
        <w:t xml:space="preserve">, offer profound insights into legal pluralism, governance, and justice that remain relevant in contemporary discourse. However, the challenge lies in reconciling these indigenous frameworks with the positivist and rights-based paradigms of modern legal education. The way forward requires a multi-pronged approach, curricular restructuring, interdisciplinary methodologies, and robust scholarly engagement, to ensure that IKS is not relegated to historical analysis but is actively employed in shaping legal thought and practice. Moreover, this process must be critically navigated to prevent the romanticization of ancient legal principles that may conflict with constitutional morality and human rights jurisprudence. A rigorous, balanced, and contextual integration of IKS will not only enrich the legal academy but also contribute to a more holistic and inclusive understanding of law, justice, and governance in India. Thus, the future of legal education must embrace a critical synthesis of traditional jurisprudence with contemporary legal doctrines to foster a truly indigenous yet globally relevant legal system. </w:t>
      </w:r>
    </w:p>
    <w:p w:rsidR="00000000" w:rsidDel="00000000" w:rsidP="00000000" w:rsidRDefault="00000000" w:rsidRPr="00000000" w14:paraId="00000035">
      <w:pPr>
        <w:spacing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 </w:t>
      </w:r>
    </w:p>
    <w:p w:rsidR="00000000" w:rsidDel="00000000" w:rsidP="00000000" w:rsidRDefault="00000000" w:rsidRPr="00000000" w14:paraId="00000037">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Abdo, M. R. (2024). Conflict Resolution through Indigenous Knowledge Systems. </w:t>
      </w:r>
      <w:r w:rsidDel="00000000" w:rsidR="00000000" w:rsidRPr="00000000">
        <w:rPr>
          <w:rFonts w:ascii="Times New Roman" w:cs="Times New Roman" w:eastAsia="Times New Roman" w:hAnsi="Times New Roman"/>
          <w:i w:val="1"/>
          <w:rtl w:val="0"/>
        </w:rPr>
        <w:t xml:space="preserve">Africa Review</w:t>
      </w:r>
      <w:r w:rsidDel="00000000" w:rsidR="00000000" w:rsidRPr="00000000">
        <w:rPr>
          <w:rFonts w:ascii="Times New Roman" w:cs="Times New Roman" w:eastAsia="Times New Roman" w:hAnsi="Times New Roman"/>
          <w:rtl w:val="0"/>
        </w:rPr>
        <w:t xml:space="preserve">, 1–15. </w:t>
      </w:r>
      <w:hyperlink r:id="rId6">
        <w:r w:rsidDel="00000000" w:rsidR="00000000" w:rsidRPr="00000000">
          <w:rPr>
            <w:rFonts w:ascii="Times New Roman" w:cs="Times New Roman" w:eastAsia="Times New Roman" w:hAnsi="Times New Roman"/>
            <w:rtl w:val="0"/>
          </w:rPr>
          <w:t xml:space="preserve">https://doi.org/10.1163/09744061-00000001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8">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Agrawal, A. (2009). Why “indigenous” knowledge? </w:t>
      </w:r>
      <w:r w:rsidDel="00000000" w:rsidR="00000000" w:rsidRPr="00000000">
        <w:rPr>
          <w:rFonts w:ascii="Times New Roman" w:cs="Times New Roman" w:eastAsia="Times New Roman" w:hAnsi="Times New Roman"/>
          <w:i w:val="1"/>
          <w:rtl w:val="0"/>
        </w:rPr>
        <w:t xml:space="preserve">Journal of the Royal Society of New Zealand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39</w:t>
      </w:r>
      <w:r w:rsidDel="00000000" w:rsidR="00000000" w:rsidRPr="00000000">
        <w:rPr>
          <w:rFonts w:ascii="Times New Roman" w:cs="Times New Roman" w:eastAsia="Times New Roman" w:hAnsi="Times New Roman"/>
          <w:rtl w:val="0"/>
        </w:rPr>
        <w:t xml:space="preserve">(4), 157–158. </w:t>
      </w:r>
      <w:hyperlink r:id="rId7">
        <w:r w:rsidDel="00000000" w:rsidR="00000000" w:rsidRPr="00000000">
          <w:rPr>
            <w:rFonts w:ascii="Times New Roman" w:cs="Times New Roman" w:eastAsia="Times New Roman" w:hAnsi="Times New Roman"/>
            <w:rtl w:val="0"/>
          </w:rPr>
          <w:t xml:space="preserve">https://doi.org/10.1080/03014220909510569</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9">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Andrae-Marobela, K., Okatch, H., Masizana-Katongo, A., Ngwenya, B. N., &amp; Monyatsi, K. N. (2012). The Dialectics of Indigenous Knowledge. </w:t>
      </w:r>
      <w:r w:rsidDel="00000000" w:rsidR="00000000" w:rsidRPr="00000000">
        <w:rPr>
          <w:rFonts w:ascii="Times New Roman" w:cs="Times New Roman" w:eastAsia="Times New Roman" w:hAnsi="Times New Roman"/>
          <w:i w:val="1"/>
          <w:rtl w:val="0"/>
        </w:rPr>
        <w:t xml:space="preserve">AlterNative: An International Journal of Indigenous Peoples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(2), 148–162. </w:t>
      </w:r>
      <w:hyperlink r:id="rId8">
        <w:r w:rsidDel="00000000" w:rsidR="00000000" w:rsidRPr="00000000">
          <w:rPr>
            <w:rFonts w:ascii="Times New Roman" w:cs="Times New Roman" w:eastAsia="Times New Roman" w:hAnsi="Times New Roman"/>
            <w:rtl w:val="0"/>
          </w:rPr>
          <w:t xml:space="preserve">https://doi.org/10.1177/117718011200800204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A">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Barnhardt, R., &amp; Kawagley, A. O. (2008). Indigenous Knowledge Systems and Education. </w:t>
      </w:r>
      <w:r w:rsidDel="00000000" w:rsidR="00000000" w:rsidRPr="00000000">
        <w:rPr>
          <w:rFonts w:ascii="Times New Roman" w:cs="Times New Roman" w:eastAsia="Times New Roman" w:hAnsi="Times New Roman"/>
          <w:i w:val="1"/>
          <w:rtl w:val="0"/>
        </w:rPr>
        <w:t xml:space="preserve">Teachers College Record: The Voice of Scholarship in Education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110</w:t>
      </w:r>
      <w:r w:rsidDel="00000000" w:rsidR="00000000" w:rsidRPr="00000000">
        <w:rPr>
          <w:rFonts w:ascii="Times New Roman" w:cs="Times New Roman" w:eastAsia="Times New Roman" w:hAnsi="Times New Roman"/>
          <w:rtl w:val="0"/>
        </w:rPr>
        <w:t xml:space="preserve">(13), 223–241. </w:t>
      </w:r>
      <w:hyperlink r:id="rId9">
        <w:r w:rsidDel="00000000" w:rsidR="00000000" w:rsidRPr="00000000">
          <w:rPr>
            <w:rFonts w:ascii="Times New Roman" w:cs="Times New Roman" w:eastAsia="Times New Roman" w:hAnsi="Times New Roman"/>
            <w:rtl w:val="0"/>
          </w:rPr>
          <w:t xml:space="preserve">https://doi.org/10.1177/016146810811001318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B">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Capel, C. (2014). Mindfulness, indigenous knowledge, indigenous innovations and entrepreneurship. </w:t>
      </w:r>
      <w:r w:rsidDel="00000000" w:rsidR="00000000" w:rsidRPr="00000000">
        <w:rPr>
          <w:rFonts w:ascii="Times New Roman" w:cs="Times New Roman" w:eastAsia="Times New Roman" w:hAnsi="Times New Roman"/>
          <w:i w:val="1"/>
          <w:rtl w:val="0"/>
        </w:rPr>
        <w:t xml:space="preserve">Journal of Research in Marketing and Entrepreneurship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(1), 63–83. </w:t>
      </w:r>
      <w:hyperlink r:id="rId10">
        <w:r w:rsidDel="00000000" w:rsidR="00000000" w:rsidRPr="00000000">
          <w:rPr>
            <w:rFonts w:ascii="Times New Roman" w:cs="Times New Roman" w:eastAsia="Times New Roman" w:hAnsi="Times New Roman"/>
            <w:rtl w:val="0"/>
          </w:rPr>
          <w:t xml:space="preserve">https://doi.org/10.1108/jrme-10-2013-0031</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C">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Das, D. Z. (2019). Alternate Dispute Resolution. </w:t>
      </w:r>
      <w:r w:rsidDel="00000000" w:rsidR="00000000" w:rsidRPr="00000000">
        <w:rPr>
          <w:rFonts w:ascii="Times New Roman" w:cs="Times New Roman" w:eastAsia="Times New Roman" w:hAnsi="Times New Roman"/>
          <w:i w:val="1"/>
          <w:rtl w:val="0"/>
        </w:rPr>
        <w:t xml:space="preserve">SSRN Electronic Journal</w:t>
      </w:r>
      <w:r w:rsidDel="00000000" w:rsidR="00000000" w:rsidRPr="00000000">
        <w:rPr>
          <w:rFonts w:ascii="Times New Roman" w:cs="Times New Roman" w:eastAsia="Times New Roman" w:hAnsi="Times New Roman"/>
          <w:rtl w:val="0"/>
        </w:rPr>
        <w:t xml:space="preserve">. </w:t>
      </w:r>
      <w:hyperlink r:id="rId11">
        <w:r w:rsidDel="00000000" w:rsidR="00000000" w:rsidRPr="00000000">
          <w:rPr>
            <w:rFonts w:ascii="Times New Roman" w:cs="Times New Roman" w:eastAsia="Times New Roman" w:hAnsi="Times New Roman"/>
            <w:rtl w:val="0"/>
          </w:rPr>
          <w:t xml:space="preserve">https://doi.org/10.2139/ssrn.3516476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D">
      <w:pPr>
        <w:numPr>
          <w:ilvl w:val="0"/>
          <w:numId w:val="1"/>
        </w:numPr>
        <w:spacing w:after="200" w:before="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Findlay, A. (2021b). Indigenous knowledge. </w:t>
      </w:r>
      <w:r w:rsidDel="00000000" w:rsidR="00000000" w:rsidRPr="00000000">
        <w:rPr>
          <w:rFonts w:ascii="Times New Roman" w:cs="Times New Roman" w:eastAsia="Times New Roman" w:hAnsi="Times New Roman"/>
          <w:i w:val="1"/>
          <w:rtl w:val="0"/>
        </w:rPr>
        <w:t xml:space="preserve">Nature Climate Change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rtl w:val="0"/>
        </w:rPr>
        <w:t xml:space="preserve">(7), 559. </w:t>
      </w:r>
      <w:hyperlink r:id="rId12">
        <w:r w:rsidDel="00000000" w:rsidR="00000000" w:rsidRPr="00000000">
          <w:rPr>
            <w:rFonts w:ascii="Times New Roman" w:cs="Times New Roman" w:eastAsia="Times New Roman" w:hAnsi="Times New Roman"/>
            <w:rtl w:val="0"/>
          </w:rPr>
          <w:t xml:space="preserve">https://doi.org/10.1038/s41558-021-01093-8</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E">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Glazebrook, T. (2021). What is Worth Knowing? Science, Knowledge, and Gendered and Indigenous Knowledge-Systems. </w:t>
      </w:r>
      <w:r w:rsidDel="00000000" w:rsidR="00000000" w:rsidRPr="00000000">
        <w:rPr>
          <w:rFonts w:ascii="Times New Roman" w:cs="Times New Roman" w:eastAsia="Times New Roman" w:hAnsi="Times New Roman"/>
          <w:i w:val="1"/>
          <w:rtl w:val="0"/>
        </w:rPr>
        <w:t xml:space="preserve">Axiomathes</w:t>
      </w:r>
      <w:r w:rsidDel="00000000" w:rsidR="00000000" w:rsidRPr="00000000">
        <w:rPr>
          <w:rFonts w:ascii="Times New Roman" w:cs="Times New Roman" w:eastAsia="Times New Roman" w:hAnsi="Times New Roman"/>
          <w:rtl w:val="0"/>
        </w:rPr>
        <w:t xml:space="preserve">. </w:t>
      </w:r>
      <w:hyperlink r:id="rId13">
        <w:r w:rsidDel="00000000" w:rsidR="00000000" w:rsidRPr="00000000">
          <w:rPr>
            <w:rFonts w:ascii="Times New Roman" w:cs="Times New Roman" w:eastAsia="Times New Roman" w:hAnsi="Times New Roman"/>
            <w:rtl w:val="0"/>
          </w:rPr>
          <w:t xml:space="preserve">https://doi.org/10.1007/s10516-021-09597-w</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F">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Gupta, R. (2013). </w:t>
      </w:r>
      <w:r w:rsidDel="00000000" w:rsidR="00000000" w:rsidRPr="00000000">
        <w:rPr>
          <w:rFonts w:ascii="Times New Roman" w:cs="Times New Roman" w:eastAsia="Times New Roman" w:hAnsi="Times New Roman"/>
          <w:i w:val="1"/>
          <w:rtl w:val="0"/>
        </w:rPr>
        <w:t xml:space="preserve">Manusmriti</w:t>
      </w:r>
      <w:r w:rsidDel="00000000" w:rsidR="00000000" w:rsidRPr="00000000">
        <w:rPr>
          <w:rFonts w:ascii="Times New Roman" w:cs="Times New Roman" w:eastAsia="Times New Roman" w:hAnsi="Times New Roman"/>
          <w:rtl w:val="0"/>
        </w:rPr>
        <w:t xml:space="preserve">. Pustak Mahal. </w:t>
      </w:r>
    </w:p>
    <w:p w:rsidR="00000000" w:rsidDel="00000000" w:rsidP="00000000" w:rsidRDefault="00000000" w:rsidRPr="00000000" w14:paraId="00000040">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Harris, H. (1997). Environmental Knowledge: Indigenous and Exogenous. </w:t>
      </w:r>
      <w:r w:rsidDel="00000000" w:rsidR="00000000" w:rsidRPr="00000000">
        <w:rPr>
          <w:rFonts w:ascii="Times New Roman" w:cs="Times New Roman" w:eastAsia="Times New Roman" w:hAnsi="Times New Roman"/>
          <w:i w:val="1"/>
          <w:rtl w:val="0"/>
        </w:rPr>
        <w:t xml:space="preserve">Anthropology Today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13</w:t>
      </w:r>
      <w:r w:rsidDel="00000000" w:rsidR="00000000" w:rsidRPr="00000000">
        <w:rPr>
          <w:rFonts w:ascii="Times New Roman" w:cs="Times New Roman" w:eastAsia="Times New Roman" w:hAnsi="Times New Roman"/>
          <w:rtl w:val="0"/>
        </w:rPr>
        <w:t xml:space="preserve">(4), 20. </w:t>
      </w:r>
      <w:hyperlink r:id="rId14">
        <w:r w:rsidDel="00000000" w:rsidR="00000000" w:rsidRPr="00000000">
          <w:rPr>
            <w:rFonts w:ascii="Times New Roman" w:cs="Times New Roman" w:eastAsia="Times New Roman" w:hAnsi="Times New Roman"/>
            <w:rtl w:val="0"/>
          </w:rPr>
          <w:t xml:space="preserve">https://doi.org/10.2307/2783426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Manyaka, J. (2006). Tracing a sound knowledge base from indigenous knowledge: The integration of indigenous and Western medical systems. </w:t>
      </w:r>
      <w:r w:rsidDel="00000000" w:rsidR="00000000" w:rsidRPr="00000000">
        <w:rPr>
          <w:rFonts w:ascii="Times New Roman" w:cs="Times New Roman" w:eastAsia="Times New Roman" w:hAnsi="Times New Roman"/>
          <w:i w:val="1"/>
          <w:rtl w:val="0"/>
        </w:rPr>
        <w:t xml:space="preserve">South African Journal of African Languages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26</w:t>
      </w:r>
      <w:r w:rsidDel="00000000" w:rsidR="00000000" w:rsidRPr="00000000">
        <w:rPr>
          <w:rFonts w:ascii="Times New Roman" w:cs="Times New Roman" w:eastAsia="Times New Roman" w:hAnsi="Times New Roman"/>
          <w:rtl w:val="0"/>
        </w:rPr>
        <w:t xml:space="preserve">(2), 69–76. </w:t>
      </w:r>
      <w:hyperlink r:id="rId15">
        <w:r w:rsidDel="00000000" w:rsidR="00000000" w:rsidRPr="00000000">
          <w:rPr>
            <w:rFonts w:ascii="Times New Roman" w:cs="Times New Roman" w:eastAsia="Times New Roman" w:hAnsi="Times New Roman"/>
            <w:rtl w:val="0"/>
          </w:rPr>
          <w:t xml:space="preserve">https://doi.org/10.1080/02572117.2006.10587270</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2">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Nyaya. (1996). In </w:t>
      </w:r>
      <w:r w:rsidDel="00000000" w:rsidR="00000000" w:rsidRPr="00000000">
        <w:rPr>
          <w:rFonts w:ascii="Times New Roman" w:cs="Times New Roman" w:eastAsia="Times New Roman" w:hAnsi="Times New Roman"/>
          <w:i w:val="1"/>
          <w:rtl w:val="0"/>
        </w:rPr>
        <w:t xml:space="preserve">Denotation of Generic Terms in Ancient Indian Philosophy</w:t>
      </w:r>
      <w:r w:rsidDel="00000000" w:rsidR="00000000" w:rsidRPr="00000000">
        <w:rPr>
          <w:rFonts w:ascii="Times New Roman" w:cs="Times New Roman" w:eastAsia="Times New Roman" w:hAnsi="Times New Roman"/>
          <w:rtl w:val="0"/>
        </w:rPr>
        <w:t xml:space="preserve"> (pp. 151–194). The American Philosophical Society Press. </w:t>
      </w:r>
      <w:hyperlink r:id="rId16">
        <w:r w:rsidDel="00000000" w:rsidR="00000000" w:rsidRPr="00000000">
          <w:rPr>
            <w:rFonts w:ascii="Times New Roman" w:cs="Times New Roman" w:eastAsia="Times New Roman" w:hAnsi="Times New Roman"/>
            <w:rtl w:val="0"/>
          </w:rPr>
          <w:t xml:space="preserve">https://doi.org/10.70249/9798893980592-014</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3">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N. (2022). National Education Policy-2020. </w:t>
      </w:r>
      <w:r w:rsidDel="00000000" w:rsidR="00000000" w:rsidRPr="00000000">
        <w:rPr>
          <w:rFonts w:ascii="Times New Roman" w:cs="Times New Roman" w:eastAsia="Times New Roman" w:hAnsi="Times New Roman"/>
          <w:i w:val="1"/>
          <w:rtl w:val="0"/>
        </w:rPr>
        <w:t xml:space="preserve">International Journal of Science and Research (IJSR)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11</w:t>
      </w:r>
      <w:r w:rsidDel="00000000" w:rsidR="00000000" w:rsidRPr="00000000">
        <w:rPr>
          <w:rFonts w:ascii="Times New Roman" w:cs="Times New Roman" w:eastAsia="Times New Roman" w:hAnsi="Times New Roman"/>
          <w:rtl w:val="0"/>
        </w:rPr>
        <w:t xml:space="preserve">(5), 1659–1661. </w:t>
      </w:r>
      <w:hyperlink r:id="rId17">
        <w:r w:rsidDel="00000000" w:rsidR="00000000" w:rsidRPr="00000000">
          <w:rPr>
            <w:rFonts w:ascii="Times New Roman" w:cs="Times New Roman" w:eastAsia="Times New Roman" w:hAnsi="Times New Roman"/>
            <w:rtl w:val="0"/>
          </w:rPr>
          <w:t xml:space="preserve">https://doi.org/10.21275/mr22522203302</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4">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Prabha, D. (2021). Indigenous Knowledge Management vs Adam’s Knowledge Management. </w:t>
      </w:r>
      <w:r w:rsidDel="00000000" w:rsidR="00000000" w:rsidRPr="00000000">
        <w:rPr>
          <w:rFonts w:ascii="Times New Roman" w:cs="Times New Roman" w:eastAsia="Times New Roman" w:hAnsi="Times New Roman"/>
          <w:i w:val="1"/>
          <w:rtl w:val="0"/>
        </w:rPr>
        <w:t xml:space="preserve">Acta Scientific Agriculture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5</w:t>
      </w:r>
      <w:r w:rsidDel="00000000" w:rsidR="00000000" w:rsidRPr="00000000">
        <w:rPr>
          <w:rFonts w:ascii="Times New Roman" w:cs="Times New Roman" w:eastAsia="Times New Roman" w:hAnsi="Times New Roman"/>
          <w:rtl w:val="0"/>
        </w:rPr>
        <w:t xml:space="preserve">(4), 44–45. </w:t>
      </w:r>
      <w:hyperlink r:id="rId18">
        <w:r w:rsidDel="00000000" w:rsidR="00000000" w:rsidRPr="00000000">
          <w:rPr>
            <w:rFonts w:ascii="Times New Roman" w:cs="Times New Roman" w:eastAsia="Times New Roman" w:hAnsi="Times New Roman"/>
            <w:rtl w:val="0"/>
          </w:rPr>
          <w:t xml:space="preserve">https://doi.org/10.31080/asag.2021.05.0968</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45">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Prokash, N. A., &amp; India, A. S. o. (Eds.). (2011). </w:t>
      </w:r>
      <w:r w:rsidDel="00000000" w:rsidR="00000000" w:rsidRPr="00000000">
        <w:rPr>
          <w:rFonts w:ascii="Times New Roman" w:cs="Times New Roman" w:eastAsia="Times New Roman" w:hAnsi="Times New Roman"/>
          <w:i w:val="1"/>
          <w:rtl w:val="0"/>
        </w:rPr>
        <w:t xml:space="preserve">Indigenous knowledge</w:t>
      </w:r>
      <w:r w:rsidDel="00000000" w:rsidR="00000000" w:rsidRPr="00000000">
        <w:rPr>
          <w:rFonts w:ascii="Times New Roman" w:cs="Times New Roman" w:eastAsia="Times New Roman" w:hAnsi="Times New Roman"/>
          <w:rtl w:val="0"/>
        </w:rPr>
        <w:t xml:space="preserve">. Anthropological Survey of India, Ministry of Culture, Govt. of India. </w:t>
      </w:r>
    </w:p>
    <w:p w:rsidR="00000000" w:rsidDel="00000000" w:rsidP="00000000" w:rsidRDefault="00000000" w:rsidRPr="00000000" w14:paraId="00000046">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Recht, J. (2009). Hearing Indigenous Voices, Protecting Indigenous Knowledge. </w:t>
      </w:r>
      <w:r w:rsidDel="00000000" w:rsidR="00000000" w:rsidRPr="00000000">
        <w:rPr>
          <w:rFonts w:ascii="Times New Roman" w:cs="Times New Roman" w:eastAsia="Times New Roman" w:hAnsi="Times New Roman"/>
          <w:i w:val="1"/>
          <w:rtl w:val="0"/>
        </w:rPr>
        <w:t xml:space="preserve">International Journal of Cultural Property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16</w:t>
      </w:r>
      <w:r w:rsidDel="00000000" w:rsidR="00000000" w:rsidRPr="00000000">
        <w:rPr>
          <w:rFonts w:ascii="Times New Roman" w:cs="Times New Roman" w:eastAsia="Times New Roman" w:hAnsi="Times New Roman"/>
          <w:rtl w:val="0"/>
        </w:rPr>
        <w:t xml:space="preserve">(3), 233–254. </w:t>
      </w:r>
      <w:hyperlink r:id="rId19">
        <w:r w:rsidDel="00000000" w:rsidR="00000000" w:rsidRPr="00000000">
          <w:rPr>
            <w:rFonts w:ascii="Times New Roman" w:cs="Times New Roman" w:eastAsia="Times New Roman" w:hAnsi="Times New Roman"/>
            <w:rtl w:val="0"/>
          </w:rPr>
          <w:t xml:space="preserve">https://doi.org/10.1017/s0940739109990166</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7">
      <w:pPr>
        <w:numPr>
          <w:ilvl w:val="0"/>
          <w:numId w:val="1"/>
        </w:numPr>
        <w:spacing w:after="200" w:line="360" w:lineRule="auto"/>
        <w:ind w:left="5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Smylie, J., Martin, C. M., Kaplan-Myrth, N., Steele, L., Tait, C., &amp; Hogg, W. (2004). Knowledge translation and indigenous knowledge. </w:t>
      </w:r>
      <w:r w:rsidDel="00000000" w:rsidR="00000000" w:rsidRPr="00000000">
        <w:rPr>
          <w:rFonts w:ascii="Times New Roman" w:cs="Times New Roman" w:eastAsia="Times New Roman" w:hAnsi="Times New Roman"/>
          <w:i w:val="1"/>
          <w:rtl w:val="0"/>
        </w:rPr>
        <w:t xml:space="preserve">International Journal of Circumpolar Health</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63</w:t>
      </w:r>
      <w:r w:rsidDel="00000000" w:rsidR="00000000" w:rsidRPr="00000000">
        <w:rPr>
          <w:rFonts w:ascii="Times New Roman" w:cs="Times New Roman" w:eastAsia="Times New Roman" w:hAnsi="Times New Roman"/>
          <w:rtl w:val="0"/>
        </w:rPr>
        <w:t xml:space="preserve">(sup2), 139–143. </w:t>
      </w:r>
      <w:hyperlink r:id="rId20">
        <w:r w:rsidDel="00000000" w:rsidR="00000000" w:rsidRPr="00000000">
          <w:rPr>
            <w:rFonts w:ascii="Times New Roman" w:cs="Times New Roman" w:eastAsia="Times New Roman" w:hAnsi="Times New Roman"/>
            <w:rtl w:val="0"/>
          </w:rPr>
          <w:t xml:space="preserve">https://doi.org/10.3402/ijch.v63i0.17877</w:t>
        </w:r>
      </w:hyperlink>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8">
      <w:pPr>
        <w:spacing w:after="200" w:before="20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spacing w:after="200" w:before="20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spacing w:after="200" w:before="20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54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3402/ijch.v63i0.17877" TargetMode="External"/><Relationship Id="rId11" Type="http://schemas.openxmlformats.org/officeDocument/2006/relationships/hyperlink" Target="https://doi.org/10.2139/ssrn.3516476" TargetMode="External"/><Relationship Id="rId10" Type="http://schemas.openxmlformats.org/officeDocument/2006/relationships/hyperlink" Target="https://doi.org/10.1108/jrme-10-2013-0031" TargetMode="External"/><Relationship Id="rId13" Type="http://schemas.openxmlformats.org/officeDocument/2006/relationships/hyperlink" Target="https://doi.org/10.1007/s10516-021-09597-w" TargetMode="External"/><Relationship Id="rId12" Type="http://schemas.openxmlformats.org/officeDocument/2006/relationships/hyperlink" Target="https://doi.org/10.1038/s41558-021-01093-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77/016146810811001318" TargetMode="External"/><Relationship Id="rId15" Type="http://schemas.openxmlformats.org/officeDocument/2006/relationships/hyperlink" Target="https://doi.org/10.1080/02572117.2006.10587270" TargetMode="External"/><Relationship Id="rId14" Type="http://schemas.openxmlformats.org/officeDocument/2006/relationships/hyperlink" Target="https://doi.org/10.2307/2783426" TargetMode="External"/><Relationship Id="rId17" Type="http://schemas.openxmlformats.org/officeDocument/2006/relationships/hyperlink" Target="https://doi.org/10.21275/mr22522203302" TargetMode="External"/><Relationship Id="rId16" Type="http://schemas.openxmlformats.org/officeDocument/2006/relationships/hyperlink" Target="https://doi.org/10.70249/9798893980592-014" TargetMode="External"/><Relationship Id="rId5" Type="http://schemas.openxmlformats.org/officeDocument/2006/relationships/styles" Target="styles.xml"/><Relationship Id="rId19" Type="http://schemas.openxmlformats.org/officeDocument/2006/relationships/hyperlink" Target="https://doi.org/10.1017/s0940739109990166" TargetMode="External"/><Relationship Id="rId6" Type="http://schemas.openxmlformats.org/officeDocument/2006/relationships/hyperlink" Target="https://doi.org/10.1163/09744061-00000001" TargetMode="External"/><Relationship Id="rId18" Type="http://schemas.openxmlformats.org/officeDocument/2006/relationships/hyperlink" Target="https://doi.org/10.31080/asag.2021.05.0968" TargetMode="External"/><Relationship Id="rId7" Type="http://schemas.openxmlformats.org/officeDocument/2006/relationships/hyperlink" Target="https://doi.org/10.1080/03014220909510569" TargetMode="External"/><Relationship Id="rId8" Type="http://schemas.openxmlformats.org/officeDocument/2006/relationships/hyperlink" Target="https://doi.org/10.1177/11771801120080020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