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EE640" w14:textId="37503FA0" w:rsidR="00A266A1" w:rsidRDefault="00307E66" w:rsidP="00230028">
      <w:pPr>
        <w:spacing w:line="240" w:lineRule="auto"/>
        <w:jc w:val="center"/>
        <w:rPr>
          <w:rFonts w:ascii="Times New Roman" w:hAnsi="Times New Roman" w:cs="Times New Roman"/>
          <w:b/>
          <w:bCs/>
          <w:sz w:val="48"/>
          <w:szCs w:val="48"/>
          <w:u w:val="single"/>
        </w:rPr>
      </w:pPr>
      <w:r w:rsidRPr="00D42F4D">
        <w:rPr>
          <w:rFonts w:ascii="Times New Roman" w:hAnsi="Times New Roman" w:cs="Times New Roman"/>
          <w:b/>
          <w:bCs/>
          <w:sz w:val="48"/>
          <w:szCs w:val="48"/>
          <w:u w:val="single"/>
        </w:rPr>
        <w:t>Microbial Dark Matter: Uncultured Microorganisms</w:t>
      </w:r>
    </w:p>
    <w:p w14:paraId="74939F21" w14:textId="77B77C28" w:rsidR="007836BB" w:rsidRPr="007836BB" w:rsidRDefault="007836BB" w:rsidP="007836BB">
      <w:pPr>
        <w:contextualSpacing/>
        <w:jc w:val="center"/>
        <w:rPr>
          <w:rFonts w:ascii="Times New Roman" w:hAnsi="Times New Roman" w:cs="Times New Roman"/>
          <w:color w:val="000000" w:themeColor="text1"/>
          <w:sz w:val="20"/>
          <w:szCs w:val="20"/>
        </w:rPr>
      </w:pPr>
      <w:r w:rsidRPr="007836BB">
        <w:rPr>
          <w:rFonts w:ascii="Times New Roman" w:hAnsi="Times New Roman" w:cs="Times New Roman"/>
          <w:color w:val="000000" w:themeColor="text1"/>
          <w:sz w:val="20"/>
          <w:szCs w:val="20"/>
          <w:u w:val="single"/>
        </w:rPr>
        <w:t>Janani Madhuravasal Krishnan</w:t>
      </w:r>
      <w:r w:rsidRPr="007836BB">
        <w:rPr>
          <w:rFonts w:ascii="Times New Roman" w:hAnsi="Times New Roman" w:cs="Times New Roman"/>
          <w:color w:val="000000" w:themeColor="text1"/>
          <w:sz w:val="20"/>
          <w:szCs w:val="20"/>
        </w:rPr>
        <w:t xml:space="preserve"> </w:t>
      </w:r>
    </w:p>
    <w:p w14:paraId="5E4CA24F" w14:textId="77777777" w:rsidR="007836BB" w:rsidRPr="007836BB" w:rsidRDefault="007836BB" w:rsidP="007836BB">
      <w:pPr>
        <w:contextualSpacing/>
        <w:jc w:val="center"/>
        <w:rPr>
          <w:rFonts w:ascii="Times New Roman" w:hAnsi="Times New Roman" w:cs="Times New Roman"/>
          <w:color w:val="000000" w:themeColor="text1"/>
          <w:sz w:val="20"/>
          <w:szCs w:val="20"/>
        </w:rPr>
      </w:pPr>
    </w:p>
    <w:p w14:paraId="360C1DE4" w14:textId="23013501" w:rsidR="00A84E79" w:rsidRPr="007836BB" w:rsidRDefault="007836BB" w:rsidP="007836BB">
      <w:pPr>
        <w:spacing w:line="240" w:lineRule="auto"/>
        <w:jc w:val="center"/>
        <w:rPr>
          <w:rFonts w:ascii="Times New Roman" w:hAnsi="Times New Roman" w:cs="Times New Roman"/>
          <w:b/>
          <w:bCs/>
          <w:sz w:val="20"/>
          <w:szCs w:val="20"/>
          <w:u w:val="single"/>
        </w:rPr>
      </w:pPr>
      <w:r w:rsidRPr="007836BB">
        <w:rPr>
          <w:rFonts w:ascii="Times New Roman" w:hAnsi="Times New Roman" w:cs="Times New Roman"/>
          <w:color w:val="000000" w:themeColor="text1"/>
          <w:sz w:val="20"/>
          <w:szCs w:val="20"/>
        </w:rPr>
        <w:t>Division of Digestive Diseases, Department of Internal Medicine, University of Cincinnati College of Medicine, Cincinnati, OH</w:t>
      </w:r>
      <w:r>
        <w:rPr>
          <w:rFonts w:ascii="Times New Roman" w:hAnsi="Times New Roman" w:cs="Times New Roman"/>
          <w:color w:val="000000" w:themeColor="text1"/>
          <w:sz w:val="20"/>
          <w:szCs w:val="20"/>
        </w:rPr>
        <w:t xml:space="preserve">, United </w:t>
      </w:r>
      <w:r w:rsidR="00FE0D66">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tates</w:t>
      </w:r>
    </w:p>
    <w:p w14:paraId="1954CAA3" w14:textId="77777777" w:rsidR="00307E66" w:rsidRPr="00D42F4D" w:rsidRDefault="00307E66" w:rsidP="00230028">
      <w:pPr>
        <w:spacing w:line="240" w:lineRule="auto"/>
        <w:jc w:val="center"/>
        <w:rPr>
          <w:rFonts w:ascii="Times New Roman" w:hAnsi="Times New Roman" w:cs="Times New Roman"/>
          <w:b/>
          <w:bCs/>
          <w:sz w:val="28"/>
          <w:szCs w:val="28"/>
          <w:u w:val="single"/>
        </w:rPr>
      </w:pPr>
    </w:p>
    <w:p w14:paraId="7FE99938" w14:textId="6243916D" w:rsidR="00905585" w:rsidRPr="00230028" w:rsidRDefault="00905585"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Introduction</w:t>
      </w:r>
    </w:p>
    <w:p w14:paraId="3FA7FE0B" w14:textId="77777777" w:rsidR="00905585" w:rsidRPr="00230028" w:rsidRDefault="00905585"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Microorganisms represent the most abundant and diverse forms of life on Earth, with an estimated 1 trillion species, of which only a fraction—approximately </w:t>
      </w:r>
      <w:proofErr w:type="gramStart"/>
      <w:r w:rsidRPr="00230028">
        <w:rPr>
          <w:rFonts w:ascii="Times New Roman" w:hAnsi="Times New Roman" w:cs="Times New Roman"/>
          <w:sz w:val="20"/>
          <w:szCs w:val="20"/>
        </w:rPr>
        <w:t>0.001%—</w:t>
      </w:r>
      <w:proofErr w:type="gramEnd"/>
      <w:r w:rsidRPr="00230028">
        <w:rPr>
          <w:rFonts w:ascii="Times New Roman" w:hAnsi="Times New Roman" w:cs="Times New Roman"/>
          <w:sz w:val="20"/>
          <w:szCs w:val="20"/>
        </w:rPr>
        <w:t>has been characterized. This immense diversity includes bacteria, archaea, fungi, viruses, and other microorganisms that play critical roles in ecosystems and human health. Yet, a significant proportion remains unexplored, often referred to as "microbial dark matter." For instance, in marine environments alone, microbial communities are estimated to contain millions of uncultured species, contributing to nutrient cycling and climate regulation. Similarly, the human microbiome, which consists of trillions of microbes, includes many unculturable organisms that influence health and disease. Understanding this hidden microbial world is critical for advancing our knowledge of biology, ecology, and clinical microbiology. These are microorganisms that elude traditional cultivation methods, representing a challenge for clinical microbiology. With advances in technology, researchers are uncovering this hidden microbial world, which is critical for diagnosing infections caused by previously unknown or hard-to-culture pathogens.</w:t>
      </w:r>
    </w:p>
    <w:p w14:paraId="2C2CDC94" w14:textId="77777777" w:rsidR="00307E66" w:rsidRPr="00230028" w:rsidRDefault="00307E66" w:rsidP="00230028">
      <w:pPr>
        <w:spacing w:line="240" w:lineRule="auto"/>
        <w:jc w:val="both"/>
        <w:rPr>
          <w:rFonts w:ascii="Times New Roman" w:hAnsi="Times New Roman" w:cs="Times New Roman"/>
          <w:sz w:val="20"/>
          <w:szCs w:val="20"/>
        </w:rPr>
      </w:pPr>
    </w:p>
    <w:p w14:paraId="2AC9B9D9" w14:textId="77777777" w:rsidR="00905585" w:rsidRPr="00230028" w:rsidRDefault="00905585"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The Challenge of Cultivation</w:t>
      </w:r>
    </w:p>
    <w:p w14:paraId="17EB891C" w14:textId="77777777" w:rsidR="00905585" w:rsidRPr="00230028" w:rsidRDefault="00905585"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Traditional microbiological diagnostics heavily rely on the ability to culture microorganisms. However, an estimated 99% of microbes in various environments are unculturable under standard laboratory conditions. Several factors contribute to this:</w:t>
      </w:r>
    </w:p>
    <w:p w14:paraId="41F7B164" w14:textId="77777777" w:rsidR="00905585" w:rsidRPr="00230028" w:rsidRDefault="00905585" w:rsidP="00230028">
      <w:pPr>
        <w:numPr>
          <w:ilvl w:val="0"/>
          <w:numId w:val="12"/>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Complex Nutritional Requirements: Many microorganisms require specific growth factors, co-factors, or symbiotic relationships with other microbes.</w:t>
      </w:r>
    </w:p>
    <w:p w14:paraId="565D2856" w14:textId="77777777" w:rsidR="00905585" w:rsidRPr="00230028" w:rsidRDefault="00905585" w:rsidP="00230028">
      <w:pPr>
        <w:numPr>
          <w:ilvl w:val="0"/>
          <w:numId w:val="12"/>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Host-Specificity: Some pathogens only thrive within their host environment, making in vitro cultivation difficult.</w:t>
      </w:r>
    </w:p>
    <w:p w14:paraId="4EE1515E" w14:textId="77777777" w:rsidR="00905585" w:rsidRPr="00230028" w:rsidRDefault="00905585" w:rsidP="00230028">
      <w:pPr>
        <w:numPr>
          <w:ilvl w:val="0"/>
          <w:numId w:val="12"/>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Slow Growth Rates: Certain microbes grow exceedingly slowly, requiring extended incubation </w:t>
      </w:r>
      <w:proofErr w:type="gramStart"/>
      <w:r w:rsidRPr="00230028">
        <w:rPr>
          <w:rFonts w:ascii="Times New Roman" w:hAnsi="Times New Roman" w:cs="Times New Roman"/>
          <w:sz w:val="20"/>
          <w:szCs w:val="20"/>
        </w:rPr>
        <w:t>times</w:t>
      </w:r>
      <w:proofErr w:type="gramEnd"/>
      <w:r w:rsidRPr="00230028">
        <w:rPr>
          <w:rFonts w:ascii="Times New Roman" w:hAnsi="Times New Roman" w:cs="Times New Roman"/>
          <w:sz w:val="20"/>
          <w:szCs w:val="20"/>
        </w:rPr>
        <w:t xml:space="preserve"> not feasible in routine diagnostics.</w:t>
      </w:r>
    </w:p>
    <w:p w14:paraId="34FB7318" w14:textId="77777777" w:rsidR="00905585" w:rsidRPr="00230028" w:rsidRDefault="00905585"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Technological Breakthroughs in Exploring Microbial Dark Matter</w:t>
      </w:r>
    </w:p>
    <w:p w14:paraId="2D7B216F" w14:textId="77777777" w:rsidR="00905585" w:rsidRPr="00230028" w:rsidRDefault="00905585"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Recent innovations have enabled significant progress in identifying and characterizing uncultured microorganisms, especially in clinical contexts. Historically, the inability to culture many microorganisms </w:t>
      </w:r>
      <w:proofErr w:type="gramStart"/>
      <w:r w:rsidRPr="00230028">
        <w:rPr>
          <w:rFonts w:ascii="Times New Roman" w:hAnsi="Times New Roman" w:cs="Times New Roman"/>
          <w:sz w:val="20"/>
          <w:szCs w:val="20"/>
        </w:rPr>
        <w:t>limited</w:t>
      </w:r>
      <w:proofErr w:type="gramEnd"/>
      <w:r w:rsidRPr="00230028">
        <w:rPr>
          <w:rFonts w:ascii="Times New Roman" w:hAnsi="Times New Roman" w:cs="Times New Roman"/>
          <w:sz w:val="20"/>
          <w:szCs w:val="20"/>
        </w:rPr>
        <w:t xml:space="preserve"> our understanding of their roles in health and disease. Breakthroughs such as the development of polymerase chain reaction (PCR) in the 1980s and the advent of next-generation sequencing (NGS) in the 2000s marked significant milestones, allowing scientists to study microbial communities without the need for cultivation.</w:t>
      </w:r>
    </w:p>
    <w:p w14:paraId="67BE5E43" w14:textId="77777777" w:rsidR="00905585" w:rsidRPr="00230028" w:rsidRDefault="00905585"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The introduction of high-throughput sequencing platforms, such as Illumina and Oxford Nanopore, has revolutionized the field by providing rapid and cost-effective means to decode microbial genomes. These advancements have also facilitated the study of microbial communities in their native environments, uncovering novel species and genes critical for understanding pathogenesis and antimicrobial resistance.</w:t>
      </w:r>
    </w:p>
    <w:p w14:paraId="0D33205C" w14:textId="77777777" w:rsidR="00905585" w:rsidRPr="00230028" w:rsidRDefault="00905585"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In the clinical context, the application of metagenomics to outbreak investigations, such as the 2011 E. coli O104:H4 outbreak in Germany, demonstrated its power to rapidly identify the causative agent and inform public health </w:t>
      </w:r>
      <w:r w:rsidRPr="00230028">
        <w:rPr>
          <w:rFonts w:ascii="Times New Roman" w:hAnsi="Times New Roman" w:cs="Times New Roman"/>
          <w:sz w:val="20"/>
          <w:szCs w:val="20"/>
        </w:rPr>
        <w:lastRenderedPageBreak/>
        <w:t>responses. Similarly, the identification of SARS-CoV-2 within weeks of the first reported cases highlights the role of metagenomic technologies in addressing emerging infectious diseases.</w:t>
      </w:r>
    </w:p>
    <w:p w14:paraId="7D6D3219" w14:textId="77777777" w:rsidR="00905585" w:rsidRPr="00230028" w:rsidRDefault="00905585"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Moreover, single-cell genomic techniques have enabled researchers to isolate and analyze individual microbial cells, providing insights into the functional roles of rare or unculturable microbes. These technologies, alongside bioinformatics advancements, continue to push the boundaries of what is possible in the study of microbial dark matter.</w:t>
      </w:r>
    </w:p>
    <w:p w14:paraId="62F2D449" w14:textId="77777777" w:rsidR="00A77C56" w:rsidRPr="00230028" w:rsidRDefault="00A77C56" w:rsidP="00230028">
      <w:pPr>
        <w:spacing w:line="240" w:lineRule="auto"/>
        <w:jc w:val="both"/>
        <w:rPr>
          <w:rFonts w:ascii="Times New Roman" w:hAnsi="Times New Roman" w:cs="Times New Roman"/>
          <w:sz w:val="20"/>
          <w:szCs w:val="20"/>
        </w:rPr>
      </w:pPr>
    </w:p>
    <w:p w14:paraId="45BE7968" w14:textId="77777777" w:rsidR="001422ED" w:rsidRPr="00230028" w:rsidRDefault="001422ED"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Metagenomics: A Breakthrough in Microbial Research and Clinical Diagnostics</w:t>
      </w:r>
    </w:p>
    <w:p w14:paraId="374468F8" w14:textId="77777777" w:rsidR="001422ED" w:rsidRPr="00230028" w:rsidRDefault="001422ED"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Introduction</w:t>
      </w:r>
    </w:p>
    <w:p w14:paraId="567BB1EE"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Metagenomics is a revolutionary approach in microbiology that enables the direct analysis of genetic material from environmental or clinical samples without the need for traditional cultivation techniques. This field has rapidly expanded, offering unprecedented insights into microbial diversity, ecology, and pathogenesis. By sequencing DNA or RNA directly from complex microbial communities, metagenomics has become an invaluable tool for identifying novel pathogens, understanding microbiome dynamics, and diagnosing infectious diseases.</w:t>
      </w:r>
    </w:p>
    <w:p w14:paraId="6265EE5F" w14:textId="77777777" w:rsidR="001422ED" w:rsidRPr="00230028" w:rsidRDefault="001422ED"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Shotgun Metagenomics: A Comprehensive Approach to Microbial Analysis</w:t>
      </w:r>
    </w:p>
    <w:p w14:paraId="7B769676"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Shotgun metagenomics is an untargeted sequencing approach that captures all microbial DNA present in a sample. It provides a complete genetic blueprint of microbial communities, allowing researchers to characterize species diversity, detect antimicrobial resistance genes, and identify potential pathogens.</w:t>
      </w:r>
    </w:p>
    <w:p w14:paraId="0F7738E9" w14:textId="77777777" w:rsidR="001422ED" w:rsidRPr="00230028" w:rsidRDefault="001422ED"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 xml:space="preserve">Applications </w:t>
      </w:r>
      <w:proofErr w:type="gramStart"/>
      <w:r w:rsidRPr="00230028">
        <w:rPr>
          <w:rFonts w:ascii="Times New Roman" w:hAnsi="Times New Roman" w:cs="Times New Roman"/>
          <w:i/>
          <w:iCs/>
          <w:sz w:val="20"/>
          <w:szCs w:val="20"/>
        </w:rPr>
        <w:t>of</w:t>
      </w:r>
      <w:proofErr w:type="gramEnd"/>
      <w:r w:rsidRPr="00230028">
        <w:rPr>
          <w:rFonts w:ascii="Times New Roman" w:hAnsi="Times New Roman" w:cs="Times New Roman"/>
          <w:i/>
          <w:iCs/>
          <w:sz w:val="20"/>
          <w:szCs w:val="20"/>
        </w:rPr>
        <w:t xml:space="preserve"> Shotgun Metagenomics</w:t>
      </w:r>
    </w:p>
    <w:p w14:paraId="6BCF08DA" w14:textId="77777777" w:rsidR="001422ED" w:rsidRPr="00230028" w:rsidRDefault="001422ED" w:rsidP="00230028">
      <w:pPr>
        <w:pStyle w:val="ListParagraph"/>
        <w:numPr>
          <w:ilvl w:val="0"/>
          <w:numId w:val="37"/>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Identification of Emerging Pathogens</w:t>
      </w:r>
    </w:p>
    <w:p w14:paraId="0093749B"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One of the most significant applications of shotgun metagenomics is in the identification of novel and emerging pathogens. A prominent example is the discovery of SARS-CoV-2, the coronavirus responsible for the COVID-19 pandemic. During an outbreak of severe pneumonia in Wuhan, China, in December 2019, metagenomic sequencing of bronchoalveolar lavage fluid samples from infected patients rapidly identified a novel </w:t>
      </w:r>
      <w:proofErr w:type="spellStart"/>
      <w:r w:rsidRPr="00230028">
        <w:rPr>
          <w:rFonts w:ascii="Times New Roman" w:hAnsi="Times New Roman" w:cs="Times New Roman"/>
          <w:sz w:val="20"/>
          <w:szCs w:val="20"/>
        </w:rPr>
        <w:t>betacoronavirus</w:t>
      </w:r>
      <w:proofErr w:type="spellEnd"/>
      <w:r w:rsidRPr="00230028">
        <w:rPr>
          <w:rFonts w:ascii="Times New Roman" w:hAnsi="Times New Roman" w:cs="Times New Roman"/>
          <w:sz w:val="20"/>
          <w:szCs w:val="20"/>
        </w:rPr>
        <w:t xml:space="preserve"> (Lu et al., 2020). This early detection enabled the swift development of diagnostic tests, vaccines, and public health measures, ultimately aiding in the global response to the pandemic.</w:t>
      </w:r>
    </w:p>
    <w:p w14:paraId="33ED16E1" w14:textId="77777777" w:rsidR="001422ED" w:rsidRPr="00230028" w:rsidRDefault="001422ED" w:rsidP="00230028">
      <w:pPr>
        <w:pStyle w:val="ListParagraph"/>
        <w:numPr>
          <w:ilvl w:val="0"/>
          <w:numId w:val="37"/>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Discovery of Borrelia miyamotoi: A Novel Tick-Borne Pathogen</w:t>
      </w:r>
    </w:p>
    <w:p w14:paraId="299394E6"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Another landmark case in metagenomic research is the discovery of Borrelia miyamotoi, a relapsing fever spirochete. Initially identified in ticks, B. miyamotoi was later confirmed as a human pathogen through metagenomic sequencing of blood samples from febrile patients in the United States (Krause et al., 2013). This discovery not only expanded the known spectrum of tick-borne illnesses but also underscored the role of metagenomics in identifying previously unrecognized infectious agents.</w:t>
      </w:r>
    </w:p>
    <w:p w14:paraId="1DC414C2" w14:textId="77777777" w:rsidR="001422ED" w:rsidRPr="00230028" w:rsidRDefault="001422ED" w:rsidP="00230028">
      <w:pPr>
        <w:pStyle w:val="ListParagraph"/>
        <w:numPr>
          <w:ilvl w:val="0"/>
          <w:numId w:val="37"/>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Metagenomics in Polymicrobial Infections: Insights from Cystic Fibrosis</w:t>
      </w:r>
    </w:p>
    <w:p w14:paraId="065D2677"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Chronic lung infections in cystic fibrosis (CF) patients are often caused by complex polymicrobial communities that include bacteria, fungi, and viruses. Traditional culture-based methods frequently fail to capture the full microbial diversity present in CF lung infections. Metagenomic sequencing of sputum samples has revealed the presence of diverse and unculturable pathogens, including antibiotic-resistant species, aiding in more effective treatment strategies (Zhao et al., 2021).</w:t>
      </w:r>
    </w:p>
    <w:p w14:paraId="3E99661B" w14:textId="77777777" w:rsidR="001422ED" w:rsidRPr="00230028" w:rsidRDefault="001422ED"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16S rRNA Sequencing: A Targeted Approach for Bacterial Identification</w:t>
      </w:r>
    </w:p>
    <w:p w14:paraId="1DEEE4DA"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While shotgun sequencing provides a comprehensive view of microbial communities, 16S rRNA sequencing is a targeted approach used primarily for bacterial identification. The 16S ribosomal RNA gene contains conserved and variable regions that allow for precise classification of bacterial taxa.</w:t>
      </w:r>
    </w:p>
    <w:p w14:paraId="70CE427A" w14:textId="77777777" w:rsidR="001422ED" w:rsidRPr="00230028" w:rsidRDefault="001422ED"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 xml:space="preserve">Applications </w:t>
      </w:r>
      <w:proofErr w:type="gramStart"/>
      <w:r w:rsidRPr="00230028">
        <w:rPr>
          <w:rFonts w:ascii="Times New Roman" w:hAnsi="Times New Roman" w:cs="Times New Roman"/>
          <w:i/>
          <w:iCs/>
          <w:sz w:val="20"/>
          <w:szCs w:val="20"/>
        </w:rPr>
        <w:t>of</w:t>
      </w:r>
      <w:proofErr w:type="gramEnd"/>
      <w:r w:rsidRPr="00230028">
        <w:rPr>
          <w:rFonts w:ascii="Times New Roman" w:hAnsi="Times New Roman" w:cs="Times New Roman"/>
          <w:i/>
          <w:iCs/>
          <w:sz w:val="20"/>
          <w:szCs w:val="20"/>
        </w:rPr>
        <w:t xml:space="preserve"> 16S rRNA Sequencing</w:t>
      </w:r>
    </w:p>
    <w:p w14:paraId="33D946DF" w14:textId="77777777" w:rsidR="001422ED" w:rsidRPr="00230028" w:rsidRDefault="001422ED" w:rsidP="00230028">
      <w:pPr>
        <w:numPr>
          <w:ilvl w:val="0"/>
          <w:numId w:val="24"/>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lastRenderedPageBreak/>
        <w:t>Diagnosis of Bacterial Infections: 16S rRNA sequencing is widely used for identifying bacteria in culture-negative infections such as endocarditis, osteomyelitis, and peritonitis (</w:t>
      </w:r>
      <w:proofErr w:type="spellStart"/>
      <w:r w:rsidRPr="00230028">
        <w:rPr>
          <w:rFonts w:ascii="Times New Roman" w:hAnsi="Times New Roman" w:cs="Times New Roman"/>
          <w:sz w:val="20"/>
          <w:szCs w:val="20"/>
        </w:rPr>
        <w:t>Schlaberg</w:t>
      </w:r>
      <w:proofErr w:type="spellEnd"/>
      <w:r w:rsidRPr="00230028">
        <w:rPr>
          <w:rFonts w:ascii="Times New Roman" w:hAnsi="Times New Roman" w:cs="Times New Roman"/>
          <w:sz w:val="20"/>
          <w:szCs w:val="20"/>
        </w:rPr>
        <w:t xml:space="preserve"> et al., 2017).</w:t>
      </w:r>
    </w:p>
    <w:p w14:paraId="318098ED" w14:textId="77777777" w:rsidR="001422ED" w:rsidRPr="00230028" w:rsidRDefault="001422ED" w:rsidP="00230028">
      <w:pPr>
        <w:numPr>
          <w:ilvl w:val="0"/>
          <w:numId w:val="24"/>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Microbiome Analysis: This technique has been instrumental in studying microbial shifts associated with conditions such as inflammatory bowel disease (IBD), bacterial vaginosis, and periodontitis (Franzosa et al., 2015).</w:t>
      </w:r>
    </w:p>
    <w:p w14:paraId="2D77939E" w14:textId="77777777" w:rsidR="001422ED" w:rsidRPr="00230028" w:rsidRDefault="001422ED" w:rsidP="00230028">
      <w:pPr>
        <w:numPr>
          <w:ilvl w:val="0"/>
          <w:numId w:val="24"/>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Environmental and Clinical Microbiology: 16S sequencing has helped identify new bacterial species in environmental samples and clinical specimens, expanding our understanding of microbial ecosystems.</w:t>
      </w:r>
    </w:p>
    <w:p w14:paraId="5F66CDDE" w14:textId="77777777" w:rsidR="001422ED" w:rsidRPr="00230028" w:rsidRDefault="001422ED"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Clinical Applications of Metagenomics</w:t>
      </w:r>
    </w:p>
    <w:p w14:paraId="05F4A3B4"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Metagenomics has transformed clinical microbiology by enabling the rapid identification of pathogens, characterization of antibiotic resistance genes, and analysis of host-microbiome interactions.</w:t>
      </w:r>
    </w:p>
    <w:p w14:paraId="1538F301" w14:textId="54E15004"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Diagnosis of Unusual and Rare Infections</w:t>
      </w:r>
      <w:r w:rsidR="00BE396D" w:rsidRPr="00230028">
        <w:rPr>
          <w:rFonts w:ascii="Times New Roman" w:hAnsi="Times New Roman" w:cs="Times New Roman"/>
          <w:sz w:val="20"/>
          <w:szCs w:val="20"/>
        </w:rPr>
        <w:t>:</w:t>
      </w:r>
    </w:p>
    <w:p w14:paraId="44CF3332"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Metagenomics has proven invaluable in diagnosing infections that evade conventional detection methods. A striking example is the identification of Leptospira species in febrile patients using metagenomic sequencing, leading to improved clinical management (Wilson et al., 2019).</w:t>
      </w:r>
    </w:p>
    <w:p w14:paraId="5BEBEA17" w14:textId="62C7906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Personalized Medicine and Microbiome-Based Therapies</w:t>
      </w:r>
      <w:r w:rsidR="00BE396D" w:rsidRPr="00230028">
        <w:rPr>
          <w:rFonts w:ascii="Times New Roman" w:hAnsi="Times New Roman" w:cs="Times New Roman"/>
          <w:sz w:val="20"/>
          <w:szCs w:val="20"/>
        </w:rPr>
        <w:t>:</w:t>
      </w:r>
    </w:p>
    <w:p w14:paraId="048067E6"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Metagenomics has enabled precision medicine by allowing for microbiome profiling in diseases such as inflammatory disorders and metabolic syndromes. In cases of recurrent </w:t>
      </w:r>
      <w:proofErr w:type="spellStart"/>
      <w:r w:rsidRPr="00230028">
        <w:rPr>
          <w:rFonts w:ascii="Times New Roman" w:hAnsi="Times New Roman" w:cs="Times New Roman"/>
          <w:sz w:val="20"/>
          <w:szCs w:val="20"/>
        </w:rPr>
        <w:t>Clostridioides</w:t>
      </w:r>
      <w:proofErr w:type="spellEnd"/>
      <w:r w:rsidRPr="00230028">
        <w:rPr>
          <w:rFonts w:ascii="Times New Roman" w:hAnsi="Times New Roman" w:cs="Times New Roman"/>
          <w:sz w:val="20"/>
          <w:szCs w:val="20"/>
        </w:rPr>
        <w:t xml:space="preserve"> difficile infections (CDI), metagenomic data have guided the use of fecal microbiota transplantation (FMT) as a therapeutic approach (Cammarota et al., 2017).</w:t>
      </w:r>
    </w:p>
    <w:p w14:paraId="4D1E997A" w14:textId="1CFBAF4A"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Surveillance of Antimicrobial Resistance (AMR)</w:t>
      </w:r>
      <w:r w:rsidR="00BE396D" w:rsidRPr="00230028">
        <w:rPr>
          <w:rFonts w:ascii="Times New Roman" w:hAnsi="Times New Roman" w:cs="Times New Roman"/>
          <w:sz w:val="20"/>
          <w:szCs w:val="20"/>
        </w:rPr>
        <w:t>:</w:t>
      </w:r>
    </w:p>
    <w:p w14:paraId="29F2BCA1"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The rise of antibiotic-resistant pathogens is a major global health concern. Metagenomics facilitates the detection of antimicrobial resistance genes (ARGs) in clinical and environmental settings, helping track the evolution of resistant strains and informing antibiotic stewardship programs (Van Schaik, 2015).</w:t>
      </w:r>
    </w:p>
    <w:p w14:paraId="603B4820" w14:textId="77777777" w:rsidR="001422ED" w:rsidRPr="00230028" w:rsidRDefault="001422ED"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Future Directions and Challenges in Metagenomics</w:t>
      </w:r>
    </w:p>
    <w:p w14:paraId="5D4AD315"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Despite its numerous advantages, metagenomics faces several challenges, including high sequencing costs, data complexity, and the need for robust bioinformatics tools. Future research should focus on improving sequencing technologies, enhancing computational methods for data analysis, and integrating multi-omics approaches to gain deeper insights into microbial functions.</w:t>
      </w:r>
    </w:p>
    <w:p w14:paraId="1A90B635" w14:textId="77777777" w:rsidR="001422ED" w:rsidRPr="00230028" w:rsidRDefault="001422ED"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Conclusion</w:t>
      </w:r>
    </w:p>
    <w:p w14:paraId="3CAAC01C" w14:textId="77777777" w:rsidR="001422ED" w:rsidRPr="00230028" w:rsidRDefault="001422ED"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Metagenomics has revolutionized the study of microbial communities, transforming our ability to identify novel pathogens, understand microbiome dynamics, and diagnose infectious diseases. As </w:t>
      </w:r>
      <w:proofErr w:type="gramStart"/>
      <w:r w:rsidRPr="00230028">
        <w:rPr>
          <w:rFonts w:ascii="Times New Roman" w:hAnsi="Times New Roman" w:cs="Times New Roman"/>
          <w:sz w:val="20"/>
          <w:szCs w:val="20"/>
        </w:rPr>
        <w:t>sequencing</w:t>
      </w:r>
      <w:proofErr w:type="gramEnd"/>
      <w:r w:rsidRPr="00230028">
        <w:rPr>
          <w:rFonts w:ascii="Times New Roman" w:hAnsi="Times New Roman" w:cs="Times New Roman"/>
          <w:sz w:val="20"/>
          <w:szCs w:val="20"/>
        </w:rPr>
        <w:t xml:space="preserve"> technologies continue to evolve, metagenomics will play an increasingly vital role in clinical diagnostics, epidemiology, and personalized medicine.</w:t>
      </w:r>
    </w:p>
    <w:p w14:paraId="113E7E00" w14:textId="77777777" w:rsidR="00BE396D" w:rsidRPr="00230028" w:rsidRDefault="00BE396D" w:rsidP="00230028">
      <w:pPr>
        <w:spacing w:line="240" w:lineRule="auto"/>
        <w:jc w:val="both"/>
        <w:rPr>
          <w:rFonts w:ascii="Times New Roman" w:hAnsi="Times New Roman" w:cs="Times New Roman"/>
          <w:b/>
          <w:bCs/>
          <w:sz w:val="20"/>
          <w:szCs w:val="20"/>
        </w:rPr>
      </w:pPr>
    </w:p>
    <w:p w14:paraId="3DDB5EAF" w14:textId="1ACEF94B" w:rsidR="009D7C0A" w:rsidRPr="00230028" w:rsidRDefault="009D7C0A"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Single-Cell Genomics: Unlocking the Secrets of Unculturable Microbes</w:t>
      </w:r>
    </w:p>
    <w:p w14:paraId="23CC2C74"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Introduction</w:t>
      </w:r>
    </w:p>
    <w:p w14:paraId="6AD21F8D"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Single-cell genomics (SCG) is a cutting-edge approach that enables the study of individual microbial cells by isolating and sequencing their DNA. This technique has revolutionized microbiology by allowing researchers to analyze microorganisms that cannot be cultured using traditional methods. Many microbes exist in complex and diverse environments where standard cultivation techniques fail, making SCG an essential tool for studying microbial diversity, function, and evolution.</w:t>
      </w:r>
    </w:p>
    <w:p w14:paraId="1A115405"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Techniques in Single-Cell Genomics</w:t>
      </w:r>
    </w:p>
    <w:p w14:paraId="25D0F798"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lastRenderedPageBreak/>
        <w:t>SCG involves several key steps, including single-cell isolation, whole-genome amplification, sequencing, and bioinformatics analysis. The two primary techniques for isolating single cells are:</w:t>
      </w:r>
    </w:p>
    <w:p w14:paraId="5CB74966"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Fluorescence-Activated Cell Sorting (FACS)</w:t>
      </w:r>
    </w:p>
    <w:p w14:paraId="7E87BD52"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Fluorescence-activated cell sorting (FACS) is a flow cytometry-based technique that uses fluorescent markers to sort individual cells from a mixed population. Cells are labeled based on specific surface markers or nucleic acid stains, allowing researchers to target specific microbial populations. This method is highly effective for isolating rare or low-abundance microbes from environmental or clinical samples (Rinke et al., 2013).</w:t>
      </w:r>
    </w:p>
    <w:p w14:paraId="3876E8E0"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Microfluidics-Based Single-Cell Isolation</w:t>
      </w:r>
    </w:p>
    <w:p w14:paraId="44D0BD68"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Microfluidics technology enables the manipulation of tiny volumes of liquid to capture and process single cells. This technique uses microdroplet-based platforms or microchambers to physically separate individual microbial cells before genomic analysis. Microfluidics has the advantage of reducing contamination risks and improving sequencing efficiency, making it an attractive approach for studying rare or difficult-to-culture microorganisms (Blainey, 2013).</w:t>
      </w:r>
    </w:p>
    <w:p w14:paraId="16FF0511"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 xml:space="preserve">Applications </w:t>
      </w:r>
      <w:proofErr w:type="gramStart"/>
      <w:r w:rsidRPr="00230028">
        <w:rPr>
          <w:rFonts w:ascii="Times New Roman" w:hAnsi="Times New Roman" w:cs="Times New Roman"/>
          <w:i/>
          <w:iCs/>
          <w:sz w:val="20"/>
          <w:szCs w:val="20"/>
        </w:rPr>
        <w:t>of</w:t>
      </w:r>
      <w:proofErr w:type="gramEnd"/>
      <w:r w:rsidRPr="00230028">
        <w:rPr>
          <w:rFonts w:ascii="Times New Roman" w:hAnsi="Times New Roman" w:cs="Times New Roman"/>
          <w:i/>
          <w:iCs/>
          <w:sz w:val="20"/>
          <w:szCs w:val="20"/>
        </w:rPr>
        <w:t xml:space="preserve"> Single-Cell Genomics</w:t>
      </w:r>
    </w:p>
    <w:p w14:paraId="50721F30"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SCG has numerous applications in microbiology, medicine, and biotechnology. By enabling genome sequencing at the level of individual cells, SCG provides insights into microbial diversity, pathogenesis, and adaptation.</w:t>
      </w:r>
    </w:p>
    <w:p w14:paraId="45234F40"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Characterization of Rare or Low-Abundance Pathogens</w:t>
      </w:r>
    </w:p>
    <w:p w14:paraId="76A429C8"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Many clinically relevant pathogens exist in low abundance within complex microbial communities, making them difficult to detect using conventional sequencing approaches. SCG has been instrumental in identifying rare pathogens, including those involved in chronic infections and emerging infectious diseases. For example, SCG has been used to characterize novel strains of </w:t>
      </w:r>
      <w:r w:rsidRPr="00230028">
        <w:rPr>
          <w:rFonts w:ascii="Times New Roman" w:hAnsi="Times New Roman" w:cs="Times New Roman"/>
          <w:i/>
          <w:iCs/>
          <w:sz w:val="20"/>
          <w:szCs w:val="20"/>
        </w:rPr>
        <w:t>Mycobacterium tuberculosis</w:t>
      </w:r>
      <w:r w:rsidRPr="00230028">
        <w:rPr>
          <w:rFonts w:ascii="Times New Roman" w:hAnsi="Times New Roman" w:cs="Times New Roman"/>
          <w:sz w:val="20"/>
          <w:szCs w:val="20"/>
        </w:rPr>
        <w:t xml:space="preserve"> from sputum samples, helping to track drug-resistant variants (Shapiro et al., 2019).</w:t>
      </w:r>
    </w:p>
    <w:p w14:paraId="12E3CE34"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Exploring the Human Microbiome</w:t>
      </w:r>
    </w:p>
    <w:p w14:paraId="486A4DC6"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SCG has significantly contributed to understanding the human microbiome by uncovering previously unidentified microbial species and metabolic functions. By sequencing individual bacteria from gut microbiota, researchers have identified new strains associated with metabolic disorders, inflammatory diseases, and immune responses (</w:t>
      </w:r>
      <w:proofErr w:type="spellStart"/>
      <w:r w:rsidRPr="00230028">
        <w:rPr>
          <w:rFonts w:ascii="Times New Roman" w:hAnsi="Times New Roman" w:cs="Times New Roman"/>
          <w:sz w:val="20"/>
          <w:szCs w:val="20"/>
        </w:rPr>
        <w:t>Nayfach</w:t>
      </w:r>
      <w:proofErr w:type="spellEnd"/>
      <w:r w:rsidRPr="00230028">
        <w:rPr>
          <w:rFonts w:ascii="Times New Roman" w:hAnsi="Times New Roman" w:cs="Times New Roman"/>
          <w:sz w:val="20"/>
          <w:szCs w:val="20"/>
        </w:rPr>
        <w:t xml:space="preserve"> et al., 2019).</w:t>
      </w:r>
    </w:p>
    <w:p w14:paraId="31367734"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Unveiling Environmental Microbial Diversity</w:t>
      </w:r>
    </w:p>
    <w:p w14:paraId="1187CA4E"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Environmental microbiologists have used SCG to explore microbial life in extreme environments such as deep-sea hydrothermal vents, Arctic ice, and soil ecosystems. This has led to the discovery of novel microbial lineages with unique metabolic capabilities, shedding light on microbial evolution and ecological functions (</w:t>
      </w:r>
      <w:proofErr w:type="spellStart"/>
      <w:r w:rsidRPr="00230028">
        <w:rPr>
          <w:rFonts w:ascii="Times New Roman" w:hAnsi="Times New Roman" w:cs="Times New Roman"/>
          <w:sz w:val="20"/>
          <w:szCs w:val="20"/>
        </w:rPr>
        <w:t>Stepanauskas</w:t>
      </w:r>
      <w:proofErr w:type="spellEnd"/>
      <w:r w:rsidRPr="00230028">
        <w:rPr>
          <w:rFonts w:ascii="Times New Roman" w:hAnsi="Times New Roman" w:cs="Times New Roman"/>
          <w:sz w:val="20"/>
          <w:szCs w:val="20"/>
        </w:rPr>
        <w:t>, 2015).</w:t>
      </w:r>
    </w:p>
    <w:p w14:paraId="2168BF98"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Antimicrobial Resistance and Pathogen Evolution</w:t>
      </w:r>
    </w:p>
    <w:p w14:paraId="4A8AF8F8"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By analyzing single bacterial cells, SCG has provided insights into the genetic mechanisms underlying antimicrobial resistance. Researchers have identified horizontal gene transfer events in pathogens, revealing how antibiotic resistance genes spread in hospital environments and natural ecosystems (</w:t>
      </w:r>
      <w:proofErr w:type="spellStart"/>
      <w:r w:rsidRPr="00230028">
        <w:rPr>
          <w:rFonts w:ascii="Times New Roman" w:hAnsi="Times New Roman" w:cs="Times New Roman"/>
          <w:sz w:val="20"/>
          <w:szCs w:val="20"/>
        </w:rPr>
        <w:t>Woyke</w:t>
      </w:r>
      <w:proofErr w:type="spellEnd"/>
      <w:r w:rsidRPr="00230028">
        <w:rPr>
          <w:rFonts w:ascii="Times New Roman" w:hAnsi="Times New Roman" w:cs="Times New Roman"/>
          <w:sz w:val="20"/>
          <w:szCs w:val="20"/>
        </w:rPr>
        <w:t xml:space="preserve"> et al., 2010).</w:t>
      </w:r>
    </w:p>
    <w:p w14:paraId="507E1843"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Challenges and Future Perspectives</w:t>
      </w:r>
    </w:p>
    <w:p w14:paraId="107597D6"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Despite its numerous advantages, SCG faces several challenges, including genome coverage biases, amplification errors, and contamination risks. Future advancements in microfluidics, single-cell transcriptomics, and long-read sequencing technologies will further enhance the accuracy and scalability of SCG, enabling a deeper understanding of microbial diversity and evolution.</w:t>
      </w:r>
    </w:p>
    <w:p w14:paraId="0A4EA9E3" w14:textId="77777777" w:rsidR="009D7C0A" w:rsidRPr="00230028" w:rsidRDefault="009D7C0A"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Conclusion</w:t>
      </w:r>
    </w:p>
    <w:p w14:paraId="06D82556" w14:textId="77777777" w:rsidR="009D7C0A" w:rsidRPr="00230028" w:rsidRDefault="009D7C0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Single-cell genomics has transformed the study of unculturable microbes, providing unparalleled insights into microbial ecology, evolution, and disease pathogenesis. As SCG technologies continue to improve, they will play an increasingly vital role in clinical diagnostics, biotechnology, and environmental microbiology.</w:t>
      </w:r>
    </w:p>
    <w:p w14:paraId="2B4A9D50" w14:textId="77777777" w:rsidR="00AA338D" w:rsidRDefault="00AA338D" w:rsidP="00230028">
      <w:pPr>
        <w:spacing w:line="240" w:lineRule="auto"/>
        <w:jc w:val="both"/>
        <w:rPr>
          <w:rFonts w:ascii="Times New Roman" w:hAnsi="Times New Roman" w:cs="Times New Roman"/>
          <w:sz w:val="20"/>
          <w:szCs w:val="20"/>
        </w:rPr>
      </w:pPr>
    </w:p>
    <w:p w14:paraId="15167C07" w14:textId="1189590D" w:rsidR="009D7C0A" w:rsidRPr="00AA338D" w:rsidRDefault="00B724C4" w:rsidP="0023002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 </w:t>
      </w:r>
      <w:r w:rsidR="00262E0D" w:rsidRPr="00AA338D">
        <w:rPr>
          <w:rFonts w:ascii="Times New Roman" w:hAnsi="Times New Roman" w:cs="Times New Roman"/>
          <w:sz w:val="20"/>
          <w:szCs w:val="20"/>
        </w:rPr>
        <w:t xml:space="preserve">This figure illustrates different metagenomics approaches for microbial identification, providing a general overview of 16S rRNA gene sequencing and shotgun metagenomics methods. Both approaches begin with the extraction of nucleic acids from a microbial sample. In </w:t>
      </w:r>
      <w:proofErr w:type="gramStart"/>
      <w:r w:rsidR="00262E0D" w:rsidRPr="00AA338D">
        <w:rPr>
          <w:rFonts w:ascii="Times New Roman" w:hAnsi="Times New Roman" w:cs="Times New Roman"/>
          <w:sz w:val="20"/>
          <w:szCs w:val="20"/>
        </w:rPr>
        <w:t>16S rRNA sequencing</w:t>
      </w:r>
      <w:proofErr w:type="gramEnd"/>
      <w:r w:rsidR="00262E0D" w:rsidRPr="00AA338D">
        <w:rPr>
          <w:rFonts w:ascii="Times New Roman" w:hAnsi="Times New Roman" w:cs="Times New Roman"/>
          <w:sz w:val="20"/>
          <w:szCs w:val="20"/>
        </w:rPr>
        <w:t>, the 16S rRNA gene is selectively amplified using PCR before sequencing, whereas in shotgun metagenomics, the extracted DNA is fragmented into smaller sequences before sequencing. The resulting sequence data from both methods are processed using bioinformatics algorithms to determine the microbial community's taxonomic composition and functional potential. Additionally, Operational Taxonomic Units (OTUs) represent clusters of highly similar sequences used for microbial classification.</w:t>
      </w:r>
    </w:p>
    <w:p w14:paraId="2829B1AF" w14:textId="77777777" w:rsidR="009D7C0A" w:rsidRPr="00230028" w:rsidRDefault="009D7C0A" w:rsidP="00230028">
      <w:pPr>
        <w:spacing w:line="240" w:lineRule="auto"/>
        <w:jc w:val="both"/>
        <w:rPr>
          <w:rFonts w:ascii="Times New Roman" w:hAnsi="Times New Roman" w:cs="Times New Roman"/>
          <w:b/>
          <w:bCs/>
          <w:sz w:val="20"/>
          <w:szCs w:val="20"/>
        </w:rPr>
      </w:pPr>
    </w:p>
    <w:p w14:paraId="4637150C" w14:textId="77777777" w:rsidR="00D134B0" w:rsidRPr="00230028" w:rsidRDefault="00D134B0" w:rsidP="00230028">
      <w:p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Transcriptomics and Proteomics in Microbial Research</w:t>
      </w:r>
    </w:p>
    <w:p w14:paraId="184CB109" w14:textId="77777777" w:rsidR="00D134B0" w:rsidRPr="00230028" w:rsidRDefault="00D134B0" w:rsidP="00230028">
      <w:pPr>
        <w:spacing w:line="240" w:lineRule="auto"/>
        <w:rPr>
          <w:rFonts w:ascii="Times New Roman" w:hAnsi="Times New Roman" w:cs="Times New Roman"/>
          <w:i/>
          <w:iCs/>
          <w:sz w:val="20"/>
          <w:szCs w:val="20"/>
        </w:rPr>
      </w:pPr>
      <w:r w:rsidRPr="00230028">
        <w:rPr>
          <w:rFonts w:ascii="Times New Roman" w:hAnsi="Times New Roman" w:cs="Times New Roman"/>
          <w:i/>
          <w:iCs/>
          <w:sz w:val="20"/>
          <w:szCs w:val="20"/>
        </w:rPr>
        <w:t>RNA Sequencing (RNA-Seq)</w:t>
      </w:r>
    </w:p>
    <w:p w14:paraId="4A2F5AC1" w14:textId="63A3A70E" w:rsidR="00D134B0" w:rsidRPr="00230028" w:rsidRDefault="00D134B0"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br/>
        <w:t>Transcriptomics refers to the study of the transcriptome, the complete set of RNA molecules produced in a cell or organism at a given time. RNA sequencing (RNA-Seq) is a powerful tool in transcriptomics that provides comprehensive insights into gene expression, microbial activity, and cellular responses. This high-throughput technique enables the detection of both known and novel RNA transcripts, allowing for the examination of differential gene expression across different conditions (Wang et al., 2009). In microbial research, RNA-Seq has become indispensable for understanding microbial dynamics, including pathogenicity, virulence, and resistance mechanisms.</w:t>
      </w:r>
    </w:p>
    <w:p w14:paraId="15B97F73" w14:textId="77777777" w:rsidR="00D134B0" w:rsidRPr="00230028" w:rsidRDefault="00D134B0"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One of the key advantages of RNA-Seq is its ability to measure gene expression on a genome-wide scale, allowing for the identification of genes that are differentially expressed in response to environmental factors, stressors, or drug treatments. This is particularly useful in understanding how pathogens adapt to host environments or resist therapeutic interventions (Miller et al., 2017). For instance, RNA-Seq has been used extensively to study antibiotic resistance in bacteria, revealing the molecular basis for resistance mechanisms such as efflux pumps, altered target sites, and the production of enzymes that degrade antibiotics (Rathnayake et al., 2020). Additionally, RNA-Seq can help identify genes involved in pathogenic processes such as biofilm formation, immune evasion, and host cell invasion, which are critical for the development of new therapeutic strategies (Sharma et al., 2016).</w:t>
      </w:r>
    </w:p>
    <w:p w14:paraId="085B1062" w14:textId="77777777" w:rsidR="00D134B0" w:rsidRPr="00230028" w:rsidRDefault="00D134B0" w:rsidP="00230028">
      <w:pPr>
        <w:spacing w:line="240" w:lineRule="auto"/>
        <w:jc w:val="both"/>
        <w:rPr>
          <w:rFonts w:ascii="Times New Roman" w:hAnsi="Times New Roman" w:cs="Times New Roman"/>
          <w:sz w:val="20"/>
          <w:szCs w:val="20"/>
        </w:rPr>
      </w:pPr>
      <w:r w:rsidRPr="00230028">
        <w:rPr>
          <w:rFonts w:ascii="Times New Roman" w:hAnsi="Times New Roman" w:cs="Times New Roman"/>
          <w:i/>
          <w:iCs/>
          <w:sz w:val="20"/>
          <w:szCs w:val="20"/>
        </w:rPr>
        <w:t>Proteomics</w:t>
      </w:r>
      <w:r w:rsidRPr="00230028">
        <w:rPr>
          <w:rFonts w:ascii="Times New Roman" w:hAnsi="Times New Roman" w:cs="Times New Roman"/>
          <w:sz w:val="20"/>
          <w:szCs w:val="20"/>
        </w:rPr>
        <w:br/>
      </w:r>
      <w:proofErr w:type="spellStart"/>
      <w:r w:rsidRPr="00230028">
        <w:rPr>
          <w:rFonts w:ascii="Times New Roman" w:hAnsi="Times New Roman" w:cs="Times New Roman"/>
          <w:sz w:val="20"/>
          <w:szCs w:val="20"/>
        </w:rPr>
        <w:t>Proteomics</w:t>
      </w:r>
      <w:proofErr w:type="spellEnd"/>
      <w:r w:rsidRPr="00230028">
        <w:rPr>
          <w:rFonts w:ascii="Times New Roman" w:hAnsi="Times New Roman" w:cs="Times New Roman"/>
          <w:sz w:val="20"/>
          <w:szCs w:val="20"/>
        </w:rPr>
        <w:t xml:space="preserve">, the large-scale study of proteins, is another vital tool in understanding microbial systems. Unlike genomics, which focuses on </w:t>
      </w:r>
      <w:proofErr w:type="gramStart"/>
      <w:r w:rsidRPr="00230028">
        <w:rPr>
          <w:rFonts w:ascii="Times New Roman" w:hAnsi="Times New Roman" w:cs="Times New Roman"/>
          <w:sz w:val="20"/>
          <w:szCs w:val="20"/>
        </w:rPr>
        <w:t>the DNA</w:t>
      </w:r>
      <w:proofErr w:type="gramEnd"/>
      <w:r w:rsidRPr="00230028">
        <w:rPr>
          <w:rFonts w:ascii="Times New Roman" w:hAnsi="Times New Roman" w:cs="Times New Roman"/>
          <w:sz w:val="20"/>
          <w:szCs w:val="20"/>
        </w:rPr>
        <w:t xml:space="preserve"> and potential of an organism, proteomics provides a snapshot of the actual functional molecules at work in a cell, tissue, or organism. Mass spectrometry-based techniques, including liquid chromatography-tandem mass spectrometry (LC-MS/MS), have revolutionized proteomics by enabling the identification and quantification of proteins in complex biological samples (Aebersold &amp; Mann, 2003). In microbial research, proteomics is particularly valuable for identifying microbial proteins that are involved in crucial cellular processes such as metabolism, stress response, and virulence.</w:t>
      </w:r>
    </w:p>
    <w:p w14:paraId="28903C85" w14:textId="77777777" w:rsidR="00D134B0" w:rsidRPr="00230028" w:rsidRDefault="00D134B0"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Through proteomics, researchers can identify unique biomarkers that may serve as diagnostic indicators for infections. For example, specific proteins expressed by pathogenic microbes under certain conditions may serve as biomarkers for detecting infections, even in the early stages (Parks et al., 2015). Moreover, proteomic analysis allows for the investigation of post-translational modifications (PTMs) such as phosphorylation, acetylation, and glycosylation, which can have significant effects on protein function and microbial adaptability (Macek et al., 2009). This understanding of microbial proteomes provides insight into how pathogens survive and thrive in host environments and can inform the development of targeted therapies.</w:t>
      </w:r>
    </w:p>
    <w:p w14:paraId="406E87A5" w14:textId="77777777" w:rsidR="00D134B0" w:rsidRPr="00230028" w:rsidRDefault="00D134B0"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Proteomics also plays a crucial role in the identification of novel antimicrobial targets. For example, the identification of surface-exposed or secreted proteins in pathogens may reveal potential targets for drug development (Ma et al., 2017). Additionally, the integration of transcriptomics and proteomics offers a comprehensive view of gene-to-protein pathways, helping researchers better understand the link between gene expression and protein function in microbial pathogenesis (Saravanan &amp; Rosenfeld, 2005). This combined approach allows for the identification of microbial signatures that can inform diagnostic strategies and therapeutic interventions.</w:t>
      </w:r>
    </w:p>
    <w:p w14:paraId="4DF40F94" w14:textId="77777777" w:rsidR="00D134B0" w:rsidRPr="00230028" w:rsidRDefault="00D134B0" w:rsidP="00230028">
      <w:pPr>
        <w:spacing w:line="240" w:lineRule="auto"/>
        <w:jc w:val="both"/>
        <w:rPr>
          <w:rFonts w:ascii="Times New Roman" w:hAnsi="Times New Roman" w:cs="Times New Roman"/>
          <w:sz w:val="20"/>
          <w:szCs w:val="20"/>
          <w:highlight w:val="yellow"/>
        </w:rPr>
      </w:pPr>
    </w:p>
    <w:p w14:paraId="36502C88" w14:textId="77777777" w:rsidR="000D75D9" w:rsidRPr="00230028" w:rsidRDefault="000D75D9" w:rsidP="00230028">
      <w:p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lastRenderedPageBreak/>
        <w:t>Microfluidic and Lab-on-a-Chip Technologies in Microbial Research</w:t>
      </w:r>
    </w:p>
    <w:p w14:paraId="3CC929D5" w14:textId="77777777" w:rsidR="000D75D9" w:rsidRPr="00230028" w:rsidRDefault="000D75D9"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Microfluidic platforms and lab-on-a-chip (LOC) technologies represent groundbreaking innovations in the field of microbial research and diagnostics. These technologies enable the miniaturization of culture systems, allowing for precise control over the environment in which microorganisms are grown. Microfluidics refers to the manipulation of fluids through networks of microchannels, typically on the scale of micrometers, which allows for highly controlled and reproducible experimental conditions. The integration of sensors and control systems within microfluidic devices enables researchers to study microbial behavior in a more natural, high-fidelity environment compared to traditional large-scale culture systems (Whitesides, 2006).</w:t>
      </w:r>
    </w:p>
    <w:p w14:paraId="0C56B4B6" w14:textId="77777777" w:rsidR="000D75D9" w:rsidRPr="00230028" w:rsidRDefault="000D75D9"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Advantages of Microfluidic Platforms</w:t>
      </w:r>
    </w:p>
    <w:p w14:paraId="1E2716D1" w14:textId="4BD54AC4" w:rsidR="00BE396D" w:rsidRPr="00230028" w:rsidRDefault="00BE396D" w:rsidP="00230028">
      <w:pPr>
        <w:pStyle w:val="ListParagraph"/>
        <w:numPr>
          <w:ilvl w:val="0"/>
          <w:numId w:val="37"/>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Precise control of nutrients, gases, and growth factors:</w:t>
      </w:r>
    </w:p>
    <w:p w14:paraId="755F65E8" w14:textId="37D26986" w:rsidR="000D75D9" w:rsidRPr="00230028" w:rsidRDefault="000D75D9" w:rsidP="00230028">
      <w:pPr>
        <w:spacing w:line="240" w:lineRule="auto"/>
        <w:ind w:left="720"/>
        <w:jc w:val="both"/>
        <w:rPr>
          <w:rFonts w:ascii="Times New Roman" w:hAnsi="Times New Roman" w:cs="Times New Roman"/>
          <w:sz w:val="20"/>
          <w:szCs w:val="20"/>
        </w:rPr>
      </w:pPr>
      <w:r w:rsidRPr="00230028">
        <w:rPr>
          <w:rFonts w:ascii="Times New Roman" w:hAnsi="Times New Roman" w:cs="Times New Roman"/>
          <w:sz w:val="20"/>
          <w:szCs w:val="20"/>
        </w:rPr>
        <w:t xml:space="preserve">One of the key advantages of microfluidic platforms is the ability to precisely control the flow of nutrients, gases, and other environmental factors that influence microbial growth. For example, researchers can adjust nutrient concentrations in real-time, create </w:t>
      </w:r>
      <w:proofErr w:type="spellStart"/>
      <w:r w:rsidRPr="00230028">
        <w:rPr>
          <w:rFonts w:ascii="Times New Roman" w:hAnsi="Times New Roman" w:cs="Times New Roman"/>
          <w:sz w:val="20"/>
          <w:szCs w:val="20"/>
        </w:rPr>
        <w:t>microgradients</w:t>
      </w:r>
      <w:proofErr w:type="spellEnd"/>
      <w:r w:rsidRPr="00230028">
        <w:rPr>
          <w:rFonts w:ascii="Times New Roman" w:hAnsi="Times New Roman" w:cs="Times New Roman"/>
          <w:sz w:val="20"/>
          <w:szCs w:val="20"/>
        </w:rPr>
        <w:t xml:space="preserve"> of oxygen or pH, and regulate the temperature within each microchannel. This control mimics natural environments, enabling more accurate studies of microbial behavior, metabolism, and pathogenesis (Lee et al., 2015). Such environments are particularly beneficial for growing fastidious microorganisms that are difficult to culture using traditional methods.</w:t>
      </w:r>
    </w:p>
    <w:p w14:paraId="4EEEE3BD" w14:textId="1DC990C9" w:rsidR="00BE396D" w:rsidRPr="00230028" w:rsidRDefault="00BE396D" w:rsidP="00230028">
      <w:pPr>
        <w:pStyle w:val="ListParagraph"/>
        <w:numPr>
          <w:ilvl w:val="0"/>
          <w:numId w:val="37"/>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Reduced sample and reagent volumes:</w:t>
      </w:r>
    </w:p>
    <w:p w14:paraId="67D57389" w14:textId="28548E96" w:rsidR="000D75D9" w:rsidRPr="00230028" w:rsidRDefault="000D75D9" w:rsidP="00230028">
      <w:pPr>
        <w:spacing w:line="240" w:lineRule="auto"/>
        <w:ind w:left="720"/>
        <w:jc w:val="both"/>
        <w:rPr>
          <w:rFonts w:ascii="Times New Roman" w:hAnsi="Times New Roman" w:cs="Times New Roman"/>
          <w:sz w:val="20"/>
          <w:szCs w:val="20"/>
        </w:rPr>
      </w:pPr>
      <w:r w:rsidRPr="00230028">
        <w:rPr>
          <w:rFonts w:ascii="Times New Roman" w:hAnsi="Times New Roman" w:cs="Times New Roman"/>
          <w:sz w:val="20"/>
          <w:szCs w:val="20"/>
        </w:rPr>
        <w:t xml:space="preserve">Microfluidic systems operate on a microscale, which dramatically reduces the amount of </w:t>
      </w:r>
      <w:proofErr w:type="gramStart"/>
      <w:r w:rsidRPr="00230028">
        <w:rPr>
          <w:rFonts w:ascii="Times New Roman" w:hAnsi="Times New Roman" w:cs="Times New Roman"/>
          <w:sz w:val="20"/>
          <w:szCs w:val="20"/>
        </w:rPr>
        <w:t>sample</w:t>
      </w:r>
      <w:proofErr w:type="gramEnd"/>
      <w:r w:rsidRPr="00230028">
        <w:rPr>
          <w:rFonts w:ascii="Times New Roman" w:hAnsi="Times New Roman" w:cs="Times New Roman"/>
          <w:sz w:val="20"/>
          <w:szCs w:val="20"/>
        </w:rPr>
        <w:t xml:space="preserve"> and reagents required for each experiment. This reduction in volume not only cuts down on material costs but also allows for the efficient use of expensive reagents and microorganisms, which is particularly useful when working with rare or slow-growing pathogens (Squires &amp; Messersmith, 2008). Additionally, the small scale enables high-throughput experimentation, where multiple conditions can be tested in parallel with minimal sample requirements.</w:t>
      </w:r>
    </w:p>
    <w:p w14:paraId="20AD0DD5" w14:textId="68BB4E11" w:rsidR="00BE396D" w:rsidRPr="00230028" w:rsidRDefault="00BE396D" w:rsidP="00230028">
      <w:pPr>
        <w:pStyle w:val="ListParagraph"/>
        <w:numPr>
          <w:ilvl w:val="0"/>
          <w:numId w:val="37"/>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Rapid processing times:</w:t>
      </w:r>
    </w:p>
    <w:p w14:paraId="02BE2B29" w14:textId="7C2B356A" w:rsidR="000D75D9" w:rsidRPr="00230028" w:rsidRDefault="000D75D9" w:rsidP="00230028">
      <w:pPr>
        <w:spacing w:line="240" w:lineRule="auto"/>
        <w:ind w:left="720"/>
        <w:jc w:val="both"/>
        <w:rPr>
          <w:rFonts w:ascii="Times New Roman" w:hAnsi="Times New Roman" w:cs="Times New Roman"/>
          <w:sz w:val="20"/>
          <w:szCs w:val="20"/>
        </w:rPr>
      </w:pPr>
      <w:r w:rsidRPr="00230028">
        <w:rPr>
          <w:rFonts w:ascii="Times New Roman" w:hAnsi="Times New Roman" w:cs="Times New Roman"/>
          <w:sz w:val="20"/>
          <w:szCs w:val="20"/>
        </w:rPr>
        <w:t>Microfluidic systems allow for rapid processing times compared to traditional microbial culture techniques. With the ability to manipulate fluids quickly through tiny channels and integrate real-time monitoring systems, microfluidic devices can provide results within hours instead of days, accelerating the detection and analysis of microorganisms (Tory et al., 2020). This is particularly important for diagnostics, where time-sensitive results can make a significant difference in patient outcomes.</w:t>
      </w:r>
    </w:p>
    <w:p w14:paraId="548A75F2" w14:textId="77777777" w:rsidR="000D75D9" w:rsidRPr="00230028" w:rsidRDefault="000D75D9"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Applications in Microbial Research and Diagnostics</w:t>
      </w:r>
    </w:p>
    <w:p w14:paraId="5EDBABA4" w14:textId="77777777" w:rsidR="000D75D9" w:rsidRPr="00230028" w:rsidRDefault="000D75D9" w:rsidP="00230028">
      <w:pPr>
        <w:numPr>
          <w:ilvl w:val="0"/>
          <w:numId w:val="29"/>
        </w:numPr>
        <w:spacing w:line="240" w:lineRule="auto"/>
        <w:jc w:val="both"/>
        <w:rPr>
          <w:rFonts w:ascii="Times New Roman" w:hAnsi="Times New Roman" w:cs="Times New Roman"/>
          <w:sz w:val="20"/>
          <w:szCs w:val="20"/>
        </w:rPr>
      </w:pPr>
      <w:r w:rsidRPr="00230028">
        <w:rPr>
          <w:rFonts w:ascii="Times New Roman" w:hAnsi="Times New Roman" w:cs="Times New Roman"/>
          <w:i/>
          <w:iCs/>
          <w:sz w:val="20"/>
          <w:szCs w:val="20"/>
        </w:rPr>
        <w:t>Accelerating the Detection of Slow-Growing Pathogens:</w:t>
      </w:r>
      <w:r w:rsidRPr="00230028">
        <w:rPr>
          <w:rFonts w:ascii="Times New Roman" w:hAnsi="Times New Roman" w:cs="Times New Roman"/>
          <w:i/>
          <w:iCs/>
          <w:sz w:val="20"/>
          <w:szCs w:val="20"/>
        </w:rPr>
        <w:br/>
      </w:r>
      <w:r w:rsidRPr="00230028">
        <w:rPr>
          <w:rFonts w:ascii="Times New Roman" w:hAnsi="Times New Roman" w:cs="Times New Roman"/>
          <w:sz w:val="20"/>
          <w:szCs w:val="20"/>
        </w:rPr>
        <w:t xml:space="preserve">Slow-growing pathogens like </w:t>
      </w:r>
      <w:r w:rsidRPr="00230028">
        <w:rPr>
          <w:rFonts w:ascii="Times New Roman" w:hAnsi="Times New Roman" w:cs="Times New Roman"/>
          <w:i/>
          <w:iCs/>
          <w:sz w:val="20"/>
          <w:szCs w:val="20"/>
        </w:rPr>
        <w:t>Mycobacterium tuberculosis</w:t>
      </w:r>
      <w:r w:rsidRPr="00230028">
        <w:rPr>
          <w:rFonts w:ascii="Times New Roman" w:hAnsi="Times New Roman" w:cs="Times New Roman"/>
          <w:sz w:val="20"/>
          <w:szCs w:val="20"/>
        </w:rPr>
        <w:t xml:space="preserve"> (M. tuberculosis), which is notoriously difficult to culture and diagnose using conventional methods, benefit greatly from microfluidic technologies. </w:t>
      </w:r>
      <w:proofErr w:type="gramStart"/>
      <w:r w:rsidRPr="00230028">
        <w:rPr>
          <w:rFonts w:ascii="Times New Roman" w:hAnsi="Times New Roman" w:cs="Times New Roman"/>
          <w:sz w:val="20"/>
          <w:szCs w:val="20"/>
        </w:rPr>
        <w:t>The precise</w:t>
      </w:r>
      <w:proofErr w:type="gramEnd"/>
      <w:r w:rsidRPr="00230028">
        <w:rPr>
          <w:rFonts w:ascii="Times New Roman" w:hAnsi="Times New Roman" w:cs="Times New Roman"/>
          <w:sz w:val="20"/>
          <w:szCs w:val="20"/>
        </w:rPr>
        <w:t xml:space="preserve"> control over nutrients and environmental conditions in microfluidic systems can significantly enhance the growth of such microorganisms, reducing the time required for detection and susceptibility testing. By creating microenvironments that mimic the human host, researchers can accelerate the study of these pathogens and improve diagnostic speed (Zhang et al., 2013).</w:t>
      </w:r>
    </w:p>
    <w:p w14:paraId="2C54A48C" w14:textId="77777777" w:rsidR="000D75D9" w:rsidRPr="00230028" w:rsidRDefault="000D75D9" w:rsidP="00230028">
      <w:pPr>
        <w:numPr>
          <w:ilvl w:val="0"/>
          <w:numId w:val="29"/>
        </w:num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High-Throughput Screening of Microbial Responses:</w:t>
      </w:r>
      <w:r w:rsidRPr="00230028">
        <w:rPr>
          <w:rFonts w:ascii="Times New Roman" w:hAnsi="Times New Roman" w:cs="Times New Roman"/>
          <w:sz w:val="20"/>
          <w:szCs w:val="20"/>
        </w:rPr>
        <w:br/>
        <w:t>Microfluidic systems are also invaluable for high-throughput screening of microbial responses to various environmental stimuli. This is especially useful in the discovery of antimicrobial agents or in studying the effects of different drug treatments on microbial populations. Microfluidic chips can be designed to test the effects of multiple drugs or environmental conditions simultaneously in a highly controlled manner. For example, microfluidic devices can be used to study the impact of different antibiotics on bacterial biofilm formation or the resistance mechanisms employed by pathogens (Bergen et al., 2015). The ability to conduct high-throughput assays in parallel provides faster insights into microbial behavior and drug efficacy.</w:t>
      </w:r>
    </w:p>
    <w:p w14:paraId="46EEB699" w14:textId="77777777" w:rsidR="007F729E" w:rsidRPr="00230028" w:rsidRDefault="000D75D9" w:rsidP="00230028">
      <w:pPr>
        <w:spacing w:line="240" w:lineRule="auto"/>
        <w:jc w:val="both"/>
        <w:rPr>
          <w:rFonts w:ascii="Times New Roman" w:hAnsi="Times New Roman" w:cs="Times New Roman"/>
          <w:sz w:val="20"/>
          <w:szCs w:val="20"/>
        </w:rPr>
      </w:pPr>
      <w:r w:rsidRPr="00230028">
        <w:rPr>
          <w:rFonts w:ascii="Times New Roman" w:hAnsi="Times New Roman" w:cs="Times New Roman"/>
          <w:i/>
          <w:iCs/>
          <w:sz w:val="20"/>
          <w:szCs w:val="20"/>
        </w:rPr>
        <w:t>Visualization of Microfluidic Systems</w:t>
      </w:r>
      <w:r w:rsidR="007F729E" w:rsidRPr="00230028">
        <w:rPr>
          <w:rFonts w:ascii="Times New Roman" w:hAnsi="Times New Roman" w:cs="Times New Roman"/>
          <w:i/>
          <w:iCs/>
          <w:sz w:val="20"/>
          <w:szCs w:val="20"/>
        </w:rPr>
        <w:t>:</w:t>
      </w:r>
      <w:r w:rsidRPr="00230028">
        <w:rPr>
          <w:rFonts w:ascii="Times New Roman" w:hAnsi="Times New Roman" w:cs="Times New Roman"/>
          <w:sz w:val="20"/>
          <w:szCs w:val="20"/>
        </w:rPr>
        <w:t xml:space="preserve"> </w:t>
      </w:r>
    </w:p>
    <w:p w14:paraId="46394CE6" w14:textId="38C70A9B" w:rsidR="000D75D9" w:rsidRPr="00230028" w:rsidRDefault="000D75D9"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lastRenderedPageBreak/>
        <w:t>To better understand the mechanics of microfluidic technologies, it is helpful to visualize how these systems work. Diagrams and illustrations of lab-on-a-chip devices can clearly demonstrate how fluids are channeled through tiny microchannels and into chambers where microbial cultures are incubated. For instance, a simple schematic could show how a microfluidic chip directs fluid flow to different areas of the chip, where nutrients are introduced to stimulate microbial growth.</w:t>
      </w:r>
    </w:p>
    <w:p w14:paraId="1F47FCAE" w14:textId="77777777" w:rsidR="000D75D9" w:rsidRPr="00230028" w:rsidRDefault="000D75D9"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Another illustrative diagram could highlight the integration of sensors embedded within the microfluidic chip, which </w:t>
      </w:r>
      <w:proofErr w:type="gramStart"/>
      <w:r w:rsidRPr="00230028">
        <w:rPr>
          <w:rFonts w:ascii="Times New Roman" w:hAnsi="Times New Roman" w:cs="Times New Roman"/>
          <w:sz w:val="20"/>
          <w:szCs w:val="20"/>
        </w:rPr>
        <w:t>monitor</w:t>
      </w:r>
      <w:proofErr w:type="gramEnd"/>
      <w:r w:rsidRPr="00230028">
        <w:rPr>
          <w:rFonts w:ascii="Times New Roman" w:hAnsi="Times New Roman" w:cs="Times New Roman"/>
          <w:sz w:val="20"/>
          <w:szCs w:val="20"/>
        </w:rPr>
        <w:t xml:space="preserve"> microbial growth in real-time. These sensors measure variables such as optical density, pH, temperature, and gas composition, providing continuous data that informs researchers about the health and behavior of microbial cultures (Noble et al., 2016). Such real-time monitoring allows researchers to observe microbial responses dynamically, enabling the detection of subtle changes in behavior that may be critical for understanding pathogenesis or antimicrobial resistance.</w:t>
      </w:r>
    </w:p>
    <w:p w14:paraId="63651AEE" w14:textId="77777777" w:rsidR="007F729E" w:rsidRPr="00230028" w:rsidRDefault="000D75D9"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Conclusion</w:t>
      </w:r>
    </w:p>
    <w:p w14:paraId="27B572FC" w14:textId="491FC8BF" w:rsidR="000D75D9" w:rsidRDefault="000D75D9"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 Microfluidic and lab-on-a-chip technologies are transforming the way researchers approach microbial diagnostics, research, and therapy. The advantages of precise environmental control, reduced reagent use, and rapid processing make these technologies particularly powerful tools in the study of slow-growing or hard-to-culture microorganisms. As these systems continue to evolve, they promise to accelerate the detection of pathogens, enhance high-throughput screening capabilities, and provide valuable insights into microbial behavior and drug resistance mechanisms.</w:t>
      </w:r>
    </w:p>
    <w:p w14:paraId="7553DD91" w14:textId="6EFF4007" w:rsidR="00B2276B" w:rsidRDefault="001D7563" w:rsidP="00230028">
      <w:pPr>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AFC2483" wp14:editId="731ACD88">
            <wp:extent cx="6079002" cy="4842344"/>
            <wp:effectExtent l="0" t="0" r="0" b="0"/>
            <wp:docPr id="361000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1327" cy="4852162"/>
                    </a:xfrm>
                    <a:prstGeom prst="rect">
                      <a:avLst/>
                    </a:prstGeom>
                    <a:noFill/>
                  </pic:spPr>
                </pic:pic>
              </a:graphicData>
            </a:graphic>
          </wp:inline>
        </w:drawing>
      </w:r>
    </w:p>
    <w:p w14:paraId="539ACEB9" w14:textId="77777777" w:rsidR="004C2ADA" w:rsidRPr="004C2ADA" w:rsidRDefault="00415464" w:rsidP="004C2ADA">
      <w:pPr>
        <w:spacing w:line="240" w:lineRule="auto"/>
        <w:jc w:val="both"/>
        <w:rPr>
          <w:rFonts w:ascii="Times New Roman" w:hAnsi="Times New Roman" w:cs="Times New Roman"/>
          <w:sz w:val="20"/>
          <w:szCs w:val="20"/>
        </w:rPr>
      </w:pPr>
      <w:r w:rsidRPr="004C2ADA">
        <w:rPr>
          <w:rFonts w:ascii="Times New Roman" w:hAnsi="Times New Roman" w:cs="Times New Roman"/>
          <w:b/>
          <w:bCs/>
          <w:sz w:val="20"/>
          <w:szCs w:val="20"/>
        </w:rPr>
        <w:t>Figure 1:</w:t>
      </w:r>
      <w:r>
        <w:rPr>
          <w:rFonts w:ascii="Times New Roman" w:hAnsi="Times New Roman" w:cs="Times New Roman"/>
          <w:sz w:val="20"/>
          <w:szCs w:val="20"/>
        </w:rPr>
        <w:t xml:space="preserve"> </w:t>
      </w:r>
      <w:r w:rsidR="004C2ADA" w:rsidRPr="004C2ADA">
        <w:rPr>
          <w:rFonts w:ascii="Times New Roman" w:hAnsi="Times New Roman" w:cs="Times New Roman"/>
          <w:sz w:val="20"/>
          <w:szCs w:val="20"/>
        </w:rPr>
        <w:t xml:space="preserve">This figure illustrates a multi-omics workflow for microbial and single-cell analysis, encompassing genomics, transcriptomics, proteomics, and metabolomics. The process begins with 16S rRNA gene sequencing, </w:t>
      </w:r>
      <w:r w:rsidR="004C2ADA" w:rsidRPr="004C2ADA">
        <w:rPr>
          <w:rFonts w:ascii="Times New Roman" w:hAnsi="Times New Roman" w:cs="Times New Roman"/>
          <w:sz w:val="20"/>
          <w:szCs w:val="20"/>
        </w:rPr>
        <w:lastRenderedPageBreak/>
        <w:t>where microbial DNA is extracted, sequenced, and analyzed to determine taxonomic classification and functional insights. In parallel, whole genome sequencing (WGS) involves DNA isolation, library construction, sequencing, and genome assembly, providing a deeper understanding of microbial taxonomy and functional potential.</w:t>
      </w:r>
    </w:p>
    <w:p w14:paraId="74F966F2" w14:textId="77777777" w:rsidR="004C2ADA" w:rsidRPr="004C2ADA" w:rsidRDefault="004C2ADA" w:rsidP="004C2ADA">
      <w:pPr>
        <w:spacing w:line="240" w:lineRule="auto"/>
        <w:jc w:val="both"/>
        <w:rPr>
          <w:rFonts w:ascii="Times New Roman" w:hAnsi="Times New Roman" w:cs="Times New Roman"/>
          <w:sz w:val="20"/>
          <w:szCs w:val="20"/>
        </w:rPr>
      </w:pPr>
    </w:p>
    <w:p w14:paraId="5C764E81" w14:textId="111AB5EB" w:rsidR="004C2ADA" w:rsidRPr="004C2ADA" w:rsidRDefault="004C2ADA" w:rsidP="004C2ADA">
      <w:pPr>
        <w:spacing w:line="240" w:lineRule="auto"/>
        <w:jc w:val="both"/>
        <w:rPr>
          <w:rFonts w:ascii="Times New Roman" w:hAnsi="Times New Roman" w:cs="Times New Roman"/>
          <w:sz w:val="20"/>
          <w:szCs w:val="20"/>
        </w:rPr>
      </w:pPr>
      <w:r w:rsidRPr="004C2ADA">
        <w:rPr>
          <w:rFonts w:ascii="Times New Roman" w:hAnsi="Times New Roman" w:cs="Times New Roman"/>
          <w:sz w:val="20"/>
          <w:szCs w:val="20"/>
        </w:rPr>
        <w:t>For single-cell analysis, cells are first sorted using Fluorescence-Activated Cell Sorting (FACS), followed by single-cell sequencing to generate expression profiles. This data enables clustering and identification of distinct cell types based on transcriptomic signatures. Meanwhile, in proteomics and metabolomics workflows, cells undergo lysis, followed by protein purification and fractionation. The purified proteins are then analyzed using Liquid Chromatography-Mass Spectrometry (LC-MS/MS) to identify protein expression patterns, post-translational modifications, and functional roles. Simultaneously, metabolomics analysis focuses on identifying metabolic intermediates and profiling metabolites that play key roles in cellular functions.</w:t>
      </w:r>
    </w:p>
    <w:p w14:paraId="0678EB26" w14:textId="41AEA2E6" w:rsidR="00415464" w:rsidRPr="00230028" w:rsidRDefault="004C2ADA" w:rsidP="004C2ADA">
      <w:pPr>
        <w:spacing w:line="240" w:lineRule="auto"/>
        <w:jc w:val="both"/>
        <w:rPr>
          <w:rFonts w:ascii="Times New Roman" w:hAnsi="Times New Roman" w:cs="Times New Roman"/>
          <w:sz w:val="20"/>
          <w:szCs w:val="20"/>
        </w:rPr>
      </w:pPr>
      <w:r w:rsidRPr="004C2ADA">
        <w:rPr>
          <w:rFonts w:ascii="Times New Roman" w:hAnsi="Times New Roman" w:cs="Times New Roman"/>
          <w:sz w:val="20"/>
          <w:szCs w:val="20"/>
        </w:rPr>
        <w:t>The integration of these omics approaches provides a comprehensive understanding of microbial communities and cellular heterogeneity. Transcriptomic analysis reveals gene expression patterns, gene regulation, and expression quantitative trait loci (</w:t>
      </w:r>
      <w:proofErr w:type="spellStart"/>
      <w:r w:rsidRPr="004C2ADA">
        <w:rPr>
          <w:rFonts w:ascii="Times New Roman" w:hAnsi="Times New Roman" w:cs="Times New Roman"/>
          <w:sz w:val="20"/>
          <w:szCs w:val="20"/>
        </w:rPr>
        <w:t>eQTL</w:t>
      </w:r>
      <w:proofErr w:type="spellEnd"/>
      <w:r w:rsidRPr="004C2ADA">
        <w:rPr>
          <w:rFonts w:ascii="Times New Roman" w:hAnsi="Times New Roman" w:cs="Times New Roman"/>
          <w:sz w:val="20"/>
          <w:szCs w:val="20"/>
        </w:rPr>
        <w:t>). Proteomic analysis deciphers protein expression, modifications, and functional attributes, while metabolomics explores metabolic pathways and metabolite profiling through metabolic quantitative trait loci (</w:t>
      </w:r>
      <w:proofErr w:type="spellStart"/>
      <w:r w:rsidRPr="004C2ADA">
        <w:rPr>
          <w:rFonts w:ascii="Times New Roman" w:hAnsi="Times New Roman" w:cs="Times New Roman"/>
          <w:sz w:val="20"/>
          <w:szCs w:val="20"/>
        </w:rPr>
        <w:t>mQTL</w:t>
      </w:r>
      <w:proofErr w:type="spellEnd"/>
      <w:r w:rsidRPr="004C2ADA">
        <w:rPr>
          <w:rFonts w:ascii="Times New Roman" w:hAnsi="Times New Roman" w:cs="Times New Roman"/>
          <w:sz w:val="20"/>
          <w:szCs w:val="20"/>
        </w:rPr>
        <w:t>). Together, these interconnected methodologies enhance our ability to study microbial ecosystems and single-cell biology at a systems level.</w:t>
      </w:r>
    </w:p>
    <w:p w14:paraId="0F76E480" w14:textId="77777777" w:rsidR="00AF0304" w:rsidRPr="00230028" w:rsidRDefault="00AF0304"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Unveiling Microbial Dark Matter and Its Implications for Clinical Microbiology</w:t>
      </w:r>
    </w:p>
    <w:p w14:paraId="5F28AA96" w14:textId="77777777" w:rsidR="00AF0304" w:rsidRPr="00230028" w:rsidRDefault="00AF0304"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The exploration of microbial "dark matter" refers to the discovery and characterization of previously unclassified or unculturable microorganisms, which represent a significant portion of the microbial world. This hidden diversity is crucial in clinical microbiology because it offers new avenues for understanding infectious diseases, microbial ecology, and potential therapeutic interventions. By applying advanced genomic and metagenomic techniques, scientists are beginning to uncover these elusive microbes, shedding light on their role in human health and disease. The implications for clinical microbiology are profound, offering opportunities for improved diagnostics, a better understanding of antimicrobial resistance (AMR), new insights into microbiome health, and the advancement of personalized medicine.</w:t>
      </w:r>
    </w:p>
    <w:p w14:paraId="1B80B84F" w14:textId="77777777" w:rsidR="007F2224" w:rsidRPr="00230028" w:rsidRDefault="007F2224" w:rsidP="00230028">
      <w:pPr>
        <w:pStyle w:val="ListParagraph"/>
        <w:numPr>
          <w:ilvl w:val="0"/>
          <w:numId w:val="37"/>
        </w:numPr>
        <w:spacing w:line="240" w:lineRule="auto"/>
        <w:jc w:val="both"/>
        <w:rPr>
          <w:rFonts w:ascii="Times New Roman" w:hAnsi="Times New Roman" w:cs="Times New Roman"/>
          <w:sz w:val="20"/>
          <w:szCs w:val="20"/>
        </w:rPr>
      </w:pPr>
      <w:proofErr w:type="spellStart"/>
      <w:r w:rsidRPr="00230028">
        <w:rPr>
          <w:rFonts w:ascii="Times New Roman" w:hAnsi="Times New Roman" w:cs="Times New Roman"/>
          <w:sz w:val="20"/>
          <w:szCs w:val="20"/>
        </w:rPr>
        <w:t>Imoroved</w:t>
      </w:r>
      <w:proofErr w:type="spellEnd"/>
      <w:r w:rsidRPr="00230028">
        <w:rPr>
          <w:rFonts w:ascii="Times New Roman" w:hAnsi="Times New Roman" w:cs="Times New Roman"/>
          <w:sz w:val="20"/>
          <w:szCs w:val="20"/>
        </w:rPr>
        <w:t xml:space="preserve"> diagnostics:</w:t>
      </w:r>
    </w:p>
    <w:p w14:paraId="36251D27" w14:textId="670A919A" w:rsidR="00AF0304" w:rsidRPr="00230028" w:rsidRDefault="00AF0304" w:rsidP="00230028">
      <w:pPr>
        <w:pStyle w:val="ListParagraph"/>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One of the most significant implications of unveiling microbial dark matter is the potential for improved diagnostics. Many unexplained or difficult-to-diagnose infections may be caused by pathogens that have not yet been identified or cultured using traditional microbiological methods. By applying metagenomic sequencing techniques, clinicians can identify a broader range of pathogens, including those that are fastidious, rare, or previously unknown. This has the potential to revolutionize the diagnosis of infectious diseases by detecting pathogens that conventional culture-based methods might miss, leading to more accurate and timely diagnoses (Brown et al., 2017). For instance, the identification of novel viruses and bacteria associated with chronic or unexplained diseases could guide more effective treatments and improve patient outcomes.</w:t>
      </w:r>
    </w:p>
    <w:p w14:paraId="5F6F76DA" w14:textId="77777777" w:rsidR="005F3E1C" w:rsidRPr="00230028" w:rsidRDefault="005F3E1C" w:rsidP="00230028">
      <w:pPr>
        <w:pStyle w:val="ListParagraph"/>
        <w:spacing w:line="240" w:lineRule="auto"/>
        <w:jc w:val="both"/>
        <w:rPr>
          <w:rFonts w:ascii="Times New Roman" w:hAnsi="Times New Roman" w:cs="Times New Roman"/>
          <w:sz w:val="20"/>
          <w:szCs w:val="20"/>
        </w:rPr>
      </w:pPr>
    </w:p>
    <w:p w14:paraId="529B2EAD" w14:textId="77777777" w:rsidR="003D1E19" w:rsidRPr="00230028" w:rsidRDefault="003D1E19" w:rsidP="00230028">
      <w:pPr>
        <w:pStyle w:val="ListParagraph"/>
        <w:numPr>
          <w:ilvl w:val="0"/>
          <w:numId w:val="37"/>
        </w:numPr>
        <w:spacing w:line="240" w:lineRule="auto"/>
        <w:rPr>
          <w:rFonts w:ascii="Times New Roman" w:hAnsi="Times New Roman" w:cs="Times New Roman"/>
          <w:sz w:val="20"/>
          <w:szCs w:val="20"/>
        </w:rPr>
      </w:pPr>
      <w:r w:rsidRPr="00230028">
        <w:rPr>
          <w:rFonts w:ascii="Times New Roman" w:hAnsi="Times New Roman" w:cs="Times New Roman"/>
          <w:sz w:val="20"/>
          <w:szCs w:val="20"/>
        </w:rPr>
        <w:t>Antimicrobial resistance:</w:t>
      </w:r>
    </w:p>
    <w:p w14:paraId="48DC20C8" w14:textId="265A8B73" w:rsidR="00AF0304" w:rsidRPr="00230028" w:rsidRDefault="00AF0304" w:rsidP="00230028">
      <w:pPr>
        <w:pStyle w:val="ListParagraph"/>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The rise of antimicrobial resistance (AMR) is one of the greatest global health threats, and understanding the mechanisms of resistance in previously unculturable microbes is essential for developing new strategies to combat resistant infections. By exploring microbial dark matter, researchers can identify new resistance genes that may exist in uncultured species or environmental microbiota, shedding light on previously unknown mechanisms of resistance. This knowledge can be pivotal in understanding the evolution of AMR and in the development of novel therapeutic agents that target these resistant strains. Additionally, studying the microbial community’s role in resistance can help identify how resistant genes transfer between organisms, further informing efforts to limit the spread of AMR (D'Costa et al., 2011).</w:t>
      </w:r>
    </w:p>
    <w:p w14:paraId="146DDF86" w14:textId="77777777" w:rsidR="003D1E19" w:rsidRPr="00230028" w:rsidRDefault="003D1E19" w:rsidP="00230028">
      <w:pPr>
        <w:pStyle w:val="ListParagraph"/>
        <w:spacing w:line="240" w:lineRule="auto"/>
        <w:jc w:val="both"/>
        <w:rPr>
          <w:rFonts w:ascii="Times New Roman" w:hAnsi="Times New Roman" w:cs="Times New Roman"/>
          <w:sz w:val="20"/>
          <w:szCs w:val="20"/>
        </w:rPr>
      </w:pPr>
    </w:p>
    <w:p w14:paraId="16C663C1" w14:textId="77777777" w:rsidR="003D1E19" w:rsidRPr="00230028" w:rsidRDefault="00AF0304" w:rsidP="00230028">
      <w:pPr>
        <w:pStyle w:val="ListParagraph"/>
        <w:numPr>
          <w:ilvl w:val="0"/>
          <w:numId w:val="37"/>
        </w:numPr>
        <w:spacing w:line="240" w:lineRule="auto"/>
        <w:rPr>
          <w:rFonts w:ascii="Times New Roman" w:hAnsi="Times New Roman" w:cs="Times New Roman"/>
          <w:sz w:val="20"/>
          <w:szCs w:val="20"/>
        </w:rPr>
      </w:pPr>
      <w:r w:rsidRPr="00230028">
        <w:rPr>
          <w:rFonts w:ascii="Times New Roman" w:hAnsi="Times New Roman" w:cs="Times New Roman"/>
          <w:sz w:val="20"/>
          <w:szCs w:val="20"/>
        </w:rPr>
        <w:t>Microbiome Insights</w:t>
      </w:r>
    </w:p>
    <w:p w14:paraId="3FE27AAA" w14:textId="2BB1EA94" w:rsidR="00AF0304" w:rsidRPr="00230028" w:rsidRDefault="00AF0304" w:rsidP="00230028">
      <w:pPr>
        <w:pStyle w:val="ListParagraph"/>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 xml:space="preserve">The human microbiome plays a crucial role in maintaining health and preventing disease, yet much of its complexity remains poorly understood, particularly the contribution of unculturable or low-abundance microbes. By unveiling microbial dark matter, we gain a better understanding of the full spectrum of </w:t>
      </w:r>
      <w:r w:rsidRPr="00230028">
        <w:rPr>
          <w:rFonts w:ascii="Times New Roman" w:hAnsi="Times New Roman" w:cs="Times New Roman"/>
          <w:sz w:val="20"/>
          <w:szCs w:val="20"/>
        </w:rPr>
        <w:lastRenderedPageBreak/>
        <w:t>microbial communities inhabiting the human body, including those that may influence conditions such as inflammatory bowel disease, obesity, diabetes, and autoimmune disorders (Human Microbiome Project Consortium, 2012). Understanding the functions of previously unknown microbes within the microbiome is key to identifying microbial interactions that affect host health, potentially leading to new biomarkers or targets for therapeutic interventions.</w:t>
      </w:r>
    </w:p>
    <w:p w14:paraId="02AC6BD8" w14:textId="77777777" w:rsidR="003D1E19" w:rsidRPr="00230028" w:rsidRDefault="003D1E19" w:rsidP="00230028">
      <w:pPr>
        <w:pStyle w:val="ListParagraph"/>
        <w:spacing w:line="240" w:lineRule="auto"/>
        <w:jc w:val="both"/>
        <w:rPr>
          <w:rFonts w:ascii="Times New Roman" w:hAnsi="Times New Roman" w:cs="Times New Roman"/>
          <w:sz w:val="20"/>
          <w:szCs w:val="20"/>
        </w:rPr>
      </w:pPr>
    </w:p>
    <w:p w14:paraId="216B9F3A" w14:textId="77777777" w:rsidR="003D1E19" w:rsidRPr="00230028" w:rsidRDefault="00AF0304" w:rsidP="00230028">
      <w:pPr>
        <w:pStyle w:val="ListParagraph"/>
        <w:numPr>
          <w:ilvl w:val="0"/>
          <w:numId w:val="37"/>
        </w:numPr>
        <w:spacing w:line="240" w:lineRule="auto"/>
        <w:rPr>
          <w:rFonts w:ascii="Times New Roman" w:hAnsi="Times New Roman" w:cs="Times New Roman"/>
          <w:sz w:val="20"/>
          <w:szCs w:val="20"/>
        </w:rPr>
      </w:pPr>
      <w:r w:rsidRPr="00230028">
        <w:rPr>
          <w:rFonts w:ascii="Times New Roman" w:hAnsi="Times New Roman" w:cs="Times New Roman"/>
          <w:sz w:val="20"/>
          <w:szCs w:val="20"/>
        </w:rPr>
        <w:t>Personalized Medicine</w:t>
      </w:r>
    </w:p>
    <w:p w14:paraId="6E8895B6" w14:textId="38C825E6" w:rsidR="00AF0304" w:rsidRPr="00230028" w:rsidRDefault="00AF0304" w:rsidP="00230028">
      <w:pPr>
        <w:pStyle w:val="ListParagraph"/>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Personalized medicine relies on the precise identification of pathogens and understanding the genetic makeup of both the host and the microorganisms involved in disease. The ability to identify microbes that were previously uncharacterized enables more accurate, individualized treatments. For example, when patients suffer from chronic infections caused by difficult-to-diagnose microbes, precise microbial identification allows for targeted therapies that are better suited to the patient’s unique microbial profile, reducing reliance on broad-spectrum antibiotics and minimizing the risk of resistance. Additionally, personalized microbiome analysis can inform probiotic or prebiotic interventions tailored to an individual’s specific microbial needs (Nash et al., 2017).</w:t>
      </w:r>
    </w:p>
    <w:p w14:paraId="08E44BAD" w14:textId="77777777" w:rsidR="00AF0304" w:rsidRPr="00230028" w:rsidRDefault="00AF0304"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Challenges and Limitations</w:t>
      </w:r>
    </w:p>
    <w:p w14:paraId="3937D655" w14:textId="77777777" w:rsidR="00AF0304" w:rsidRPr="00230028" w:rsidRDefault="00AF0304"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Despite the potential benefits, several challenges and limitations persist in the quest to unveil microbial dark matter, particularly in the clinical setting.</w:t>
      </w:r>
    </w:p>
    <w:p w14:paraId="2E265458" w14:textId="0843F13E" w:rsidR="00AF0304" w:rsidRPr="00230028" w:rsidRDefault="00AF0304" w:rsidP="00230028">
      <w:pPr>
        <w:spacing w:line="240" w:lineRule="auto"/>
        <w:rPr>
          <w:rFonts w:ascii="Times New Roman" w:hAnsi="Times New Roman" w:cs="Times New Roman"/>
          <w:sz w:val="20"/>
          <w:szCs w:val="20"/>
        </w:rPr>
      </w:pPr>
      <w:r w:rsidRPr="00230028">
        <w:rPr>
          <w:rFonts w:ascii="Times New Roman" w:hAnsi="Times New Roman" w:cs="Times New Roman"/>
          <w:sz w:val="20"/>
          <w:szCs w:val="20"/>
        </w:rPr>
        <w:t>Cost and Complexity</w:t>
      </w:r>
      <w:r w:rsidR="003D1E19" w:rsidRPr="00230028">
        <w:rPr>
          <w:rFonts w:ascii="Times New Roman" w:hAnsi="Times New Roman" w:cs="Times New Roman"/>
          <w:sz w:val="20"/>
          <w:szCs w:val="20"/>
        </w:rPr>
        <w:t xml:space="preserve">: </w:t>
      </w:r>
      <w:r w:rsidRPr="00230028">
        <w:rPr>
          <w:rFonts w:ascii="Times New Roman" w:hAnsi="Times New Roman" w:cs="Times New Roman"/>
          <w:sz w:val="20"/>
          <w:szCs w:val="20"/>
        </w:rPr>
        <w:t>The advanced technologies required to explore microbial dark matter, such as high-throughput sequencing and metagenomic analysis, come with high costs and require specialized equipment and expertise. These technologies may be prohibitively expensive for many clinical laboratories, particularly in low-resource settings. The integration of such technologies into routine clinical diagnostics faces significant hurdles, including the need for specialized infrastructure and trained personnel (Mardis, 2008). Until these costs are reduced and the technologies become more widely accessible, their clinical adoption will remain limited.</w:t>
      </w:r>
    </w:p>
    <w:p w14:paraId="0F7E892A" w14:textId="7F9B7AE4" w:rsidR="00AF0304" w:rsidRPr="00230028" w:rsidRDefault="00AF0304" w:rsidP="00230028">
      <w:pPr>
        <w:spacing w:line="240" w:lineRule="auto"/>
        <w:rPr>
          <w:rFonts w:ascii="Times New Roman" w:hAnsi="Times New Roman" w:cs="Times New Roman"/>
          <w:sz w:val="20"/>
          <w:szCs w:val="20"/>
        </w:rPr>
      </w:pPr>
      <w:r w:rsidRPr="00230028">
        <w:rPr>
          <w:rFonts w:ascii="Times New Roman" w:hAnsi="Times New Roman" w:cs="Times New Roman"/>
          <w:sz w:val="20"/>
          <w:szCs w:val="20"/>
        </w:rPr>
        <w:t>Data Interpretation</w:t>
      </w:r>
      <w:r w:rsidR="003D1E19" w:rsidRPr="00230028">
        <w:rPr>
          <w:rFonts w:ascii="Times New Roman" w:hAnsi="Times New Roman" w:cs="Times New Roman"/>
          <w:sz w:val="20"/>
          <w:szCs w:val="20"/>
        </w:rPr>
        <w:t xml:space="preserve">: </w:t>
      </w:r>
      <w:r w:rsidRPr="00230028">
        <w:rPr>
          <w:rFonts w:ascii="Times New Roman" w:hAnsi="Times New Roman" w:cs="Times New Roman"/>
          <w:sz w:val="20"/>
          <w:szCs w:val="20"/>
        </w:rPr>
        <w:t xml:space="preserve">The vast amounts of data generated by high-throughput sequencing and metagenomics present significant challenges in terms of interpretation. Identifying novel pathogens or resistance mechanisms requires sophisticated bioinformatics tools capable of processing and analyzing complex datasets. This requires not only advanced computational resources but also expertise in microbial genomics and bioinformatics (Goodwin et al., 2016). Moreover, the interpretation of such data is often complicated by the presence of sequence data from </w:t>
      </w:r>
      <w:proofErr w:type="gramStart"/>
      <w:r w:rsidRPr="00230028">
        <w:rPr>
          <w:rFonts w:ascii="Times New Roman" w:hAnsi="Times New Roman" w:cs="Times New Roman"/>
          <w:sz w:val="20"/>
          <w:szCs w:val="20"/>
        </w:rPr>
        <w:t>a large number of</w:t>
      </w:r>
      <w:proofErr w:type="gramEnd"/>
      <w:r w:rsidRPr="00230028">
        <w:rPr>
          <w:rFonts w:ascii="Times New Roman" w:hAnsi="Times New Roman" w:cs="Times New Roman"/>
          <w:sz w:val="20"/>
          <w:szCs w:val="20"/>
        </w:rPr>
        <w:t xml:space="preserve"> microbial species, some of which may not be relevant to the clinical outcome, making it difficult to pinpoint the causative agents of infections.</w:t>
      </w:r>
    </w:p>
    <w:p w14:paraId="0460D7E5" w14:textId="6B0A7BB3" w:rsidR="00AF0304" w:rsidRPr="00230028" w:rsidRDefault="00AF0304" w:rsidP="00230028">
      <w:pPr>
        <w:spacing w:line="240" w:lineRule="auto"/>
        <w:rPr>
          <w:rFonts w:ascii="Times New Roman" w:hAnsi="Times New Roman" w:cs="Times New Roman"/>
          <w:sz w:val="20"/>
          <w:szCs w:val="20"/>
        </w:rPr>
      </w:pPr>
      <w:r w:rsidRPr="00230028">
        <w:rPr>
          <w:rFonts w:ascii="Times New Roman" w:hAnsi="Times New Roman" w:cs="Times New Roman"/>
          <w:sz w:val="20"/>
          <w:szCs w:val="20"/>
        </w:rPr>
        <w:t>Clinical Validation</w:t>
      </w:r>
      <w:r w:rsidR="003D1E19" w:rsidRPr="00230028">
        <w:rPr>
          <w:rFonts w:ascii="Times New Roman" w:hAnsi="Times New Roman" w:cs="Times New Roman"/>
          <w:sz w:val="20"/>
          <w:szCs w:val="20"/>
        </w:rPr>
        <w:t xml:space="preserve">: </w:t>
      </w:r>
      <w:r w:rsidRPr="00230028">
        <w:rPr>
          <w:rFonts w:ascii="Times New Roman" w:hAnsi="Times New Roman" w:cs="Times New Roman"/>
          <w:sz w:val="20"/>
          <w:szCs w:val="20"/>
        </w:rPr>
        <w:t>While technological advances have enabled the identification of new microbes and pathogens, many of these novel methods lack standardization and regulatory approval for clinical use. Without clinical validation and regulatory clearance, the widespread adoption of these technologies for routine diagnostics is not feasible. Furthermore, the absence of standardized protocols for sample collection, processing, and analysis can lead to variability in results, limiting the reliability and reproducibility of the findings. Regulatory bodies such as the U.S. Food and Drug Administration (FDA) must develop guidelines to ensure that new diagnostic platforms based on metagenomics are reliable, accurate, and consistent before they can be implemented in clinical practice (FDA, 2018).</w:t>
      </w:r>
    </w:p>
    <w:p w14:paraId="1247122F" w14:textId="77777777" w:rsidR="00AF0304" w:rsidRPr="00230028" w:rsidRDefault="00AF0304" w:rsidP="00230028">
      <w:pPr>
        <w:spacing w:line="240" w:lineRule="auto"/>
        <w:jc w:val="both"/>
        <w:rPr>
          <w:rFonts w:ascii="Times New Roman" w:hAnsi="Times New Roman" w:cs="Times New Roman"/>
          <w:i/>
          <w:iCs/>
          <w:sz w:val="20"/>
          <w:szCs w:val="20"/>
        </w:rPr>
      </w:pPr>
      <w:r w:rsidRPr="00230028">
        <w:rPr>
          <w:rFonts w:ascii="Times New Roman" w:hAnsi="Times New Roman" w:cs="Times New Roman"/>
          <w:i/>
          <w:iCs/>
          <w:sz w:val="20"/>
          <w:szCs w:val="20"/>
        </w:rPr>
        <w:t>Conclusion</w:t>
      </w:r>
    </w:p>
    <w:p w14:paraId="4B914C12" w14:textId="77777777" w:rsidR="00AF0304" w:rsidRPr="00230028" w:rsidRDefault="00AF0304"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Unveiling microbial dark matter holds immense promise for advancing clinical microbiology by enabling the identification of previously unknown pathogens, improving diagnostic accuracy, and providing new insights into antimicrobial resistance, microbiome health, and personalized medicine. However, challenges related to cost, data complexity, and clinical validation need to be addressed before these technologies can be fully integrated into routine clinical practice. Continued advancements in sequencing technologies, bioinformatics, and regulatory frameworks will be crucial to realizing the potential of microbial dark matter in improving patient care and public health outcomes.</w:t>
      </w:r>
    </w:p>
    <w:p w14:paraId="202034D2" w14:textId="23ABDD32" w:rsidR="00AF0304" w:rsidRPr="00230028" w:rsidRDefault="00AF0304" w:rsidP="00230028">
      <w:pPr>
        <w:spacing w:line="240" w:lineRule="auto"/>
        <w:jc w:val="both"/>
        <w:rPr>
          <w:rFonts w:ascii="Times New Roman" w:hAnsi="Times New Roman" w:cs="Times New Roman"/>
          <w:b/>
          <w:bCs/>
          <w:sz w:val="20"/>
          <w:szCs w:val="20"/>
        </w:rPr>
      </w:pPr>
    </w:p>
    <w:p w14:paraId="0F5DE488" w14:textId="77777777" w:rsidR="00AF345A" w:rsidRPr="00230028" w:rsidRDefault="00AF345A" w:rsidP="00230028">
      <w:p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Future Directions in Unveiling Microbial Dark Matter</w:t>
      </w:r>
    </w:p>
    <w:p w14:paraId="2014DDA5" w14:textId="77777777" w:rsidR="00AF345A" w:rsidRPr="00230028" w:rsidRDefault="00AF345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lastRenderedPageBreak/>
        <w:t>As the exploration of microbial dark matter continues to evolve, several key areas of research hold promise for expanding our understanding and improving clinical microbiology. These advancements have the potential to reshape pathogen discovery, diagnostics, and treatment, ultimately leading to more effective and personalized healthcare.</w:t>
      </w:r>
    </w:p>
    <w:p w14:paraId="5B87CB2C" w14:textId="77777777" w:rsidR="00AF345A" w:rsidRPr="00230028" w:rsidRDefault="00AF345A"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1. Advancing Culture Techniques</w:t>
      </w:r>
    </w:p>
    <w:p w14:paraId="038A34B9" w14:textId="77777777" w:rsidR="00AF345A" w:rsidRPr="00230028" w:rsidRDefault="00AF345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One of the most significant challenges in studying microbial dark matter has been the inability to culture a large proportion of microorganisms, particularly those that do not thrive in conventional laboratory conditions. However, advancements in culture techniques are rapidly addressing this issue.</w:t>
      </w:r>
    </w:p>
    <w:p w14:paraId="68155999" w14:textId="77777777" w:rsidR="00AF345A" w:rsidRPr="00230028" w:rsidRDefault="00AF345A" w:rsidP="00230028">
      <w:pPr>
        <w:numPr>
          <w:ilvl w:val="0"/>
          <w:numId w:val="32"/>
        </w:num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Co-Culture Systems</w:t>
      </w:r>
      <w:r w:rsidRPr="00230028">
        <w:rPr>
          <w:rFonts w:ascii="Times New Roman" w:hAnsi="Times New Roman" w:cs="Times New Roman"/>
          <w:sz w:val="20"/>
          <w:szCs w:val="20"/>
        </w:rPr>
        <w:t xml:space="preserve">: These systems involve the cultivation of microorganisms in conjunction with other species to provide the necessary growth factors and interspecies interactions for previously unculturable organisms. For instance, the </w:t>
      </w:r>
      <w:r w:rsidRPr="00230028">
        <w:rPr>
          <w:rFonts w:ascii="Times New Roman" w:hAnsi="Times New Roman" w:cs="Times New Roman"/>
          <w:i/>
          <w:iCs/>
          <w:sz w:val="20"/>
          <w:szCs w:val="20"/>
        </w:rPr>
        <w:t>Human Microbiome Project</w:t>
      </w:r>
      <w:r w:rsidRPr="00230028">
        <w:rPr>
          <w:rFonts w:ascii="Times New Roman" w:hAnsi="Times New Roman" w:cs="Times New Roman"/>
          <w:sz w:val="20"/>
          <w:szCs w:val="20"/>
        </w:rPr>
        <w:t xml:space="preserve"> has demonstrated that co-culturing organisms like </w:t>
      </w:r>
      <w:r w:rsidRPr="00230028">
        <w:rPr>
          <w:rFonts w:ascii="Times New Roman" w:hAnsi="Times New Roman" w:cs="Times New Roman"/>
          <w:i/>
          <w:iCs/>
          <w:sz w:val="20"/>
          <w:szCs w:val="20"/>
        </w:rPr>
        <w:t>TM7x</w:t>
      </w:r>
      <w:r w:rsidRPr="00230028">
        <w:rPr>
          <w:rFonts w:ascii="Times New Roman" w:hAnsi="Times New Roman" w:cs="Times New Roman"/>
          <w:sz w:val="20"/>
          <w:szCs w:val="20"/>
        </w:rPr>
        <w:t>, a member of the Candidate Phyla Radiation (CPR), requires specific host bacteria for growth. This finding underscores the importance of inter-microbial relationships in microbial growth and suggests that recreating natural environments in the lab could allow for the growth of hard-to-culture pathogens (Rinke et al., 2013).</w:t>
      </w:r>
    </w:p>
    <w:p w14:paraId="161B2BDC" w14:textId="77777777" w:rsidR="00AF345A" w:rsidRPr="00230028" w:rsidRDefault="00AF345A" w:rsidP="00230028">
      <w:pPr>
        <w:numPr>
          <w:ilvl w:val="0"/>
          <w:numId w:val="32"/>
        </w:num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Synthetic Media</w:t>
      </w:r>
      <w:r w:rsidRPr="00230028">
        <w:rPr>
          <w:rFonts w:ascii="Times New Roman" w:hAnsi="Times New Roman" w:cs="Times New Roman"/>
          <w:sz w:val="20"/>
          <w:szCs w:val="20"/>
        </w:rPr>
        <w:t>: Developing synthetic media that more accurately mimics natural habitats is another promising avenue. These media can be tailored to meet the specific nutritional and environmental requirements of previously unculturable microbes, making it possible to isolate and study pathogens that were once thought to be impossible to grow. These breakthroughs could open new doors for microbiological research and diagnostics by enabling the isolation and detailed study of elusive pathogens.</w:t>
      </w:r>
    </w:p>
    <w:p w14:paraId="2B6E5244" w14:textId="77777777" w:rsidR="00AF345A" w:rsidRPr="00230028" w:rsidRDefault="00AF345A"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2. Integration of Multi-Omics Approaches</w:t>
      </w:r>
    </w:p>
    <w:p w14:paraId="4256CF26" w14:textId="77777777" w:rsidR="00AF345A" w:rsidRPr="00230028" w:rsidRDefault="00AF345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The integration of multi-omics approaches offers a powerful strategy to understand the full complexity of microbial function and interaction. By combining data from genomics, transcriptomics, proteomics, and metabolomics, researchers can gain a holistic understanding of how microbes interact with each other and with their host environment.</w:t>
      </w:r>
    </w:p>
    <w:p w14:paraId="1755B37B" w14:textId="77777777" w:rsidR="00AF345A" w:rsidRPr="00230028" w:rsidRDefault="00AF345A" w:rsidP="00230028">
      <w:pPr>
        <w:numPr>
          <w:ilvl w:val="0"/>
          <w:numId w:val="33"/>
        </w:num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Omics of the Microbiome</w:t>
      </w:r>
      <w:r w:rsidRPr="00230028">
        <w:rPr>
          <w:rFonts w:ascii="Times New Roman" w:hAnsi="Times New Roman" w:cs="Times New Roman"/>
          <w:sz w:val="20"/>
          <w:szCs w:val="20"/>
        </w:rPr>
        <w:t>: Multi-omics studies have already been transformative in microbiome research. For example, in the study of the gut microbiome, researchers have linked specific microbial metabolites to metabolic disorders like diabetes (Li et al., 2017). By analyzing genomics, transcriptomics, and metabolomics data together, scientists can uncover key microbial functions and interactions that may play a role in disease development.</w:t>
      </w:r>
    </w:p>
    <w:p w14:paraId="4DD344E2" w14:textId="77777777" w:rsidR="00AF345A" w:rsidRPr="00230028" w:rsidRDefault="00AF345A" w:rsidP="00230028">
      <w:pPr>
        <w:numPr>
          <w:ilvl w:val="0"/>
          <w:numId w:val="33"/>
        </w:num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Clinical Microbiology Applications</w:t>
      </w:r>
      <w:r w:rsidRPr="00230028">
        <w:rPr>
          <w:rFonts w:ascii="Times New Roman" w:hAnsi="Times New Roman" w:cs="Times New Roman"/>
          <w:sz w:val="20"/>
          <w:szCs w:val="20"/>
        </w:rPr>
        <w:t>: In clinical microbiology, integrating these multi-omics approaches could help identify novel pathogen-host interactions, shedding light on previously hidden mechanisms of infection, virulence, and drug resistance. This comprehensive view could lead to more targeted and effective therapeutic strategies, especially in the context of personalized medicine, where treatments are tailored based on individual microbial profiles.</w:t>
      </w:r>
    </w:p>
    <w:p w14:paraId="3D066BB7" w14:textId="77777777" w:rsidR="00AF345A" w:rsidRPr="00230028" w:rsidRDefault="00AF345A"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3. AI and Machine Learning</w:t>
      </w:r>
    </w:p>
    <w:p w14:paraId="3A5F2E9C" w14:textId="77777777" w:rsidR="00AF345A" w:rsidRPr="00230028" w:rsidRDefault="00AF345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Artificial intelligence (AI) and machine learning (ML) technologies are poised to revolutionize the field of microbial diagnostics and research by enabling faster, more accurate pathogen identification and antimicrobial susceptibility testing.</w:t>
      </w:r>
    </w:p>
    <w:p w14:paraId="708BFC6C" w14:textId="77777777" w:rsidR="00AF345A" w:rsidRPr="00230028" w:rsidRDefault="00AF345A" w:rsidP="00230028">
      <w:pPr>
        <w:numPr>
          <w:ilvl w:val="0"/>
          <w:numId w:val="34"/>
        </w:num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Protein Structure Prediction</w:t>
      </w:r>
      <w:r w:rsidRPr="00230028">
        <w:rPr>
          <w:rFonts w:ascii="Times New Roman" w:hAnsi="Times New Roman" w:cs="Times New Roman"/>
          <w:sz w:val="20"/>
          <w:szCs w:val="20"/>
        </w:rPr>
        <w:t xml:space="preserve">: AI-driven tools like DeepMind's </w:t>
      </w:r>
      <w:r w:rsidRPr="00230028">
        <w:rPr>
          <w:rFonts w:ascii="Times New Roman" w:hAnsi="Times New Roman" w:cs="Times New Roman"/>
          <w:i/>
          <w:iCs/>
          <w:sz w:val="20"/>
          <w:szCs w:val="20"/>
        </w:rPr>
        <w:t>AlphaFold</w:t>
      </w:r>
      <w:r w:rsidRPr="00230028">
        <w:rPr>
          <w:rFonts w:ascii="Times New Roman" w:hAnsi="Times New Roman" w:cs="Times New Roman"/>
          <w:sz w:val="20"/>
          <w:szCs w:val="20"/>
        </w:rPr>
        <w:t xml:space="preserve"> have made groundbreaking strides in predicting protein structures, including microbial enzymes that could play crucial roles in microbial metabolism or resistance mechanisms (Jumper et al., 2021). Understanding the structure of microbial proteins can provide insights into their functions and help identify potential targets for new drugs or diagnostics.</w:t>
      </w:r>
    </w:p>
    <w:p w14:paraId="455FAEB3" w14:textId="77777777" w:rsidR="00AF345A" w:rsidRPr="00230028" w:rsidRDefault="00AF345A" w:rsidP="00230028">
      <w:pPr>
        <w:numPr>
          <w:ilvl w:val="0"/>
          <w:numId w:val="34"/>
        </w:num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Analyzing Complex Data</w:t>
      </w:r>
      <w:r w:rsidRPr="00230028">
        <w:rPr>
          <w:rFonts w:ascii="Times New Roman" w:hAnsi="Times New Roman" w:cs="Times New Roman"/>
          <w:sz w:val="20"/>
          <w:szCs w:val="20"/>
        </w:rPr>
        <w:t>: Machine learning models have also been successfully applied to the analysis of large-scale metagenomic datasets, enabling the prediction of antibiotic resistance genes in environmental samples (Zhou et al., 2021). These models can sift through complex microbial data to identify resistance markers or other key characteristics, facilitating faster and more accurate diagnostics. In clinical settings, machine learning could streamline pathogen identification and susceptibility testing, providing healthcare professionals with real-time insights and aiding in the rapid administration of appropriate treatments.</w:t>
      </w:r>
    </w:p>
    <w:p w14:paraId="02BDDF6C" w14:textId="77777777" w:rsidR="00AF345A" w:rsidRPr="00230028" w:rsidRDefault="00AF345A"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lastRenderedPageBreak/>
        <w:t>4. Portable Diagnostics</w:t>
      </w:r>
    </w:p>
    <w:p w14:paraId="4930F645" w14:textId="77777777" w:rsidR="00AF345A" w:rsidRPr="00230028" w:rsidRDefault="00AF345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The development of portable diagnostic devices is critical for addressing global health challenges, particularly in remote or resource-limited settings. These devices, which integrate advanced molecular techniques, offer the potential for rapid and reliable pathogen detection at the point of care (POC).</w:t>
      </w:r>
    </w:p>
    <w:p w14:paraId="76648C35" w14:textId="77777777" w:rsidR="00AF345A" w:rsidRPr="00230028" w:rsidRDefault="00AF345A" w:rsidP="00230028">
      <w:pPr>
        <w:numPr>
          <w:ilvl w:val="0"/>
          <w:numId w:val="35"/>
        </w:num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CRISPR-Based Diagnostics</w:t>
      </w:r>
      <w:r w:rsidRPr="00230028">
        <w:rPr>
          <w:rFonts w:ascii="Times New Roman" w:hAnsi="Times New Roman" w:cs="Times New Roman"/>
          <w:sz w:val="20"/>
          <w:szCs w:val="20"/>
        </w:rPr>
        <w:t xml:space="preserve">: CRISPR-based diagnostic tools, such as </w:t>
      </w:r>
      <w:r w:rsidRPr="00230028">
        <w:rPr>
          <w:rFonts w:ascii="Times New Roman" w:hAnsi="Times New Roman" w:cs="Times New Roman"/>
          <w:i/>
          <w:iCs/>
          <w:sz w:val="20"/>
          <w:szCs w:val="20"/>
        </w:rPr>
        <w:t>SHERLOCK</w:t>
      </w:r>
      <w:r w:rsidRPr="00230028">
        <w:rPr>
          <w:rFonts w:ascii="Times New Roman" w:hAnsi="Times New Roman" w:cs="Times New Roman"/>
          <w:sz w:val="20"/>
          <w:szCs w:val="20"/>
        </w:rPr>
        <w:t xml:space="preserve"> and </w:t>
      </w:r>
      <w:r w:rsidRPr="00230028">
        <w:rPr>
          <w:rFonts w:ascii="Times New Roman" w:hAnsi="Times New Roman" w:cs="Times New Roman"/>
          <w:i/>
          <w:iCs/>
          <w:sz w:val="20"/>
          <w:szCs w:val="20"/>
        </w:rPr>
        <w:t>DETECTR</w:t>
      </w:r>
      <w:r w:rsidRPr="00230028">
        <w:rPr>
          <w:rFonts w:ascii="Times New Roman" w:hAnsi="Times New Roman" w:cs="Times New Roman"/>
          <w:sz w:val="20"/>
          <w:szCs w:val="20"/>
        </w:rPr>
        <w:t>, represent cutting-edge technologies that can detect pathogens with high sensitivity and specificity. These tools, which utilize the CRISPR-Cas system to identify target DNA or RNA sequences, have already been optimized for field deployment. For example, SHERLOCK has been used for the rapid detection of Zika virus and SARS-CoV-2 in clinical samples (Chen et al., 2018).</w:t>
      </w:r>
    </w:p>
    <w:p w14:paraId="0A63C79E" w14:textId="77777777" w:rsidR="00AF345A" w:rsidRPr="00230028" w:rsidRDefault="00AF345A" w:rsidP="00230028">
      <w:pPr>
        <w:numPr>
          <w:ilvl w:val="0"/>
          <w:numId w:val="35"/>
        </w:numPr>
        <w:spacing w:line="240" w:lineRule="auto"/>
        <w:jc w:val="both"/>
        <w:rPr>
          <w:rFonts w:ascii="Times New Roman" w:hAnsi="Times New Roman" w:cs="Times New Roman"/>
          <w:sz w:val="20"/>
          <w:szCs w:val="20"/>
        </w:rPr>
      </w:pPr>
      <w:r w:rsidRPr="00230028">
        <w:rPr>
          <w:rFonts w:ascii="Times New Roman" w:hAnsi="Times New Roman" w:cs="Times New Roman"/>
          <w:b/>
          <w:bCs/>
          <w:sz w:val="20"/>
          <w:szCs w:val="20"/>
        </w:rPr>
        <w:t>Handheld Devices for Field Use</w:t>
      </w:r>
      <w:r w:rsidRPr="00230028">
        <w:rPr>
          <w:rFonts w:ascii="Times New Roman" w:hAnsi="Times New Roman" w:cs="Times New Roman"/>
          <w:sz w:val="20"/>
          <w:szCs w:val="20"/>
        </w:rPr>
        <w:t>: Future innovations could lead to the development of handheld devices that integrate CRISPR and other molecular techniques for pathogen detection. These portable diagnostics could be used in areas with limited access to healthcare infrastructure, improving the speed and accuracy of disease detection in real-time. This would not only enhance global health surveillance but also enable rapid responses to emerging infectious diseases, ultimately saving lives and preventing outbreaks.</w:t>
      </w:r>
    </w:p>
    <w:p w14:paraId="30ED9D57" w14:textId="77777777" w:rsidR="00AF345A" w:rsidRPr="00230028" w:rsidRDefault="00AF345A" w:rsidP="00230028">
      <w:pPr>
        <w:spacing w:line="240" w:lineRule="auto"/>
        <w:jc w:val="both"/>
        <w:rPr>
          <w:rFonts w:ascii="Times New Roman" w:hAnsi="Times New Roman" w:cs="Times New Roman"/>
          <w:b/>
          <w:bCs/>
          <w:sz w:val="20"/>
          <w:szCs w:val="20"/>
        </w:rPr>
      </w:pPr>
      <w:r w:rsidRPr="00230028">
        <w:rPr>
          <w:rFonts w:ascii="Times New Roman" w:hAnsi="Times New Roman" w:cs="Times New Roman"/>
          <w:b/>
          <w:bCs/>
          <w:sz w:val="20"/>
          <w:szCs w:val="20"/>
        </w:rPr>
        <w:t>Conclusion</w:t>
      </w:r>
    </w:p>
    <w:p w14:paraId="26B9DB23" w14:textId="77777777" w:rsidR="00AF345A" w:rsidRPr="00230028" w:rsidRDefault="00AF345A" w:rsidP="00230028">
      <w:pPr>
        <w:spacing w:line="240" w:lineRule="auto"/>
        <w:jc w:val="both"/>
        <w:rPr>
          <w:rFonts w:ascii="Times New Roman" w:hAnsi="Times New Roman" w:cs="Times New Roman"/>
          <w:sz w:val="20"/>
          <w:szCs w:val="20"/>
        </w:rPr>
      </w:pPr>
      <w:r w:rsidRPr="00230028">
        <w:rPr>
          <w:rFonts w:ascii="Times New Roman" w:hAnsi="Times New Roman" w:cs="Times New Roman"/>
          <w:sz w:val="20"/>
          <w:szCs w:val="20"/>
        </w:rPr>
        <w:t>The future of microbial dark matter exploration is bright, with numerous innovative technologies and approaches poised to transform clinical microbiology. Advancements in culture techniques, multi-omics integration, AI, and portable diagnostics offer promising solutions to uncovering previously unknown pathogens and improving patient care. While challenges remain in terms of cost, data complexity, and clinical validation, the continued development of these technologies will likely lead to more accurate diagnostics, targeted treatments, and a deeper understanding of microbial diversity.</w:t>
      </w:r>
    </w:p>
    <w:p w14:paraId="29D91E96" w14:textId="77777777" w:rsidR="006668F1" w:rsidRPr="00230028" w:rsidRDefault="006668F1" w:rsidP="00230028">
      <w:pPr>
        <w:spacing w:line="240" w:lineRule="auto"/>
        <w:jc w:val="both"/>
        <w:rPr>
          <w:rFonts w:ascii="Times New Roman" w:hAnsi="Times New Roman" w:cs="Times New Roman"/>
          <w:b/>
          <w:bCs/>
          <w:sz w:val="16"/>
          <w:szCs w:val="16"/>
        </w:rPr>
      </w:pPr>
      <w:r w:rsidRPr="00230028">
        <w:rPr>
          <w:rFonts w:ascii="Times New Roman" w:hAnsi="Times New Roman" w:cs="Times New Roman"/>
          <w:b/>
          <w:bCs/>
          <w:sz w:val="16"/>
          <w:szCs w:val="16"/>
        </w:rPr>
        <w:t>References</w:t>
      </w:r>
    </w:p>
    <w:p w14:paraId="09772BE0"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Cammarota, G., Ianiro, G., Tilg, H., </w:t>
      </w:r>
      <w:proofErr w:type="spellStart"/>
      <w:r w:rsidRPr="00230028">
        <w:rPr>
          <w:rFonts w:ascii="Times New Roman" w:hAnsi="Times New Roman" w:cs="Times New Roman"/>
          <w:sz w:val="16"/>
          <w:szCs w:val="16"/>
        </w:rPr>
        <w:t>Rajilić</w:t>
      </w:r>
      <w:proofErr w:type="spellEnd"/>
      <w:r w:rsidRPr="00230028">
        <w:rPr>
          <w:rFonts w:ascii="Times New Roman" w:hAnsi="Times New Roman" w:cs="Times New Roman"/>
          <w:sz w:val="16"/>
          <w:szCs w:val="16"/>
        </w:rPr>
        <w:t xml:space="preserve">‐Stojanović, M., Kump, P., </w:t>
      </w:r>
      <w:proofErr w:type="spellStart"/>
      <w:r w:rsidRPr="00230028">
        <w:rPr>
          <w:rFonts w:ascii="Times New Roman" w:hAnsi="Times New Roman" w:cs="Times New Roman"/>
          <w:sz w:val="16"/>
          <w:szCs w:val="16"/>
        </w:rPr>
        <w:t>Satokari</w:t>
      </w:r>
      <w:proofErr w:type="spellEnd"/>
      <w:r w:rsidRPr="00230028">
        <w:rPr>
          <w:rFonts w:ascii="Times New Roman" w:hAnsi="Times New Roman" w:cs="Times New Roman"/>
          <w:sz w:val="16"/>
          <w:szCs w:val="16"/>
        </w:rPr>
        <w:t xml:space="preserve">, R., ... &amp; </w:t>
      </w:r>
      <w:proofErr w:type="spellStart"/>
      <w:r w:rsidRPr="00230028">
        <w:rPr>
          <w:rFonts w:ascii="Times New Roman" w:hAnsi="Times New Roman" w:cs="Times New Roman"/>
          <w:sz w:val="16"/>
          <w:szCs w:val="16"/>
        </w:rPr>
        <w:t>Gasbarrini</w:t>
      </w:r>
      <w:proofErr w:type="spellEnd"/>
      <w:r w:rsidRPr="00230028">
        <w:rPr>
          <w:rFonts w:ascii="Times New Roman" w:hAnsi="Times New Roman" w:cs="Times New Roman"/>
          <w:sz w:val="16"/>
          <w:szCs w:val="16"/>
        </w:rPr>
        <w:t xml:space="preserve">, A. (2017). European consensus conference on fecal microbiota transplantation in clinical practice. </w:t>
      </w:r>
      <w:r w:rsidRPr="00230028">
        <w:rPr>
          <w:rFonts w:ascii="Times New Roman" w:hAnsi="Times New Roman" w:cs="Times New Roman"/>
          <w:i/>
          <w:iCs/>
          <w:sz w:val="16"/>
          <w:szCs w:val="16"/>
        </w:rPr>
        <w:t>Gut, 66</w:t>
      </w:r>
      <w:r w:rsidRPr="00230028">
        <w:rPr>
          <w:rFonts w:ascii="Times New Roman" w:hAnsi="Times New Roman" w:cs="Times New Roman"/>
          <w:sz w:val="16"/>
          <w:szCs w:val="16"/>
        </w:rPr>
        <w:t>(4), 569-580.</w:t>
      </w:r>
    </w:p>
    <w:p w14:paraId="3BDAD983"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Franzosa, E. A., Morgan, X. C., </w:t>
      </w:r>
      <w:proofErr w:type="spellStart"/>
      <w:r w:rsidRPr="00230028">
        <w:rPr>
          <w:rFonts w:ascii="Times New Roman" w:hAnsi="Times New Roman" w:cs="Times New Roman"/>
          <w:sz w:val="16"/>
          <w:szCs w:val="16"/>
        </w:rPr>
        <w:t>Segata</w:t>
      </w:r>
      <w:proofErr w:type="spellEnd"/>
      <w:r w:rsidRPr="00230028">
        <w:rPr>
          <w:rFonts w:ascii="Times New Roman" w:hAnsi="Times New Roman" w:cs="Times New Roman"/>
          <w:sz w:val="16"/>
          <w:szCs w:val="16"/>
        </w:rPr>
        <w:t xml:space="preserve">, N., Waldron, L., Reyes, J., Earl, A. M., ... &amp; </w:t>
      </w:r>
      <w:proofErr w:type="spellStart"/>
      <w:r w:rsidRPr="00230028">
        <w:rPr>
          <w:rFonts w:ascii="Times New Roman" w:hAnsi="Times New Roman" w:cs="Times New Roman"/>
          <w:sz w:val="16"/>
          <w:szCs w:val="16"/>
        </w:rPr>
        <w:t>Huttenhower</w:t>
      </w:r>
      <w:proofErr w:type="spellEnd"/>
      <w:r w:rsidRPr="00230028">
        <w:rPr>
          <w:rFonts w:ascii="Times New Roman" w:hAnsi="Times New Roman" w:cs="Times New Roman"/>
          <w:sz w:val="16"/>
          <w:szCs w:val="16"/>
        </w:rPr>
        <w:t xml:space="preserve">, C. (2015). Relating the </w:t>
      </w:r>
      <w:proofErr w:type="spellStart"/>
      <w:r w:rsidRPr="00230028">
        <w:rPr>
          <w:rFonts w:ascii="Times New Roman" w:hAnsi="Times New Roman" w:cs="Times New Roman"/>
          <w:sz w:val="16"/>
          <w:szCs w:val="16"/>
        </w:rPr>
        <w:t>metatranscriptome</w:t>
      </w:r>
      <w:proofErr w:type="spellEnd"/>
      <w:r w:rsidRPr="00230028">
        <w:rPr>
          <w:rFonts w:ascii="Times New Roman" w:hAnsi="Times New Roman" w:cs="Times New Roman"/>
          <w:sz w:val="16"/>
          <w:szCs w:val="16"/>
        </w:rPr>
        <w:t xml:space="preserve"> and metagenome of the human gut. </w:t>
      </w:r>
      <w:r w:rsidRPr="00230028">
        <w:rPr>
          <w:rFonts w:ascii="Times New Roman" w:hAnsi="Times New Roman" w:cs="Times New Roman"/>
          <w:i/>
          <w:iCs/>
          <w:sz w:val="16"/>
          <w:szCs w:val="16"/>
        </w:rPr>
        <w:t>Proceedings of the National Academy of Sciences, 111</w:t>
      </w:r>
      <w:r w:rsidRPr="00230028">
        <w:rPr>
          <w:rFonts w:ascii="Times New Roman" w:hAnsi="Times New Roman" w:cs="Times New Roman"/>
          <w:sz w:val="16"/>
          <w:szCs w:val="16"/>
        </w:rPr>
        <w:t>(22), E2329-E2338.</w:t>
      </w:r>
    </w:p>
    <w:p w14:paraId="55D745B7"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Krause, P. J., Narasimhan, S., Wormser, G. P., Barbour, A. G., Platonov, A. E., Brancato, J., ... &amp; Fish, D. (2013). Borrelia miyamotoi infection in humans: an emerging tick-borne disease in North America. </w:t>
      </w:r>
      <w:r w:rsidRPr="00230028">
        <w:rPr>
          <w:rFonts w:ascii="Times New Roman" w:hAnsi="Times New Roman" w:cs="Times New Roman"/>
          <w:i/>
          <w:iCs/>
          <w:sz w:val="16"/>
          <w:szCs w:val="16"/>
        </w:rPr>
        <w:t>New England Journal of Medicine, 368</w:t>
      </w:r>
      <w:r w:rsidRPr="00230028">
        <w:rPr>
          <w:rFonts w:ascii="Times New Roman" w:hAnsi="Times New Roman" w:cs="Times New Roman"/>
          <w:sz w:val="16"/>
          <w:szCs w:val="16"/>
        </w:rPr>
        <w:t>(3), 291-293.</w:t>
      </w:r>
    </w:p>
    <w:p w14:paraId="3E9A5020"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Lu, R., Zhao, X., Li, J., Niu, P., Yang, B., Wu, H., ... &amp; Tan, W. (2020). Genomic characterization and epidemiology of 2019 novel coronavirus: implications for virus origins and receptor binding. </w:t>
      </w:r>
      <w:r w:rsidRPr="00230028">
        <w:rPr>
          <w:rFonts w:ascii="Times New Roman" w:hAnsi="Times New Roman" w:cs="Times New Roman"/>
          <w:i/>
          <w:iCs/>
          <w:sz w:val="16"/>
          <w:szCs w:val="16"/>
        </w:rPr>
        <w:t>The Lancet, 395</w:t>
      </w:r>
      <w:r w:rsidRPr="00230028">
        <w:rPr>
          <w:rFonts w:ascii="Times New Roman" w:hAnsi="Times New Roman" w:cs="Times New Roman"/>
          <w:sz w:val="16"/>
          <w:szCs w:val="16"/>
        </w:rPr>
        <w:t>(10224), 565-574.</w:t>
      </w:r>
    </w:p>
    <w:p w14:paraId="4100C2E0"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Van Schaik, W. (2015). </w:t>
      </w:r>
      <w:proofErr w:type="gramStart"/>
      <w:r w:rsidRPr="00230028">
        <w:rPr>
          <w:rFonts w:ascii="Times New Roman" w:hAnsi="Times New Roman" w:cs="Times New Roman"/>
          <w:sz w:val="16"/>
          <w:szCs w:val="16"/>
        </w:rPr>
        <w:t>The human gut</w:t>
      </w:r>
      <w:proofErr w:type="gramEnd"/>
      <w:r w:rsidRPr="00230028">
        <w:rPr>
          <w:rFonts w:ascii="Times New Roman" w:hAnsi="Times New Roman" w:cs="Times New Roman"/>
          <w:sz w:val="16"/>
          <w:szCs w:val="16"/>
        </w:rPr>
        <w:t xml:space="preserve"> </w:t>
      </w:r>
      <w:proofErr w:type="spellStart"/>
      <w:r w:rsidRPr="00230028">
        <w:rPr>
          <w:rFonts w:ascii="Times New Roman" w:hAnsi="Times New Roman" w:cs="Times New Roman"/>
          <w:sz w:val="16"/>
          <w:szCs w:val="16"/>
        </w:rPr>
        <w:t>resistome</w:t>
      </w:r>
      <w:proofErr w:type="spellEnd"/>
      <w:r w:rsidRPr="00230028">
        <w:rPr>
          <w:rFonts w:ascii="Times New Roman" w:hAnsi="Times New Roman" w:cs="Times New Roman"/>
          <w:sz w:val="16"/>
          <w:szCs w:val="16"/>
        </w:rPr>
        <w:t xml:space="preserve">. </w:t>
      </w:r>
      <w:r w:rsidRPr="00230028">
        <w:rPr>
          <w:rFonts w:ascii="Times New Roman" w:hAnsi="Times New Roman" w:cs="Times New Roman"/>
          <w:i/>
          <w:iCs/>
          <w:sz w:val="16"/>
          <w:szCs w:val="16"/>
        </w:rPr>
        <w:t>Philosophical Transactions of the Royal Society B: Biological Sciences, 370</w:t>
      </w:r>
      <w:r w:rsidRPr="00230028">
        <w:rPr>
          <w:rFonts w:ascii="Times New Roman" w:hAnsi="Times New Roman" w:cs="Times New Roman"/>
          <w:sz w:val="16"/>
          <w:szCs w:val="16"/>
        </w:rPr>
        <w:t>(1670), 20140087.</w:t>
      </w:r>
    </w:p>
    <w:p w14:paraId="5540F0C1"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Wilson, M. R., Sample, H. A., Zorn, K. C., Arevalo, S., Yu, G., Neuhaus, J., ... &amp; DeRisi, J. L. (2019). Clinical metagenomic sequencing for diagnosis of meningitis and encephalitis. </w:t>
      </w:r>
      <w:r w:rsidRPr="00230028">
        <w:rPr>
          <w:rFonts w:ascii="Times New Roman" w:hAnsi="Times New Roman" w:cs="Times New Roman"/>
          <w:i/>
          <w:iCs/>
          <w:sz w:val="16"/>
          <w:szCs w:val="16"/>
        </w:rPr>
        <w:t>New England Journal of Medicine, 380</w:t>
      </w:r>
      <w:r w:rsidRPr="00230028">
        <w:rPr>
          <w:rFonts w:ascii="Times New Roman" w:hAnsi="Times New Roman" w:cs="Times New Roman"/>
          <w:sz w:val="16"/>
          <w:szCs w:val="16"/>
        </w:rPr>
        <w:t>(24), 2327-2340.</w:t>
      </w:r>
    </w:p>
    <w:p w14:paraId="3760ECBD"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Zhao, J., Schloss, P. D., Kalikin, L. M., Carmody, L. A., Foster, B. K., Petrosino, J. F., &amp; Young, V. B. (2021). Decoding the polymicrobial nature of cystic fibrosis respiratory infections using metagenomic sequencing. </w:t>
      </w:r>
      <w:r w:rsidRPr="00230028">
        <w:rPr>
          <w:rFonts w:ascii="Times New Roman" w:hAnsi="Times New Roman" w:cs="Times New Roman"/>
          <w:i/>
          <w:iCs/>
          <w:sz w:val="16"/>
          <w:szCs w:val="16"/>
        </w:rPr>
        <w:t>Cell Reports Medicine, 2</w:t>
      </w:r>
      <w:r w:rsidRPr="00230028">
        <w:rPr>
          <w:rFonts w:ascii="Times New Roman" w:hAnsi="Times New Roman" w:cs="Times New Roman"/>
          <w:sz w:val="16"/>
          <w:szCs w:val="16"/>
        </w:rPr>
        <w:t>(1), 100185.</w:t>
      </w:r>
    </w:p>
    <w:p w14:paraId="1C66D339"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Blainey, P. C. (2013). The future is now: single-cell genomics of bacteria and archaea. </w:t>
      </w:r>
      <w:r w:rsidRPr="00230028">
        <w:rPr>
          <w:rFonts w:ascii="Times New Roman" w:hAnsi="Times New Roman" w:cs="Times New Roman"/>
          <w:i/>
          <w:iCs/>
          <w:sz w:val="16"/>
          <w:szCs w:val="16"/>
        </w:rPr>
        <w:t>FEMS Microbiology Reviews, 37</w:t>
      </w:r>
      <w:r w:rsidRPr="00230028">
        <w:rPr>
          <w:rFonts w:ascii="Times New Roman" w:hAnsi="Times New Roman" w:cs="Times New Roman"/>
          <w:sz w:val="16"/>
          <w:szCs w:val="16"/>
        </w:rPr>
        <w:t>(3), 407-427.</w:t>
      </w:r>
    </w:p>
    <w:p w14:paraId="2FC1ECE7"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proofErr w:type="spellStart"/>
      <w:r w:rsidRPr="00230028">
        <w:rPr>
          <w:rFonts w:ascii="Times New Roman" w:hAnsi="Times New Roman" w:cs="Times New Roman"/>
          <w:sz w:val="16"/>
          <w:szCs w:val="16"/>
        </w:rPr>
        <w:t>Nayfach</w:t>
      </w:r>
      <w:proofErr w:type="spellEnd"/>
      <w:r w:rsidRPr="00230028">
        <w:rPr>
          <w:rFonts w:ascii="Times New Roman" w:hAnsi="Times New Roman" w:cs="Times New Roman"/>
          <w:sz w:val="16"/>
          <w:szCs w:val="16"/>
        </w:rPr>
        <w:t xml:space="preserve">, S., Shi, Z. J., Seshadri, R., Pollard, K. S., &amp; </w:t>
      </w:r>
      <w:proofErr w:type="spellStart"/>
      <w:r w:rsidRPr="00230028">
        <w:rPr>
          <w:rFonts w:ascii="Times New Roman" w:hAnsi="Times New Roman" w:cs="Times New Roman"/>
          <w:sz w:val="16"/>
          <w:szCs w:val="16"/>
        </w:rPr>
        <w:t>Kyrpides</w:t>
      </w:r>
      <w:proofErr w:type="spellEnd"/>
      <w:r w:rsidRPr="00230028">
        <w:rPr>
          <w:rFonts w:ascii="Times New Roman" w:hAnsi="Times New Roman" w:cs="Times New Roman"/>
          <w:sz w:val="16"/>
          <w:szCs w:val="16"/>
        </w:rPr>
        <w:t xml:space="preserve">, N. C. (2019). New insights from uncultivated genomes of the global human gut microbiome. </w:t>
      </w:r>
      <w:r w:rsidRPr="00230028">
        <w:rPr>
          <w:rFonts w:ascii="Times New Roman" w:hAnsi="Times New Roman" w:cs="Times New Roman"/>
          <w:i/>
          <w:iCs/>
          <w:sz w:val="16"/>
          <w:szCs w:val="16"/>
        </w:rPr>
        <w:t>Nature, 568</w:t>
      </w:r>
      <w:r w:rsidRPr="00230028">
        <w:rPr>
          <w:rFonts w:ascii="Times New Roman" w:hAnsi="Times New Roman" w:cs="Times New Roman"/>
          <w:sz w:val="16"/>
          <w:szCs w:val="16"/>
        </w:rPr>
        <w:t>(7753), 505-510.</w:t>
      </w:r>
    </w:p>
    <w:p w14:paraId="3DAA206D"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Rinke, C., </w:t>
      </w:r>
      <w:proofErr w:type="spellStart"/>
      <w:r w:rsidRPr="00230028">
        <w:rPr>
          <w:rFonts w:ascii="Times New Roman" w:hAnsi="Times New Roman" w:cs="Times New Roman"/>
          <w:sz w:val="16"/>
          <w:szCs w:val="16"/>
        </w:rPr>
        <w:t>Schwientek</w:t>
      </w:r>
      <w:proofErr w:type="spellEnd"/>
      <w:r w:rsidRPr="00230028">
        <w:rPr>
          <w:rFonts w:ascii="Times New Roman" w:hAnsi="Times New Roman" w:cs="Times New Roman"/>
          <w:sz w:val="16"/>
          <w:szCs w:val="16"/>
        </w:rPr>
        <w:t xml:space="preserve">, P., </w:t>
      </w:r>
      <w:proofErr w:type="spellStart"/>
      <w:r w:rsidRPr="00230028">
        <w:rPr>
          <w:rFonts w:ascii="Times New Roman" w:hAnsi="Times New Roman" w:cs="Times New Roman"/>
          <w:sz w:val="16"/>
          <w:szCs w:val="16"/>
        </w:rPr>
        <w:t>Sczyrba</w:t>
      </w:r>
      <w:proofErr w:type="spellEnd"/>
      <w:r w:rsidRPr="00230028">
        <w:rPr>
          <w:rFonts w:ascii="Times New Roman" w:hAnsi="Times New Roman" w:cs="Times New Roman"/>
          <w:sz w:val="16"/>
          <w:szCs w:val="16"/>
        </w:rPr>
        <w:t xml:space="preserve">, A., Ivanova, N. N., Anderson, I. J., Cheng, J. F., ... &amp; </w:t>
      </w:r>
      <w:proofErr w:type="spellStart"/>
      <w:r w:rsidRPr="00230028">
        <w:rPr>
          <w:rFonts w:ascii="Times New Roman" w:hAnsi="Times New Roman" w:cs="Times New Roman"/>
          <w:sz w:val="16"/>
          <w:szCs w:val="16"/>
        </w:rPr>
        <w:t>Woyke</w:t>
      </w:r>
      <w:proofErr w:type="spellEnd"/>
      <w:r w:rsidRPr="00230028">
        <w:rPr>
          <w:rFonts w:ascii="Times New Roman" w:hAnsi="Times New Roman" w:cs="Times New Roman"/>
          <w:sz w:val="16"/>
          <w:szCs w:val="16"/>
        </w:rPr>
        <w:t xml:space="preserve">, T. (2013). Insights into the phylogeny and coding potential of microbial dark matter. </w:t>
      </w:r>
      <w:r w:rsidRPr="00230028">
        <w:rPr>
          <w:rFonts w:ascii="Times New Roman" w:hAnsi="Times New Roman" w:cs="Times New Roman"/>
          <w:i/>
          <w:iCs/>
          <w:sz w:val="16"/>
          <w:szCs w:val="16"/>
        </w:rPr>
        <w:t>Nature, 499</w:t>
      </w:r>
      <w:r w:rsidRPr="00230028">
        <w:rPr>
          <w:rFonts w:ascii="Times New Roman" w:hAnsi="Times New Roman" w:cs="Times New Roman"/>
          <w:sz w:val="16"/>
          <w:szCs w:val="16"/>
        </w:rPr>
        <w:t>(7459), 431-437.</w:t>
      </w:r>
    </w:p>
    <w:p w14:paraId="42AACC84"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Shapiro, B. J., David, L. A., Friedman, J., &amp; Alm, E. J. (2019). Looking for Darwin’s footprints in the microbial world. </w:t>
      </w:r>
      <w:r w:rsidRPr="00230028">
        <w:rPr>
          <w:rFonts w:ascii="Times New Roman" w:hAnsi="Times New Roman" w:cs="Times New Roman"/>
          <w:i/>
          <w:iCs/>
          <w:sz w:val="16"/>
          <w:szCs w:val="16"/>
        </w:rPr>
        <w:t>Trends in Microbiology, 17</w:t>
      </w:r>
      <w:r w:rsidRPr="00230028">
        <w:rPr>
          <w:rFonts w:ascii="Times New Roman" w:hAnsi="Times New Roman" w:cs="Times New Roman"/>
          <w:sz w:val="16"/>
          <w:szCs w:val="16"/>
        </w:rPr>
        <w:t>(5), 196-204.</w:t>
      </w:r>
    </w:p>
    <w:p w14:paraId="2D74B268"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proofErr w:type="spellStart"/>
      <w:r w:rsidRPr="00230028">
        <w:rPr>
          <w:rFonts w:ascii="Times New Roman" w:hAnsi="Times New Roman" w:cs="Times New Roman"/>
          <w:sz w:val="16"/>
          <w:szCs w:val="16"/>
        </w:rPr>
        <w:t>Stepanauskas</w:t>
      </w:r>
      <w:proofErr w:type="spellEnd"/>
      <w:r w:rsidRPr="00230028">
        <w:rPr>
          <w:rFonts w:ascii="Times New Roman" w:hAnsi="Times New Roman" w:cs="Times New Roman"/>
          <w:sz w:val="16"/>
          <w:szCs w:val="16"/>
        </w:rPr>
        <w:t xml:space="preserve">, R. (2015). Single cell genomics: an individual </w:t>
      </w:r>
      <w:proofErr w:type="gramStart"/>
      <w:r w:rsidRPr="00230028">
        <w:rPr>
          <w:rFonts w:ascii="Times New Roman" w:hAnsi="Times New Roman" w:cs="Times New Roman"/>
          <w:sz w:val="16"/>
          <w:szCs w:val="16"/>
        </w:rPr>
        <w:t>look</w:t>
      </w:r>
      <w:proofErr w:type="gramEnd"/>
      <w:r w:rsidRPr="00230028">
        <w:rPr>
          <w:rFonts w:ascii="Times New Roman" w:hAnsi="Times New Roman" w:cs="Times New Roman"/>
          <w:sz w:val="16"/>
          <w:szCs w:val="16"/>
        </w:rPr>
        <w:t xml:space="preserve"> at microbes. </w:t>
      </w:r>
      <w:r w:rsidRPr="00230028">
        <w:rPr>
          <w:rFonts w:ascii="Times New Roman" w:hAnsi="Times New Roman" w:cs="Times New Roman"/>
          <w:i/>
          <w:iCs/>
          <w:sz w:val="16"/>
          <w:szCs w:val="16"/>
        </w:rPr>
        <w:t>Current Opinion in Microbiology, 27</w:t>
      </w:r>
      <w:r w:rsidRPr="00230028">
        <w:rPr>
          <w:rFonts w:ascii="Times New Roman" w:hAnsi="Times New Roman" w:cs="Times New Roman"/>
          <w:sz w:val="16"/>
          <w:szCs w:val="16"/>
        </w:rPr>
        <w:t>, 49-55.</w:t>
      </w:r>
    </w:p>
    <w:p w14:paraId="70ECFA13"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proofErr w:type="spellStart"/>
      <w:r w:rsidRPr="00230028">
        <w:rPr>
          <w:rFonts w:ascii="Times New Roman" w:hAnsi="Times New Roman" w:cs="Times New Roman"/>
          <w:sz w:val="16"/>
          <w:szCs w:val="16"/>
        </w:rPr>
        <w:t>Woyke</w:t>
      </w:r>
      <w:proofErr w:type="spellEnd"/>
      <w:r w:rsidRPr="00230028">
        <w:rPr>
          <w:rFonts w:ascii="Times New Roman" w:hAnsi="Times New Roman" w:cs="Times New Roman"/>
          <w:sz w:val="16"/>
          <w:szCs w:val="16"/>
        </w:rPr>
        <w:t xml:space="preserve">, T., Tighe, D., Mavromatis, K., Clum, A., Copeland, A., </w:t>
      </w:r>
      <w:proofErr w:type="spellStart"/>
      <w:r w:rsidRPr="00230028">
        <w:rPr>
          <w:rFonts w:ascii="Times New Roman" w:hAnsi="Times New Roman" w:cs="Times New Roman"/>
          <w:sz w:val="16"/>
          <w:szCs w:val="16"/>
        </w:rPr>
        <w:t>Schackwitz</w:t>
      </w:r>
      <w:proofErr w:type="spellEnd"/>
      <w:r w:rsidRPr="00230028">
        <w:rPr>
          <w:rFonts w:ascii="Times New Roman" w:hAnsi="Times New Roman" w:cs="Times New Roman"/>
          <w:sz w:val="16"/>
          <w:szCs w:val="16"/>
        </w:rPr>
        <w:t xml:space="preserve">, W., ... &amp; </w:t>
      </w:r>
      <w:proofErr w:type="spellStart"/>
      <w:r w:rsidRPr="00230028">
        <w:rPr>
          <w:rFonts w:ascii="Times New Roman" w:hAnsi="Times New Roman" w:cs="Times New Roman"/>
          <w:sz w:val="16"/>
          <w:szCs w:val="16"/>
        </w:rPr>
        <w:t>Kyrpides</w:t>
      </w:r>
      <w:proofErr w:type="spellEnd"/>
      <w:r w:rsidRPr="00230028">
        <w:rPr>
          <w:rFonts w:ascii="Times New Roman" w:hAnsi="Times New Roman" w:cs="Times New Roman"/>
          <w:sz w:val="16"/>
          <w:szCs w:val="16"/>
        </w:rPr>
        <w:t xml:space="preserve">, N. C. (2010). One bacterial cell, one complete genome. </w:t>
      </w:r>
      <w:proofErr w:type="spellStart"/>
      <w:r w:rsidRPr="00230028">
        <w:rPr>
          <w:rFonts w:ascii="Times New Roman" w:hAnsi="Times New Roman" w:cs="Times New Roman"/>
          <w:i/>
          <w:iCs/>
          <w:sz w:val="16"/>
          <w:szCs w:val="16"/>
        </w:rPr>
        <w:t>PLoS</w:t>
      </w:r>
      <w:proofErr w:type="spellEnd"/>
      <w:r w:rsidRPr="00230028">
        <w:rPr>
          <w:rFonts w:ascii="Times New Roman" w:hAnsi="Times New Roman" w:cs="Times New Roman"/>
          <w:i/>
          <w:iCs/>
          <w:sz w:val="16"/>
          <w:szCs w:val="16"/>
        </w:rPr>
        <w:t xml:space="preserve"> One, 5</w:t>
      </w:r>
      <w:r w:rsidRPr="00230028">
        <w:rPr>
          <w:rFonts w:ascii="Times New Roman" w:hAnsi="Times New Roman" w:cs="Times New Roman"/>
          <w:sz w:val="16"/>
          <w:szCs w:val="16"/>
        </w:rPr>
        <w:t>(4), e10314.</w:t>
      </w:r>
    </w:p>
    <w:p w14:paraId="4E4290E1"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Aebersold, R., &amp; Mann, M. (2003). Mass spectrometry-based proteomics. </w:t>
      </w:r>
      <w:r w:rsidRPr="00230028">
        <w:rPr>
          <w:rFonts w:ascii="Times New Roman" w:hAnsi="Times New Roman" w:cs="Times New Roman"/>
          <w:i/>
          <w:iCs/>
          <w:sz w:val="16"/>
          <w:szCs w:val="16"/>
        </w:rPr>
        <w:t>Nature</w:t>
      </w:r>
      <w:r w:rsidRPr="00230028">
        <w:rPr>
          <w:rFonts w:ascii="Times New Roman" w:hAnsi="Times New Roman" w:cs="Times New Roman"/>
          <w:sz w:val="16"/>
          <w:szCs w:val="16"/>
        </w:rPr>
        <w:t>, 422(6928), 198–207.</w:t>
      </w:r>
    </w:p>
    <w:p w14:paraId="6ABCE9D1"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lastRenderedPageBreak/>
        <w:t xml:space="preserve">Macek, B., Gnad, F., &amp; Olsen, J. V. (2009). </w:t>
      </w:r>
      <w:proofErr w:type="spellStart"/>
      <w:r w:rsidRPr="00230028">
        <w:rPr>
          <w:rFonts w:ascii="Times New Roman" w:hAnsi="Times New Roman" w:cs="Times New Roman"/>
          <w:sz w:val="16"/>
          <w:szCs w:val="16"/>
        </w:rPr>
        <w:t>Phosphoproteomics</w:t>
      </w:r>
      <w:proofErr w:type="spellEnd"/>
      <w:r w:rsidRPr="00230028">
        <w:rPr>
          <w:rFonts w:ascii="Times New Roman" w:hAnsi="Times New Roman" w:cs="Times New Roman"/>
          <w:sz w:val="16"/>
          <w:szCs w:val="16"/>
        </w:rPr>
        <w:t xml:space="preserve"> of S. cerevisiae: Quantitative analysis of protein phosphorylation on a proteome-wide scale. </w:t>
      </w:r>
      <w:r w:rsidRPr="00230028">
        <w:rPr>
          <w:rFonts w:ascii="Times New Roman" w:hAnsi="Times New Roman" w:cs="Times New Roman"/>
          <w:i/>
          <w:iCs/>
          <w:sz w:val="16"/>
          <w:szCs w:val="16"/>
        </w:rPr>
        <w:t>Molecular &amp; Cellular Proteomics</w:t>
      </w:r>
      <w:r w:rsidRPr="00230028">
        <w:rPr>
          <w:rFonts w:ascii="Times New Roman" w:hAnsi="Times New Roman" w:cs="Times New Roman"/>
          <w:sz w:val="16"/>
          <w:szCs w:val="16"/>
        </w:rPr>
        <w:t>, 8(3), 493–507.</w:t>
      </w:r>
    </w:p>
    <w:p w14:paraId="6C62EE36"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Ma, Z., Li, Q., &amp; Liu, J. (2017). Microbial proteomics for the discovery of biomarkers and therapeutic targets. </w:t>
      </w:r>
      <w:r w:rsidRPr="00230028">
        <w:rPr>
          <w:rFonts w:ascii="Times New Roman" w:hAnsi="Times New Roman" w:cs="Times New Roman"/>
          <w:i/>
          <w:iCs/>
          <w:sz w:val="16"/>
          <w:szCs w:val="16"/>
        </w:rPr>
        <w:t>Clinical Proteomics</w:t>
      </w:r>
      <w:r w:rsidRPr="00230028">
        <w:rPr>
          <w:rFonts w:ascii="Times New Roman" w:hAnsi="Times New Roman" w:cs="Times New Roman"/>
          <w:sz w:val="16"/>
          <w:szCs w:val="16"/>
        </w:rPr>
        <w:t>, 14(1), 1–14.</w:t>
      </w:r>
    </w:p>
    <w:p w14:paraId="2A596E0D"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Miller, L., Neill, D. R., &amp; Palmore, T. N. (2017). Microbial transcriptomics for understanding bacterial pathogenesis and therapeutic resistance. </w:t>
      </w:r>
      <w:r w:rsidRPr="00230028">
        <w:rPr>
          <w:rFonts w:ascii="Times New Roman" w:hAnsi="Times New Roman" w:cs="Times New Roman"/>
          <w:i/>
          <w:iCs/>
          <w:sz w:val="16"/>
          <w:szCs w:val="16"/>
        </w:rPr>
        <w:t>Journal of Antimicrobial Chemotherapy</w:t>
      </w:r>
      <w:r w:rsidRPr="00230028">
        <w:rPr>
          <w:rFonts w:ascii="Times New Roman" w:hAnsi="Times New Roman" w:cs="Times New Roman"/>
          <w:sz w:val="16"/>
          <w:szCs w:val="16"/>
        </w:rPr>
        <w:t>, 72(9), 2577–2590.</w:t>
      </w:r>
    </w:p>
    <w:p w14:paraId="43DFB9DF"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Parks, D. H., Tyson, G. W., &amp; </w:t>
      </w:r>
      <w:proofErr w:type="spellStart"/>
      <w:r w:rsidRPr="00230028">
        <w:rPr>
          <w:rFonts w:ascii="Times New Roman" w:hAnsi="Times New Roman" w:cs="Times New Roman"/>
          <w:sz w:val="16"/>
          <w:szCs w:val="16"/>
        </w:rPr>
        <w:t>Hugenholtz</w:t>
      </w:r>
      <w:proofErr w:type="spellEnd"/>
      <w:r w:rsidRPr="00230028">
        <w:rPr>
          <w:rFonts w:ascii="Times New Roman" w:hAnsi="Times New Roman" w:cs="Times New Roman"/>
          <w:sz w:val="16"/>
          <w:szCs w:val="16"/>
        </w:rPr>
        <w:t xml:space="preserve">, P. (2015). Meta-genomic and </w:t>
      </w:r>
      <w:proofErr w:type="spellStart"/>
      <w:r w:rsidRPr="00230028">
        <w:rPr>
          <w:rFonts w:ascii="Times New Roman" w:hAnsi="Times New Roman" w:cs="Times New Roman"/>
          <w:sz w:val="16"/>
          <w:szCs w:val="16"/>
        </w:rPr>
        <w:t>metatranscriptomic</w:t>
      </w:r>
      <w:proofErr w:type="spellEnd"/>
      <w:r w:rsidRPr="00230028">
        <w:rPr>
          <w:rFonts w:ascii="Times New Roman" w:hAnsi="Times New Roman" w:cs="Times New Roman"/>
          <w:sz w:val="16"/>
          <w:szCs w:val="16"/>
        </w:rPr>
        <w:t xml:space="preserve"> approaches to understanding microbial systems. </w:t>
      </w:r>
      <w:r w:rsidRPr="00230028">
        <w:rPr>
          <w:rFonts w:ascii="Times New Roman" w:hAnsi="Times New Roman" w:cs="Times New Roman"/>
          <w:i/>
          <w:iCs/>
          <w:sz w:val="16"/>
          <w:szCs w:val="16"/>
        </w:rPr>
        <w:t>Trends in Microbiology</w:t>
      </w:r>
      <w:r w:rsidRPr="00230028">
        <w:rPr>
          <w:rFonts w:ascii="Times New Roman" w:hAnsi="Times New Roman" w:cs="Times New Roman"/>
          <w:sz w:val="16"/>
          <w:szCs w:val="16"/>
        </w:rPr>
        <w:t>, 23(7), 372–382.</w:t>
      </w:r>
    </w:p>
    <w:p w14:paraId="78EA6EFC"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Rathnayake, S. H., Yap, M. H., &amp; Taylor, M. R. (2020). Transcriptomics </w:t>
      </w:r>
      <w:proofErr w:type="gramStart"/>
      <w:r w:rsidRPr="00230028">
        <w:rPr>
          <w:rFonts w:ascii="Times New Roman" w:hAnsi="Times New Roman" w:cs="Times New Roman"/>
          <w:sz w:val="16"/>
          <w:szCs w:val="16"/>
        </w:rPr>
        <w:t>as</w:t>
      </w:r>
      <w:proofErr w:type="gramEnd"/>
      <w:r w:rsidRPr="00230028">
        <w:rPr>
          <w:rFonts w:ascii="Times New Roman" w:hAnsi="Times New Roman" w:cs="Times New Roman"/>
          <w:sz w:val="16"/>
          <w:szCs w:val="16"/>
        </w:rPr>
        <w:t xml:space="preserve"> a tool to understand the molecular mechanisms of antibiotic resistance. </w:t>
      </w:r>
      <w:r w:rsidRPr="00230028">
        <w:rPr>
          <w:rFonts w:ascii="Times New Roman" w:hAnsi="Times New Roman" w:cs="Times New Roman"/>
          <w:i/>
          <w:iCs/>
          <w:sz w:val="16"/>
          <w:szCs w:val="16"/>
        </w:rPr>
        <w:t>Frontiers in Microbiology</w:t>
      </w:r>
      <w:r w:rsidRPr="00230028">
        <w:rPr>
          <w:rFonts w:ascii="Times New Roman" w:hAnsi="Times New Roman" w:cs="Times New Roman"/>
          <w:sz w:val="16"/>
          <w:szCs w:val="16"/>
        </w:rPr>
        <w:t>, 11, 290.</w:t>
      </w:r>
    </w:p>
    <w:p w14:paraId="54B0A49E"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Saravanan, R. S., &amp; Rosenfeld, J. A. (2005). The plant proteomics and the role of proteomics in plant biology. </w:t>
      </w:r>
      <w:r w:rsidRPr="00230028">
        <w:rPr>
          <w:rFonts w:ascii="Times New Roman" w:hAnsi="Times New Roman" w:cs="Times New Roman"/>
          <w:i/>
          <w:iCs/>
          <w:sz w:val="16"/>
          <w:szCs w:val="16"/>
        </w:rPr>
        <w:t>Proteomics</w:t>
      </w:r>
      <w:r w:rsidRPr="00230028">
        <w:rPr>
          <w:rFonts w:ascii="Times New Roman" w:hAnsi="Times New Roman" w:cs="Times New Roman"/>
          <w:sz w:val="16"/>
          <w:szCs w:val="16"/>
        </w:rPr>
        <w:t>, 5(3), 639–651.</w:t>
      </w:r>
    </w:p>
    <w:p w14:paraId="17A830F8"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Sharma, A., Sharma, V., &amp; Saxena, R. (2016). RNA-seq analysis of bacterial gene expression in host-pathogen interactions. </w:t>
      </w:r>
      <w:proofErr w:type="spellStart"/>
      <w:r w:rsidRPr="00230028">
        <w:rPr>
          <w:rFonts w:ascii="Times New Roman" w:hAnsi="Times New Roman" w:cs="Times New Roman"/>
          <w:i/>
          <w:iCs/>
          <w:sz w:val="16"/>
          <w:szCs w:val="16"/>
        </w:rPr>
        <w:t>Biochimica</w:t>
      </w:r>
      <w:proofErr w:type="spellEnd"/>
      <w:r w:rsidRPr="00230028">
        <w:rPr>
          <w:rFonts w:ascii="Times New Roman" w:hAnsi="Times New Roman" w:cs="Times New Roman"/>
          <w:i/>
          <w:iCs/>
          <w:sz w:val="16"/>
          <w:szCs w:val="16"/>
        </w:rPr>
        <w:t xml:space="preserve"> et </w:t>
      </w:r>
      <w:proofErr w:type="spellStart"/>
      <w:r w:rsidRPr="00230028">
        <w:rPr>
          <w:rFonts w:ascii="Times New Roman" w:hAnsi="Times New Roman" w:cs="Times New Roman"/>
          <w:i/>
          <w:iCs/>
          <w:sz w:val="16"/>
          <w:szCs w:val="16"/>
        </w:rPr>
        <w:t>Biophysica</w:t>
      </w:r>
      <w:proofErr w:type="spellEnd"/>
      <w:r w:rsidRPr="00230028">
        <w:rPr>
          <w:rFonts w:ascii="Times New Roman" w:hAnsi="Times New Roman" w:cs="Times New Roman"/>
          <w:i/>
          <w:iCs/>
          <w:sz w:val="16"/>
          <w:szCs w:val="16"/>
        </w:rPr>
        <w:t xml:space="preserve"> Acta (BBA) - Gene Regulatory Mechanisms</w:t>
      </w:r>
      <w:r w:rsidRPr="00230028">
        <w:rPr>
          <w:rFonts w:ascii="Times New Roman" w:hAnsi="Times New Roman" w:cs="Times New Roman"/>
          <w:sz w:val="16"/>
          <w:szCs w:val="16"/>
        </w:rPr>
        <w:t>, 1859(9), 1057–1068.</w:t>
      </w:r>
    </w:p>
    <w:p w14:paraId="2A6B5F54"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Wang, Z., Gerstein, M., &amp; Snyder, M. (2009). RNA-Seq: A revolutionary tool for transcriptomics. </w:t>
      </w:r>
      <w:r w:rsidRPr="00230028">
        <w:rPr>
          <w:rFonts w:ascii="Times New Roman" w:hAnsi="Times New Roman" w:cs="Times New Roman"/>
          <w:i/>
          <w:iCs/>
          <w:sz w:val="16"/>
          <w:szCs w:val="16"/>
        </w:rPr>
        <w:t>Nature Reviews Genetics</w:t>
      </w:r>
      <w:r w:rsidRPr="00230028">
        <w:rPr>
          <w:rFonts w:ascii="Times New Roman" w:hAnsi="Times New Roman" w:cs="Times New Roman"/>
          <w:sz w:val="16"/>
          <w:szCs w:val="16"/>
        </w:rPr>
        <w:t>, 10(1), 57–63.</w:t>
      </w:r>
    </w:p>
    <w:p w14:paraId="7434ED0F"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Bergen, P. J., et al. (2015). High-throughput screening in microfluidic systems: applications to antibiotic resistance. </w:t>
      </w:r>
      <w:r w:rsidRPr="00230028">
        <w:rPr>
          <w:rFonts w:ascii="Times New Roman" w:hAnsi="Times New Roman" w:cs="Times New Roman"/>
          <w:i/>
          <w:iCs/>
          <w:sz w:val="16"/>
          <w:szCs w:val="16"/>
        </w:rPr>
        <w:t>Antimicrobial Agents and Chemotherapy</w:t>
      </w:r>
      <w:r w:rsidRPr="00230028">
        <w:rPr>
          <w:rFonts w:ascii="Times New Roman" w:hAnsi="Times New Roman" w:cs="Times New Roman"/>
          <w:sz w:val="16"/>
          <w:szCs w:val="16"/>
        </w:rPr>
        <w:t>, 59(12), 7420-7427.</w:t>
      </w:r>
    </w:p>
    <w:p w14:paraId="2D774698"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Lee, W. C., et al. (2015). A microfluidic platform for high-throughput bacterial culture and analysis. </w:t>
      </w:r>
      <w:r w:rsidRPr="00230028">
        <w:rPr>
          <w:rFonts w:ascii="Times New Roman" w:hAnsi="Times New Roman" w:cs="Times New Roman"/>
          <w:i/>
          <w:iCs/>
          <w:sz w:val="16"/>
          <w:szCs w:val="16"/>
        </w:rPr>
        <w:t>Lab on a Chip</w:t>
      </w:r>
      <w:r w:rsidRPr="00230028">
        <w:rPr>
          <w:rFonts w:ascii="Times New Roman" w:hAnsi="Times New Roman" w:cs="Times New Roman"/>
          <w:sz w:val="16"/>
          <w:szCs w:val="16"/>
        </w:rPr>
        <w:t>, 15(4), 963-971.</w:t>
      </w:r>
    </w:p>
    <w:p w14:paraId="53DC0FA8"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Noble, J. A., et al. (2016). Real-time monitoring of bacterial growth in a microfluidic device. </w:t>
      </w:r>
      <w:r w:rsidRPr="00230028">
        <w:rPr>
          <w:rFonts w:ascii="Times New Roman" w:hAnsi="Times New Roman" w:cs="Times New Roman"/>
          <w:i/>
          <w:iCs/>
          <w:sz w:val="16"/>
          <w:szCs w:val="16"/>
        </w:rPr>
        <w:t>Biomedical Microdevices</w:t>
      </w:r>
      <w:r w:rsidRPr="00230028">
        <w:rPr>
          <w:rFonts w:ascii="Times New Roman" w:hAnsi="Times New Roman" w:cs="Times New Roman"/>
          <w:sz w:val="16"/>
          <w:szCs w:val="16"/>
        </w:rPr>
        <w:t>, 18(2), 1-8.</w:t>
      </w:r>
    </w:p>
    <w:p w14:paraId="3C518316"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Squires, T. M., &amp; Messersmith, P. B. (2008). Microfluidic systems for bacterial culture. </w:t>
      </w:r>
      <w:r w:rsidRPr="00230028">
        <w:rPr>
          <w:rFonts w:ascii="Times New Roman" w:hAnsi="Times New Roman" w:cs="Times New Roman"/>
          <w:i/>
          <w:iCs/>
          <w:sz w:val="16"/>
          <w:szCs w:val="16"/>
        </w:rPr>
        <w:t>Lab on a Chip</w:t>
      </w:r>
      <w:r w:rsidRPr="00230028">
        <w:rPr>
          <w:rFonts w:ascii="Times New Roman" w:hAnsi="Times New Roman" w:cs="Times New Roman"/>
          <w:sz w:val="16"/>
          <w:szCs w:val="16"/>
        </w:rPr>
        <w:t>, 8(6), 1032-1041.</w:t>
      </w:r>
    </w:p>
    <w:p w14:paraId="1E1EC1C7"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Tory, K., et al. (2020). Advances in microfluidic technologies for microbial diagnostics. </w:t>
      </w:r>
      <w:r w:rsidRPr="00230028">
        <w:rPr>
          <w:rFonts w:ascii="Times New Roman" w:hAnsi="Times New Roman" w:cs="Times New Roman"/>
          <w:i/>
          <w:iCs/>
          <w:sz w:val="16"/>
          <w:szCs w:val="16"/>
        </w:rPr>
        <w:t>Trends in Biotechnology</w:t>
      </w:r>
      <w:r w:rsidRPr="00230028">
        <w:rPr>
          <w:rFonts w:ascii="Times New Roman" w:hAnsi="Times New Roman" w:cs="Times New Roman"/>
          <w:sz w:val="16"/>
          <w:szCs w:val="16"/>
        </w:rPr>
        <w:t>, 38(6), 582-595.</w:t>
      </w:r>
    </w:p>
    <w:p w14:paraId="1CFCC085"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Whitesides, G. M. (2006). The origins and the future of microfluidics. </w:t>
      </w:r>
      <w:r w:rsidRPr="00230028">
        <w:rPr>
          <w:rFonts w:ascii="Times New Roman" w:hAnsi="Times New Roman" w:cs="Times New Roman"/>
          <w:i/>
          <w:iCs/>
          <w:sz w:val="16"/>
          <w:szCs w:val="16"/>
        </w:rPr>
        <w:t>Nature</w:t>
      </w:r>
      <w:r w:rsidRPr="00230028">
        <w:rPr>
          <w:rFonts w:ascii="Times New Roman" w:hAnsi="Times New Roman" w:cs="Times New Roman"/>
          <w:sz w:val="16"/>
          <w:szCs w:val="16"/>
        </w:rPr>
        <w:t>, 442(7101), 368-373.</w:t>
      </w:r>
    </w:p>
    <w:p w14:paraId="27725DE6"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Zhang, X., et al. (2013). Accelerating the detection of </w:t>
      </w:r>
      <w:r w:rsidRPr="00230028">
        <w:rPr>
          <w:rFonts w:ascii="Times New Roman" w:hAnsi="Times New Roman" w:cs="Times New Roman"/>
          <w:i/>
          <w:iCs/>
          <w:sz w:val="16"/>
          <w:szCs w:val="16"/>
        </w:rPr>
        <w:t>Mycobacterium tuberculosis</w:t>
      </w:r>
      <w:r w:rsidRPr="00230028">
        <w:rPr>
          <w:rFonts w:ascii="Times New Roman" w:hAnsi="Times New Roman" w:cs="Times New Roman"/>
          <w:sz w:val="16"/>
          <w:szCs w:val="16"/>
        </w:rPr>
        <w:t xml:space="preserve"> with microfluidic technology. </w:t>
      </w:r>
      <w:r w:rsidRPr="00230028">
        <w:rPr>
          <w:rFonts w:ascii="Times New Roman" w:hAnsi="Times New Roman" w:cs="Times New Roman"/>
          <w:i/>
          <w:iCs/>
          <w:sz w:val="16"/>
          <w:szCs w:val="16"/>
        </w:rPr>
        <w:t>Journal of Microbiological Methods</w:t>
      </w:r>
      <w:r w:rsidRPr="00230028">
        <w:rPr>
          <w:rFonts w:ascii="Times New Roman" w:hAnsi="Times New Roman" w:cs="Times New Roman"/>
          <w:sz w:val="16"/>
          <w:szCs w:val="16"/>
        </w:rPr>
        <w:t>, 94(1), 1-8.</w:t>
      </w:r>
    </w:p>
    <w:p w14:paraId="69890124"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Brown, C. T., et al. (2017). Unveiling microbial dark matter: A new era of genomics. </w:t>
      </w:r>
      <w:r w:rsidRPr="00230028">
        <w:rPr>
          <w:rFonts w:ascii="Times New Roman" w:hAnsi="Times New Roman" w:cs="Times New Roman"/>
          <w:i/>
          <w:iCs/>
          <w:sz w:val="16"/>
          <w:szCs w:val="16"/>
        </w:rPr>
        <w:t>Trends in Microbiology</w:t>
      </w:r>
      <w:r w:rsidRPr="00230028">
        <w:rPr>
          <w:rFonts w:ascii="Times New Roman" w:hAnsi="Times New Roman" w:cs="Times New Roman"/>
          <w:sz w:val="16"/>
          <w:szCs w:val="16"/>
        </w:rPr>
        <w:t>, 25(9), 745-755.</w:t>
      </w:r>
    </w:p>
    <w:p w14:paraId="47FDB1F2"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D'Costa, V. M., et al. (2011). Antibiotic resistance is ancient. </w:t>
      </w:r>
      <w:r w:rsidRPr="00230028">
        <w:rPr>
          <w:rFonts w:ascii="Times New Roman" w:hAnsi="Times New Roman" w:cs="Times New Roman"/>
          <w:i/>
          <w:iCs/>
          <w:sz w:val="16"/>
          <w:szCs w:val="16"/>
        </w:rPr>
        <w:t>Nature</w:t>
      </w:r>
      <w:r w:rsidRPr="00230028">
        <w:rPr>
          <w:rFonts w:ascii="Times New Roman" w:hAnsi="Times New Roman" w:cs="Times New Roman"/>
          <w:sz w:val="16"/>
          <w:szCs w:val="16"/>
        </w:rPr>
        <w:t>, 477(7365), 457-461.</w:t>
      </w:r>
    </w:p>
    <w:p w14:paraId="6AA07205"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FDA (2018). Framework for regulatory oversight of laboratory-developed tests. </w:t>
      </w:r>
      <w:r w:rsidRPr="00230028">
        <w:rPr>
          <w:rFonts w:ascii="Times New Roman" w:hAnsi="Times New Roman" w:cs="Times New Roman"/>
          <w:i/>
          <w:iCs/>
          <w:sz w:val="16"/>
          <w:szCs w:val="16"/>
        </w:rPr>
        <w:t>U.S. Food and Drug Administration</w:t>
      </w:r>
      <w:r w:rsidRPr="00230028">
        <w:rPr>
          <w:rFonts w:ascii="Times New Roman" w:hAnsi="Times New Roman" w:cs="Times New Roman"/>
          <w:sz w:val="16"/>
          <w:szCs w:val="16"/>
        </w:rPr>
        <w:t>.</w:t>
      </w:r>
    </w:p>
    <w:p w14:paraId="2843133E"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Goodwin, S., et al. (2016). Oxford Nanopore sequencing and its applications. </w:t>
      </w:r>
      <w:r w:rsidRPr="00230028">
        <w:rPr>
          <w:rFonts w:ascii="Times New Roman" w:hAnsi="Times New Roman" w:cs="Times New Roman"/>
          <w:i/>
          <w:iCs/>
          <w:sz w:val="16"/>
          <w:szCs w:val="16"/>
        </w:rPr>
        <w:t>Nature Reviews Genetics</w:t>
      </w:r>
      <w:r w:rsidRPr="00230028">
        <w:rPr>
          <w:rFonts w:ascii="Times New Roman" w:hAnsi="Times New Roman" w:cs="Times New Roman"/>
          <w:sz w:val="16"/>
          <w:szCs w:val="16"/>
        </w:rPr>
        <w:t>, 17(9), 535-551.</w:t>
      </w:r>
    </w:p>
    <w:p w14:paraId="3045FACE"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Human Microbiome Project Consortium. (2012). A framework for human microbiome research. </w:t>
      </w:r>
      <w:r w:rsidRPr="00230028">
        <w:rPr>
          <w:rFonts w:ascii="Times New Roman" w:hAnsi="Times New Roman" w:cs="Times New Roman"/>
          <w:i/>
          <w:iCs/>
          <w:sz w:val="16"/>
          <w:szCs w:val="16"/>
        </w:rPr>
        <w:t>Nature</w:t>
      </w:r>
      <w:r w:rsidRPr="00230028">
        <w:rPr>
          <w:rFonts w:ascii="Times New Roman" w:hAnsi="Times New Roman" w:cs="Times New Roman"/>
          <w:sz w:val="16"/>
          <w:szCs w:val="16"/>
        </w:rPr>
        <w:t>, 486(7402), 215-221.</w:t>
      </w:r>
    </w:p>
    <w:p w14:paraId="07B37D0B"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Mardis, E. R. (2008). Next-generation DNA sequencing methods. </w:t>
      </w:r>
      <w:r w:rsidRPr="00230028">
        <w:rPr>
          <w:rFonts w:ascii="Times New Roman" w:hAnsi="Times New Roman" w:cs="Times New Roman"/>
          <w:i/>
          <w:iCs/>
          <w:sz w:val="16"/>
          <w:szCs w:val="16"/>
        </w:rPr>
        <w:t>Annual Review of Genomics and Human Genetics</w:t>
      </w:r>
      <w:r w:rsidRPr="00230028">
        <w:rPr>
          <w:rFonts w:ascii="Times New Roman" w:hAnsi="Times New Roman" w:cs="Times New Roman"/>
          <w:sz w:val="16"/>
          <w:szCs w:val="16"/>
        </w:rPr>
        <w:t>, 9, 387-402.</w:t>
      </w:r>
    </w:p>
    <w:p w14:paraId="0BD0B80F"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Nash, A. K., et al. (2017). The role of the human microbiome in health and disease. </w:t>
      </w:r>
      <w:r w:rsidRPr="00230028">
        <w:rPr>
          <w:rFonts w:ascii="Times New Roman" w:hAnsi="Times New Roman" w:cs="Times New Roman"/>
          <w:i/>
          <w:iCs/>
          <w:sz w:val="16"/>
          <w:szCs w:val="16"/>
        </w:rPr>
        <w:t>Clinical and Translational Medicine</w:t>
      </w:r>
      <w:r w:rsidRPr="00230028">
        <w:rPr>
          <w:rFonts w:ascii="Times New Roman" w:hAnsi="Times New Roman" w:cs="Times New Roman"/>
          <w:sz w:val="16"/>
          <w:szCs w:val="16"/>
        </w:rPr>
        <w:t>, 6(1), 1-8.</w:t>
      </w:r>
    </w:p>
    <w:p w14:paraId="6131DF9A"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Chen, J. S., et al. (2018). CRISPR-based diagnostics: SHERLOCK and DETECTR. </w:t>
      </w:r>
      <w:r w:rsidRPr="00230028">
        <w:rPr>
          <w:rFonts w:ascii="Times New Roman" w:hAnsi="Times New Roman" w:cs="Times New Roman"/>
          <w:i/>
          <w:iCs/>
          <w:sz w:val="16"/>
          <w:szCs w:val="16"/>
        </w:rPr>
        <w:t>Nature Biotechnology</w:t>
      </w:r>
      <w:r w:rsidRPr="00230028">
        <w:rPr>
          <w:rFonts w:ascii="Times New Roman" w:hAnsi="Times New Roman" w:cs="Times New Roman"/>
          <w:sz w:val="16"/>
          <w:szCs w:val="16"/>
        </w:rPr>
        <w:t>, 36(4), 318-324.</w:t>
      </w:r>
    </w:p>
    <w:p w14:paraId="515C1413"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Jumper, J., et al. (2021). Highly accurate protein structure prediction with AlphaFold. </w:t>
      </w:r>
      <w:r w:rsidRPr="00230028">
        <w:rPr>
          <w:rFonts w:ascii="Times New Roman" w:hAnsi="Times New Roman" w:cs="Times New Roman"/>
          <w:i/>
          <w:iCs/>
          <w:sz w:val="16"/>
          <w:szCs w:val="16"/>
        </w:rPr>
        <w:t>Nature</w:t>
      </w:r>
      <w:r w:rsidRPr="00230028">
        <w:rPr>
          <w:rFonts w:ascii="Times New Roman" w:hAnsi="Times New Roman" w:cs="Times New Roman"/>
          <w:sz w:val="16"/>
          <w:szCs w:val="16"/>
        </w:rPr>
        <w:t>, 596(7873), 583-589.</w:t>
      </w:r>
    </w:p>
    <w:p w14:paraId="547B03C7"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Li, H., et al. (2017). Gut microbiota metabolites of tryptophan: Implications for metabolic diseases. </w:t>
      </w:r>
      <w:r w:rsidRPr="00230028">
        <w:rPr>
          <w:rFonts w:ascii="Times New Roman" w:hAnsi="Times New Roman" w:cs="Times New Roman"/>
          <w:i/>
          <w:iCs/>
          <w:sz w:val="16"/>
          <w:szCs w:val="16"/>
        </w:rPr>
        <w:t>Journal of Microbiological Methods</w:t>
      </w:r>
      <w:r w:rsidRPr="00230028">
        <w:rPr>
          <w:rFonts w:ascii="Times New Roman" w:hAnsi="Times New Roman" w:cs="Times New Roman"/>
          <w:sz w:val="16"/>
          <w:szCs w:val="16"/>
        </w:rPr>
        <w:t>, 28(7), 517-527.</w:t>
      </w:r>
    </w:p>
    <w:p w14:paraId="0E4CD232"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Rinke, C., et al. (2013). Insights into the phylogeny and coding potential of microbial dark matter. </w:t>
      </w:r>
      <w:r w:rsidRPr="00230028">
        <w:rPr>
          <w:rFonts w:ascii="Times New Roman" w:hAnsi="Times New Roman" w:cs="Times New Roman"/>
          <w:i/>
          <w:iCs/>
          <w:sz w:val="16"/>
          <w:szCs w:val="16"/>
        </w:rPr>
        <w:t>Nature</w:t>
      </w:r>
      <w:r w:rsidRPr="00230028">
        <w:rPr>
          <w:rFonts w:ascii="Times New Roman" w:hAnsi="Times New Roman" w:cs="Times New Roman"/>
          <w:sz w:val="16"/>
          <w:szCs w:val="16"/>
        </w:rPr>
        <w:t>, 499(7459), 431-437.</w:t>
      </w:r>
    </w:p>
    <w:p w14:paraId="34288708" w14:textId="77777777" w:rsidR="006668F1" w:rsidRPr="00230028" w:rsidRDefault="006668F1" w:rsidP="00230028">
      <w:pPr>
        <w:numPr>
          <w:ilvl w:val="0"/>
          <w:numId w:val="25"/>
        </w:numPr>
        <w:spacing w:line="240" w:lineRule="auto"/>
        <w:jc w:val="both"/>
        <w:rPr>
          <w:rFonts w:ascii="Times New Roman" w:hAnsi="Times New Roman" w:cs="Times New Roman"/>
          <w:sz w:val="16"/>
          <w:szCs w:val="16"/>
        </w:rPr>
      </w:pPr>
      <w:r w:rsidRPr="00230028">
        <w:rPr>
          <w:rFonts w:ascii="Times New Roman" w:hAnsi="Times New Roman" w:cs="Times New Roman"/>
          <w:sz w:val="16"/>
          <w:szCs w:val="16"/>
        </w:rPr>
        <w:t xml:space="preserve">Zhou, Y., et al. (2021). Machine learning prediction of antibiotic resistance in environmental metagenomes. </w:t>
      </w:r>
      <w:r w:rsidRPr="00230028">
        <w:rPr>
          <w:rFonts w:ascii="Times New Roman" w:hAnsi="Times New Roman" w:cs="Times New Roman"/>
          <w:i/>
          <w:iCs/>
          <w:sz w:val="16"/>
          <w:szCs w:val="16"/>
        </w:rPr>
        <w:t>Nature Microbiology</w:t>
      </w:r>
      <w:r w:rsidRPr="00230028">
        <w:rPr>
          <w:rFonts w:ascii="Times New Roman" w:hAnsi="Times New Roman" w:cs="Times New Roman"/>
          <w:sz w:val="16"/>
          <w:szCs w:val="16"/>
        </w:rPr>
        <w:t>, 6(7), 858-867.</w:t>
      </w:r>
    </w:p>
    <w:p w14:paraId="11D10098" w14:textId="77777777" w:rsidR="006668F1" w:rsidRPr="00D42F4D" w:rsidRDefault="006668F1" w:rsidP="00230028">
      <w:pPr>
        <w:spacing w:line="240" w:lineRule="auto"/>
        <w:ind w:left="720"/>
        <w:jc w:val="both"/>
        <w:rPr>
          <w:rFonts w:ascii="Times New Roman" w:hAnsi="Times New Roman" w:cs="Times New Roman"/>
        </w:rPr>
      </w:pPr>
    </w:p>
    <w:p w14:paraId="1A109406" w14:textId="77777777" w:rsidR="006668F1" w:rsidRPr="00D42F4D" w:rsidRDefault="006668F1" w:rsidP="00230028">
      <w:pPr>
        <w:spacing w:line="240" w:lineRule="auto"/>
        <w:rPr>
          <w:rFonts w:ascii="Times New Roman" w:hAnsi="Times New Roman" w:cs="Times New Roman"/>
        </w:rPr>
      </w:pPr>
    </w:p>
    <w:p w14:paraId="70475D33" w14:textId="77777777" w:rsidR="009A1B93" w:rsidRPr="00D42F4D" w:rsidRDefault="009A1B93" w:rsidP="00230028">
      <w:pPr>
        <w:spacing w:line="240" w:lineRule="auto"/>
        <w:jc w:val="both"/>
        <w:rPr>
          <w:rFonts w:ascii="Times New Roman" w:hAnsi="Times New Roman" w:cs="Times New Roman"/>
        </w:rPr>
      </w:pPr>
    </w:p>
    <w:sectPr w:rsidR="009A1B93" w:rsidRPr="00D42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206"/>
    <w:multiLevelType w:val="multilevel"/>
    <w:tmpl w:val="AEAE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C7991"/>
    <w:multiLevelType w:val="hybridMultilevel"/>
    <w:tmpl w:val="84BCB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F664C"/>
    <w:multiLevelType w:val="multilevel"/>
    <w:tmpl w:val="8546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A5316"/>
    <w:multiLevelType w:val="multilevel"/>
    <w:tmpl w:val="768C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F0761"/>
    <w:multiLevelType w:val="multilevel"/>
    <w:tmpl w:val="A6B6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73A76"/>
    <w:multiLevelType w:val="multilevel"/>
    <w:tmpl w:val="2798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941ED"/>
    <w:multiLevelType w:val="multilevel"/>
    <w:tmpl w:val="C7B6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C41E3"/>
    <w:multiLevelType w:val="multilevel"/>
    <w:tmpl w:val="D7903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0A0FC7"/>
    <w:multiLevelType w:val="multilevel"/>
    <w:tmpl w:val="CCA69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E4041"/>
    <w:multiLevelType w:val="multilevel"/>
    <w:tmpl w:val="9026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110CF9"/>
    <w:multiLevelType w:val="multilevel"/>
    <w:tmpl w:val="D6F0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426EE"/>
    <w:multiLevelType w:val="multilevel"/>
    <w:tmpl w:val="86E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B62F00"/>
    <w:multiLevelType w:val="multilevel"/>
    <w:tmpl w:val="911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8B2086"/>
    <w:multiLevelType w:val="multilevel"/>
    <w:tmpl w:val="FDA64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B628C7"/>
    <w:multiLevelType w:val="multilevel"/>
    <w:tmpl w:val="190E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531705"/>
    <w:multiLevelType w:val="multilevel"/>
    <w:tmpl w:val="A448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6547D"/>
    <w:multiLevelType w:val="multilevel"/>
    <w:tmpl w:val="11FA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E2CC4"/>
    <w:multiLevelType w:val="multilevel"/>
    <w:tmpl w:val="29BA1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A26E01"/>
    <w:multiLevelType w:val="multilevel"/>
    <w:tmpl w:val="DE2E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BF1955"/>
    <w:multiLevelType w:val="multilevel"/>
    <w:tmpl w:val="2984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204F4"/>
    <w:multiLevelType w:val="multilevel"/>
    <w:tmpl w:val="4FAE3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7F03A8"/>
    <w:multiLevelType w:val="multilevel"/>
    <w:tmpl w:val="06D22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0B79D1"/>
    <w:multiLevelType w:val="multilevel"/>
    <w:tmpl w:val="1CD4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C357D"/>
    <w:multiLevelType w:val="multilevel"/>
    <w:tmpl w:val="96C0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A06AE9"/>
    <w:multiLevelType w:val="multilevel"/>
    <w:tmpl w:val="9A04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602466"/>
    <w:multiLevelType w:val="multilevel"/>
    <w:tmpl w:val="1F7E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77396A"/>
    <w:multiLevelType w:val="multilevel"/>
    <w:tmpl w:val="BB10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AA4A91"/>
    <w:multiLevelType w:val="multilevel"/>
    <w:tmpl w:val="E4566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7231B"/>
    <w:multiLevelType w:val="multilevel"/>
    <w:tmpl w:val="F816F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8545B1"/>
    <w:multiLevelType w:val="multilevel"/>
    <w:tmpl w:val="A29AA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2126F1"/>
    <w:multiLevelType w:val="hybridMultilevel"/>
    <w:tmpl w:val="584254BE"/>
    <w:lvl w:ilvl="0" w:tplc="E9725982">
      <w:start w:val="1"/>
      <w:numFmt w:val="decimal"/>
      <w:lvlText w:val="%1."/>
      <w:lvlJc w:val="left"/>
      <w:pPr>
        <w:ind w:left="4125" w:hanging="3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057DB"/>
    <w:multiLevelType w:val="multilevel"/>
    <w:tmpl w:val="6E50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A53DAE"/>
    <w:multiLevelType w:val="multilevel"/>
    <w:tmpl w:val="0BE2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3B6C2B"/>
    <w:multiLevelType w:val="multilevel"/>
    <w:tmpl w:val="105CF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472955"/>
    <w:multiLevelType w:val="multilevel"/>
    <w:tmpl w:val="CCD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C02299"/>
    <w:multiLevelType w:val="hybridMultilevel"/>
    <w:tmpl w:val="33D4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F09B9"/>
    <w:multiLevelType w:val="multilevel"/>
    <w:tmpl w:val="5BBE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2679C3"/>
    <w:multiLevelType w:val="multilevel"/>
    <w:tmpl w:val="F4DA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4418F"/>
    <w:multiLevelType w:val="multilevel"/>
    <w:tmpl w:val="AAF0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8302893">
    <w:abstractNumId w:val="9"/>
  </w:num>
  <w:num w:numId="2" w16cid:durableId="879980384">
    <w:abstractNumId w:val="34"/>
  </w:num>
  <w:num w:numId="3" w16cid:durableId="1828127562">
    <w:abstractNumId w:val="38"/>
  </w:num>
  <w:num w:numId="4" w16cid:durableId="1933775541">
    <w:abstractNumId w:val="18"/>
  </w:num>
  <w:num w:numId="5" w16cid:durableId="1285505349">
    <w:abstractNumId w:val="32"/>
  </w:num>
  <w:num w:numId="6" w16cid:durableId="742488905">
    <w:abstractNumId w:val="14"/>
  </w:num>
  <w:num w:numId="7" w16cid:durableId="1083336557">
    <w:abstractNumId w:val="36"/>
  </w:num>
  <w:num w:numId="8" w16cid:durableId="440075666">
    <w:abstractNumId w:val="4"/>
  </w:num>
  <w:num w:numId="9" w16cid:durableId="389035360">
    <w:abstractNumId w:val="21"/>
  </w:num>
  <w:num w:numId="10" w16cid:durableId="1072242157">
    <w:abstractNumId w:val="27"/>
  </w:num>
  <w:num w:numId="11" w16cid:durableId="1030686798">
    <w:abstractNumId w:val="15"/>
  </w:num>
  <w:num w:numId="12" w16cid:durableId="202639868">
    <w:abstractNumId w:val="19"/>
  </w:num>
  <w:num w:numId="13" w16cid:durableId="872772575">
    <w:abstractNumId w:val="11"/>
  </w:num>
  <w:num w:numId="14" w16cid:durableId="2076777108">
    <w:abstractNumId w:val="2"/>
  </w:num>
  <w:num w:numId="15" w16cid:durableId="29645615">
    <w:abstractNumId w:val="24"/>
  </w:num>
  <w:num w:numId="16" w16cid:durableId="1501038695">
    <w:abstractNumId w:val="26"/>
  </w:num>
  <w:num w:numId="17" w16cid:durableId="1653832714">
    <w:abstractNumId w:val="7"/>
  </w:num>
  <w:num w:numId="18" w16cid:durableId="1651325028">
    <w:abstractNumId w:val="28"/>
  </w:num>
  <w:num w:numId="19" w16cid:durableId="2022119096">
    <w:abstractNumId w:val="3"/>
  </w:num>
  <w:num w:numId="20" w16cid:durableId="1978992446">
    <w:abstractNumId w:val="12"/>
  </w:num>
  <w:num w:numId="21" w16cid:durableId="1463965977">
    <w:abstractNumId w:val="33"/>
  </w:num>
  <w:num w:numId="22" w16cid:durableId="141509581">
    <w:abstractNumId w:val="29"/>
  </w:num>
  <w:num w:numId="23" w16cid:durableId="611788280">
    <w:abstractNumId w:val="16"/>
  </w:num>
  <w:num w:numId="24" w16cid:durableId="104471658">
    <w:abstractNumId w:val="5"/>
  </w:num>
  <w:num w:numId="25" w16cid:durableId="754979092">
    <w:abstractNumId w:val="13"/>
  </w:num>
  <w:num w:numId="26" w16cid:durableId="1327394393">
    <w:abstractNumId w:val="8"/>
  </w:num>
  <w:num w:numId="27" w16cid:durableId="136923646">
    <w:abstractNumId w:val="17"/>
  </w:num>
  <w:num w:numId="28" w16cid:durableId="642931246">
    <w:abstractNumId w:val="0"/>
  </w:num>
  <w:num w:numId="29" w16cid:durableId="733622085">
    <w:abstractNumId w:val="20"/>
  </w:num>
  <w:num w:numId="30" w16cid:durableId="210315246">
    <w:abstractNumId w:val="6"/>
  </w:num>
  <w:num w:numId="31" w16cid:durableId="931861613">
    <w:abstractNumId w:val="23"/>
  </w:num>
  <w:num w:numId="32" w16cid:durableId="134033281">
    <w:abstractNumId w:val="22"/>
  </w:num>
  <w:num w:numId="33" w16cid:durableId="174223940">
    <w:abstractNumId w:val="10"/>
  </w:num>
  <w:num w:numId="34" w16cid:durableId="1459302872">
    <w:abstractNumId w:val="37"/>
  </w:num>
  <w:num w:numId="35" w16cid:durableId="677846790">
    <w:abstractNumId w:val="31"/>
  </w:num>
  <w:num w:numId="36" w16cid:durableId="1799907329">
    <w:abstractNumId w:val="25"/>
  </w:num>
  <w:num w:numId="37" w16cid:durableId="1958029257">
    <w:abstractNumId w:val="35"/>
  </w:num>
  <w:num w:numId="38" w16cid:durableId="65763328">
    <w:abstractNumId w:val="30"/>
  </w:num>
  <w:num w:numId="39" w16cid:durableId="754477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4E"/>
    <w:rsid w:val="00052C0A"/>
    <w:rsid w:val="00056222"/>
    <w:rsid w:val="000D75D9"/>
    <w:rsid w:val="001422ED"/>
    <w:rsid w:val="00193004"/>
    <w:rsid w:val="001D7563"/>
    <w:rsid w:val="00230028"/>
    <w:rsid w:val="00262E0D"/>
    <w:rsid w:val="00286650"/>
    <w:rsid w:val="00307E66"/>
    <w:rsid w:val="00364A1D"/>
    <w:rsid w:val="00374F28"/>
    <w:rsid w:val="003D1E19"/>
    <w:rsid w:val="00415464"/>
    <w:rsid w:val="0042530A"/>
    <w:rsid w:val="00453A82"/>
    <w:rsid w:val="004C2ADA"/>
    <w:rsid w:val="004D53FF"/>
    <w:rsid w:val="00500716"/>
    <w:rsid w:val="005F3E1C"/>
    <w:rsid w:val="00613766"/>
    <w:rsid w:val="006668F1"/>
    <w:rsid w:val="00671869"/>
    <w:rsid w:val="0067724E"/>
    <w:rsid w:val="006A0811"/>
    <w:rsid w:val="007836BB"/>
    <w:rsid w:val="007A1888"/>
    <w:rsid w:val="007F2224"/>
    <w:rsid w:val="007F729E"/>
    <w:rsid w:val="00891A1F"/>
    <w:rsid w:val="0089719C"/>
    <w:rsid w:val="00905585"/>
    <w:rsid w:val="00907DF6"/>
    <w:rsid w:val="009A1B93"/>
    <w:rsid w:val="009D7C0A"/>
    <w:rsid w:val="00A266A1"/>
    <w:rsid w:val="00A77C56"/>
    <w:rsid w:val="00A84E79"/>
    <w:rsid w:val="00AA338D"/>
    <w:rsid w:val="00AF0304"/>
    <w:rsid w:val="00AF345A"/>
    <w:rsid w:val="00AF4798"/>
    <w:rsid w:val="00B2276B"/>
    <w:rsid w:val="00B724C4"/>
    <w:rsid w:val="00BE396D"/>
    <w:rsid w:val="00CB115A"/>
    <w:rsid w:val="00D134B0"/>
    <w:rsid w:val="00D42F4D"/>
    <w:rsid w:val="00E3042A"/>
    <w:rsid w:val="00F31F6D"/>
    <w:rsid w:val="00F406F5"/>
    <w:rsid w:val="00F4228F"/>
    <w:rsid w:val="00FE0D66"/>
    <w:rsid w:val="00FE6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2604"/>
  <w15:chartTrackingRefBased/>
  <w15:docId w15:val="{3506AAEE-71BD-4284-87D9-82EBBBB7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72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72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72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72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72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72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72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72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72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72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72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72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72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72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72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72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72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724E"/>
    <w:rPr>
      <w:rFonts w:eastAsiaTheme="majorEastAsia" w:cstheme="majorBidi"/>
      <w:color w:val="272727" w:themeColor="text1" w:themeTint="D8"/>
    </w:rPr>
  </w:style>
  <w:style w:type="paragraph" w:styleId="Title">
    <w:name w:val="Title"/>
    <w:basedOn w:val="Normal"/>
    <w:next w:val="Normal"/>
    <w:link w:val="TitleChar"/>
    <w:uiPriority w:val="10"/>
    <w:qFormat/>
    <w:rsid w:val="006772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2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72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72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724E"/>
    <w:pPr>
      <w:spacing w:before="160"/>
      <w:jc w:val="center"/>
    </w:pPr>
    <w:rPr>
      <w:i/>
      <w:iCs/>
      <w:color w:val="404040" w:themeColor="text1" w:themeTint="BF"/>
    </w:rPr>
  </w:style>
  <w:style w:type="character" w:customStyle="1" w:styleId="QuoteChar">
    <w:name w:val="Quote Char"/>
    <w:basedOn w:val="DefaultParagraphFont"/>
    <w:link w:val="Quote"/>
    <w:uiPriority w:val="29"/>
    <w:rsid w:val="0067724E"/>
    <w:rPr>
      <w:i/>
      <w:iCs/>
      <w:color w:val="404040" w:themeColor="text1" w:themeTint="BF"/>
    </w:rPr>
  </w:style>
  <w:style w:type="paragraph" w:styleId="ListParagraph">
    <w:name w:val="List Paragraph"/>
    <w:basedOn w:val="Normal"/>
    <w:uiPriority w:val="34"/>
    <w:qFormat/>
    <w:rsid w:val="0067724E"/>
    <w:pPr>
      <w:ind w:left="720"/>
      <w:contextualSpacing/>
    </w:pPr>
  </w:style>
  <w:style w:type="character" w:styleId="IntenseEmphasis">
    <w:name w:val="Intense Emphasis"/>
    <w:basedOn w:val="DefaultParagraphFont"/>
    <w:uiPriority w:val="21"/>
    <w:qFormat/>
    <w:rsid w:val="0067724E"/>
    <w:rPr>
      <w:i/>
      <w:iCs/>
      <w:color w:val="0F4761" w:themeColor="accent1" w:themeShade="BF"/>
    </w:rPr>
  </w:style>
  <w:style w:type="paragraph" w:styleId="IntenseQuote">
    <w:name w:val="Intense Quote"/>
    <w:basedOn w:val="Normal"/>
    <w:next w:val="Normal"/>
    <w:link w:val="IntenseQuoteChar"/>
    <w:uiPriority w:val="30"/>
    <w:qFormat/>
    <w:rsid w:val="006772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724E"/>
    <w:rPr>
      <w:i/>
      <w:iCs/>
      <w:color w:val="0F4761" w:themeColor="accent1" w:themeShade="BF"/>
    </w:rPr>
  </w:style>
  <w:style w:type="character" w:styleId="IntenseReference">
    <w:name w:val="Intense Reference"/>
    <w:basedOn w:val="DefaultParagraphFont"/>
    <w:uiPriority w:val="32"/>
    <w:qFormat/>
    <w:rsid w:val="006772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47325">
      <w:bodyDiv w:val="1"/>
      <w:marLeft w:val="0"/>
      <w:marRight w:val="0"/>
      <w:marTop w:val="0"/>
      <w:marBottom w:val="0"/>
      <w:divBdr>
        <w:top w:val="none" w:sz="0" w:space="0" w:color="auto"/>
        <w:left w:val="none" w:sz="0" w:space="0" w:color="auto"/>
        <w:bottom w:val="none" w:sz="0" w:space="0" w:color="auto"/>
        <w:right w:val="none" w:sz="0" w:space="0" w:color="auto"/>
      </w:divBdr>
    </w:div>
    <w:div w:id="68424309">
      <w:bodyDiv w:val="1"/>
      <w:marLeft w:val="0"/>
      <w:marRight w:val="0"/>
      <w:marTop w:val="0"/>
      <w:marBottom w:val="0"/>
      <w:divBdr>
        <w:top w:val="none" w:sz="0" w:space="0" w:color="auto"/>
        <w:left w:val="none" w:sz="0" w:space="0" w:color="auto"/>
        <w:bottom w:val="none" w:sz="0" w:space="0" w:color="auto"/>
        <w:right w:val="none" w:sz="0" w:space="0" w:color="auto"/>
      </w:divBdr>
    </w:div>
    <w:div w:id="69817958">
      <w:bodyDiv w:val="1"/>
      <w:marLeft w:val="0"/>
      <w:marRight w:val="0"/>
      <w:marTop w:val="0"/>
      <w:marBottom w:val="0"/>
      <w:divBdr>
        <w:top w:val="none" w:sz="0" w:space="0" w:color="auto"/>
        <w:left w:val="none" w:sz="0" w:space="0" w:color="auto"/>
        <w:bottom w:val="none" w:sz="0" w:space="0" w:color="auto"/>
        <w:right w:val="none" w:sz="0" w:space="0" w:color="auto"/>
      </w:divBdr>
    </w:div>
    <w:div w:id="126049424">
      <w:bodyDiv w:val="1"/>
      <w:marLeft w:val="0"/>
      <w:marRight w:val="0"/>
      <w:marTop w:val="0"/>
      <w:marBottom w:val="0"/>
      <w:divBdr>
        <w:top w:val="none" w:sz="0" w:space="0" w:color="auto"/>
        <w:left w:val="none" w:sz="0" w:space="0" w:color="auto"/>
        <w:bottom w:val="none" w:sz="0" w:space="0" w:color="auto"/>
        <w:right w:val="none" w:sz="0" w:space="0" w:color="auto"/>
      </w:divBdr>
    </w:div>
    <w:div w:id="207033886">
      <w:bodyDiv w:val="1"/>
      <w:marLeft w:val="0"/>
      <w:marRight w:val="0"/>
      <w:marTop w:val="0"/>
      <w:marBottom w:val="0"/>
      <w:divBdr>
        <w:top w:val="none" w:sz="0" w:space="0" w:color="auto"/>
        <w:left w:val="none" w:sz="0" w:space="0" w:color="auto"/>
        <w:bottom w:val="none" w:sz="0" w:space="0" w:color="auto"/>
        <w:right w:val="none" w:sz="0" w:space="0" w:color="auto"/>
      </w:divBdr>
    </w:div>
    <w:div w:id="280963679">
      <w:bodyDiv w:val="1"/>
      <w:marLeft w:val="0"/>
      <w:marRight w:val="0"/>
      <w:marTop w:val="0"/>
      <w:marBottom w:val="0"/>
      <w:divBdr>
        <w:top w:val="none" w:sz="0" w:space="0" w:color="auto"/>
        <w:left w:val="none" w:sz="0" w:space="0" w:color="auto"/>
        <w:bottom w:val="none" w:sz="0" w:space="0" w:color="auto"/>
        <w:right w:val="none" w:sz="0" w:space="0" w:color="auto"/>
      </w:divBdr>
    </w:div>
    <w:div w:id="288240593">
      <w:bodyDiv w:val="1"/>
      <w:marLeft w:val="0"/>
      <w:marRight w:val="0"/>
      <w:marTop w:val="0"/>
      <w:marBottom w:val="0"/>
      <w:divBdr>
        <w:top w:val="none" w:sz="0" w:space="0" w:color="auto"/>
        <w:left w:val="none" w:sz="0" w:space="0" w:color="auto"/>
        <w:bottom w:val="none" w:sz="0" w:space="0" w:color="auto"/>
        <w:right w:val="none" w:sz="0" w:space="0" w:color="auto"/>
      </w:divBdr>
    </w:div>
    <w:div w:id="332297520">
      <w:bodyDiv w:val="1"/>
      <w:marLeft w:val="0"/>
      <w:marRight w:val="0"/>
      <w:marTop w:val="0"/>
      <w:marBottom w:val="0"/>
      <w:divBdr>
        <w:top w:val="none" w:sz="0" w:space="0" w:color="auto"/>
        <w:left w:val="none" w:sz="0" w:space="0" w:color="auto"/>
        <w:bottom w:val="none" w:sz="0" w:space="0" w:color="auto"/>
        <w:right w:val="none" w:sz="0" w:space="0" w:color="auto"/>
      </w:divBdr>
    </w:div>
    <w:div w:id="390155738">
      <w:bodyDiv w:val="1"/>
      <w:marLeft w:val="0"/>
      <w:marRight w:val="0"/>
      <w:marTop w:val="0"/>
      <w:marBottom w:val="0"/>
      <w:divBdr>
        <w:top w:val="none" w:sz="0" w:space="0" w:color="auto"/>
        <w:left w:val="none" w:sz="0" w:space="0" w:color="auto"/>
        <w:bottom w:val="none" w:sz="0" w:space="0" w:color="auto"/>
        <w:right w:val="none" w:sz="0" w:space="0" w:color="auto"/>
      </w:divBdr>
    </w:div>
    <w:div w:id="483744396">
      <w:bodyDiv w:val="1"/>
      <w:marLeft w:val="0"/>
      <w:marRight w:val="0"/>
      <w:marTop w:val="0"/>
      <w:marBottom w:val="0"/>
      <w:divBdr>
        <w:top w:val="none" w:sz="0" w:space="0" w:color="auto"/>
        <w:left w:val="none" w:sz="0" w:space="0" w:color="auto"/>
        <w:bottom w:val="none" w:sz="0" w:space="0" w:color="auto"/>
        <w:right w:val="none" w:sz="0" w:space="0" w:color="auto"/>
      </w:divBdr>
    </w:div>
    <w:div w:id="504394956">
      <w:bodyDiv w:val="1"/>
      <w:marLeft w:val="0"/>
      <w:marRight w:val="0"/>
      <w:marTop w:val="0"/>
      <w:marBottom w:val="0"/>
      <w:divBdr>
        <w:top w:val="none" w:sz="0" w:space="0" w:color="auto"/>
        <w:left w:val="none" w:sz="0" w:space="0" w:color="auto"/>
        <w:bottom w:val="none" w:sz="0" w:space="0" w:color="auto"/>
        <w:right w:val="none" w:sz="0" w:space="0" w:color="auto"/>
      </w:divBdr>
    </w:div>
    <w:div w:id="512186041">
      <w:bodyDiv w:val="1"/>
      <w:marLeft w:val="0"/>
      <w:marRight w:val="0"/>
      <w:marTop w:val="0"/>
      <w:marBottom w:val="0"/>
      <w:divBdr>
        <w:top w:val="none" w:sz="0" w:space="0" w:color="auto"/>
        <w:left w:val="none" w:sz="0" w:space="0" w:color="auto"/>
        <w:bottom w:val="none" w:sz="0" w:space="0" w:color="auto"/>
        <w:right w:val="none" w:sz="0" w:space="0" w:color="auto"/>
      </w:divBdr>
    </w:div>
    <w:div w:id="559487320">
      <w:bodyDiv w:val="1"/>
      <w:marLeft w:val="0"/>
      <w:marRight w:val="0"/>
      <w:marTop w:val="0"/>
      <w:marBottom w:val="0"/>
      <w:divBdr>
        <w:top w:val="none" w:sz="0" w:space="0" w:color="auto"/>
        <w:left w:val="none" w:sz="0" w:space="0" w:color="auto"/>
        <w:bottom w:val="none" w:sz="0" w:space="0" w:color="auto"/>
        <w:right w:val="none" w:sz="0" w:space="0" w:color="auto"/>
      </w:divBdr>
    </w:div>
    <w:div w:id="667365508">
      <w:bodyDiv w:val="1"/>
      <w:marLeft w:val="0"/>
      <w:marRight w:val="0"/>
      <w:marTop w:val="0"/>
      <w:marBottom w:val="0"/>
      <w:divBdr>
        <w:top w:val="none" w:sz="0" w:space="0" w:color="auto"/>
        <w:left w:val="none" w:sz="0" w:space="0" w:color="auto"/>
        <w:bottom w:val="none" w:sz="0" w:space="0" w:color="auto"/>
        <w:right w:val="none" w:sz="0" w:space="0" w:color="auto"/>
      </w:divBdr>
    </w:div>
    <w:div w:id="755443618">
      <w:bodyDiv w:val="1"/>
      <w:marLeft w:val="0"/>
      <w:marRight w:val="0"/>
      <w:marTop w:val="0"/>
      <w:marBottom w:val="0"/>
      <w:divBdr>
        <w:top w:val="none" w:sz="0" w:space="0" w:color="auto"/>
        <w:left w:val="none" w:sz="0" w:space="0" w:color="auto"/>
        <w:bottom w:val="none" w:sz="0" w:space="0" w:color="auto"/>
        <w:right w:val="none" w:sz="0" w:space="0" w:color="auto"/>
      </w:divBdr>
    </w:div>
    <w:div w:id="775294533">
      <w:bodyDiv w:val="1"/>
      <w:marLeft w:val="0"/>
      <w:marRight w:val="0"/>
      <w:marTop w:val="0"/>
      <w:marBottom w:val="0"/>
      <w:divBdr>
        <w:top w:val="none" w:sz="0" w:space="0" w:color="auto"/>
        <w:left w:val="none" w:sz="0" w:space="0" w:color="auto"/>
        <w:bottom w:val="none" w:sz="0" w:space="0" w:color="auto"/>
        <w:right w:val="none" w:sz="0" w:space="0" w:color="auto"/>
      </w:divBdr>
    </w:div>
    <w:div w:id="823545856">
      <w:bodyDiv w:val="1"/>
      <w:marLeft w:val="0"/>
      <w:marRight w:val="0"/>
      <w:marTop w:val="0"/>
      <w:marBottom w:val="0"/>
      <w:divBdr>
        <w:top w:val="none" w:sz="0" w:space="0" w:color="auto"/>
        <w:left w:val="none" w:sz="0" w:space="0" w:color="auto"/>
        <w:bottom w:val="none" w:sz="0" w:space="0" w:color="auto"/>
        <w:right w:val="none" w:sz="0" w:space="0" w:color="auto"/>
      </w:divBdr>
    </w:div>
    <w:div w:id="840589233">
      <w:bodyDiv w:val="1"/>
      <w:marLeft w:val="0"/>
      <w:marRight w:val="0"/>
      <w:marTop w:val="0"/>
      <w:marBottom w:val="0"/>
      <w:divBdr>
        <w:top w:val="none" w:sz="0" w:space="0" w:color="auto"/>
        <w:left w:val="none" w:sz="0" w:space="0" w:color="auto"/>
        <w:bottom w:val="none" w:sz="0" w:space="0" w:color="auto"/>
        <w:right w:val="none" w:sz="0" w:space="0" w:color="auto"/>
      </w:divBdr>
    </w:div>
    <w:div w:id="932666796">
      <w:bodyDiv w:val="1"/>
      <w:marLeft w:val="0"/>
      <w:marRight w:val="0"/>
      <w:marTop w:val="0"/>
      <w:marBottom w:val="0"/>
      <w:divBdr>
        <w:top w:val="none" w:sz="0" w:space="0" w:color="auto"/>
        <w:left w:val="none" w:sz="0" w:space="0" w:color="auto"/>
        <w:bottom w:val="none" w:sz="0" w:space="0" w:color="auto"/>
        <w:right w:val="none" w:sz="0" w:space="0" w:color="auto"/>
      </w:divBdr>
    </w:div>
    <w:div w:id="1049375944">
      <w:bodyDiv w:val="1"/>
      <w:marLeft w:val="0"/>
      <w:marRight w:val="0"/>
      <w:marTop w:val="0"/>
      <w:marBottom w:val="0"/>
      <w:divBdr>
        <w:top w:val="none" w:sz="0" w:space="0" w:color="auto"/>
        <w:left w:val="none" w:sz="0" w:space="0" w:color="auto"/>
        <w:bottom w:val="none" w:sz="0" w:space="0" w:color="auto"/>
        <w:right w:val="none" w:sz="0" w:space="0" w:color="auto"/>
      </w:divBdr>
    </w:div>
    <w:div w:id="1220508751">
      <w:bodyDiv w:val="1"/>
      <w:marLeft w:val="0"/>
      <w:marRight w:val="0"/>
      <w:marTop w:val="0"/>
      <w:marBottom w:val="0"/>
      <w:divBdr>
        <w:top w:val="none" w:sz="0" w:space="0" w:color="auto"/>
        <w:left w:val="none" w:sz="0" w:space="0" w:color="auto"/>
        <w:bottom w:val="none" w:sz="0" w:space="0" w:color="auto"/>
        <w:right w:val="none" w:sz="0" w:space="0" w:color="auto"/>
      </w:divBdr>
    </w:div>
    <w:div w:id="1281180302">
      <w:bodyDiv w:val="1"/>
      <w:marLeft w:val="0"/>
      <w:marRight w:val="0"/>
      <w:marTop w:val="0"/>
      <w:marBottom w:val="0"/>
      <w:divBdr>
        <w:top w:val="none" w:sz="0" w:space="0" w:color="auto"/>
        <w:left w:val="none" w:sz="0" w:space="0" w:color="auto"/>
        <w:bottom w:val="none" w:sz="0" w:space="0" w:color="auto"/>
        <w:right w:val="none" w:sz="0" w:space="0" w:color="auto"/>
      </w:divBdr>
    </w:div>
    <w:div w:id="1307322777">
      <w:bodyDiv w:val="1"/>
      <w:marLeft w:val="0"/>
      <w:marRight w:val="0"/>
      <w:marTop w:val="0"/>
      <w:marBottom w:val="0"/>
      <w:divBdr>
        <w:top w:val="none" w:sz="0" w:space="0" w:color="auto"/>
        <w:left w:val="none" w:sz="0" w:space="0" w:color="auto"/>
        <w:bottom w:val="none" w:sz="0" w:space="0" w:color="auto"/>
        <w:right w:val="none" w:sz="0" w:space="0" w:color="auto"/>
      </w:divBdr>
    </w:div>
    <w:div w:id="1310086810">
      <w:bodyDiv w:val="1"/>
      <w:marLeft w:val="0"/>
      <w:marRight w:val="0"/>
      <w:marTop w:val="0"/>
      <w:marBottom w:val="0"/>
      <w:divBdr>
        <w:top w:val="none" w:sz="0" w:space="0" w:color="auto"/>
        <w:left w:val="none" w:sz="0" w:space="0" w:color="auto"/>
        <w:bottom w:val="none" w:sz="0" w:space="0" w:color="auto"/>
        <w:right w:val="none" w:sz="0" w:space="0" w:color="auto"/>
      </w:divBdr>
    </w:div>
    <w:div w:id="1338731402">
      <w:bodyDiv w:val="1"/>
      <w:marLeft w:val="0"/>
      <w:marRight w:val="0"/>
      <w:marTop w:val="0"/>
      <w:marBottom w:val="0"/>
      <w:divBdr>
        <w:top w:val="none" w:sz="0" w:space="0" w:color="auto"/>
        <w:left w:val="none" w:sz="0" w:space="0" w:color="auto"/>
        <w:bottom w:val="none" w:sz="0" w:space="0" w:color="auto"/>
        <w:right w:val="none" w:sz="0" w:space="0" w:color="auto"/>
      </w:divBdr>
    </w:div>
    <w:div w:id="1404375972">
      <w:bodyDiv w:val="1"/>
      <w:marLeft w:val="0"/>
      <w:marRight w:val="0"/>
      <w:marTop w:val="0"/>
      <w:marBottom w:val="0"/>
      <w:divBdr>
        <w:top w:val="none" w:sz="0" w:space="0" w:color="auto"/>
        <w:left w:val="none" w:sz="0" w:space="0" w:color="auto"/>
        <w:bottom w:val="none" w:sz="0" w:space="0" w:color="auto"/>
        <w:right w:val="none" w:sz="0" w:space="0" w:color="auto"/>
      </w:divBdr>
    </w:div>
    <w:div w:id="1509248637">
      <w:bodyDiv w:val="1"/>
      <w:marLeft w:val="0"/>
      <w:marRight w:val="0"/>
      <w:marTop w:val="0"/>
      <w:marBottom w:val="0"/>
      <w:divBdr>
        <w:top w:val="none" w:sz="0" w:space="0" w:color="auto"/>
        <w:left w:val="none" w:sz="0" w:space="0" w:color="auto"/>
        <w:bottom w:val="none" w:sz="0" w:space="0" w:color="auto"/>
        <w:right w:val="none" w:sz="0" w:space="0" w:color="auto"/>
      </w:divBdr>
    </w:div>
    <w:div w:id="156167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9497-8FCE-48A7-B3A0-8D2DF7FD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12</Pages>
  <Words>6977</Words>
  <Characters>39775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University of Cincinnati</Company>
  <LinksUpToDate>false</LinksUpToDate>
  <CharactersWithSpaces>46659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Madhuravasal Krishnan, Janani (jananimk)</dc:creator>
  <cp:keywords/>
  <dc:description/>
  <cp:lastModifiedBy>Madhuravasal Krishnan, Janani (jananimk)</cp:lastModifiedBy>
  <cp:revision>17</cp:revision>
  <cp:lastPrinted>2025-03-04T20:58:00Z</cp:lastPrinted>
  <dcterms:created xsi:type="dcterms:W3CDTF">2025-02-28T21:38:00Z</dcterms:created>
  <dcterms:modified xsi:type="dcterms:W3CDTF">2025-03-05T19:01:00Z</dcterms:modified>
</cp:coreProperties>
</file>